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巴音郭楞蒙古自治州生态环境局和静县分局2024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2FDCBD">
      <w:r>
        <w:br w:type="page"/>
      </w:r>
    </w:p>
    <w:p w14:paraId="195E358C">
      <w:pPr>
        <w:spacing w:line="640" w:lineRule="exact"/>
        <w:jc w:val="center"/>
        <w:outlineLvl w:val="1"/>
      </w:pPr>
      <w:r>
        <w:rPr>
          <w:rFonts w:ascii="黑体" w:hAnsi="黑体" w:eastAsia="黑体"/>
          <w:sz w:val="32"/>
        </w:rPr>
        <w:t>第一部分 单位概况</w:t>
      </w:r>
    </w:p>
    <w:p w14:paraId="7E1DA474">
      <w:pPr>
        <w:spacing w:line="640" w:lineRule="exact"/>
        <w:ind w:firstLine="640"/>
        <w:jc w:val="both"/>
        <w:outlineLvl w:val="2"/>
      </w:pPr>
      <w:r>
        <w:rPr>
          <w:rFonts w:ascii="黑体" w:hAnsi="黑体" w:eastAsia="黑体"/>
          <w:sz w:val="32"/>
        </w:rPr>
        <w:t>一、主要职能</w:t>
      </w:r>
    </w:p>
    <w:p w14:paraId="514C44B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认真贯彻执行《中华人民共和国环境保护法》以及国家颁布的大气、水体、噪声、辐射、固体废物以及机动车等污染防治的法律法规，对全县污染防治工作实施统一监督管理，督促指导全县各企业搞好本企业的污染防治工作。</w:t>
      </w:r>
    </w:p>
    <w:p w14:paraId="61D72FE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审批建设项目环境影响报告；监督、验收建设项目的</w:t>
      </w:r>
      <w:r>
        <w:rPr>
          <w:rFonts w:hint="eastAsia" w:ascii="仿宋_GB2312" w:hAnsi="仿宋_GB2312" w:eastAsia="仿宋_GB2312"/>
          <w:sz w:val="32"/>
          <w:lang w:eastAsia="zh-CN"/>
        </w:rPr>
        <w:t>“</w:t>
      </w:r>
      <w:r>
        <w:rPr>
          <w:rFonts w:ascii="仿宋_GB2312" w:hAnsi="仿宋_GB2312" w:eastAsia="仿宋_GB2312"/>
          <w:sz w:val="32"/>
        </w:rPr>
        <w:t>三同时</w:t>
      </w:r>
      <w:r>
        <w:rPr>
          <w:rFonts w:hint="eastAsia" w:ascii="仿宋_GB2312" w:hAnsi="仿宋_GB2312" w:eastAsia="仿宋_GB2312"/>
          <w:sz w:val="32"/>
          <w:lang w:eastAsia="zh-CN"/>
        </w:rPr>
        <w:t>”</w:t>
      </w:r>
      <w:r>
        <w:rPr>
          <w:rFonts w:ascii="仿宋_GB2312" w:hAnsi="仿宋_GB2312" w:eastAsia="仿宋_GB2312"/>
          <w:sz w:val="32"/>
        </w:rPr>
        <w:t>执行情况。</w:t>
      </w:r>
    </w:p>
    <w:p w14:paraId="307C97E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督促污染单位进行污染治理。</w:t>
      </w:r>
    </w:p>
    <w:p w14:paraId="423C968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负责污染物排放总量控制、排污申报登记、污染集中控制。</w:t>
      </w:r>
    </w:p>
    <w:p w14:paraId="24CE5B3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负责处理全县范围内的污染投诉、纠纷，对重大环境污染事故和生态环境破坏事件进行调查处理及上报；协调县内外跨行政区域的环境污染纠纷。</w:t>
      </w:r>
    </w:p>
    <w:p w14:paraId="03F19C9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开展农村生态环境保护；监督检查饮用水源保护区、风景名胜区的环境保护工作。</w:t>
      </w:r>
    </w:p>
    <w:p w14:paraId="333D07A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组织开展环境保护宣传教育，开展生态县创建工作及农村环境连片整治工作。</w:t>
      </w:r>
    </w:p>
    <w:p w14:paraId="46D5BA38">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开展环境监测和统计、信息工作，承办上级交办的其他事项。</w:t>
      </w:r>
    </w:p>
    <w:p w14:paraId="63B6F2A2">
      <w:pPr>
        <w:spacing w:line="640" w:lineRule="exact"/>
        <w:ind w:firstLine="640"/>
        <w:jc w:val="both"/>
        <w:outlineLvl w:val="2"/>
      </w:pPr>
      <w:r>
        <w:rPr>
          <w:rFonts w:ascii="黑体" w:hAnsi="黑体" w:eastAsia="黑体"/>
          <w:sz w:val="32"/>
        </w:rPr>
        <w:t>二、机构设置及人员情况</w:t>
      </w:r>
    </w:p>
    <w:p w14:paraId="4ACB329F">
      <w:pPr>
        <w:spacing w:line="580" w:lineRule="exact"/>
        <w:ind w:firstLine="640"/>
        <w:jc w:val="both"/>
      </w:pPr>
      <w:r>
        <w:rPr>
          <w:rFonts w:ascii="仿宋_GB2312" w:hAnsi="仿宋_GB2312" w:eastAsia="仿宋_GB2312"/>
          <w:sz w:val="32"/>
        </w:rPr>
        <w:t>巴音郭楞蒙古自治州生态环境局和静县分局2024年度，实有人数10人，其中：在职人员9人，增加1人；离休人员0人，增加0人；退休人员1人,增加0人。</w:t>
      </w:r>
    </w:p>
    <w:p w14:paraId="11F1348E">
      <w:pPr>
        <w:spacing w:line="580" w:lineRule="exact"/>
        <w:ind w:firstLine="640"/>
        <w:jc w:val="both"/>
      </w:pPr>
      <w:r>
        <w:rPr>
          <w:rFonts w:ascii="仿宋_GB2312" w:hAnsi="仿宋_GB2312" w:eastAsia="仿宋_GB2312"/>
          <w:sz w:val="32"/>
        </w:rPr>
        <w:t>巴音郭楞蒙古自治州生态环境局和静县分局无下属预算单位，下设4个科室，分别是：环境监察大队、行政办、综合业务科室、生态办。</w:t>
      </w:r>
    </w:p>
    <w:p w14:paraId="4006A061">
      <w:r>
        <w:br w:type="page"/>
      </w:r>
    </w:p>
    <w:p w14:paraId="46E0FBCF">
      <w:pPr>
        <w:spacing w:line="240" w:lineRule="auto"/>
        <w:jc w:val="center"/>
        <w:outlineLvl w:val="1"/>
      </w:pPr>
      <w:r>
        <w:rPr>
          <w:rFonts w:ascii="黑体" w:hAnsi="黑体" w:eastAsia="黑体"/>
          <w:sz w:val="32"/>
        </w:rPr>
        <w:t>第二部分 部门决算情况说明</w:t>
      </w:r>
    </w:p>
    <w:p w14:paraId="3608C58D">
      <w:pPr>
        <w:spacing w:line="640" w:lineRule="exact"/>
        <w:ind w:firstLine="640"/>
        <w:jc w:val="both"/>
        <w:outlineLvl w:val="2"/>
      </w:pPr>
      <w:r>
        <w:rPr>
          <w:rFonts w:ascii="黑体" w:hAnsi="黑体" w:eastAsia="黑体"/>
          <w:sz w:val="32"/>
        </w:rPr>
        <w:t>一、收入支出决算总体情况说明</w:t>
      </w:r>
    </w:p>
    <w:p w14:paraId="0C7D3EB8">
      <w:pPr>
        <w:spacing w:line="580" w:lineRule="exact"/>
        <w:ind w:firstLine="640"/>
        <w:jc w:val="both"/>
      </w:pPr>
      <w:r>
        <w:rPr>
          <w:rFonts w:ascii="仿宋_GB2312" w:hAnsi="仿宋_GB2312" w:eastAsia="仿宋_GB2312"/>
          <w:b/>
          <w:sz w:val="32"/>
        </w:rPr>
        <w:t>2024年度收入总计159.04万元，</w:t>
      </w:r>
      <w:r>
        <w:rPr>
          <w:rFonts w:ascii="仿宋_GB2312" w:hAnsi="仿宋_GB2312" w:eastAsia="仿宋_GB2312"/>
          <w:b w:val="0"/>
          <w:sz w:val="32"/>
        </w:rPr>
        <w:t>其中：本年收入合计159.04万元，使用非财政拨款结余（含专用结余）0.00万元，年初结转和结余0.00万元。</w:t>
      </w:r>
    </w:p>
    <w:p w14:paraId="30870619">
      <w:pPr>
        <w:spacing w:line="580" w:lineRule="exact"/>
        <w:ind w:firstLine="640"/>
        <w:jc w:val="both"/>
      </w:pPr>
      <w:r>
        <w:rPr>
          <w:rFonts w:ascii="仿宋_GB2312" w:hAnsi="仿宋_GB2312" w:eastAsia="仿宋_GB2312"/>
          <w:b/>
          <w:sz w:val="32"/>
        </w:rPr>
        <w:t>2024年度支出总计159.04万元，</w:t>
      </w:r>
      <w:r>
        <w:rPr>
          <w:rFonts w:ascii="仿宋_GB2312" w:hAnsi="仿宋_GB2312" w:eastAsia="仿宋_GB2312"/>
          <w:b w:val="0"/>
          <w:sz w:val="32"/>
        </w:rPr>
        <w:t>其中：本年支出合计159.04万元，结余分配0.00万元，年末结转和结余0.00万元。</w:t>
      </w:r>
    </w:p>
    <w:p w14:paraId="3813EC2A">
      <w:pPr>
        <w:spacing w:line="580" w:lineRule="exact"/>
        <w:ind w:firstLine="640"/>
        <w:jc w:val="both"/>
      </w:pPr>
      <w:r>
        <w:rPr>
          <w:rFonts w:ascii="仿宋_GB2312" w:hAnsi="仿宋_GB2312" w:eastAsia="仿宋_GB2312"/>
          <w:b w:val="0"/>
          <w:sz w:val="32"/>
        </w:rPr>
        <w:t>收入支出总体与上年相比，减少16.86万元，下降9.58%，主要原因是：本年为民办实事经费较上年减少；减少办公费、劳务费等。</w:t>
      </w:r>
    </w:p>
    <w:p w14:paraId="2A0E1FB1">
      <w:pPr>
        <w:spacing w:line="640" w:lineRule="exact"/>
        <w:ind w:firstLine="640"/>
        <w:jc w:val="both"/>
        <w:outlineLvl w:val="2"/>
      </w:pPr>
      <w:r>
        <w:rPr>
          <w:rFonts w:ascii="黑体" w:hAnsi="黑体" w:eastAsia="黑体"/>
          <w:sz w:val="32"/>
        </w:rPr>
        <w:t>二、收入决算情况说明</w:t>
      </w:r>
    </w:p>
    <w:p w14:paraId="6E5A5A26">
      <w:pPr>
        <w:spacing w:line="580" w:lineRule="exact"/>
        <w:ind w:firstLine="640"/>
        <w:jc w:val="both"/>
      </w:pPr>
      <w:r>
        <w:rPr>
          <w:rFonts w:ascii="仿宋_GB2312" w:hAnsi="仿宋_GB2312" w:eastAsia="仿宋_GB2312"/>
          <w:b/>
          <w:sz w:val="32"/>
        </w:rPr>
        <w:t>本年收入159.04万元，</w:t>
      </w:r>
      <w:r>
        <w:rPr>
          <w:rFonts w:ascii="仿宋_GB2312" w:hAnsi="仿宋_GB2312" w:eastAsia="仿宋_GB2312"/>
          <w:b w:val="0"/>
          <w:sz w:val="32"/>
        </w:rPr>
        <w:t>其中：财政拨款收入159.04万元，占100.00%；上级补助收入0.00万元，占0.00%；事业收入0.00万元，占0.00%；经营收入0.00万元，占0.00%；附属单位上缴收入0.00万元，占0.00%；其他收入0.00万元，占0.00%。</w:t>
      </w:r>
    </w:p>
    <w:p w14:paraId="12B836F1">
      <w:pPr>
        <w:spacing w:line="640" w:lineRule="exact"/>
        <w:ind w:firstLine="640"/>
        <w:jc w:val="both"/>
        <w:outlineLvl w:val="2"/>
      </w:pPr>
      <w:r>
        <w:rPr>
          <w:rFonts w:ascii="黑体" w:hAnsi="黑体" w:eastAsia="黑体"/>
          <w:sz w:val="32"/>
        </w:rPr>
        <w:t>三、支出决算情况说明</w:t>
      </w:r>
    </w:p>
    <w:p w14:paraId="5758D7A8">
      <w:pPr>
        <w:spacing w:line="580" w:lineRule="exact"/>
        <w:ind w:firstLine="640"/>
        <w:jc w:val="both"/>
      </w:pPr>
      <w:r>
        <w:rPr>
          <w:rFonts w:ascii="仿宋_GB2312" w:hAnsi="仿宋_GB2312" w:eastAsia="仿宋_GB2312"/>
          <w:b/>
          <w:sz w:val="32"/>
        </w:rPr>
        <w:t>本年支出159.04万元，</w:t>
      </w:r>
      <w:r>
        <w:rPr>
          <w:rFonts w:ascii="仿宋_GB2312" w:hAnsi="仿宋_GB2312" w:eastAsia="仿宋_GB2312"/>
          <w:b w:val="0"/>
          <w:sz w:val="32"/>
        </w:rPr>
        <w:t>其中：基本支出144.04万元，占90.57%；项目支出15.00万元，占9.43%；上缴上级支出0.00万元，占0.00%；经营支出0.00万元，占0.00%；对附属单位补助支出0.00万元，占0.00%。</w:t>
      </w:r>
    </w:p>
    <w:p w14:paraId="41777FC0">
      <w:pPr>
        <w:spacing w:line="640" w:lineRule="exact"/>
        <w:ind w:firstLine="640"/>
        <w:jc w:val="both"/>
        <w:outlineLvl w:val="2"/>
      </w:pPr>
      <w:r>
        <w:rPr>
          <w:rFonts w:ascii="黑体" w:hAnsi="黑体" w:eastAsia="黑体"/>
          <w:sz w:val="32"/>
        </w:rPr>
        <w:t>四、财政拨款收入支出决算总体情况说明</w:t>
      </w:r>
    </w:p>
    <w:p w14:paraId="4013ED57">
      <w:pPr>
        <w:spacing w:line="580" w:lineRule="exact"/>
        <w:ind w:firstLine="640"/>
        <w:jc w:val="both"/>
      </w:pPr>
      <w:r>
        <w:rPr>
          <w:rFonts w:ascii="仿宋_GB2312" w:hAnsi="仿宋_GB2312" w:eastAsia="仿宋_GB2312"/>
          <w:b/>
          <w:sz w:val="32"/>
        </w:rPr>
        <w:t>2024年度财政拨款收入总计159.04万元，</w:t>
      </w:r>
      <w:r>
        <w:rPr>
          <w:rFonts w:ascii="仿宋_GB2312" w:hAnsi="仿宋_GB2312" w:eastAsia="仿宋_GB2312"/>
          <w:b w:val="0"/>
          <w:sz w:val="32"/>
        </w:rPr>
        <w:t>其中：年初财政拨款结转和结余0.00万元，本年财政拨款收入159.04万元。</w:t>
      </w:r>
      <w:r>
        <w:rPr>
          <w:rFonts w:ascii="仿宋_GB2312" w:hAnsi="仿宋_GB2312" w:eastAsia="仿宋_GB2312"/>
          <w:b/>
          <w:sz w:val="32"/>
        </w:rPr>
        <w:t>财政拨款支出总计159.04万元，</w:t>
      </w:r>
      <w:r>
        <w:rPr>
          <w:rFonts w:ascii="仿宋_GB2312" w:hAnsi="仿宋_GB2312" w:eastAsia="仿宋_GB2312"/>
          <w:b w:val="0"/>
          <w:sz w:val="32"/>
        </w:rPr>
        <w:t>其中：年末财政拨款结转和结余0.00万元，本年财政拨款支出159.04万元。</w:t>
      </w:r>
    </w:p>
    <w:p w14:paraId="5A0CF5A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减少16.86万元，下降9.58%，主要原因是：本年为民办实事经费较上年减少；减少办公费、劳务费等。</w:t>
      </w:r>
      <w:r>
        <w:rPr>
          <w:rFonts w:ascii="仿宋_GB2312" w:hAnsi="仿宋_GB2312" w:eastAsia="仿宋_GB2312"/>
          <w:b/>
          <w:sz w:val="32"/>
        </w:rPr>
        <w:t>与年初预算相比，</w:t>
      </w:r>
      <w:r>
        <w:rPr>
          <w:rFonts w:ascii="仿宋_GB2312" w:hAnsi="仿宋_GB2312" w:eastAsia="仿宋_GB2312"/>
          <w:b w:val="0"/>
          <w:sz w:val="32"/>
        </w:rPr>
        <w:t>年初预算数154.17万元，决算数159.04万元，预决算差异率3.16%，主要原因是：年中追加人员工资、社保、公积金基数调增部分资金，导致预决算存在差异。</w:t>
      </w:r>
    </w:p>
    <w:p w14:paraId="4C111ABE">
      <w:pPr>
        <w:spacing w:line="640" w:lineRule="exact"/>
        <w:ind w:firstLine="640"/>
        <w:jc w:val="both"/>
        <w:outlineLvl w:val="2"/>
      </w:pPr>
      <w:r>
        <w:rPr>
          <w:rFonts w:ascii="黑体" w:hAnsi="黑体" w:eastAsia="黑体"/>
          <w:sz w:val="32"/>
        </w:rPr>
        <w:t>五、一般公共预算财政拨款支出决算情况说明</w:t>
      </w:r>
    </w:p>
    <w:p w14:paraId="72CF9837">
      <w:pPr>
        <w:spacing w:line="640" w:lineRule="exact"/>
        <w:ind w:firstLine="640"/>
        <w:jc w:val="both"/>
        <w:outlineLvl w:val="3"/>
      </w:pPr>
      <w:r>
        <w:rPr>
          <w:rFonts w:ascii="楷体_GB2312" w:hAnsi="楷体_GB2312" w:eastAsia="楷体_GB2312"/>
          <w:b/>
          <w:sz w:val="32"/>
        </w:rPr>
        <w:t>（一）一般公共预算财政拨款支出决算总体情况</w:t>
      </w:r>
    </w:p>
    <w:p w14:paraId="73EDAC80">
      <w:pPr>
        <w:spacing w:line="580" w:lineRule="exact"/>
        <w:ind w:firstLine="640"/>
        <w:jc w:val="both"/>
      </w:pPr>
      <w:r>
        <w:rPr>
          <w:rFonts w:ascii="仿宋_GB2312" w:hAnsi="仿宋_GB2312" w:eastAsia="仿宋_GB2312"/>
          <w:b/>
          <w:sz w:val="32"/>
        </w:rPr>
        <w:t>2024年度一般公共预算财政拨款支出159.04万元，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减少16.86万元，下降9.58%，主要原因是：本年为民办实事经费较上年减少；减少办公费、劳务费等。</w:t>
      </w:r>
      <w:r>
        <w:rPr>
          <w:rFonts w:ascii="仿宋_GB2312" w:hAnsi="仿宋_GB2312" w:eastAsia="仿宋_GB2312"/>
          <w:b/>
          <w:sz w:val="32"/>
        </w:rPr>
        <w:t>与年初预算相比,</w:t>
      </w:r>
      <w:r>
        <w:rPr>
          <w:rFonts w:ascii="仿宋_GB2312" w:hAnsi="仿宋_GB2312" w:eastAsia="仿宋_GB2312"/>
          <w:b w:val="0"/>
          <w:sz w:val="32"/>
        </w:rPr>
        <w:t>年初预算数154.17万元，决算数159.04万元，预决算差异率3.16%，主要原因是：年中追加人员工资、社保、公积金基数调增部分资金，导致预决算存在差异。</w:t>
      </w:r>
    </w:p>
    <w:p w14:paraId="5E0780BA">
      <w:pPr>
        <w:spacing w:line="640" w:lineRule="exact"/>
        <w:ind w:firstLine="640"/>
        <w:jc w:val="both"/>
        <w:outlineLvl w:val="3"/>
      </w:pPr>
      <w:r>
        <w:rPr>
          <w:rFonts w:ascii="楷体_GB2312" w:hAnsi="楷体_GB2312" w:eastAsia="楷体_GB2312"/>
          <w:b/>
          <w:sz w:val="32"/>
        </w:rPr>
        <w:t>（二）一般公共预算财政拨款支出决算结构情况</w:t>
      </w:r>
    </w:p>
    <w:p w14:paraId="4539CC72">
      <w:pPr>
        <w:spacing w:line="580" w:lineRule="exact"/>
        <w:ind w:firstLine="640"/>
        <w:jc w:val="both"/>
      </w:pPr>
      <w:r>
        <w:rPr>
          <w:rFonts w:ascii="仿宋_GB2312" w:hAnsi="仿宋_GB2312" w:eastAsia="仿宋_GB2312"/>
          <w:b w:val="0"/>
          <w:sz w:val="32"/>
        </w:rPr>
        <w:t>1.教育支出(类)0.16万元,占0.10%。</w:t>
      </w:r>
    </w:p>
    <w:p w14:paraId="165CE8BB">
      <w:pPr>
        <w:spacing w:line="580" w:lineRule="exact"/>
        <w:ind w:firstLine="640"/>
        <w:jc w:val="both"/>
      </w:pPr>
      <w:r>
        <w:rPr>
          <w:rFonts w:ascii="仿宋_GB2312" w:hAnsi="仿宋_GB2312" w:eastAsia="仿宋_GB2312"/>
          <w:b w:val="0"/>
          <w:sz w:val="32"/>
        </w:rPr>
        <w:t>2.社会保障和就业支出(类)14.22万元,占8.94%。</w:t>
      </w:r>
    </w:p>
    <w:p w14:paraId="19FC0059">
      <w:pPr>
        <w:spacing w:line="580" w:lineRule="exact"/>
        <w:ind w:firstLine="640"/>
        <w:jc w:val="both"/>
      </w:pPr>
      <w:r>
        <w:rPr>
          <w:rFonts w:ascii="仿宋_GB2312" w:hAnsi="仿宋_GB2312" w:eastAsia="仿宋_GB2312"/>
          <w:b w:val="0"/>
          <w:sz w:val="32"/>
        </w:rPr>
        <w:t>3.卫生健康支出(类)8.27万元,占5.20%。</w:t>
      </w:r>
    </w:p>
    <w:p w14:paraId="06CDAA88">
      <w:pPr>
        <w:spacing w:line="580" w:lineRule="exact"/>
        <w:ind w:firstLine="640"/>
        <w:jc w:val="both"/>
      </w:pPr>
      <w:r>
        <w:rPr>
          <w:rFonts w:ascii="仿宋_GB2312" w:hAnsi="仿宋_GB2312" w:eastAsia="仿宋_GB2312"/>
          <w:b w:val="0"/>
          <w:sz w:val="32"/>
        </w:rPr>
        <w:t>4.节能环保支出(类)126.29万元,占79.41%。</w:t>
      </w:r>
    </w:p>
    <w:p w14:paraId="40CAAF84">
      <w:pPr>
        <w:spacing w:line="580" w:lineRule="exact"/>
        <w:ind w:firstLine="640"/>
        <w:jc w:val="both"/>
      </w:pPr>
      <w:r>
        <w:rPr>
          <w:rFonts w:ascii="仿宋_GB2312" w:hAnsi="仿宋_GB2312" w:eastAsia="仿宋_GB2312"/>
          <w:b w:val="0"/>
          <w:sz w:val="32"/>
        </w:rPr>
        <w:t>5.住房保障支出(类)10.11万元,占6.36%。</w:t>
      </w:r>
    </w:p>
    <w:p w14:paraId="46AF4C15">
      <w:pPr>
        <w:spacing w:line="640" w:lineRule="exact"/>
        <w:ind w:firstLine="640"/>
        <w:jc w:val="both"/>
        <w:outlineLvl w:val="3"/>
      </w:pPr>
      <w:r>
        <w:rPr>
          <w:rFonts w:ascii="楷体_GB2312" w:hAnsi="楷体_GB2312" w:eastAsia="楷体_GB2312"/>
          <w:b/>
          <w:sz w:val="32"/>
        </w:rPr>
        <w:t>（三）一般公共预算财政拨款支出决算具体情况</w:t>
      </w:r>
    </w:p>
    <w:p w14:paraId="1D20F60B">
      <w:pPr>
        <w:spacing w:line="580" w:lineRule="exact"/>
        <w:ind w:firstLine="640"/>
        <w:jc w:val="both"/>
      </w:pPr>
      <w:r>
        <w:rPr>
          <w:rFonts w:ascii="仿宋_GB2312" w:hAnsi="仿宋_GB2312" w:eastAsia="仿宋_GB2312"/>
          <w:b w:val="0"/>
          <w:sz w:val="32"/>
        </w:rPr>
        <w:t>1.教育支出(类)进修及培训(款)培训支出(项):支出决算数为0.16万元，比上年决算减少0.07万元，下降30.43%,主要原因是：本年减少外出培训批次，培训费减少。</w:t>
      </w:r>
    </w:p>
    <w:p w14:paraId="2620D85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2.社会保障和就业支出(类)行政事业单位养老支出(款)行政单位离退休(项):支出决算数为1.00万元，比上年决算增加0.70万元，增长233.33%,主要原因是：本年增加退休人员基础绩效奖，退休费支出增加。</w:t>
      </w:r>
    </w:p>
    <w:p w14:paraId="28F3B33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13.23万元，比上年决算增加1.19万元，增长9.88%,主要原因是：本年在职人员工资基数调增，养老缴费基数上涨，相应支出增加。</w:t>
      </w:r>
    </w:p>
    <w:p w14:paraId="202BC417">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4.社会保障和就业支出(类)行政事业单位养老支出(款)机关事业单位职业年金缴费支出(项):支出决算数为0.00万元，比上年决算减少6.37万元，下降100.00%,主要原因是：本年无新增退休人员，单位职业年金缴费减少。</w:t>
      </w:r>
    </w:p>
    <w:p w14:paraId="25B0326A">
      <w:pPr>
        <w:spacing w:line="580" w:lineRule="exact"/>
        <w:ind w:firstLine="640"/>
        <w:jc w:val="both"/>
      </w:pPr>
      <w:r>
        <w:rPr>
          <w:rFonts w:ascii="仿宋_GB2312" w:hAnsi="仿宋_GB2312" w:eastAsia="仿宋_GB2312"/>
          <w:b w:val="0"/>
          <w:sz w:val="32"/>
        </w:rPr>
        <w:t>5.卫生健康支出(类)行政事业单位医疗(款)行政单位医疗(项):支出决算数为5.83万元，比上年决算增加0.55万元，增长10.42%,主要原因是：本年在职人员工资基数调增，医疗缴费基数上涨，相应支出增加。</w:t>
      </w:r>
    </w:p>
    <w:p w14:paraId="111C748E">
      <w:pPr>
        <w:spacing w:line="580" w:lineRule="exact"/>
        <w:ind w:firstLine="640"/>
        <w:jc w:val="both"/>
      </w:pPr>
      <w:r>
        <w:rPr>
          <w:rFonts w:ascii="仿宋_GB2312" w:hAnsi="仿宋_GB2312" w:eastAsia="仿宋_GB2312"/>
          <w:b w:val="0"/>
          <w:sz w:val="32"/>
        </w:rPr>
        <w:t>6.卫生健康支出(类)行政事业单位医疗(款)公务员医疗补助(项):支出决算数为2.22万元，比上年决算增加0.36万元，增长19.35%,主要原因是：本年在职人员工资基数调增，医疗缴费基数上涨，相应支出增加。</w:t>
      </w:r>
    </w:p>
    <w:p w14:paraId="78C82040">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7.卫生健康支出(类)行政事业单位医疗(款)其他行政事业单位医疗支出(项):支出决算数为0.21万元，比上年决算增加0.02万元，增长10.53%,主要原因是：本年在职人员工资基数调增，医疗缴费基数上涨，相应支出增加。</w:t>
      </w:r>
    </w:p>
    <w:p w14:paraId="47EA4259">
      <w:pPr>
        <w:spacing w:line="580" w:lineRule="exact"/>
        <w:ind w:firstLine="640"/>
        <w:jc w:val="both"/>
      </w:pPr>
      <w:r>
        <w:rPr>
          <w:rFonts w:ascii="仿宋_GB2312" w:hAnsi="仿宋_GB2312" w:eastAsia="仿宋_GB2312"/>
          <w:b w:val="0"/>
          <w:sz w:val="32"/>
        </w:rPr>
        <w:t>8.节能环保支出(类)环境保护管理事务(款)行政运行(项):支出决算数为111.29万元，比上年决算减少13.24万元，下降10.63%,主要原因是：本年减少办公费、劳务费等。</w:t>
      </w:r>
    </w:p>
    <w:p w14:paraId="75D66750">
      <w:pPr>
        <w:spacing w:line="580" w:lineRule="exact"/>
        <w:ind w:firstLine="640"/>
        <w:jc w:val="both"/>
      </w:pPr>
      <w:r>
        <w:rPr>
          <w:rFonts w:ascii="仿宋_GB2312" w:hAnsi="仿宋_GB2312" w:eastAsia="仿宋_GB2312"/>
          <w:b w:val="0"/>
          <w:sz w:val="32"/>
        </w:rPr>
        <w:t>9.节能环保支出(类)环境保护管理事务(款)一般行政管理事务(项):支出决算数为15.00万元，比上年决算减少2.00万元，下降11.76%,主要原因是：本年为民办实事经费较上年减少。</w:t>
      </w:r>
    </w:p>
    <w:p w14:paraId="19521055">
      <w:pPr>
        <w:spacing w:line="580" w:lineRule="exact"/>
        <w:ind w:firstLine="640"/>
        <w:jc w:val="both"/>
      </w:pPr>
      <w:r>
        <w:rPr>
          <w:rFonts w:ascii="仿宋_GB2312" w:hAnsi="仿宋_GB2312" w:eastAsia="仿宋_GB2312"/>
          <w:b w:val="0"/>
          <w:sz w:val="32"/>
        </w:rPr>
        <w:t>10.住房保障支出(类)住房改革支出(款)住房公积金(项):支出决算数为10.11万元，比上年决算增加2.03万元，增长25.12%,主要原因是：本年在职人员工资基数调增，公积金缴费基数上涨，相应支出增加。</w:t>
      </w:r>
    </w:p>
    <w:p w14:paraId="2D804792">
      <w:pPr>
        <w:spacing w:line="640" w:lineRule="exact"/>
        <w:ind w:firstLine="640"/>
        <w:jc w:val="both"/>
        <w:outlineLvl w:val="2"/>
      </w:pPr>
      <w:r>
        <w:rPr>
          <w:rFonts w:ascii="黑体" w:hAnsi="黑体" w:eastAsia="黑体"/>
          <w:sz w:val="32"/>
        </w:rPr>
        <w:t>六、一般公共预算财政拨款基本支出决算情况说明</w:t>
      </w:r>
    </w:p>
    <w:p w14:paraId="409E6A32">
      <w:pPr>
        <w:spacing w:line="580" w:lineRule="exact"/>
        <w:ind w:firstLine="640"/>
        <w:jc w:val="both"/>
      </w:pPr>
      <w:r>
        <w:rPr>
          <w:rFonts w:ascii="仿宋_GB2312" w:hAnsi="仿宋_GB2312" w:eastAsia="仿宋_GB2312"/>
          <w:b w:val="0"/>
          <w:sz w:val="32"/>
        </w:rPr>
        <w:t>2024年度一般公共预算财政拨款基本支出144.04万元，其中：</w:t>
      </w:r>
      <w:r>
        <w:rPr>
          <w:rFonts w:ascii="仿宋_GB2312" w:hAnsi="仿宋_GB2312" w:eastAsia="仿宋_GB2312"/>
          <w:b/>
          <w:sz w:val="32"/>
        </w:rPr>
        <w:t>人员经费127.14万元，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包括：基本工资、津贴补贴、奖金、伙食补助费、机关事业单位基本养老保险缴费、职工基本医疗保险缴费、公务员医疗补助缴费、其他社会保障缴费、住房公积金、医疗费、退休费、奖励金。</w:t>
      </w:r>
    </w:p>
    <w:p w14:paraId="45A09981">
      <w:pPr>
        <w:spacing w:line="580" w:lineRule="exact"/>
        <w:ind w:firstLine="640"/>
        <w:jc w:val="both"/>
      </w:pPr>
      <w:r>
        <w:rPr>
          <w:rFonts w:ascii="仿宋_GB2312" w:hAnsi="仿宋_GB2312" w:eastAsia="仿宋_GB2312"/>
          <w:b/>
          <w:sz w:val="32"/>
        </w:rPr>
        <w:t>公用经费16.90万元，</w:t>
      </w:r>
      <w:r>
        <w:rPr>
          <w:rFonts w:ascii="仿宋_GB2312" w:hAnsi="仿宋_GB2312" w:eastAsia="仿宋_GB2312"/>
          <w:b w:val="0"/>
          <w:sz w:val="32"/>
        </w:rPr>
        <w:t>包括：办公费、水费、电费、邮电费、取暖费、物业管理费、差旅费、维修（护）费、培训费、劳务费、委托业务费、工会经费、福利费、公务用车运行维护费、其他商品和服务支出。</w:t>
      </w:r>
    </w:p>
    <w:p w14:paraId="087ABC68">
      <w:pPr>
        <w:spacing w:line="640" w:lineRule="exact"/>
        <w:ind w:firstLine="640"/>
        <w:jc w:val="both"/>
        <w:outlineLvl w:val="2"/>
      </w:pPr>
      <w:r>
        <w:rPr>
          <w:rFonts w:ascii="黑体" w:hAnsi="黑体" w:eastAsia="黑体"/>
          <w:sz w:val="32"/>
        </w:rPr>
        <w:t>七、政府性基金预算财政拨款收入支出决算情况说明</w:t>
      </w:r>
    </w:p>
    <w:p w14:paraId="3B8FB76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D8C1228">
      <w:pPr>
        <w:spacing w:line="640" w:lineRule="exact"/>
        <w:ind w:firstLine="640"/>
        <w:jc w:val="both"/>
        <w:outlineLvl w:val="2"/>
      </w:pPr>
      <w:r>
        <w:rPr>
          <w:rFonts w:ascii="黑体" w:hAnsi="黑体" w:eastAsia="黑体"/>
          <w:sz w:val="32"/>
        </w:rPr>
        <w:t>八、国有资本经营预算财政拨款收入支出决算情况说明</w:t>
      </w:r>
    </w:p>
    <w:p w14:paraId="2E1F6B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5A089C">
      <w:pPr>
        <w:spacing w:line="640" w:lineRule="exact"/>
        <w:ind w:firstLine="640"/>
        <w:jc w:val="both"/>
        <w:outlineLvl w:val="2"/>
      </w:pPr>
      <w:r>
        <w:rPr>
          <w:rFonts w:ascii="黑体" w:hAnsi="黑体" w:eastAsia="黑体"/>
          <w:sz w:val="32"/>
        </w:rPr>
        <w:t>九、财政拨款“三公”经费支出决算情况说明</w:t>
      </w:r>
    </w:p>
    <w:p w14:paraId="02FF4624">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单位公务用车运行维护费与上年一致无变化。公务接待费支出0.00万元，占0.00%，比上年增加0.00万元，增长0.00%，主要原因是：2023年与2024年均未安排公务接待费支出。</w:t>
      </w:r>
    </w:p>
    <w:p w14:paraId="6F789EE1">
      <w:pPr>
        <w:spacing w:line="580" w:lineRule="exact"/>
        <w:ind w:firstLine="640"/>
        <w:jc w:val="both"/>
      </w:pPr>
      <w:r>
        <w:rPr>
          <w:rFonts w:ascii="仿宋_GB2312" w:hAnsi="仿宋_GB2312" w:eastAsia="仿宋_GB2312"/>
          <w:b/>
          <w:sz w:val="32"/>
        </w:rPr>
        <w:t>具体情况如下：</w:t>
      </w:r>
    </w:p>
    <w:p w14:paraId="4665D2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F39814">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141E353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5E562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49D62946">
      <w:pPr>
        <w:spacing w:line="640" w:lineRule="exact"/>
        <w:ind w:firstLine="640"/>
        <w:jc w:val="both"/>
        <w:outlineLvl w:val="2"/>
      </w:pPr>
      <w:r>
        <w:rPr>
          <w:rFonts w:ascii="黑体" w:hAnsi="黑体" w:eastAsia="黑体"/>
          <w:sz w:val="32"/>
        </w:rPr>
        <w:t>十、其他重要事项的情况说明</w:t>
      </w:r>
    </w:p>
    <w:p w14:paraId="7DDC01D3">
      <w:pPr>
        <w:spacing w:line="640" w:lineRule="exact"/>
        <w:ind w:firstLine="640"/>
        <w:jc w:val="both"/>
        <w:outlineLvl w:val="3"/>
      </w:pPr>
      <w:r>
        <w:rPr>
          <w:rFonts w:ascii="楷体_GB2312" w:hAnsi="楷体_GB2312" w:eastAsia="楷体_GB2312"/>
          <w:b/>
          <w:sz w:val="32"/>
        </w:rPr>
        <w:t>（一）机关运行经费及公用经费支出情况</w:t>
      </w:r>
    </w:p>
    <w:p w14:paraId="1C81AD4E">
      <w:pPr>
        <w:spacing w:line="580" w:lineRule="exact"/>
        <w:ind w:firstLine="640"/>
        <w:jc w:val="both"/>
      </w:pPr>
      <w:r>
        <w:rPr>
          <w:rFonts w:ascii="仿宋_GB2312" w:hAnsi="仿宋_GB2312" w:eastAsia="仿宋_GB2312"/>
          <w:b w:val="0"/>
          <w:sz w:val="32"/>
        </w:rPr>
        <w:t>2024年度巴音郭楞蒙古自治州生态环境局和静县分局（行政单位和参照公务员法管理事业单位）机关运行经费支出16.90万元，比上年减少7.31万元，下降30.19%，主要原因是：本年减少办公费、劳务费等。</w:t>
      </w:r>
    </w:p>
    <w:p w14:paraId="42ECA23F">
      <w:pPr>
        <w:spacing w:line="640" w:lineRule="exact"/>
        <w:ind w:firstLine="640"/>
        <w:jc w:val="both"/>
        <w:outlineLvl w:val="3"/>
      </w:pPr>
      <w:r>
        <w:rPr>
          <w:rFonts w:ascii="楷体_GB2312" w:hAnsi="楷体_GB2312" w:eastAsia="楷体_GB2312"/>
          <w:b/>
          <w:sz w:val="32"/>
        </w:rPr>
        <w:t>（二）政府采购情况</w:t>
      </w:r>
    </w:p>
    <w:p w14:paraId="68D8A32E">
      <w:pPr>
        <w:spacing w:line="580" w:lineRule="exact"/>
        <w:ind w:firstLine="640"/>
        <w:jc w:val="both"/>
      </w:pPr>
      <w:r>
        <w:rPr>
          <w:rFonts w:ascii="仿宋_GB2312" w:hAnsi="仿宋_GB2312" w:eastAsia="仿宋_GB2312"/>
          <w:b w:val="0"/>
          <w:sz w:val="32"/>
        </w:rPr>
        <w:t>2024年度政府采购支出总额1.80万元，其中：政府采购货物支出0.00万元、政府采购工程支出0.00万元、政府采购服务支出1.80万元。</w:t>
      </w:r>
    </w:p>
    <w:p w14:paraId="0FCFC530">
      <w:pPr>
        <w:spacing w:line="580" w:lineRule="exact"/>
        <w:ind w:firstLine="640"/>
        <w:jc w:val="both"/>
      </w:pPr>
      <w:r>
        <w:rPr>
          <w:rFonts w:ascii="仿宋_GB2312" w:hAnsi="仿宋_GB2312" w:eastAsia="仿宋_GB2312"/>
          <w:b w:val="0"/>
          <w:sz w:val="32"/>
        </w:rPr>
        <w:t>授予中小企业合同金额0.92万元，占政府采购支出总额的51.11%，其中：授予小微企业合同金额0.60万元，占政府采购支出总额的33.33%。</w:t>
      </w:r>
    </w:p>
    <w:p w14:paraId="1DA1A93F">
      <w:pPr>
        <w:spacing w:line="640" w:lineRule="exact"/>
        <w:ind w:firstLine="640"/>
        <w:jc w:val="both"/>
        <w:outlineLvl w:val="3"/>
      </w:pPr>
      <w:r>
        <w:rPr>
          <w:rFonts w:ascii="楷体_GB2312" w:hAnsi="楷体_GB2312" w:eastAsia="楷体_GB2312"/>
          <w:b/>
          <w:sz w:val="32"/>
        </w:rPr>
        <w:t>（三）国有资产占用情况说明</w:t>
      </w:r>
    </w:p>
    <w:p w14:paraId="47E414D5">
      <w:pPr>
        <w:spacing w:line="580" w:lineRule="exact"/>
        <w:ind w:firstLine="640"/>
        <w:jc w:val="both"/>
      </w:pPr>
      <w:r>
        <w:rPr>
          <w:rFonts w:ascii="仿宋_GB2312" w:hAnsi="仿宋_GB2312" w:eastAsia="仿宋_GB2312"/>
          <w:b w:val="0"/>
          <w:sz w:val="32"/>
        </w:rPr>
        <w:t>截至2024年12月31日，房屋0.00平方米，价值0.00万元。车辆3辆，价值51.85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824EA1B">
      <w:pPr>
        <w:spacing w:line="640" w:lineRule="exact"/>
        <w:ind w:firstLine="640"/>
        <w:jc w:val="both"/>
        <w:outlineLvl w:val="2"/>
      </w:pPr>
      <w:r>
        <w:rPr>
          <w:rFonts w:ascii="黑体" w:hAnsi="黑体" w:eastAsia="黑体"/>
          <w:sz w:val="32"/>
        </w:rPr>
        <w:t>十一、预算绩效的情况说明</w:t>
      </w:r>
    </w:p>
    <w:p w14:paraId="0354105B">
      <w:pPr>
        <w:spacing w:line="580" w:lineRule="exact"/>
        <w:ind w:firstLine="640"/>
        <w:jc w:val="both"/>
      </w:pPr>
      <w:r>
        <w:rPr>
          <w:rFonts w:ascii="仿宋_GB2312" w:hAnsi="仿宋_GB2312" w:eastAsia="仿宋_GB2312"/>
          <w:b w:val="0"/>
          <w:sz w:val="32"/>
        </w:rPr>
        <w:t>根据预算绩效管理要求，本单位预算绩效评价项目1个，全年预算数15.00万元，全年执行数15.00万元。预算绩效管理取得的成效：一是开展绩效评价，提高了绩效工作管理水平，科学制定目标，促进了绩效目标顺利实现，提高了项目资金使用的绩效意识，以便项目实施完成，进行跟踪问效评价，对下一年此类项目预算编制提供参考。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716015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559C534">
        <w:tblPrEx>
          <w:tblCellMar>
            <w:top w:w="0" w:type="dxa"/>
            <w:left w:w="108" w:type="dxa"/>
            <w:bottom w:w="0" w:type="dxa"/>
            <w:right w:w="108" w:type="dxa"/>
          </w:tblCellMar>
        </w:tblPrEx>
        <w:tc>
          <w:tcPr>
            <w:tcW w:w="8848" w:type="dxa"/>
            <w:gridSpan w:val="14"/>
            <w:vAlign w:val="center"/>
          </w:tcPr>
          <w:p w14:paraId="20E68597">
            <w:pPr>
              <w:jc w:val="center"/>
            </w:pPr>
            <w:r>
              <w:rPr>
                <w:rFonts w:ascii="宋体" w:hAnsi="宋体" w:eastAsia="宋体"/>
                <w:sz w:val="24"/>
              </w:rPr>
              <w:t>项目支出绩效自评表</w:t>
            </w:r>
          </w:p>
        </w:tc>
      </w:tr>
      <w:tr w14:paraId="5A992DC1">
        <w:tblPrEx>
          <w:tblCellMar>
            <w:top w:w="0" w:type="dxa"/>
            <w:left w:w="108" w:type="dxa"/>
            <w:bottom w:w="0" w:type="dxa"/>
            <w:right w:w="108" w:type="dxa"/>
          </w:tblCellMar>
        </w:tblPrEx>
        <w:tc>
          <w:tcPr>
            <w:tcW w:w="8848" w:type="dxa"/>
            <w:gridSpan w:val="14"/>
            <w:vAlign w:val="center"/>
          </w:tcPr>
          <w:p w14:paraId="0FB39248">
            <w:pPr>
              <w:jc w:val="center"/>
            </w:pPr>
            <w:r>
              <w:rPr>
                <w:rFonts w:ascii="宋体" w:hAnsi="宋体" w:eastAsia="宋体"/>
                <w:sz w:val="24"/>
              </w:rPr>
              <w:t>(2024年度)</w:t>
            </w:r>
          </w:p>
        </w:tc>
      </w:tr>
      <w:tr w14:paraId="040AF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44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0C0D90">
            <w:pPr>
              <w:jc w:val="center"/>
            </w:pPr>
            <w:r>
              <w:rPr>
                <w:rFonts w:ascii="宋体" w:hAnsi="宋体" w:eastAsia="宋体"/>
                <w:sz w:val="16"/>
              </w:rPr>
              <w:t>为民办实事经费</w:t>
            </w:r>
          </w:p>
        </w:tc>
      </w:tr>
      <w:tr w14:paraId="6BED26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0C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4DDCE">
            <w:pPr>
              <w:jc w:val="center"/>
            </w:pPr>
            <w:r>
              <w:rPr>
                <w:rFonts w:ascii="宋体" w:hAnsi="宋体" w:eastAsia="宋体"/>
                <w:sz w:val="16"/>
              </w:rPr>
              <w:t>巴音郭楞蒙古自治州生态环境局和静县分局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27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0887FD">
            <w:pPr>
              <w:jc w:val="center"/>
            </w:pPr>
            <w:r>
              <w:rPr>
                <w:rFonts w:ascii="宋体" w:hAnsi="宋体" w:eastAsia="宋体"/>
                <w:sz w:val="16"/>
              </w:rPr>
              <w:t>巴音郭楞蒙古自治州生态环境局和静县分局</w:t>
            </w:r>
          </w:p>
        </w:tc>
      </w:tr>
      <w:tr w14:paraId="231DA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60EE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8F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14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31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2C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E06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98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5AA7">
            <w:pPr>
              <w:jc w:val="center"/>
            </w:pPr>
            <w:r>
              <w:rPr>
                <w:rFonts w:ascii="宋体" w:hAnsi="宋体" w:eastAsia="宋体"/>
                <w:sz w:val="16"/>
              </w:rPr>
              <w:t>得分</w:t>
            </w:r>
          </w:p>
        </w:tc>
      </w:tr>
      <w:tr w14:paraId="36CC1E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F0D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95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F67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DFA1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157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36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B7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457F">
            <w:pPr>
              <w:jc w:val="center"/>
            </w:pPr>
            <w:r>
              <w:rPr>
                <w:rFonts w:ascii="宋体" w:hAnsi="宋体" w:eastAsia="宋体"/>
                <w:sz w:val="16"/>
              </w:rPr>
              <w:t>10.00</w:t>
            </w:r>
          </w:p>
        </w:tc>
      </w:tr>
      <w:tr w14:paraId="5A036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2EC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13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9E10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0073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2C40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6B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71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6FB2">
            <w:pPr>
              <w:jc w:val="center"/>
            </w:pPr>
            <w:r>
              <w:rPr>
                <w:rFonts w:ascii="宋体" w:hAnsi="宋体" w:eastAsia="宋体"/>
                <w:sz w:val="16"/>
              </w:rPr>
              <w:t>-</w:t>
            </w:r>
          </w:p>
        </w:tc>
      </w:tr>
      <w:tr w14:paraId="7B191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87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55B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7E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2AE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29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09A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0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0B0E">
            <w:pPr>
              <w:jc w:val="center"/>
            </w:pPr>
            <w:r>
              <w:rPr>
                <w:rFonts w:ascii="宋体" w:hAnsi="宋体" w:eastAsia="宋体"/>
                <w:sz w:val="16"/>
              </w:rPr>
              <w:t>-</w:t>
            </w:r>
          </w:p>
        </w:tc>
      </w:tr>
      <w:tr w14:paraId="5953E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254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AEB4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3F7093">
            <w:pPr>
              <w:jc w:val="center"/>
            </w:pPr>
            <w:r>
              <w:rPr>
                <w:rFonts w:ascii="宋体" w:hAnsi="宋体" w:eastAsia="宋体"/>
                <w:sz w:val="16"/>
              </w:rPr>
              <w:t>总体目标完成情况</w:t>
            </w:r>
          </w:p>
        </w:tc>
      </w:tr>
      <w:tr w14:paraId="76A1E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1F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B7B77">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访贫问苦、帮扶群众不少于7次，慰问群众不少于30人，有效推进脱贫攻坚、做好群众工作、加强基层组织等各项工作任务。把更多的资金投入到改善民生上，发展劳动生产力，提高居民收入和生活水平、生活质量，合规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D60320">
            <w:pPr>
              <w:jc w:val="both"/>
            </w:pPr>
            <w:r>
              <w:rPr>
                <w:rFonts w:ascii="宋体" w:hAnsi="宋体" w:eastAsia="宋体"/>
                <w:sz w:val="16"/>
              </w:rPr>
              <w:t>帮扶包联社区1个，完成为民办实事7次：一是新苑社区工作队开展七一、八一、中秋、国庆节等节日慰问孤寡老人、困难群众、退役军人、优秀党员等；二是丰富居民文化及提高工作人员的积极性，开展各项活动宣传平安建设、民族团结、惠民政策及办公环境改善等；三是关心关爱老年人，为老年活动中心购买音响，不断丰富老年人业余生活及锻炼身体；四是为了保障居民人身安全、财产安全等问</w:t>
            </w:r>
            <w:r>
              <w:rPr>
                <w:rFonts w:hint="eastAsia" w:ascii="宋体" w:hAnsi="宋体"/>
                <w:sz w:val="16"/>
                <w:lang w:eastAsia="zh-CN"/>
              </w:rPr>
              <w:t>题在</w:t>
            </w:r>
            <w:r>
              <w:rPr>
                <w:rFonts w:ascii="宋体" w:hAnsi="宋体" w:eastAsia="宋体"/>
                <w:sz w:val="16"/>
              </w:rPr>
              <w:t>新兴名苑小区高层安装监控；五是为解决居民的实际需求提升小区</w:t>
            </w:r>
            <w:bookmarkStart w:id="0" w:name="_GoBack"/>
            <w:r>
              <w:rPr>
                <w:rFonts w:hint="eastAsia" w:ascii="宋体" w:hAnsi="宋体"/>
                <w:sz w:val="16"/>
                <w:lang w:eastAsia="zh-CN"/>
              </w:rPr>
              <w:t>亮化</w:t>
            </w:r>
            <w:bookmarkEnd w:id="0"/>
            <w:r>
              <w:rPr>
                <w:rFonts w:ascii="宋体" w:hAnsi="宋体" w:eastAsia="宋体"/>
                <w:sz w:val="16"/>
              </w:rPr>
              <w:t>服务，对和谐新村小区主干道及河北新村小区安装90</w:t>
            </w:r>
            <w:r>
              <w:rPr>
                <w:rFonts w:hint="eastAsia" w:ascii="宋体" w:hAnsi="宋体"/>
                <w:sz w:val="16"/>
                <w:lang w:eastAsia="zh-CN"/>
              </w:rPr>
              <w:t>盏</w:t>
            </w:r>
            <w:r>
              <w:rPr>
                <w:rFonts w:ascii="宋体" w:hAnsi="宋体" w:eastAsia="宋体"/>
                <w:sz w:val="16"/>
              </w:rPr>
              <w:t>太阳灯改造工程，为辖区居民提供了便利，不断提升居民幸福感和满意度。</w:t>
            </w:r>
          </w:p>
        </w:tc>
      </w:tr>
      <w:tr w14:paraId="3AA1B0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AB8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67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81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B0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F1C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D5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C34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C46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7A2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18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789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B8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017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A50B">
            <w:pPr>
              <w:jc w:val="center"/>
            </w:pPr>
            <w:r>
              <w:rPr>
                <w:rFonts w:ascii="宋体" w:hAnsi="宋体" w:eastAsia="宋体"/>
                <w:sz w:val="16"/>
              </w:rPr>
              <w:t>偏差原因分析及改进措施</w:t>
            </w:r>
          </w:p>
        </w:tc>
      </w:tr>
      <w:tr w14:paraId="52B64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084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0C2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7C6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0A07">
            <w:pPr>
              <w:jc w:val="center"/>
            </w:pPr>
            <w:r>
              <w:rPr>
                <w:rFonts w:ascii="宋体" w:hAnsi="宋体" w:eastAsia="宋体"/>
                <w:sz w:val="16"/>
              </w:rPr>
              <w:t>帮扶包联村数量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C4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E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7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30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5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75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04E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C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66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98AE">
            <w:pPr>
              <w:jc w:val="center"/>
            </w:pPr>
          </w:p>
        </w:tc>
      </w:tr>
      <w:tr w14:paraId="65DDD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60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82B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C3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9DFB">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38F3">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1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8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2A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0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0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57F3">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5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93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A610">
            <w:pPr>
              <w:jc w:val="center"/>
            </w:pPr>
          </w:p>
        </w:tc>
      </w:tr>
      <w:tr w14:paraId="55B24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28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53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5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AC9A">
            <w:pPr>
              <w:jc w:val="center"/>
            </w:pPr>
            <w:r>
              <w:rPr>
                <w:rFonts w:ascii="宋体" w:hAnsi="宋体" w:eastAsia="宋体"/>
                <w:sz w:val="16"/>
              </w:rPr>
              <w:t>慰问群众数量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981A">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C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C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F5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A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2D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379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6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F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DC80">
            <w:pPr>
              <w:jc w:val="center"/>
            </w:pPr>
          </w:p>
        </w:tc>
      </w:tr>
      <w:tr w14:paraId="3E56D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0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61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59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76E3">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1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DE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4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C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3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7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42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3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142B">
            <w:pPr>
              <w:jc w:val="center"/>
            </w:pPr>
          </w:p>
        </w:tc>
      </w:tr>
      <w:tr w14:paraId="64C93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C8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D2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6B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1B81">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5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15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0C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81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1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D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7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1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B3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8D77">
            <w:pPr>
              <w:jc w:val="center"/>
            </w:pPr>
          </w:p>
        </w:tc>
      </w:tr>
      <w:tr w14:paraId="79AD5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42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B4EA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045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03D7">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E90E">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5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0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5F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3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AA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C8ED">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A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5D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78C6">
            <w:pPr>
              <w:jc w:val="center"/>
            </w:pPr>
          </w:p>
        </w:tc>
      </w:tr>
      <w:tr w14:paraId="66BBD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B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C5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3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EECD">
            <w:pPr>
              <w:jc w:val="center"/>
            </w:pPr>
            <w:r>
              <w:rPr>
                <w:rFonts w:ascii="宋体" w:hAnsi="宋体" w:eastAsia="宋体"/>
                <w:sz w:val="16"/>
              </w:rPr>
              <w:t>慰问群众成本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2D0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0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1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DB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0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C2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890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23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9C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52AC">
            <w:pPr>
              <w:jc w:val="center"/>
            </w:pPr>
          </w:p>
        </w:tc>
      </w:tr>
      <w:tr w14:paraId="5DF9D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AE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3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4F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5C65">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FF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D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3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A2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39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F4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48D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3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3C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DA8A">
            <w:pPr>
              <w:jc w:val="center"/>
            </w:pPr>
          </w:p>
        </w:tc>
      </w:tr>
      <w:tr w14:paraId="54C5A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62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89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F0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0045">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C5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E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E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0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36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F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4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7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3C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82B7">
            <w:pPr>
              <w:jc w:val="center"/>
            </w:pPr>
          </w:p>
        </w:tc>
      </w:tr>
      <w:tr w14:paraId="6EFA5E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C348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3DB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6A3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FC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52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96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6EF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21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4F6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87713"/>
        </w:tc>
      </w:tr>
    </w:tbl>
    <w:p w14:paraId="1C8DA6B0">
      <w:r>
        <w:br w:type="page"/>
      </w:r>
    </w:p>
    <w:p w14:paraId="321863CD">
      <w:pPr>
        <w:spacing w:line="640" w:lineRule="exact"/>
        <w:ind w:firstLine="640"/>
        <w:jc w:val="both"/>
        <w:outlineLvl w:val="2"/>
      </w:pPr>
      <w:r>
        <w:rPr>
          <w:rFonts w:ascii="黑体" w:hAnsi="黑体" w:eastAsia="黑体"/>
          <w:sz w:val="32"/>
        </w:rPr>
        <w:t>十二、其他需说明的事项</w:t>
      </w:r>
    </w:p>
    <w:p w14:paraId="707E0BBC">
      <w:pPr>
        <w:spacing w:line="580" w:lineRule="exact"/>
        <w:ind w:firstLine="640"/>
        <w:jc w:val="both"/>
      </w:pPr>
      <w:r>
        <w:rPr>
          <w:rFonts w:ascii="仿宋_GB2312" w:hAnsi="仿宋_GB2312" w:eastAsia="仿宋_GB2312"/>
          <w:b w:val="0"/>
          <w:sz w:val="32"/>
        </w:rPr>
        <w:t>本年度本单位整体绩效自评表由主管部门编报并公开。</w:t>
      </w:r>
    </w:p>
    <w:p w14:paraId="2B2948F9">
      <w:r>
        <w:br w:type="page"/>
      </w:r>
    </w:p>
    <w:p w14:paraId="1EBC41BF">
      <w:pPr>
        <w:spacing w:line="240" w:lineRule="auto"/>
        <w:jc w:val="center"/>
        <w:outlineLvl w:val="1"/>
      </w:pPr>
      <w:r>
        <w:rPr>
          <w:rFonts w:ascii="黑体" w:hAnsi="黑体" w:eastAsia="黑体"/>
          <w:sz w:val="32"/>
        </w:rPr>
        <w:t>第三部分 专业名词解释</w:t>
      </w:r>
    </w:p>
    <w:p w14:paraId="358CD95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1412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2F4AD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B0EF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AE8DF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DC6B8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151A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F0CFA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E4251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A71F2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BD74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FC2A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9C55E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94041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86F3BF6">
      <w:r>
        <w:br w:type="page"/>
      </w:r>
    </w:p>
    <w:p w14:paraId="45E1ECDF">
      <w:pPr>
        <w:spacing w:line="240" w:lineRule="auto"/>
        <w:jc w:val="center"/>
        <w:outlineLvl w:val="1"/>
      </w:pPr>
      <w:r>
        <w:rPr>
          <w:rFonts w:ascii="黑体" w:hAnsi="黑体" w:eastAsia="黑体"/>
          <w:sz w:val="32"/>
        </w:rPr>
        <w:t>第四部分 部门决算报表（见附表）</w:t>
      </w:r>
    </w:p>
    <w:p w14:paraId="66D21ABA">
      <w:pPr>
        <w:spacing w:line="240" w:lineRule="auto"/>
        <w:ind w:firstLine="640"/>
        <w:jc w:val="both"/>
      </w:pPr>
      <w:r>
        <w:rPr>
          <w:rFonts w:ascii="仿宋_GB2312" w:hAnsi="仿宋_GB2312" w:eastAsia="仿宋_GB2312"/>
          <w:b w:val="0"/>
          <w:sz w:val="32"/>
        </w:rPr>
        <w:t>一、《收入支出决算总表》</w:t>
      </w:r>
    </w:p>
    <w:p w14:paraId="316CCCE2">
      <w:pPr>
        <w:spacing w:line="240" w:lineRule="auto"/>
        <w:ind w:firstLine="640"/>
        <w:jc w:val="both"/>
      </w:pPr>
      <w:r>
        <w:rPr>
          <w:rFonts w:ascii="仿宋_GB2312" w:hAnsi="仿宋_GB2312" w:eastAsia="仿宋_GB2312"/>
          <w:b w:val="0"/>
          <w:sz w:val="32"/>
        </w:rPr>
        <w:t>二、《收入决算表》</w:t>
      </w:r>
    </w:p>
    <w:p w14:paraId="70663013">
      <w:pPr>
        <w:spacing w:line="240" w:lineRule="auto"/>
        <w:ind w:firstLine="640"/>
        <w:jc w:val="both"/>
      </w:pPr>
      <w:r>
        <w:rPr>
          <w:rFonts w:ascii="仿宋_GB2312" w:hAnsi="仿宋_GB2312" w:eastAsia="仿宋_GB2312"/>
          <w:b w:val="0"/>
          <w:sz w:val="32"/>
        </w:rPr>
        <w:t>三、《支出决算表》</w:t>
      </w:r>
    </w:p>
    <w:p w14:paraId="5AA2B774">
      <w:pPr>
        <w:spacing w:line="240" w:lineRule="auto"/>
        <w:ind w:firstLine="640"/>
        <w:jc w:val="both"/>
      </w:pPr>
      <w:r>
        <w:rPr>
          <w:rFonts w:ascii="仿宋_GB2312" w:hAnsi="仿宋_GB2312" w:eastAsia="仿宋_GB2312"/>
          <w:b w:val="0"/>
          <w:sz w:val="32"/>
        </w:rPr>
        <w:t>四、《财政拨款收入支出决算总表》</w:t>
      </w:r>
    </w:p>
    <w:p w14:paraId="755C6F5F">
      <w:pPr>
        <w:spacing w:line="240" w:lineRule="auto"/>
        <w:ind w:firstLine="640"/>
        <w:jc w:val="both"/>
      </w:pPr>
      <w:r>
        <w:rPr>
          <w:rFonts w:ascii="仿宋_GB2312" w:hAnsi="仿宋_GB2312" w:eastAsia="仿宋_GB2312"/>
          <w:b w:val="0"/>
          <w:sz w:val="32"/>
        </w:rPr>
        <w:t>五、《一般公共预算财政拨款支出决算表》</w:t>
      </w:r>
    </w:p>
    <w:p w14:paraId="78CA5685">
      <w:pPr>
        <w:spacing w:line="240" w:lineRule="auto"/>
        <w:ind w:firstLine="640"/>
        <w:jc w:val="both"/>
      </w:pPr>
      <w:r>
        <w:rPr>
          <w:rFonts w:ascii="仿宋_GB2312" w:hAnsi="仿宋_GB2312" w:eastAsia="仿宋_GB2312"/>
          <w:b w:val="0"/>
          <w:sz w:val="32"/>
        </w:rPr>
        <w:t>六、《一般公共预算财政拨款基本支出决算表》</w:t>
      </w:r>
    </w:p>
    <w:p w14:paraId="7F5797BB">
      <w:pPr>
        <w:spacing w:line="240" w:lineRule="auto"/>
        <w:ind w:firstLine="640"/>
        <w:jc w:val="both"/>
      </w:pPr>
      <w:r>
        <w:rPr>
          <w:rFonts w:ascii="仿宋_GB2312" w:hAnsi="仿宋_GB2312" w:eastAsia="仿宋_GB2312"/>
          <w:b w:val="0"/>
          <w:sz w:val="32"/>
        </w:rPr>
        <w:t>七、《政府性基金预算财政拨款收入支出决算表》</w:t>
      </w:r>
    </w:p>
    <w:p w14:paraId="19F40125">
      <w:pPr>
        <w:spacing w:line="240" w:lineRule="auto"/>
        <w:ind w:firstLine="640"/>
        <w:jc w:val="both"/>
      </w:pPr>
      <w:r>
        <w:rPr>
          <w:rFonts w:ascii="仿宋_GB2312" w:hAnsi="仿宋_GB2312" w:eastAsia="仿宋_GB2312"/>
          <w:b w:val="0"/>
          <w:sz w:val="32"/>
        </w:rPr>
        <w:t>八、《国有资本经营预算财政拨款收入支出决算表》</w:t>
      </w:r>
    </w:p>
    <w:p w14:paraId="7A230D00">
      <w:pPr>
        <w:spacing w:line="240" w:lineRule="auto"/>
        <w:ind w:firstLine="640"/>
        <w:jc w:val="both"/>
      </w:pPr>
      <w:r>
        <w:rPr>
          <w:rFonts w:ascii="仿宋_GB2312" w:hAnsi="仿宋_GB2312" w:eastAsia="仿宋_GB2312"/>
          <w:b w:val="0"/>
          <w:sz w:val="32"/>
        </w:rPr>
        <w:t>九、《财政拨款“三公”经费支出决算表》</w:t>
      </w:r>
    </w:p>
    <w:p w14:paraId="059EF09A">
      <w:pPr>
        <w:spacing w:line="240" w:lineRule="auto"/>
        <w:ind w:firstLine="640"/>
        <w:jc w:val="both"/>
      </w:pPr>
    </w:p>
    <w:p w14:paraId="0D08BB56">
      <w:pPr>
        <w:spacing w:line="240" w:lineRule="auto"/>
        <w:ind w:firstLine="640"/>
        <w:jc w:val="both"/>
      </w:pPr>
    </w:p>
    <w:p w14:paraId="71598202">
      <w:pPr>
        <w:spacing w:line="240" w:lineRule="auto"/>
        <w:ind w:firstLine="640"/>
        <w:jc w:val="both"/>
      </w:pPr>
    </w:p>
    <w:p w14:paraId="6F9E5C19">
      <w:pPr>
        <w:spacing w:line="240" w:lineRule="auto"/>
        <w:ind w:firstLine="640"/>
        <w:jc w:val="both"/>
      </w:pPr>
    </w:p>
    <w:p w14:paraId="544CB9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4F3760-7B14-42ED-9415-025F446B35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AADF00B-BAEE-48CF-9A9F-E02B3F66ED80}"/>
  </w:font>
  <w:font w:name="仿宋_GB2312">
    <w:panose1 w:val="02010609030101010101"/>
    <w:charset w:val="86"/>
    <w:family w:val="modern"/>
    <w:pitch w:val="default"/>
    <w:sig w:usb0="00000001" w:usb1="080E0000" w:usb2="00000000" w:usb3="00000000" w:csb0="00040000" w:csb1="00000000"/>
    <w:embedRegular r:id="rId3" w:fontKey="{C1B7C733-ABFF-4391-BAC9-70C444F7575A}"/>
  </w:font>
  <w:font w:name="楷体_GB2312">
    <w:panose1 w:val="02010609030101010101"/>
    <w:charset w:val="86"/>
    <w:family w:val="auto"/>
    <w:pitch w:val="default"/>
    <w:sig w:usb0="00000001" w:usb1="080E0000" w:usb2="00000000" w:usb3="00000000" w:csb0="00040000" w:csb1="00000000"/>
    <w:embedRegular r:id="rId4" w:fontKey="{798DF4B9-6CDF-4362-AC58-FC1E561350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0656B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00320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5053</Words>
  <Characters>5712</Characters>
  <Lines>0</Lines>
  <Paragraphs>0</Paragraphs>
  <TotalTime>11</TotalTime>
  <ScaleCrop>false</ScaleCrop>
  <LinksUpToDate>false</LinksUpToDate>
  <CharactersWithSpaces>5720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2025-09-11T10:44:02Z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