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bookmarkStart w:id="0" w:name="_GoBack"/>
      <w:r>
        <w:rPr>
          <w:rFonts w:hint="eastAsia" w:ascii="方正小标宋_GBK" w:hAnsi="宋体" w:eastAsia="方正小标宋_GBK"/>
          <w:sz w:val="44"/>
          <w:szCs w:val="44"/>
          <w:highlight w:val="none"/>
          <w:lang w:val="en-US" w:eastAsia="zh-CN"/>
        </w:rPr>
        <w:t>巴音郭楞</w:t>
      </w:r>
      <w:bookmarkEnd w:id="0"/>
      <w:r>
        <w:rPr>
          <w:rFonts w:hint="eastAsia" w:ascii="方正小标宋_GBK" w:hAnsi="宋体" w:eastAsia="方正小标宋_GBK"/>
          <w:sz w:val="44"/>
          <w:szCs w:val="44"/>
          <w:highlight w:val="none"/>
          <w:lang w:val="en-US" w:eastAsia="zh-CN"/>
        </w:rPr>
        <w:t>蒙古自治州生态环境局和硕县分局2024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2628414">
      <w:r>
        <w:br w:type="page"/>
      </w:r>
    </w:p>
    <w:p w14:paraId="2B369878">
      <w:pPr>
        <w:spacing w:line="640" w:lineRule="exact"/>
        <w:jc w:val="center"/>
        <w:outlineLvl w:val="1"/>
      </w:pPr>
      <w:r>
        <w:rPr>
          <w:rFonts w:ascii="黑体" w:hAnsi="黑体" w:eastAsia="黑体"/>
          <w:sz w:val="32"/>
        </w:rPr>
        <w:t>第一部分 单位概况</w:t>
      </w:r>
    </w:p>
    <w:p w14:paraId="4A9C0558">
      <w:pPr>
        <w:spacing w:line="640" w:lineRule="exact"/>
        <w:ind w:firstLine="640"/>
        <w:jc w:val="both"/>
        <w:outlineLvl w:val="2"/>
      </w:pPr>
      <w:r>
        <w:rPr>
          <w:rFonts w:ascii="黑体" w:hAnsi="黑体" w:eastAsia="黑体"/>
          <w:sz w:val="32"/>
        </w:rPr>
        <w:t>一、主要职能</w:t>
      </w:r>
    </w:p>
    <w:p w14:paraId="7C0B44BE">
      <w:pPr>
        <w:spacing w:line="580" w:lineRule="exact"/>
        <w:ind w:firstLine="640"/>
        <w:jc w:val="both"/>
      </w:pPr>
      <w:r>
        <w:rPr>
          <w:rFonts w:ascii="仿宋_GB2312" w:hAnsi="仿宋_GB2312" w:eastAsia="仿宋_GB2312"/>
          <w:sz w:val="32"/>
        </w:rPr>
        <w:t>(一)贯彻执行国家、自治区、自治州环境保护的方针政策、法律、法规；协同有关部门拟定县环境保护产业发展规划；对重大经济开发计划进行环境影响评价；组织拟定和监督实施全县的重点区域污染防治规划和生态保护规划；组织编制环境功能区划。</w:t>
      </w:r>
    </w:p>
    <w:p w14:paraId="6E9C8106">
      <w:pPr>
        <w:spacing w:line="580" w:lineRule="exact"/>
        <w:ind w:firstLine="640"/>
        <w:jc w:val="both"/>
      </w:pPr>
      <w:r>
        <w:rPr>
          <w:rFonts w:ascii="仿宋_GB2312" w:hAnsi="仿宋_GB2312" w:eastAsia="仿宋_GB2312"/>
          <w:sz w:val="32"/>
        </w:rPr>
        <w:t>(二)负责监督管理大气、水体、土壤、固体废物、有毒化学品、辐射环境、放射性废物以及机动车污染防治工作；监督管理国家禁止(或严格限制)建设的重污染项目名录和有毒化学品优先名录。</w:t>
      </w:r>
    </w:p>
    <w:p w14:paraId="65AEAC24">
      <w:pPr>
        <w:spacing w:line="580" w:lineRule="exact"/>
        <w:ind w:firstLine="640"/>
        <w:jc w:val="both"/>
      </w:pPr>
      <w:r>
        <w:rPr>
          <w:rFonts w:ascii="仿宋_GB2312" w:hAnsi="仿宋_GB2312" w:eastAsia="仿宋_GB2312"/>
          <w:sz w:val="32"/>
        </w:rPr>
        <w:t>(三)监督检查全县各种类型自然保护区工作；向县人民政府提出新建县级自然保护区审批建议；监督对生态环境有影响的自然资源开发利用活动、重要生态环境建设以及风景名胜区、森林公园环境保护工作；监督检查生物多样性保护、野生动植物保护、湿地环境保护、荒漠化防治工作。</w:t>
      </w:r>
    </w:p>
    <w:p w14:paraId="07D34F28">
      <w:pPr>
        <w:spacing w:line="580" w:lineRule="exact"/>
        <w:ind w:firstLine="640"/>
        <w:jc w:val="both"/>
      </w:pPr>
      <w:r>
        <w:rPr>
          <w:rFonts w:ascii="仿宋_GB2312" w:hAnsi="仿宋_GB2312" w:eastAsia="仿宋_GB2312"/>
          <w:sz w:val="32"/>
        </w:rPr>
        <w:t>(四)指导和协调解决各乡镇、各部门以及跨乡镇、跨流域的重大环境问题；调查处理重大环境污染事故和生态破坏事件；协调解决跨区间的污染纠纷；组织和协调全县重点流域污染防治工作；负责环境监理和环境保护行政稽查；组织开展全县环境保护执法检查活动。</w:t>
      </w:r>
    </w:p>
    <w:p w14:paraId="6AF8E697">
      <w:pPr>
        <w:spacing w:line="580" w:lineRule="exact"/>
        <w:ind w:firstLine="640"/>
        <w:jc w:val="both"/>
      </w:pPr>
      <w:r>
        <w:rPr>
          <w:rFonts w:ascii="仿宋_GB2312" w:hAnsi="仿宋_GB2312" w:eastAsia="仿宋_GB2312"/>
          <w:sz w:val="32"/>
        </w:rPr>
        <w:t>(五)监督实施国家、自治区环境质量标准和污染物排放标准；组织编报全县环境质量报告书；发布全县环境质量公报；定期发布重点区域和流域环境质量状况；参与编制全县经济和社会发展规划。</w:t>
      </w:r>
    </w:p>
    <w:p w14:paraId="69E71FC9">
      <w:pPr>
        <w:spacing w:line="580" w:lineRule="exact"/>
        <w:ind w:firstLine="640"/>
        <w:jc w:val="both"/>
      </w:pPr>
      <w:r>
        <w:rPr>
          <w:rFonts w:ascii="仿宋_GB2312" w:hAnsi="仿宋_GB2312" w:eastAsia="仿宋_GB2312"/>
          <w:sz w:val="32"/>
        </w:rPr>
        <w:t>(六)制定和组织实施各项环境管理制度；审定全县开发建设环境影响报告书指导城乡环境综合整治；负责农村生态环境保护；指导全县生态示范区建设和生态农业建设。</w:t>
      </w:r>
    </w:p>
    <w:p w14:paraId="199C93F1">
      <w:pPr>
        <w:spacing w:line="580" w:lineRule="exact"/>
        <w:ind w:firstLine="640"/>
        <w:jc w:val="both"/>
      </w:pPr>
      <w:r>
        <w:rPr>
          <w:rFonts w:ascii="仿宋_GB2312" w:hAnsi="仿宋_GB2312" w:eastAsia="仿宋_GB2312"/>
          <w:sz w:val="32"/>
        </w:rPr>
        <w:t>(七)组织全县环境保护科技发展、重大环境科学研究和技术示范工程；管理全县环境标志认证；组织实施环境保护资质认可制度，指导和推动全县环境保护产业发展。</w:t>
      </w:r>
    </w:p>
    <w:p w14:paraId="185BE10C">
      <w:pPr>
        <w:spacing w:line="580" w:lineRule="exact"/>
        <w:ind w:firstLine="640"/>
        <w:jc w:val="both"/>
      </w:pPr>
      <w:r>
        <w:rPr>
          <w:rFonts w:ascii="仿宋_GB2312" w:hAnsi="仿宋_GB2312" w:eastAsia="仿宋_GB2312"/>
          <w:sz w:val="32"/>
        </w:rPr>
        <w:t>(八)负责环境监测、统计、信息工作；监督执行环境监测制度和规范；协调组织建设全县环境监测网和信息网；组织对全县环境质量监测和污染源监督性监测；组织、指导和协调环境保护宣传教育工作；指导全环境保护队伍建设。</w:t>
      </w:r>
    </w:p>
    <w:p w14:paraId="682CB28E">
      <w:pPr>
        <w:spacing w:line="580" w:lineRule="exact"/>
        <w:ind w:firstLine="640"/>
        <w:jc w:val="both"/>
      </w:pPr>
      <w:r>
        <w:rPr>
          <w:rFonts w:ascii="仿宋_GB2312" w:hAnsi="仿宋_GB2312" w:eastAsia="仿宋_GB2312"/>
          <w:sz w:val="32"/>
        </w:rPr>
        <w:t>(九)指导、监督全县环境保护行政执法活动，按照管理权限依法办理行政应诉、行政复议案件，指导执法制度建设和法治宣传工作。</w:t>
      </w:r>
    </w:p>
    <w:p w14:paraId="3C809B39">
      <w:pPr>
        <w:spacing w:line="580" w:lineRule="exact"/>
        <w:ind w:firstLine="640"/>
        <w:jc w:val="both"/>
      </w:pPr>
      <w:r>
        <w:rPr>
          <w:rFonts w:ascii="仿宋_GB2312" w:hAnsi="仿宋_GB2312" w:eastAsia="仿宋_GB2312"/>
          <w:sz w:val="32"/>
        </w:rPr>
        <w:t>(十)承办县人民政府交办的其他工作。</w:t>
      </w:r>
    </w:p>
    <w:p w14:paraId="10D9087C">
      <w:pPr>
        <w:spacing w:line="640" w:lineRule="exact"/>
        <w:ind w:firstLine="640"/>
        <w:jc w:val="both"/>
        <w:outlineLvl w:val="2"/>
      </w:pPr>
      <w:r>
        <w:rPr>
          <w:rFonts w:ascii="黑体" w:hAnsi="黑体" w:eastAsia="黑体"/>
          <w:sz w:val="32"/>
        </w:rPr>
        <w:t>二、机构设置及人员情况</w:t>
      </w:r>
    </w:p>
    <w:p w14:paraId="5DF125F0">
      <w:pPr>
        <w:spacing w:line="580" w:lineRule="exact"/>
        <w:ind w:firstLine="640"/>
        <w:jc w:val="both"/>
      </w:pPr>
      <w:r>
        <w:rPr>
          <w:rFonts w:ascii="仿宋_GB2312" w:hAnsi="仿宋_GB2312" w:eastAsia="仿宋_GB2312"/>
          <w:sz w:val="32"/>
        </w:rPr>
        <w:t>巴音郭楞蒙古自治州生态环境局和硕县分局2024年度，实有人数5人，其中：在职人员4人，减少1人；离休人员0人，增加0人；退休人员1人,增加1人。</w:t>
      </w:r>
    </w:p>
    <w:p w14:paraId="5F41FB84">
      <w:pPr>
        <w:spacing w:line="580" w:lineRule="exact"/>
        <w:ind w:firstLine="640"/>
        <w:jc w:val="both"/>
      </w:pPr>
      <w:r>
        <w:rPr>
          <w:rFonts w:ascii="仿宋_GB2312" w:hAnsi="仿宋_GB2312" w:eastAsia="仿宋_GB2312"/>
          <w:sz w:val="32"/>
        </w:rPr>
        <w:t>巴音郭楞蒙古自治州生态环境局和硕县分局无下属预算单位，下设3个科室，分别是：办公室、综合业务室、财务室。</w:t>
      </w:r>
    </w:p>
    <w:p w14:paraId="264A0154">
      <w:r>
        <w:br w:type="page"/>
      </w:r>
    </w:p>
    <w:p w14:paraId="7AAA31E6">
      <w:pPr>
        <w:spacing w:line="240" w:lineRule="auto"/>
        <w:jc w:val="center"/>
        <w:outlineLvl w:val="1"/>
      </w:pPr>
      <w:r>
        <w:rPr>
          <w:rFonts w:ascii="黑体" w:hAnsi="黑体" w:eastAsia="黑体"/>
          <w:sz w:val="32"/>
        </w:rPr>
        <w:t>第二部分 部门决算情况说明</w:t>
      </w:r>
    </w:p>
    <w:p w14:paraId="3DE066B5">
      <w:pPr>
        <w:spacing w:line="640" w:lineRule="exact"/>
        <w:ind w:firstLine="640"/>
        <w:jc w:val="both"/>
        <w:outlineLvl w:val="2"/>
      </w:pPr>
      <w:r>
        <w:rPr>
          <w:rFonts w:ascii="黑体" w:hAnsi="黑体" w:eastAsia="黑体"/>
          <w:sz w:val="32"/>
        </w:rPr>
        <w:t>一、收入支出决算总体情况说明</w:t>
      </w:r>
    </w:p>
    <w:p w14:paraId="4AC481B5">
      <w:pPr>
        <w:spacing w:line="580" w:lineRule="exact"/>
        <w:ind w:firstLine="640"/>
        <w:jc w:val="both"/>
      </w:pPr>
      <w:r>
        <w:rPr>
          <w:rFonts w:ascii="仿宋_GB2312" w:hAnsi="仿宋_GB2312" w:eastAsia="仿宋_GB2312"/>
          <w:b/>
          <w:sz w:val="32"/>
        </w:rPr>
        <w:t>2024年度收入总计122.02万元，</w:t>
      </w:r>
      <w:r>
        <w:rPr>
          <w:rFonts w:ascii="仿宋_GB2312" w:hAnsi="仿宋_GB2312" w:eastAsia="仿宋_GB2312"/>
          <w:b w:val="0"/>
          <w:sz w:val="32"/>
        </w:rPr>
        <w:t>其中：本年收入合计121.98万元，使用非财政拨款结余（含专用结余）0.00万元，年初结转和结余0.04万元。</w:t>
      </w:r>
    </w:p>
    <w:p w14:paraId="19CFB666">
      <w:pPr>
        <w:spacing w:line="580" w:lineRule="exact"/>
        <w:ind w:firstLine="640"/>
        <w:jc w:val="both"/>
      </w:pPr>
      <w:r>
        <w:rPr>
          <w:rFonts w:ascii="仿宋_GB2312" w:hAnsi="仿宋_GB2312" w:eastAsia="仿宋_GB2312"/>
          <w:b/>
          <w:sz w:val="32"/>
        </w:rPr>
        <w:t>2024年度支出总计122.02万元，</w:t>
      </w:r>
      <w:r>
        <w:rPr>
          <w:rFonts w:ascii="仿宋_GB2312" w:hAnsi="仿宋_GB2312" w:eastAsia="仿宋_GB2312"/>
          <w:b w:val="0"/>
          <w:sz w:val="32"/>
        </w:rPr>
        <w:t>其中：本年支出合计121.98万元，结余分配0.00万元，年末结转和结余0.04万元。</w:t>
      </w:r>
    </w:p>
    <w:p w14:paraId="0211D801">
      <w:pPr>
        <w:spacing w:line="580" w:lineRule="exact"/>
        <w:ind w:firstLine="640"/>
        <w:jc w:val="both"/>
      </w:pPr>
      <w:r>
        <w:rPr>
          <w:rFonts w:ascii="仿宋_GB2312" w:hAnsi="仿宋_GB2312" w:eastAsia="仿宋_GB2312"/>
          <w:b w:val="0"/>
          <w:sz w:val="32"/>
        </w:rPr>
        <w:t>收入支出总体与上年相比，减少2.90万元，下降2.32%，主要原因是：本年在职人员减少，相关人员经费较上年减少。</w:t>
      </w:r>
    </w:p>
    <w:p w14:paraId="0FA63352">
      <w:pPr>
        <w:spacing w:line="640" w:lineRule="exact"/>
        <w:ind w:firstLine="640"/>
        <w:jc w:val="both"/>
        <w:outlineLvl w:val="2"/>
      </w:pPr>
      <w:r>
        <w:rPr>
          <w:rFonts w:ascii="黑体" w:hAnsi="黑体" w:eastAsia="黑体"/>
          <w:sz w:val="32"/>
        </w:rPr>
        <w:t>二、收入决算情况说明</w:t>
      </w:r>
    </w:p>
    <w:p w14:paraId="5B5137DD">
      <w:pPr>
        <w:spacing w:line="580" w:lineRule="exact"/>
        <w:ind w:firstLine="640"/>
        <w:jc w:val="both"/>
      </w:pPr>
      <w:r>
        <w:rPr>
          <w:rFonts w:ascii="仿宋_GB2312" w:hAnsi="仿宋_GB2312" w:eastAsia="仿宋_GB2312"/>
          <w:b/>
          <w:sz w:val="32"/>
        </w:rPr>
        <w:t>本年收入121.98万元，</w:t>
      </w:r>
      <w:r>
        <w:rPr>
          <w:rFonts w:ascii="仿宋_GB2312" w:hAnsi="仿宋_GB2312" w:eastAsia="仿宋_GB2312"/>
          <w:b w:val="0"/>
          <w:sz w:val="32"/>
        </w:rPr>
        <w:t>其中：财政拨款收入121.98万元，占100.00%；上级补助收入0.00万元，占0.00%；事业收入0.00万元，占0.00%；经营收入0.00万元，占0.00%；附属单位上缴收入0.00万元，占0.00%；其他收入0.00万元，占0.00%。</w:t>
      </w:r>
    </w:p>
    <w:p w14:paraId="72B1CAF5">
      <w:pPr>
        <w:spacing w:line="640" w:lineRule="exact"/>
        <w:ind w:firstLine="640"/>
        <w:jc w:val="both"/>
        <w:outlineLvl w:val="2"/>
      </w:pPr>
      <w:r>
        <w:rPr>
          <w:rFonts w:ascii="黑体" w:hAnsi="黑体" w:eastAsia="黑体"/>
          <w:sz w:val="32"/>
        </w:rPr>
        <w:t>三、支出决算情况说明</w:t>
      </w:r>
    </w:p>
    <w:p w14:paraId="00D29265">
      <w:pPr>
        <w:spacing w:line="580" w:lineRule="exact"/>
        <w:ind w:firstLine="640"/>
        <w:jc w:val="both"/>
      </w:pPr>
      <w:r>
        <w:rPr>
          <w:rFonts w:ascii="仿宋_GB2312" w:hAnsi="仿宋_GB2312" w:eastAsia="仿宋_GB2312"/>
          <w:b/>
          <w:sz w:val="32"/>
        </w:rPr>
        <w:t>本年支出121.98万元，</w:t>
      </w:r>
      <w:r>
        <w:rPr>
          <w:rFonts w:ascii="仿宋_GB2312" w:hAnsi="仿宋_GB2312" w:eastAsia="仿宋_GB2312"/>
          <w:b w:val="0"/>
          <w:sz w:val="32"/>
        </w:rPr>
        <w:t>其中：基本支出121.98万元，占100.00%；项目支出0.00万元，占0.00%；上缴上级支出0.00万元，占0.00%；经营支出0.00万元，占0.00%；对附属单位补助支出0.00万元，占0.00%。</w:t>
      </w:r>
    </w:p>
    <w:p w14:paraId="57A705F5">
      <w:pPr>
        <w:spacing w:line="640" w:lineRule="exact"/>
        <w:ind w:firstLine="640"/>
        <w:jc w:val="both"/>
        <w:outlineLvl w:val="2"/>
      </w:pPr>
      <w:r>
        <w:rPr>
          <w:rFonts w:ascii="黑体" w:hAnsi="黑体" w:eastAsia="黑体"/>
          <w:sz w:val="32"/>
        </w:rPr>
        <w:t>四、财政拨款收入支出决算总体情况说明</w:t>
      </w:r>
    </w:p>
    <w:p w14:paraId="5559BC51">
      <w:pPr>
        <w:spacing w:line="580" w:lineRule="exact"/>
        <w:ind w:firstLine="640"/>
        <w:jc w:val="both"/>
      </w:pPr>
      <w:r>
        <w:rPr>
          <w:rFonts w:ascii="仿宋_GB2312" w:hAnsi="仿宋_GB2312" w:eastAsia="仿宋_GB2312"/>
          <w:b/>
          <w:sz w:val="32"/>
        </w:rPr>
        <w:t>2024年度财政拨款收入总计121.98万元，</w:t>
      </w:r>
      <w:r>
        <w:rPr>
          <w:rFonts w:ascii="仿宋_GB2312" w:hAnsi="仿宋_GB2312" w:eastAsia="仿宋_GB2312"/>
          <w:b w:val="0"/>
          <w:sz w:val="32"/>
        </w:rPr>
        <w:t>其中：年初财政拨款结转和结余0.00万元，本年财政拨款收入121.98万元。</w:t>
      </w:r>
      <w:r>
        <w:rPr>
          <w:rFonts w:ascii="仿宋_GB2312" w:hAnsi="仿宋_GB2312" w:eastAsia="仿宋_GB2312"/>
          <w:b/>
          <w:sz w:val="32"/>
        </w:rPr>
        <w:t>财政拨款支出总计121.98万元，</w:t>
      </w:r>
      <w:r>
        <w:rPr>
          <w:rFonts w:ascii="仿宋_GB2312" w:hAnsi="仿宋_GB2312" w:eastAsia="仿宋_GB2312"/>
          <w:b w:val="0"/>
          <w:sz w:val="32"/>
        </w:rPr>
        <w:t>其中：年末财政拨款结转和结余0.00万元，本年财政拨款支出121.98万元。</w:t>
      </w:r>
    </w:p>
    <w:p w14:paraId="40225E5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减少1.56万元，下降1.26%，主要原因是：本年在职人员减少，相关人员经费较上年减少。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年初预算数133.00万元，决算数121.98万元，预决算差异率-8.29%，主要原因是：本年在职人员减少，年中调减人员经费，导致预决算存在差异。</w:t>
      </w:r>
    </w:p>
    <w:p w14:paraId="54180824">
      <w:pPr>
        <w:spacing w:line="640" w:lineRule="exact"/>
        <w:ind w:firstLine="640"/>
        <w:jc w:val="both"/>
        <w:outlineLvl w:val="2"/>
      </w:pPr>
      <w:r>
        <w:rPr>
          <w:rFonts w:ascii="黑体" w:hAnsi="黑体" w:eastAsia="黑体"/>
          <w:sz w:val="32"/>
        </w:rPr>
        <w:t>五、一般公共预算财政拨款支出决算情况说明</w:t>
      </w:r>
    </w:p>
    <w:p w14:paraId="03380619">
      <w:pPr>
        <w:spacing w:line="640" w:lineRule="exact"/>
        <w:ind w:firstLine="640"/>
        <w:jc w:val="both"/>
        <w:outlineLvl w:val="3"/>
      </w:pPr>
      <w:r>
        <w:rPr>
          <w:rFonts w:ascii="楷体_GB2312" w:hAnsi="楷体_GB2312" w:eastAsia="楷体_GB2312"/>
          <w:b/>
          <w:sz w:val="32"/>
        </w:rPr>
        <w:t>（一）一般公共预算财政拨款支出决算总体情况</w:t>
      </w:r>
    </w:p>
    <w:p w14:paraId="36CCFD7E">
      <w:pPr>
        <w:spacing w:line="580" w:lineRule="exact"/>
        <w:ind w:firstLine="640"/>
        <w:jc w:val="both"/>
      </w:pPr>
      <w:r>
        <w:rPr>
          <w:rFonts w:ascii="仿宋_GB2312" w:hAnsi="仿宋_GB2312" w:eastAsia="仿宋_GB2312"/>
          <w:b/>
          <w:sz w:val="32"/>
        </w:rPr>
        <w:t>2024年度一般公共预算财政拨款支出121.98万元，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减少1.56万元，下降1.26%，主要原因是：本年在职人员减少，相关人员经费较上年减少。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年初预算数133.00万元，决算数121.98万元，预决算差异率-8.29%，主要原因是：本年在职人员减少，年中调减人员经费，导致预决算存在差异。</w:t>
      </w:r>
    </w:p>
    <w:p w14:paraId="3179CE27">
      <w:pPr>
        <w:spacing w:line="640" w:lineRule="exact"/>
        <w:ind w:firstLine="640"/>
        <w:jc w:val="both"/>
        <w:outlineLvl w:val="3"/>
      </w:pPr>
      <w:r>
        <w:rPr>
          <w:rFonts w:ascii="楷体_GB2312" w:hAnsi="楷体_GB2312" w:eastAsia="楷体_GB2312"/>
          <w:b/>
          <w:sz w:val="32"/>
        </w:rPr>
        <w:t>（二）一般公共预算财政拨款支出决算结构情况</w:t>
      </w:r>
    </w:p>
    <w:p w14:paraId="4F90A81C">
      <w:pPr>
        <w:spacing w:line="580" w:lineRule="exact"/>
        <w:ind w:firstLine="640"/>
        <w:jc w:val="both"/>
      </w:pPr>
      <w:r>
        <w:rPr>
          <w:rFonts w:ascii="仿宋_GB2312" w:hAnsi="仿宋_GB2312" w:eastAsia="仿宋_GB2312"/>
          <w:b w:val="0"/>
          <w:sz w:val="32"/>
        </w:rPr>
        <w:t>1.教育支出(类)0.35万元,占0.29%。</w:t>
      </w:r>
    </w:p>
    <w:p w14:paraId="68DEF2D8">
      <w:pPr>
        <w:spacing w:line="580" w:lineRule="exact"/>
        <w:ind w:firstLine="640"/>
        <w:jc w:val="both"/>
      </w:pPr>
      <w:r>
        <w:rPr>
          <w:rFonts w:ascii="仿宋_GB2312" w:hAnsi="仿宋_GB2312" w:eastAsia="仿宋_GB2312"/>
          <w:b w:val="0"/>
          <w:sz w:val="32"/>
        </w:rPr>
        <w:t>2.社会保障和就业支出(类)15.72万元,占12.89%。</w:t>
      </w:r>
    </w:p>
    <w:p w14:paraId="6405901E">
      <w:pPr>
        <w:spacing w:line="580" w:lineRule="exact"/>
        <w:ind w:firstLine="640"/>
        <w:jc w:val="both"/>
      </w:pPr>
      <w:r>
        <w:rPr>
          <w:rFonts w:ascii="仿宋_GB2312" w:hAnsi="仿宋_GB2312" w:eastAsia="仿宋_GB2312"/>
          <w:b w:val="0"/>
          <w:sz w:val="32"/>
        </w:rPr>
        <w:t>3.卫生健康支出(类)4.90万元,占4.02%。</w:t>
      </w:r>
    </w:p>
    <w:p w14:paraId="60AD8C7D">
      <w:pPr>
        <w:spacing w:line="580" w:lineRule="exact"/>
        <w:ind w:firstLine="640"/>
        <w:jc w:val="both"/>
      </w:pPr>
      <w:r>
        <w:rPr>
          <w:rFonts w:ascii="仿宋_GB2312" w:hAnsi="仿宋_GB2312" w:eastAsia="仿宋_GB2312"/>
          <w:b w:val="0"/>
          <w:sz w:val="32"/>
        </w:rPr>
        <w:t>4.节能环保支出(类)93.00万元,占76.24%。</w:t>
      </w:r>
    </w:p>
    <w:p w14:paraId="3DECD4B8">
      <w:pPr>
        <w:spacing w:line="580" w:lineRule="exact"/>
        <w:ind w:firstLine="640"/>
        <w:jc w:val="both"/>
      </w:pPr>
      <w:r>
        <w:rPr>
          <w:rFonts w:ascii="仿宋_GB2312" w:hAnsi="仿宋_GB2312" w:eastAsia="仿宋_GB2312"/>
          <w:b w:val="0"/>
          <w:sz w:val="32"/>
        </w:rPr>
        <w:t>5.住房保障支出(类)8.00万元,占6.56%。</w:t>
      </w:r>
    </w:p>
    <w:p w14:paraId="03C496BF">
      <w:pPr>
        <w:spacing w:line="640" w:lineRule="exact"/>
        <w:ind w:firstLine="640"/>
        <w:jc w:val="both"/>
        <w:outlineLvl w:val="3"/>
      </w:pPr>
      <w:r>
        <w:rPr>
          <w:rFonts w:ascii="楷体_GB2312" w:hAnsi="楷体_GB2312" w:eastAsia="楷体_GB2312"/>
          <w:b/>
          <w:sz w:val="32"/>
        </w:rPr>
        <w:t>（三）一般公共预算财政拨款支出决算具体情况</w:t>
      </w:r>
    </w:p>
    <w:p w14:paraId="5F6CDC42">
      <w:pPr>
        <w:spacing w:line="580" w:lineRule="exact"/>
        <w:ind w:firstLine="640"/>
        <w:jc w:val="both"/>
      </w:pPr>
      <w:r>
        <w:rPr>
          <w:rFonts w:ascii="仿宋_GB2312" w:hAnsi="仿宋_GB2312" w:eastAsia="仿宋_GB2312"/>
          <w:b w:val="0"/>
          <w:sz w:val="32"/>
        </w:rPr>
        <w:t>1.教育支出(类)进修及培训(款)培训支出(项):支出决算数为0.35万元，比上年决算增加0.05万元，增长16.67%,主要原因是：本年外出培训次数增加，培训费增加。</w:t>
      </w:r>
    </w:p>
    <w:p w14:paraId="1229944F">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2.社会保障和就业支出(类)行政事业单位养老支出(款)行政单位离退休(项):支出决算数为0.28万元，比上年决算增加0.28万元，增长100.00%,主要原因是：本年新增退休人员，退休费支出增加。</w:t>
      </w:r>
    </w:p>
    <w:p w14:paraId="2C264171">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7.65万元，比上年决算减少1.89万元，下降19.81%,主要原因是：本年在职人员减少，单位基本养老保险缴费较上年减少。</w:t>
      </w:r>
    </w:p>
    <w:p w14:paraId="4F004E6C">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4.社会保障和就业支出(类)行政事业单位养老支出(款)机关事业单位职业年金缴费支出(项):支出决算数为7.79万元，比上年决算增加7.79万元，增长100.00%,主要原因是：本年新增退休人员，职业年金缴费支出增加。</w:t>
      </w:r>
    </w:p>
    <w:p w14:paraId="12AEDB24">
      <w:pPr>
        <w:spacing w:line="580" w:lineRule="exact"/>
        <w:ind w:firstLine="640"/>
        <w:jc w:val="both"/>
      </w:pPr>
      <w:r>
        <w:rPr>
          <w:rFonts w:ascii="仿宋_GB2312" w:hAnsi="仿宋_GB2312" w:eastAsia="仿宋_GB2312"/>
          <w:b w:val="0"/>
          <w:sz w:val="32"/>
        </w:rPr>
        <w:t>5.卫生健康支出(类)行政事业单位医疗(款)行政单位医疗(项):支出决算数为3.35万元，比上年决算减少0.82万元，下降19.66%,主要原因是：本年在职人员减少，行政单位医疗支出较上年减少。</w:t>
      </w:r>
    </w:p>
    <w:p w14:paraId="4540514A">
      <w:pPr>
        <w:spacing w:line="580" w:lineRule="exact"/>
        <w:ind w:firstLine="640"/>
        <w:jc w:val="both"/>
      </w:pPr>
      <w:r>
        <w:rPr>
          <w:rFonts w:ascii="仿宋_GB2312" w:hAnsi="仿宋_GB2312" w:eastAsia="仿宋_GB2312"/>
          <w:b w:val="0"/>
          <w:sz w:val="32"/>
        </w:rPr>
        <w:t>6.卫生健康支出(类)行政事业单位医疗(款)公务员医疗补助(项):支出决算数为1.43万元，比上年决算减少0.18万元，下降11.18%,主要原因是：本年在职人员减少，公务员医疗补助较上年减少。</w:t>
      </w:r>
    </w:p>
    <w:p w14:paraId="4A937410">
      <w:pPr>
        <w:spacing w:line="580" w:lineRule="exact"/>
        <w:ind w:firstLine="640"/>
        <w:jc w:val="both"/>
      </w:pPr>
      <w:r>
        <w:rPr>
          <w:rFonts w:ascii="仿宋_GB2312" w:hAnsi="仿宋_GB2312" w:eastAsia="仿宋_GB2312"/>
          <w:b w:val="0"/>
          <w:sz w:val="32"/>
        </w:rPr>
        <w:t>7.卫生健康支出(类)行政事业单位医疗(款)其他行政事业单位医疗支出(项):支出决算数为0.12万元，比上年决算减少0.02万元，下降14.29%,主要原因是：本年在职人员减少，其他行政事业单位医疗支出较上年减少。</w:t>
      </w:r>
    </w:p>
    <w:p w14:paraId="36D2C08F">
      <w:pPr>
        <w:spacing w:line="580" w:lineRule="exact"/>
        <w:ind w:firstLine="640"/>
        <w:jc w:val="both"/>
      </w:pPr>
      <w:r>
        <w:rPr>
          <w:rFonts w:ascii="仿宋_GB2312" w:hAnsi="仿宋_GB2312" w:eastAsia="仿宋_GB2312"/>
          <w:b w:val="0"/>
          <w:sz w:val="32"/>
        </w:rPr>
        <w:t>8.节能环保支出(类)环境保护管理事务(款)行政运行(项):支出决算数为93.00万元，比上年决算减少7.80万元，下降7.74%,主要原因是：本年在职人员减少，相应人员经费较上年减少。</w:t>
      </w:r>
    </w:p>
    <w:p w14:paraId="0810C045">
      <w:pPr>
        <w:spacing w:line="580" w:lineRule="exact"/>
        <w:ind w:firstLine="640"/>
        <w:jc w:val="both"/>
      </w:pPr>
      <w:r>
        <w:rPr>
          <w:rFonts w:ascii="仿宋_GB2312" w:hAnsi="仿宋_GB2312" w:eastAsia="仿宋_GB2312"/>
          <w:b w:val="0"/>
          <w:sz w:val="32"/>
        </w:rPr>
        <w:t>9.住房保障支出(类)住房改革支出(款)住房公积金(项):支出决算数为8.00万元，比上年决算增加1.03万元，增长14.78%,主要原因是：本年在职人员工资基数调增，公积金缴费基数上涨，相应支出增加。</w:t>
      </w:r>
    </w:p>
    <w:p w14:paraId="07E8F7F2">
      <w:pPr>
        <w:spacing w:line="640" w:lineRule="exact"/>
        <w:ind w:firstLine="640"/>
        <w:jc w:val="both"/>
        <w:outlineLvl w:val="2"/>
      </w:pPr>
      <w:r>
        <w:rPr>
          <w:rFonts w:ascii="黑体" w:hAnsi="黑体" w:eastAsia="黑体"/>
          <w:sz w:val="32"/>
        </w:rPr>
        <w:t>六、一般公共预算财政拨款基本支出决算情况说明</w:t>
      </w:r>
    </w:p>
    <w:p w14:paraId="6D6575BC">
      <w:pPr>
        <w:spacing w:line="580" w:lineRule="exact"/>
        <w:ind w:firstLine="640"/>
        <w:jc w:val="both"/>
      </w:pPr>
      <w:r>
        <w:rPr>
          <w:rFonts w:ascii="仿宋_GB2312" w:hAnsi="仿宋_GB2312" w:eastAsia="仿宋_GB2312"/>
          <w:b w:val="0"/>
          <w:sz w:val="32"/>
        </w:rPr>
        <w:t>2024年度一般公共预算财政拨款基本支出121.98万元，其中：</w:t>
      </w:r>
      <w:r>
        <w:rPr>
          <w:rFonts w:ascii="仿宋_GB2312" w:hAnsi="仿宋_GB2312" w:eastAsia="仿宋_GB2312"/>
          <w:b/>
          <w:sz w:val="32"/>
        </w:rPr>
        <w:t>人员经费103.62万元，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包括：基本工资、津贴补贴、奖金、伙食补助费、机关事业单位基本养老保险缴费、职业年金缴费、职工基本医疗保险缴费、公务员医疗补助缴费、其他社会保障缴费、住房公积金、其他工资福利支出、退休费。</w:t>
      </w:r>
    </w:p>
    <w:p w14:paraId="06B39E9F">
      <w:pPr>
        <w:spacing w:line="580" w:lineRule="exact"/>
        <w:ind w:firstLine="640"/>
        <w:jc w:val="both"/>
      </w:pPr>
      <w:r>
        <w:rPr>
          <w:rFonts w:ascii="仿宋_GB2312" w:hAnsi="仿宋_GB2312" w:eastAsia="仿宋_GB2312"/>
          <w:b/>
          <w:sz w:val="32"/>
        </w:rPr>
        <w:t>公用经费18.36万元，</w:t>
      </w:r>
      <w:r>
        <w:rPr>
          <w:rFonts w:ascii="仿宋_GB2312" w:hAnsi="仿宋_GB2312" w:eastAsia="仿宋_GB2312"/>
          <w:b w:val="0"/>
          <w:sz w:val="32"/>
        </w:rPr>
        <w:t>包括：办公费、印刷费、水费、电费、邮电费、取暖费、差旅费、维修（护）费、租赁费、培训费、工会经费、福利费、公务用车运行维护费。</w:t>
      </w:r>
    </w:p>
    <w:p w14:paraId="607A007E">
      <w:pPr>
        <w:spacing w:line="640" w:lineRule="exact"/>
        <w:ind w:firstLine="640"/>
        <w:jc w:val="both"/>
        <w:outlineLvl w:val="2"/>
      </w:pPr>
      <w:r>
        <w:rPr>
          <w:rFonts w:ascii="黑体" w:hAnsi="黑体" w:eastAsia="黑体"/>
          <w:sz w:val="32"/>
        </w:rPr>
        <w:t>七、政府性基金预算财政拨款收入支出决算情况说明</w:t>
      </w:r>
    </w:p>
    <w:p w14:paraId="1009FAE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56935B8">
      <w:pPr>
        <w:spacing w:line="640" w:lineRule="exact"/>
        <w:ind w:firstLine="640"/>
        <w:jc w:val="both"/>
        <w:outlineLvl w:val="2"/>
      </w:pPr>
      <w:r>
        <w:rPr>
          <w:rFonts w:ascii="黑体" w:hAnsi="黑体" w:eastAsia="黑体"/>
          <w:sz w:val="32"/>
        </w:rPr>
        <w:t>八、国有资本经营预算财政拨款收入支出决算情况说明</w:t>
      </w:r>
    </w:p>
    <w:p w14:paraId="4318544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6ACCAD1">
      <w:pPr>
        <w:spacing w:line="640" w:lineRule="exact"/>
        <w:ind w:firstLine="640"/>
        <w:jc w:val="both"/>
        <w:outlineLvl w:val="2"/>
      </w:pPr>
      <w:r>
        <w:rPr>
          <w:rFonts w:ascii="黑体" w:hAnsi="黑体" w:eastAsia="黑体"/>
          <w:sz w:val="32"/>
        </w:rPr>
        <w:t>九、财政拨款“三公”经费支出决算情况说明</w:t>
      </w:r>
    </w:p>
    <w:p w14:paraId="6283A687">
      <w:pPr>
        <w:spacing w:line="580" w:lineRule="exact"/>
        <w:ind w:firstLine="640"/>
        <w:jc w:val="both"/>
      </w:pPr>
      <w:r>
        <w:rPr>
          <w:rFonts w:ascii="仿宋_GB2312" w:hAnsi="仿宋_GB2312" w:eastAsia="仿宋_GB2312"/>
          <w:b/>
          <w:sz w:val="32"/>
        </w:rPr>
        <w:t>2024年度财政拨款“三公”经费支出5.60万元，</w:t>
      </w:r>
      <w:r>
        <w:rPr>
          <w:rFonts w:ascii="仿宋_GB2312" w:hAnsi="仿宋_GB2312" w:eastAsia="仿宋_GB2312"/>
          <w:b w:val="0"/>
          <w:sz w:val="32"/>
        </w:rPr>
        <w:t>比上年增加0.05万元，增长0.90%，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5.60万元，占100.00%，比上年增加0.05万元，增长0.90%，主要原因是：本年因业务需求，用车次数增加，燃油费增加，导致公务用车运行维护费较上年增加。公务接待费支出0.00万元，占0.00%，比上年增加0.00万元，增长0.00%，主要原因是：2023年与2024年均未安排公务接待费支出。</w:t>
      </w:r>
    </w:p>
    <w:p w14:paraId="3E40D2A6">
      <w:pPr>
        <w:spacing w:line="580" w:lineRule="exact"/>
        <w:ind w:firstLine="640"/>
        <w:jc w:val="both"/>
      </w:pPr>
      <w:r>
        <w:rPr>
          <w:rFonts w:ascii="仿宋_GB2312" w:hAnsi="仿宋_GB2312" w:eastAsia="仿宋_GB2312"/>
          <w:b/>
          <w:sz w:val="32"/>
        </w:rPr>
        <w:t>具体情况如下：</w:t>
      </w:r>
    </w:p>
    <w:p w14:paraId="76D988F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4318136">
      <w:pPr>
        <w:spacing w:line="580" w:lineRule="exact"/>
        <w:ind w:firstLine="640"/>
        <w:jc w:val="both"/>
      </w:pPr>
      <w:r>
        <w:rPr>
          <w:rFonts w:ascii="仿宋_GB2312" w:hAnsi="仿宋_GB2312" w:eastAsia="仿宋_GB2312"/>
          <w:b w:val="0"/>
          <w:sz w:val="32"/>
        </w:rPr>
        <w:t>公务用车购置及运行维护费5.60万元，其中：公务用车购置费0.00万元，公务用车运行维护费5.60万元。公务用车运行维护费开支内容包括车辆加油费、维修费、保险费、审车费、过路费等。公务用车购置数0辆，公务用车保有量5辆。国有资产占用情况中固定资产车辆5辆，与公务用车保有量差异原因是：本单位固定资产车辆与公务用车保有量一致无差异。</w:t>
      </w:r>
    </w:p>
    <w:p w14:paraId="66380D6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7B225E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5.60万元，决算数5.60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5.60万元，决算数5.60万元，预决算差异率0.00%，主要原因是：严格按照预算执行，预决算无差异。公务接待费全年预算数0.00万元，决算数0.00万元，预决算差异率0.00%，主要原因是：本单位无公务接待费。</w:t>
      </w:r>
    </w:p>
    <w:p w14:paraId="2B2EF394">
      <w:pPr>
        <w:spacing w:line="640" w:lineRule="exact"/>
        <w:ind w:firstLine="640"/>
        <w:jc w:val="both"/>
        <w:outlineLvl w:val="2"/>
      </w:pPr>
      <w:r>
        <w:rPr>
          <w:rFonts w:ascii="黑体" w:hAnsi="黑体" w:eastAsia="黑体"/>
          <w:sz w:val="32"/>
        </w:rPr>
        <w:t>十、其他重要事项的情况说明</w:t>
      </w:r>
    </w:p>
    <w:p w14:paraId="2CC4C37A">
      <w:pPr>
        <w:spacing w:line="640" w:lineRule="exact"/>
        <w:ind w:firstLine="640"/>
        <w:jc w:val="both"/>
        <w:outlineLvl w:val="3"/>
      </w:pPr>
      <w:r>
        <w:rPr>
          <w:rFonts w:ascii="楷体_GB2312" w:hAnsi="楷体_GB2312" w:eastAsia="楷体_GB2312"/>
          <w:b/>
          <w:sz w:val="32"/>
        </w:rPr>
        <w:t>（一）机关运行经费及公用经费支出情况</w:t>
      </w:r>
    </w:p>
    <w:p w14:paraId="56F746DE">
      <w:pPr>
        <w:spacing w:line="580" w:lineRule="exact"/>
        <w:ind w:firstLine="640"/>
        <w:jc w:val="both"/>
      </w:pPr>
      <w:r>
        <w:rPr>
          <w:rFonts w:ascii="仿宋_GB2312" w:hAnsi="仿宋_GB2312" w:eastAsia="仿宋_GB2312"/>
          <w:b w:val="0"/>
          <w:sz w:val="32"/>
        </w:rPr>
        <w:t>2024年度巴音郭楞蒙古自治州生态环境局和硕县分局（行政单位和参照公务员法管理事业单位）机关运行经费支出18.36万元，比上年增加0.78万元，增长4.44%，主要原因是：本年更新、维护补充办公用品，导致机关运行经费较上年增加。</w:t>
      </w:r>
    </w:p>
    <w:p w14:paraId="5E7A67B7">
      <w:pPr>
        <w:spacing w:line="640" w:lineRule="exact"/>
        <w:ind w:firstLine="640"/>
        <w:jc w:val="both"/>
        <w:outlineLvl w:val="3"/>
      </w:pPr>
      <w:r>
        <w:rPr>
          <w:rFonts w:ascii="楷体_GB2312" w:hAnsi="楷体_GB2312" w:eastAsia="楷体_GB2312"/>
          <w:b/>
          <w:sz w:val="32"/>
        </w:rPr>
        <w:t>（二）政府采购情况</w:t>
      </w:r>
    </w:p>
    <w:p w14:paraId="1B025443">
      <w:pPr>
        <w:spacing w:line="580" w:lineRule="exact"/>
        <w:ind w:firstLine="640"/>
        <w:jc w:val="both"/>
      </w:pPr>
      <w:r>
        <w:rPr>
          <w:rFonts w:ascii="仿宋_GB2312" w:hAnsi="仿宋_GB2312" w:eastAsia="仿宋_GB2312"/>
          <w:b w:val="0"/>
          <w:sz w:val="32"/>
        </w:rPr>
        <w:t>2024年度政府采购支出总额1.32万元，其中：政府采购货物支出0.11万元、政府采购工程支出0.00万元、政府采购服务支出1.21万元。</w:t>
      </w:r>
    </w:p>
    <w:p w14:paraId="06A1114F">
      <w:pPr>
        <w:spacing w:line="580" w:lineRule="exact"/>
        <w:ind w:firstLine="640"/>
        <w:jc w:val="both"/>
      </w:pPr>
      <w:r>
        <w:rPr>
          <w:rFonts w:ascii="仿宋_GB2312" w:hAnsi="仿宋_GB2312" w:eastAsia="仿宋_GB2312"/>
          <w:b w:val="0"/>
          <w:sz w:val="32"/>
        </w:rPr>
        <w:t>授予中小企业合同金额0.86万元，占政府采购支出总额的65.15%，其中：授予小微企业合同金额0.86万元，占政府采购支出总额的65.15%。</w:t>
      </w:r>
    </w:p>
    <w:p w14:paraId="4C3CD764">
      <w:pPr>
        <w:spacing w:line="640" w:lineRule="exact"/>
        <w:ind w:firstLine="640"/>
        <w:jc w:val="both"/>
        <w:outlineLvl w:val="3"/>
      </w:pPr>
      <w:r>
        <w:rPr>
          <w:rFonts w:ascii="楷体_GB2312" w:hAnsi="楷体_GB2312" w:eastAsia="楷体_GB2312"/>
          <w:b/>
          <w:sz w:val="32"/>
        </w:rPr>
        <w:t>（三）国有资产占用情况说明</w:t>
      </w:r>
    </w:p>
    <w:p w14:paraId="3A3C18C4">
      <w:pPr>
        <w:spacing w:line="580" w:lineRule="exact"/>
        <w:ind w:firstLine="640"/>
        <w:jc w:val="both"/>
      </w:pPr>
      <w:r>
        <w:rPr>
          <w:rFonts w:ascii="仿宋_GB2312" w:hAnsi="仿宋_GB2312" w:eastAsia="仿宋_GB2312"/>
          <w:b w:val="0"/>
          <w:sz w:val="32"/>
        </w:rPr>
        <w:t>截至2024年12月31日，房屋2,000.00平方米，价值401.16万元。车辆5辆，价值141.06万元，其中：副部（省）级及以上领导用车0辆、主要负责人用车0辆、机要通信用车0辆、应急保障用车0辆、执法执勤用车1辆、特种专业技术用车4辆、离退休干部服务用车0辆、其他用车0辆，其他用车主要是：本单位无其他用车。单价100万元（含）以上设备（不含车辆）0台（套）。</w:t>
      </w:r>
    </w:p>
    <w:p w14:paraId="56439118">
      <w:pPr>
        <w:spacing w:line="640" w:lineRule="exact"/>
        <w:ind w:firstLine="640"/>
        <w:jc w:val="both"/>
        <w:outlineLvl w:val="2"/>
      </w:pPr>
      <w:r>
        <w:rPr>
          <w:rFonts w:ascii="黑体" w:hAnsi="黑体" w:eastAsia="黑体"/>
          <w:sz w:val="32"/>
        </w:rPr>
        <w:t>十一、预算绩效的情况说明</w:t>
      </w:r>
    </w:p>
    <w:p w14:paraId="6448C1E3">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4B42486D">
      <w:r>
        <w:br w:type="page"/>
      </w:r>
    </w:p>
    <w:p w14:paraId="1F066AD4">
      <w:pPr>
        <w:spacing w:line="640" w:lineRule="exact"/>
        <w:ind w:firstLine="640"/>
        <w:jc w:val="both"/>
        <w:outlineLvl w:val="2"/>
      </w:pPr>
      <w:r>
        <w:rPr>
          <w:rFonts w:ascii="黑体" w:hAnsi="黑体" w:eastAsia="黑体"/>
          <w:sz w:val="32"/>
        </w:rPr>
        <w:t>十二、其他需说明的事项</w:t>
      </w:r>
    </w:p>
    <w:p w14:paraId="4C18CA04">
      <w:pPr>
        <w:spacing w:line="580" w:lineRule="exact"/>
        <w:ind w:firstLine="640"/>
        <w:jc w:val="both"/>
      </w:pPr>
      <w:r>
        <w:rPr>
          <w:rFonts w:ascii="仿宋_GB2312" w:hAnsi="仿宋_GB2312" w:eastAsia="仿宋_GB2312"/>
          <w:b w:val="0"/>
          <w:sz w:val="32"/>
        </w:rPr>
        <w:t>本年度本单位整体绩效自评表由主管部门编报并公开。</w:t>
      </w:r>
    </w:p>
    <w:p w14:paraId="488198C8">
      <w:r>
        <w:br w:type="page"/>
      </w:r>
    </w:p>
    <w:p w14:paraId="290260D7">
      <w:pPr>
        <w:spacing w:line="240" w:lineRule="auto"/>
        <w:jc w:val="center"/>
        <w:outlineLvl w:val="1"/>
      </w:pPr>
      <w:r>
        <w:rPr>
          <w:rFonts w:ascii="黑体" w:hAnsi="黑体" w:eastAsia="黑体"/>
          <w:sz w:val="32"/>
        </w:rPr>
        <w:t>第三部分 专业名词解释</w:t>
      </w:r>
    </w:p>
    <w:p w14:paraId="763A039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A0BA46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149404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42714B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54DFC9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05D61B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35BDE9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6B2C26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F7D78A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37AAD3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377CE0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30F114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683561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C64DC8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F8E8F52">
      <w:r>
        <w:br w:type="page"/>
      </w:r>
    </w:p>
    <w:p w14:paraId="27FD14A3">
      <w:pPr>
        <w:spacing w:line="240" w:lineRule="auto"/>
        <w:jc w:val="center"/>
        <w:outlineLvl w:val="1"/>
      </w:pPr>
      <w:r>
        <w:rPr>
          <w:rFonts w:ascii="黑体" w:hAnsi="黑体" w:eastAsia="黑体"/>
          <w:sz w:val="32"/>
        </w:rPr>
        <w:t>第四部分 部门决算报表（见附表）</w:t>
      </w:r>
    </w:p>
    <w:p w14:paraId="7FAFD46A">
      <w:pPr>
        <w:spacing w:line="240" w:lineRule="auto"/>
        <w:ind w:firstLine="640"/>
        <w:jc w:val="both"/>
      </w:pPr>
      <w:r>
        <w:rPr>
          <w:rFonts w:ascii="仿宋_GB2312" w:hAnsi="仿宋_GB2312" w:eastAsia="仿宋_GB2312"/>
          <w:b w:val="0"/>
          <w:sz w:val="32"/>
        </w:rPr>
        <w:t>一、《收入支出决算总表》</w:t>
      </w:r>
    </w:p>
    <w:p w14:paraId="1160DED0">
      <w:pPr>
        <w:spacing w:line="240" w:lineRule="auto"/>
        <w:ind w:firstLine="640"/>
        <w:jc w:val="both"/>
      </w:pPr>
      <w:r>
        <w:rPr>
          <w:rFonts w:ascii="仿宋_GB2312" w:hAnsi="仿宋_GB2312" w:eastAsia="仿宋_GB2312"/>
          <w:b w:val="0"/>
          <w:sz w:val="32"/>
        </w:rPr>
        <w:t>二、《收入决算表》</w:t>
      </w:r>
    </w:p>
    <w:p w14:paraId="09079816">
      <w:pPr>
        <w:spacing w:line="240" w:lineRule="auto"/>
        <w:ind w:firstLine="640"/>
        <w:jc w:val="both"/>
      </w:pPr>
      <w:r>
        <w:rPr>
          <w:rFonts w:ascii="仿宋_GB2312" w:hAnsi="仿宋_GB2312" w:eastAsia="仿宋_GB2312"/>
          <w:b w:val="0"/>
          <w:sz w:val="32"/>
        </w:rPr>
        <w:t>三、《支出决算表》</w:t>
      </w:r>
    </w:p>
    <w:p w14:paraId="3480F259">
      <w:pPr>
        <w:spacing w:line="240" w:lineRule="auto"/>
        <w:ind w:firstLine="640"/>
        <w:jc w:val="both"/>
      </w:pPr>
      <w:r>
        <w:rPr>
          <w:rFonts w:ascii="仿宋_GB2312" w:hAnsi="仿宋_GB2312" w:eastAsia="仿宋_GB2312"/>
          <w:b w:val="0"/>
          <w:sz w:val="32"/>
        </w:rPr>
        <w:t>四、《财政拨款收入支出决算总表》</w:t>
      </w:r>
    </w:p>
    <w:p w14:paraId="4B9497F6">
      <w:pPr>
        <w:spacing w:line="240" w:lineRule="auto"/>
        <w:ind w:firstLine="640"/>
        <w:jc w:val="both"/>
      </w:pPr>
      <w:r>
        <w:rPr>
          <w:rFonts w:ascii="仿宋_GB2312" w:hAnsi="仿宋_GB2312" w:eastAsia="仿宋_GB2312"/>
          <w:b w:val="0"/>
          <w:sz w:val="32"/>
        </w:rPr>
        <w:t>五、《一般公共预算财政拨款支出决算表》</w:t>
      </w:r>
    </w:p>
    <w:p w14:paraId="433F8282">
      <w:pPr>
        <w:spacing w:line="240" w:lineRule="auto"/>
        <w:ind w:firstLine="640"/>
        <w:jc w:val="both"/>
      </w:pPr>
      <w:r>
        <w:rPr>
          <w:rFonts w:ascii="仿宋_GB2312" w:hAnsi="仿宋_GB2312" w:eastAsia="仿宋_GB2312"/>
          <w:b w:val="0"/>
          <w:sz w:val="32"/>
        </w:rPr>
        <w:t>六、《一般公共预算财政拨款基本支出决算表》</w:t>
      </w:r>
    </w:p>
    <w:p w14:paraId="14CBCF65">
      <w:pPr>
        <w:spacing w:line="240" w:lineRule="auto"/>
        <w:ind w:firstLine="640"/>
        <w:jc w:val="both"/>
      </w:pPr>
      <w:r>
        <w:rPr>
          <w:rFonts w:ascii="仿宋_GB2312" w:hAnsi="仿宋_GB2312" w:eastAsia="仿宋_GB2312"/>
          <w:b w:val="0"/>
          <w:sz w:val="32"/>
        </w:rPr>
        <w:t>七、《政府性基金预算财政拨款收入支出决算表》</w:t>
      </w:r>
    </w:p>
    <w:p w14:paraId="2948E8D1">
      <w:pPr>
        <w:spacing w:line="240" w:lineRule="auto"/>
        <w:ind w:firstLine="640"/>
        <w:jc w:val="both"/>
      </w:pPr>
      <w:r>
        <w:rPr>
          <w:rFonts w:ascii="仿宋_GB2312" w:hAnsi="仿宋_GB2312" w:eastAsia="仿宋_GB2312"/>
          <w:b w:val="0"/>
          <w:sz w:val="32"/>
        </w:rPr>
        <w:t>八、《国有资本经营预算财政拨款收入支出决算表》</w:t>
      </w:r>
    </w:p>
    <w:p w14:paraId="7B3084D1">
      <w:pPr>
        <w:spacing w:line="240" w:lineRule="auto"/>
        <w:ind w:firstLine="640"/>
        <w:jc w:val="both"/>
      </w:pPr>
      <w:r>
        <w:rPr>
          <w:rFonts w:ascii="仿宋_GB2312" w:hAnsi="仿宋_GB2312" w:eastAsia="仿宋_GB2312"/>
          <w:b w:val="0"/>
          <w:sz w:val="32"/>
        </w:rPr>
        <w:t>九、《财政拨款“三公”经费支出决算表》</w:t>
      </w:r>
    </w:p>
    <w:p w14:paraId="2C97784E">
      <w:pPr>
        <w:spacing w:line="240" w:lineRule="auto"/>
        <w:ind w:firstLine="640"/>
        <w:jc w:val="both"/>
      </w:pPr>
    </w:p>
    <w:p w14:paraId="2E6843FF">
      <w:pPr>
        <w:spacing w:line="240" w:lineRule="auto"/>
        <w:ind w:firstLine="640"/>
        <w:jc w:val="both"/>
      </w:pPr>
    </w:p>
    <w:p w14:paraId="4A23F672">
      <w:pPr>
        <w:spacing w:line="240" w:lineRule="auto"/>
        <w:ind w:firstLine="640"/>
        <w:jc w:val="both"/>
      </w:pPr>
    </w:p>
    <w:p w14:paraId="26643834">
      <w:pPr>
        <w:spacing w:line="240" w:lineRule="auto"/>
        <w:ind w:firstLine="640"/>
        <w:jc w:val="both"/>
      </w:pPr>
    </w:p>
    <w:p w14:paraId="269297F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6C858F3-C890-4096-B41D-17B17CBA066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1D116AC-E98E-435C-AADC-041DBAB7356A}"/>
  </w:font>
  <w:font w:name="仿宋_GB2312">
    <w:altName w:val="仿宋"/>
    <w:panose1 w:val="02010609030101010101"/>
    <w:charset w:val="86"/>
    <w:family w:val="modern"/>
    <w:pitch w:val="default"/>
    <w:sig w:usb0="00000000" w:usb1="00000000" w:usb2="00000000" w:usb3="00000000" w:csb0="00040000" w:csb1="00000000"/>
    <w:embedRegular r:id="rId3" w:fontKey="{96B1EFCD-07B4-4AB3-B380-6AE7AC6350DD}"/>
  </w:font>
  <w:font w:name="楷体_GB2312">
    <w:altName w:val="楷体"/>
    <w:panose1 w:val="00000000000000000000"/>
    <w:charset w:val="00"/>
    <w:family w:val="auto"/>
    <w:pitch w:val="default"/>
    <w:sig w:usb0="00000000" w:usb1="00000000" w:usb2="00000000" w:usb3="00000000" w:csb0="00000000" w:csb1="00000000"/>
    <w:embedRegular r:id="rId4" w:fontKey="{7055686B-0309-47DB-ACD2-B3A54AF720E8}"/>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A95AB2"/>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5976</Words>
  <Characters>6612</Characters>
  <Lines>0</Lines>
  <Paragraphs>0</Paragraphs>
  <TotalTime>0</TotalTime>
  <ScaleCrop>false</ScaleCrop>
  <LinksUpToDate>false</LinksUpToDate>
  <CharactersWithSpaces>6622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2025-09-10T11:59:23Z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