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bookmarkStart w:id="0" w:name="_GoBack"/>
      <w:r>
        <w:rPr>
          <w:rFonts w:hint="eastAsia" w:ascii="方正小标宋_GBK" w:hAnsi="宋体" w:eastAsia="方正小标宋_GBK"/>
          <w:sz w:val="44"/>
          <w:szCs w:val="44"/>
          <w:highlight w:val="none"/>
          <w:lang w:val="en-US" w:eastAsia="zh-CN"/>
        </w:rPr>
        <w:t>巴音郭楞</w:t>
      </w:r>
      <w:bookmarkEnd w:id="0"/>
      <w:r>
        <w:rPr>
          <w:rFonts w:hint="eastAsia" w:ascii="方正小标宋_GBK" w:hAnsi="宋体" w:eastAsia="方正小标宋_GBK"/>
          <w:sz w:val="44"/>
          <w:szCs w:val="44"/>
          <w:highlight w:val="none"/>
          <w:lang w:val="en-US" w:eastAsia="zh-CN"/>
        </w:rPr>
        <w:t>蒙古自治州生态环境局尉犁县分局2024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E6218EF">
      <w:r>
        <w:br w:type="page"/>
      </w:r>
    </w:p>
    <w:p w14:paraId="64333C89">
      <w:pPr>
        <w:spacing w:line="640" w:lineRule="exact"/>
        <w:jc w:val="center"/>
        <w:outlineLvl w:val="1"/>
      </w:pPr>
      <w:r>
        <w:rPr>
          <w:rFonts w:ascii="黑体" w:hAnsi="黑体" w:eastAsia="黑体"/>
          <w:sz w:val="32"/>
        </w:rPr>
        <w:t>第一部分 单位概况</w:t>
      </w:r>
    </w:p>
    <w:p w14:paraId="7C81761F">
      <w:pPr>
        <w:spacing w:line="640" w:lineRule="exact"/>
        <w:ind w:firstLine="640"/>
        <w:jc w:val="both"/>
        <w:outlineLvl w:val="2"/>
      </w:pPr>
      <w:r>
        <w:rPr>
          <w:rFonts w:ascii="黑体" w:hAnsi="黑体" w:eastAsia="黑体"/>
          <w:sz w:val="32"/>
        </w:rPr>
        <w:t>一、主要职能</w:t>
      </w:r>
    </w:p>
    <w:p w14:paraId="10AB57FD">
      <w:pPr>
        <w:spacing w:line="580" w:lineRule="exact"/>
        <w:ind w:firstLine="640"/>
        <w:jc w:val="both"/>
      </w:pPr>
      <w:r>
        <w:rPr>
          <w:rFonts w:ascii="仿宋_GB2312" w:hAnsi="仿宋_GB2312" w:eastAsia="仿宋_GB2312"/>
          <w:sz w:val="32"/>
        </w:rPr>
        <w:t>（1）负责落实生态环境各项制度。贯彻执行国家、自治区、自治州生态环境政策、规划，配合县人民政府拟订生态环境政策、规划并实施。配合县人民政府编制并监督实施重点区域、流域生态环境规划和水功能区划。</w:t>
      </w:r>
    </w:p>
    <w:p w14:paraId="52FDD35A">
      <w:pPr>
        <w:spacing w:line="580" w:lineRule="exact"/>
        <w:ind w:firstLine="640"/>
        <w:jc w:val="both"/>
      </w:pPr>
      <w:r>
        <w:rPr>
          <w:rFonts w:ascii="仿宋_GB2312" w:hAnsi="仿宋_GB2312" w:eastAsia="仿宋_GB2312"/>
          <w:sz w:val="32"/>
        </w:rPr>
        <w:t>（2）配合县人民政府开展较大生态环境问题的调查处理。参与环境污染事故和生态破坏事件的调查处理，参与调解环境污染纠纷，配合做好重点区域、流域生态环境保护工作。</w:t>
      </w:r>
    </w:p>
    <w:p w14:paraId="69B136ED">
      <w:pPr>
        <w:spacing w:line="580" w:lineRule="exact"/>
        <w:ind w:firstLine="640"/>
        <w:jc w:val="both"/>
      </w:pPr>
      <w:r>
        <w:rPr>
          <w:rFonts w:ascii="仿宋_GB2312" w:hAnsi="仿宋_GB2312" w:eastAsia="仿宋_GB2312"/>
          <w:sz w:val="32"/>
        </w:rPr>
        <w:t>（3）配合县人民政府抓好总量控制、排污许可制度，以及污染物、温室气体减排任务的落实。</w:t>
      </w:r>
    </w:p>
    <w:p w14:paraId="282A4B38">
      <w:pPr>
        <w:spacing w:line="580" w:lineRule="exact"/>
        <w:ind w:firstLine="640"/>
        <w:jc w:val="both"/>
      </w:pPr>
      <w:r>
        <w:rPr>
          <w:rFonts w:ascii="仿宋_GB2312" w:hAnsi="仿宋_GB2312" w:eastAsia="仿宋_GB2312"/>
          <w:sz w:val="32"/>
        </w:rPr>
        <w:t>（4）负责环境污染防治的监督管理。严格按照国家、自治区和自治州大气、水、土壤、噪声、光、恶臭、固体废物、化学品、机动车等污染防治管理制度，配合抓好落实并监督实施。配合县人民政府指导开展城乡生态环境综合整治，监督指导农业面源污染治理工作。</w:t>
      </w:r>
    </w:p>
    <w:p w14:paraId="21210B9C">
      <w:pPr>
        <w:spacing w:line="580" w:lineRule="exact"/>
        <w:ind w:firstLine="640"/>
        <w:jc w:val="both"/>
      </w:pPr>
      <w:r>
        <w:rPr>
          <w:rFonts w:ascii="仿宋_GB2312" w:hAnsi="仿宋_GB2312" w:eastAsia="仿宋_GB2312"/>
          <w:sz w:val="32"/>
        </w:rPr>
        <w:t>（5）指导协调和监督生态保护修复工作。配合县人民政府编制生态环境保护规划，监督对生态环境有影响的自然资源开发利用活动、重要生态环境建设和生态环境破坏恢复工作。配合开展农村生态环境保护、生物多样性保护工作。</w:t>
      </w:r>
    </w:p>
    <w:p w14:paraId="05A0D293">
      <w:pPr>
        <w:spacing w:line="580" w:lineRule="exact"/>
        <w:ind w:firstLine="640"/>
        <w:jc w:val="both"/>
      </w:pPr>
      <w:r>
        <w:rPr>
          <w:rFonts w:ascii="仿宋_GB2312" w:hAnsi="仿宋_GB2312" w:eastAsia="仿宋_GB2312"/>
          <w:sz w:val="32"/>
        </w:rPr>
        <w:t>（6）根据州生态环境部门安排做好核与辐射安全的监督管理。参与辐射环境事故应急处理工作，监督管理放射源及射线装置安全，做好核技术应用、电磁辐射、伴有放射性矿产资源开发利用中的污染防治。</w:t>
      </w:r>
    </w:p>
    <w:p w14:paraId="60705276">
      <w:pPr>
        <w:spacing w:line="580" w:lineRule="exact"/>
        <w:ind w:firstLine="640"/>
        <w:jc w:val="both"/>
      </w:pPr>
      <w:r>
        <w:rPr>
          <w:rFonts w:ascii="仿宋_GB2312" w:hAnsi="仿宋_GB2312" w:eastAsia="仿宋_GB2312"/>
          <w:sz w:val="32"/>
        </w:rPr>
        <w:t>（7）负责生态环境准入的监督管理。指导督促重大经济和技术政策、发展规划以及重大经济开发计划开展环境影响评价。</w:t>
      </w:r>
    </w:p>
    <w:p w14:paraId="1B688B48">
      <w:pPr>
        <w:spacing w:line="580" w:lineRule="exact"/>
        <w:ind w:firstLine="640"/>
        <w:jc w:val="both"/>
      </w:pPr>
      <w:r>
        <w:rPr>
          <w:rFonts w:ascii="仿宋_GB2312" w:hAnsi="仿宋_GB2312" w:eastAsia="仿宋_GB2312"/>
          <w:sz w:val="32"/>
        </w:rPr>
        <w:t>（8）组织开展区域生态环境保护执法监测和应急监测工作。</w:t>
      </w:r>
    </w:p>
    <w:p w14:paraId="10AAA064">
      <w:pPr>
        <w:spacing w:line="580" w:lineRule="exact"/>
        <w:ind w:firstLine="640"/>
        <w:jc w:val="both"/>
      </w:pPr>
      <w:r>
        <w:rPr>
          <w:rFonts w:ascii="仿宋_GB2312" w:hAnsi="仿宋_GB2312" w:eastAsia="仿宋_GB2312"/>
          <w:sz w:val="32"/>
        </w:rPr>
        <w:t>（9）组织开展生态环境保护执法，负责查处生态环境违法案件和环境信访投诉案件的调查处理。</w:t>
      </w:r>
    </w:p>
    <w:p w14:paraId="3C8C851C">
      <w:pPr>
        <w:spacing w:line="580" w:lineRule="exact"/>
        <w:ind w:firstLine="640"/>
        <w:jc w:val="both"/>
      </w:pPr>
      <w:r>
        <w:rPr>
          <w:rFonts w:ascii="仿宋_GB2312" w:hAnsi="仿宋_GB2312" w:eastAsia="仿宋_GB2312"/>
          <w:sz w:val="32"/>
        </w:rPr>
        <w:t>（10）组织开展生态环境保护宣传教育工作，推动社会组织和公众参与生态环境保护。</w:t>
      </w:r>
    </w:p>
    <w:p w14:paraId="258C7545">
      <w:pPr>
        <w:spacing w:line="580" w:lineRule="exact"/>
        <w:ind w:firstLine="640"/>
        <w:jc w:val="both"/>
      </w:pPr>
      <w:r>
        <w:rPr>
          <w:rFonts w:ascii="仿宋_GB2312" w:hAnsi="仿宋_GB2312" w:eastAsia="仿宋_GB2312"/>
          <w:sz w:val="32"/>
        </w:rPr>
        <w:t>（11）完成自治州生态环境局交办的其他任务，并配合县人民政府做好生态环境领域相关工作。</w:t>
      </w:r>
    </w:p>
    <w:p w14:paraId="2100B404">
      <w:pPr>
        <w:spacing w:line="640" w:lineRule="exact"/>
        <w:ind w:firstLine="640"/>
        <w:jc w:val="both"/>
        <w:outlineLvl w:val="2"/>
      </w:pPr>
      <w:r>
        <w:rPr>
          <w:rFonts w:ascii="黑体" w:hAnsi="黑体" w:eastAsia="黑体"/>
          <w:sz w:val="32"/>
        </w:rPr>
        <w:t>二、机构设置及人员情况</w:t>
      </w:r>
    </w:p>
    <w:p w14:paraId="50A17306">
      <w:pPr>
        <w:spacing w:line="580" w:lineRule="exact"/>
        <w:ind w:firstLine="640"/>
        <w:jc w:val="both"/>
      </w:pPr>
      <w:r>
        <w:rPr>
          <w:rFonts w:ascii="仿宋_GB2312" w:hAnsi="仿宋_GB2312" w:eastAsia="仿宋_GB2312"/>
          <w:sz w:val="32"/>
        </w:rPr>
        <w:t>巴音郭楞蒙古自治州生态环境局尉犁县分局2024年度，实有人数11人，其中：在职人员9人，减少2人；离休人员0人，增加0人；退休人员2人,增加1人。</w:t>
      </w:r>
    </w:p>
    <w:p w14:paraId="5914D686">
      <w:pPr>
        <w:spacing w:line="580" w:lineRule="exact"/>
        <w:ind w:firstLine="640"/>
        <w:jc w:val="both"/>
      </w:pPr>
      <w:r>
        <w:rPr>
          <w:rFonts w:ascii="仿宋_GB2312" w:hAnsi="仿宋_GB2312" w:eastAsia="仿宋_GB2312"/>
          <w:sz w:val="32"/>
        </w:rPr>
        <w:t>巴音郭楞蒙古自治州生态环境局尉犁县分局无下属预算单位，下设2个科室，分别是：行政办公室、业务科室。</w:t>
      </w:r>
    </w:p>
    <w:p w14:paraId="388BD05E">
      <w:r>
        <w:br w:type="page"/>
      </w:r>
    </w:p>
    <w:p w14:paraId="68C13125">
      <w:pPr>
        <w:spacing w:line="240" w:lineRule="auto"/>
        <w:jc w:val="center"/>
        <w:outlineLvl w:val="1"/>
      </w:pPr>
      <w:r>
        <w:rPr>
          <w:rFonts w:ascii="黑体" w:hAnsi="黑体" w:eastAsia="黑体"/>
          <w:sz w:val="32"/>
        </w:rPr>
        <w:t>第二部分 部门决算情况说明</w:t>
      </w:r>
    </w:p>
    <w:p w14:paraId="2BC001C0">
      <w:pPr>
        <w:spacing w:line="640" w:lineRule="exact"/>
        <w:ind w:firstLine="640"/>
        <w:jc w:val="both"/>
        <w:outlineLvl w:val="2"/>
      </w:pPr>
      <w:r>
        <w:rPr>
          <w:rFonts w:ascii="黑体" w:hAnsi="黑体" w:eastAsia="黑体"/>
          <w:sz w:val="32"/>
        </w:rPr>
        <w:t>一、收入支出决算总体情况说明</w:t>
      </w:r>
    </w:p>
    <w:p w14:paraId="68D6C2F5">
      <w:pPr>
        <w:spacing w:line="580" w:lineRule="exact"/>
        <w:ind w:firstLine="640"/>
        <w:jc w:val="both"/>
      </w:pPr>
      <w:r>
        <w:rPr>
          <w:rFonts w:ascii="仿宋_GB2312" w:hAnsi="仿宋_GB2312" w:eastAsia="仿宋_GB2312"/>
          <w:b/>
          <w:sz w:val="32"/>
        </w:rPr>
        <w:t>2024年度收入总计237.68万元，</w:t>
      </w:r>
      <w:r>
        <w:rPr>
          <w:rFonts w:ascii="仿宋_GB2312" w:hAnsi="仿宋_GB2312" w:eastAsia="仿宋_GB2312"/>
          <w:b w:val="0"/>
          <w:sz w:val="32"/>
        </w:rPr>
        <w:t>其中：本年收入合计237.68万元，使用非财政拨款结余（含专用结余）0.00万元，年初结转和结余0.00万元。</w:t>
      </w:r>
    </w:p>
    <w:p w14:paraId="01964BF4">
      <w:pPr>
        <w:spacing w:line="580" w:lineRule="exact"/>
        <w:ind w:firstLine="640"/>
        <w:jc w:val="both"/>
      </w:pPr>
      <w:r>
        <w:rPr>
          <w:rFonts w:ascii="仿宋_GB2312" w:hAnsi="仿宋_GB2312" w:eastAsia="仿宋_GB2312"/>
          <w:b/>
          <w:sz w:val="32"/>
        </w:rPr>
        <w:t>2024年度支出总计237.68万元，</w:t>
      </w:r>
      <w:r>
        <w:rPr>
          <w:rFonts w:ascii="仿宋_GB2312" w:hAnsi="仿宋_GB2312" w:eastAsia="仿宋_GB2312"/>
          <w:b w:val="0"/>
          <w:sz w:val="32"/>
        </w:rPr>
        <w:t>其中：本年支出合计237.68万元，结余分配0.00万元，年末结转和结余0.00万元。</w:t>
      </w:r>
    </w:p>
    <w:p w14:paraId="1EF3CC3E">
      <w:pPr>
        <w:spacing w:line="580" w:lineRule="exact"/>
        <w:ind w:firstLine="640"/>
        <w:jc w:val="both"/>
      </w:pPr>
      <w:r>
        <w:rPr>
          <w:rFonts w:ascii="仿宋_GB2312" w:hAnsi="仿宋_GB2312" w:eastAsia="仿宋_GB2312"/>
          <w:b w:val="0"/>
          <w:sz w:val="32"/>
        </w:rPr>
        <w:t>收入支出总体与上年相比，减少7.85万元，下降3.20%，主要原因是：本年在职人员减少，相关人员经费较上年减少。</w:t>
      </w:r>
    </w:p>
    <w:p w14:paraId="34F16FFF">
      <w:pPr>
        <w:spacing w:line="640" w:lineRule="exact"/>
        <w:ind w:firstLine="640"/>
        <w:jc w:val="both"/>
        <w:outlineLvl w:val="2"/>
      </w:pPr>
      <w:r>
        <w:rPr>
          <w:rFonts w:ascii="黑体" w:hAnsi="黑体" w:eastAsia="黑体"/>
          <w:sz w:val="32"/>
        </w:rPr>
        <w:t>二、收入决算情况说明</w:t>
      </w:r>
    </w:p>
    <w:p w14:paraId="2DACAF80">
      <w:pPr>
        <w:spacing w:line="580" w:lineRule="exact"/>
        <w:ind w:firstLine="640"/>
        <w:jc w:val="both"/>
      </w:pPr>
      <w:r>
        <w:rPr>
          <w:rFonts w:ascii="仿宋_GB2312" w:hAnsi="仿宋_GB2312" w:eastAsia="仿宋_GB2312"/>
          <w:b/>
          <w:sz w:val="32"/>
        </w:rPr>
        <w:t>本年收入237.68万元，</w:t>
      </w:r>
      <w:r>
        <w:rPr>
          <w:rFonts w:ascii="仿宋_GB2312" w:hAnsi="仿宋_GB2312" w:eastAsia="仿宋_GB2312"/>
          <w:b w:val="0"/>
          <w:sz w:val="32"/>
        </w:rPr>
        <w:t>其中：财政拨款收入197.68万元，占83.17%；上级补助收入0.00万元，占0.00%；事业收入0.00万元，占0.00%；经营收入0.00万元，占0.00%；附属单位上缴收入0.00万元，占0.00%；其他收入40.00万元，占16.83%。</w:t>
      </w:r>
    </w:p>
    <w:p w14:paraId="4F3ECCF5">
      <w:pPr>
        <w:spacing w:line="640" w:lineRule="exact"/>
        <w:ind w:firstLine="640"/>
        <w:jc w:val="both"/>
        <w:outlineLvl w:val="2"/>
      </w:pPr>
      <w:r>
        <w:rPr>
          <w:rFonts w:ascii="黑体" w:hAnsi="黑体" w:eastAsia="黑体"/>
          <w:sz w:val="32"/>
        </w:rPr>
        <w:t>三、支出决算情况说明</w:t>
      </w:r>
    </w:p>
    <w:p w14:paraId="28AA4BA0">
      <w:pPr>
        <w:spacing w:line="580" w:lineRule="exact"/>
        <w:ind w:firstLine="640"/>
        <w:jc w:val="both"/>
      </w:pPr>
      <w:r>
        <w:rPr>
          <w:rFonts w:ascii="仿宋_GB2312" w:hAnsi="仿宋_GB2312" w:eastAsia="仿宋_GB2312"/>
          <w:b/>
          <w:sz w:val="32"/>
        </w:rPr>
        <w:t>本年支出237.68万元，</w:t>
      </w:r>
      <w:r>
        <w:rPr>
          <w:rFonts w:ascii="仿宋_GB2312" w:hAnsi="仿宋_GB2312" w:eastAsia="仿宋_GB2312"/>
          <w:b w:val="0"/>
          <w:sz w:val="32"/>
        </w:rPr>
        <w:t>其中：基本支出197.68万元，占83.17%；项目支出40.00万元，占16.83%；上缴上级支出0.00万元，占0.00%；经营支出0.00万元，占0.00%；对附属单位补助支出0.00万元，占0.00%。</w:t>
      </w:r>
    </w:p>
    <w:p w14:paraId="39927D80">
      <w:pPr>
        <w:spacing w:line="640" w:lineRule="exact"/>
        <w:ind w:firstLine="640"/>
        <w:jc w:val="both"/>
        <w:outlineLvl w:val="2"/>
      </w:pPr>
      <w:r>
        <w:rPr>
          <w:rFonts w:ascii="黑体" w:hAnsi="黑体" w:eastAsia="黑体"/>
          <w:sz w:val="32"/>
        </w:rPr>
        <w:t>四、财政拨款收入支出决算总体情况说明</w:t>
      </w:r>
    </w:p>
    <w:p w14:paraId="3943F284">
      <w:pPr>
        <w:spacing w:line="580" w:lineRule="exact"/>
        <w:ind w:firstLine="640"/>
        <w:jc w:val="both"/>
      </w:pPr>
      <w:r>
        <w:rPr>
          <w:rFonts w:ascii="仿宋_GB2312" w:hAnsi="仿宋_GB2312" w:eastAsia="仿宋_GB2312"/>
          <w:b/>
          <w:sz w:val="32"/>
        </w:rPr>
        <w:t>2024年度财政拨款收入总计197.68万元，</w:t>
      </w:r>
      <w:r>
        <w:rPr>
          <w:rFonts w:ascii="仿宋_GB2312" w:hAnsi="仿宋_GB2312" w:eastAsia="仿宋_GB2312"/>
          <w:b w:val="0"/>
          <w:sz w:val="32"/>
        </w:rPr>
        <w:t>其中：年初财政拨款结转和结余0.00万元，本年财政拨款收入197.68万元。</w:t>
      </w:r>
      <w:r>
        <w:rPr>
          <w:rFonts w:ascii="仿宋_GB2312" w:hAnsi="仿宋_GB2312" w:eastAsia="仿宋_GB2312"/>
          <w:b/>
          <w:sz w:val="32"/>
        </w:rPr>
        <w:t>财政拨款支出总计197.68万元，</w:t>
      </w:r>
      <w:r>
        <w:rPr>
          <w:rFonts w:ascii="仿宋_GB2312" w:hAnsi="仿宋_GB2312" w:eastAsia="仿宋_GB2312"/>
          <w:b w:val="0"/>
          <w:sz w:val="32"/>
        </w:rPr>
        <w:t>其中：年末财政拨款结转和结余0.00万元，本年财政拨款支出197.68万元。</w:t>
      </w:r>
    </w:p>
    <w:p w14:paraId="3E34A00A">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减少47.85万元，下降19.49%，主要原因是：本年在职人员减少，相关人员经费较上年减少；本年减少单位为民办实事经费。</w:t>
      </w:r>
      <w:r>
        <w:rPr>
          <w:rFonts w:ascii="仿宋_GB2312" w:hAnsi="仿宋_GB2312" w:eastAsia="仿宋_GB2312"/>
          <w:b/>
          <w:sz w:val="32"/>
        </w:rPr>
        <w:t>与年初预算相比，</w:t>
      </w:r>
      <w:r>
        <w:rPr>
          <w:rFonts w:ascii="仿宋_GB2312" w:hAnsi="仿宋_GB2312" w:eastAsia="仿宋_GB2312"/>
          <w:b w:val="0"/>
          <w:sz w:val="32"/>
        </w:rPr>
        <w:t>年初预算数214.68万元，决算数197.68万元，预决算差异率-7.92%，主要原因是：本年在职人员减少，年中调减人员经费，导致预决算存在差异。</w:t>
      </w:r>
    </w:p>
    <w:p w14:paraId="020C99FC">
      <w:pPr>
        <w:spacing w:line="640" w:lineRule="exact"/>
        <w:ind w:firstLine="640"/>
        <w:jc w:val="both"/>
        <w:outlineLvl w:val="2"/>
      </w:pPr>
      <w:r>
        <w:rPr>
          <w:rFonts w:ascii="黑体" w:hAnsi="黑体" w:eastAsia="黑体"/>
          <w:sz w:val="32"/>
        </w:rPr>
        <w:t>五、一般公共预算财政拨款支出决算情况说明</w:t>
      </w:r>
    </w:p>
    <w:p w14:paraId="35CA9456">
      <w:pPr>
        <w:spacing w:line="640" w:lineRule="exact"/>
        <w:ind w:firstLine="640"/>
        <w:jc w:val="both"/>
        <w:outlineLvl w:val="3"/>
      </w:pPr>
      <w:r>
        <w:rPr>
          <w:rFonts w:ascii="楷体_GB2312" w:hAnsi="楷体_GB2312" w:eastAsia="楷体_GB2312"/>
          <w:b/>
          <w:sz w:val="32"/>
        </w:rPr>
        <w:t>（一）一般公共预算财政拨款支出决算总体情况</w:t>
      </w:r>
    </w:p>
    <w:p w14:paraId="2E306112">
      <w:pPr>
        <w:spacing w:line="580" w:lineRule="exact"/>
        <w:ind w:firstLine="640"/>
        <w:jc w:val="both"/>
      </w:pPr>
      <w:r>
        <w:rPr>
          <w:rFonts w:ascii="仿宋_GB2312" w:hAnsi="仿宋_GB2312" w:eastAsia="仿宋_GB2312"/>
          <w:b/>
          <w:sz w:val="32"/>
        </w:rPr>
        <w:t>2024年度一般公共预算财政拨款支出197.68万元，</w:t>
      </w:r>
      <w:r>
        <w:rPr>
          <w:rFonts w:ascii="仿宋_GB2312" w:hAnsi="仿宋_GB2312" w:eastAsia="仿宋_GB2312"/>
          <w:b w:val="0"/>
          <w:sz w:val="32"/>
        </w:rPr>
        <w:t>占本年支出合计的83.17%。</w:t>
      </w:r>
      <w:r>
        <w:rPr>
          <w:rFonts w:ascii="仿宋_GB2312" w:hAnsi="仿宋_GB2312" w:eastAsia="仿宋_GB2312"/>
          <w:b/>
          <w:sz w:val="32"/>
        </w:rPr>
        <w:t>与上年相比，</w:t>
      </w:r>
      <w:r>
        <w:rPr>
          <w:rFonts w:ascii="仿宋_GB2312" w:hAnsi="仿宋_GB2312" w:eastAsia="仿宋_GB2312"/>
          <w:b w:val="0"/>
          <w:sz w:val="32"/>
        </w:rPr>
        <w:t>减少47.85万元，下降19.49%，主要原因是：本年在职人员减少，相关人员经费较上年减少；本年减少单位为民办实事经费。</w:t>
      </w:r>
      <w:r>
        <w:rPr>
          <w:rFonts w:ascii="仿宋_GB2312" w:hAnsi="仿宋_GB2312" w:eastAsia="仿宋_GB2312"/>
          <w:b/>
          <w:sz w:val="32"/>
        </w:rPr>
        <w:t>与年初预算相比,</w:t>
      </w:r>
      <w:r>
        <w:rPr>
          <w:rFonts w:ascii="仿宋_GB2312" w:hAnsi="仿宋_GB2312" w:eastAsia="仿宋_GB2312"/>
          <w:b w:val="0"/>
          <w:sz w:val="32"/>
        </w:rPr>
        <w:t>年初预算数214.68万元，决算数197.68万元，预决算差异率-7.92%，主要原因是：本年在职人员减少，年中调减人员经费，导致预决算存在差异。</w:t>
      </w:r>
    </w:p>
    <w:p w14:paraId="457E52AB">
      <w:pPr>
        <w:spacing w:line="640" w:lineRule="exact"/>
        <w:ind w:firstLine="640"/>
        <w:jc w:val="both"/>
        <w:outlineLvl w:val="3"/>
      </w:pPr>
      <w:r>
        <w:rPr>
          <w:rFonts w:ascii="楷体_GB2312" w:hAnsi="楷体_GB2312" w:eastAsia="楷体_GB2312"/>
          <w:b/>
          <w:sz w:val="32"/>
        </w:rPr>
        <w:t>（二）一般公共预算财政拨款支出决算结构情况</w:t>
      </w:r>
    </w:p>
    <w:p w14:paraId="6FD0C29F">
      <w:pPr>
        <w:spacing w:line="580" w:lineRule="exact"/>
        <w:ind w:firstLine="640"/>
        <w:jc w:val="both"/>
      </w:pPr>
      <w:r>
        <w:rPr>
          <w:rFonts w:ascii="仿宋_GB2312" w:hAnsi="仿宋_GB2312" w:eastAsia="仿宋_GB2312"/>
          <w:b w:val="0"/>
          <w:sz w:val="32"/>
        </w:rPr>
        <w:t>1.教育支出(类)0.51万元,占0.26%。</w:t>
      </w:r>
    </w:p>
    <w:p w14:paraId="3F27AC0A">
      <w:pPr>
        <w:spacing w:line="580" w:lineRule="exact"/>
        <w:ind w:firstLine="640"/>
        <w:jc w:val="both"/>
      </w:pPr>
      <w:r>
        <w:rPr>
          <w:rFonts w:ascii="仿宋_GB2312" w:hAnsi="仿宋_GB2312" w:eastAsia="仿宋_GB2312"/>
          <w:b w:val="0"/>
          <w:sz w:val="32"/>
        </w:rPr>
        <w:t>2.社会保障和就业支出(类)26.21万元,占13.26%。</w:t>
      </w:r>
    </w:p>
    <w:p w14:paraId="2D61F005">
      <w:pPr>
        <w:spacing w:line="580" w:lineRule="exact"/>
        <w:ind w:firstLine="640"/>
        <w:jc w:val="both"/>
      </w:pPr>
      <w:r>
        <w:rPr>
          <w:rFonts w:ascii="仿宋_GB2312" w:hAnsi="仿宋_GB2312" w:eastAsia="仿宋_GB2312"/>
          <w:b w:val="0"/>
          <w:sz w:val="32"/>
        </w:rPr>
        <w:t>3.卫生健康支出(类)10.99万元,占5.56%。</w:t>
      </w:r>
    </w:p>
    <w:p w14:paraId="674AC93B">
      <w:pPr>
        <w:spacing w:line="580" w:lineRule="exact"/>
        <w:ind w:firstLine="640"/>
        <w:jc w:val="both"/>
      </w:pPr>
      <w:r>
        <w:rPr>
          <w:rFonts w:ascii="仿宋_GB2312" w:hAnsi="仿宋_GB2312" w:eastAsia="仿宋_GB2312"/>
          <w:b w:val="0"/>
          <w:sz w:val="32"/>
        </w:rPr>
        <w:t>4.节能环保支出(类)145.71万元,占73.71%。</w:t>
      </w:r>
    </w:p>
    <w:p w14:paraId="18E3D05C">
      <w:pPr>
        <w:spacing w:line="580" w:lineRule="exact"/>
        <w:ind w:firstLine="640"/>
        <w:jc w:val="both"/>
      </w:pPr>
      <w:r>
        <w:rPr>
          <w:rFonts w:ascii="仿宋_GB2312" w:hAnsi="仿宋_GB2312" w:eastAsia="仿宋_GB2312"/>
          <w:b w:val="0"/>
          <w:sz w:val="32"/>
        </w:rPr>
        <w:t>5.住房保障支出(类)14.26万元,占7.21%。</w:t>
      </w:r>
    </w:p>
    <w:p w14:paraId="301BC8B1">
      <w:pPr>
        <w:spacing w:line="640" w:lineRule="exact"/>
        <w:ind w:firstLine="640"/>
        <w:jc w:val="both"/>
        <w:outlineLvl w:val="3"/>
      </w:pPr>
      <w:r>
        <w:rPr>
          <w:rFonts w:ascii="楷体_GB2312" w:hAnsi="楷体_GB2312" w:eastAsia="楷体_GB2312"/>
          <w:b/>
          <w:sz w:val="32"/>
        </w:rPr>
        <w:t>（三）一般公共预算财政拨款支出决算具体情况</w:t>
      </w:r>
    </w:p>
    <w:p w14:paraId="69C40C7B">
      <w:pPr>
        <w:spacing w:line="580" w:lineRule="exact"/>
        <w:ind w:firstLine="640"/>
        <w:jc w:val="both"/>
      </w:pPr>
      <w:r>
        <w:rPr>
          <w:rFonts w:ascii="仿宋_GB2312" w:hAnsi="仿宋_GB2312" w:eastAsia="仿宋_GB2312"/>
          <w:b w:val="0"/>
          <w:sz w:val="32"/>
        </w:rPr>
        <w:t>1.教育支出(类)进修及培训(款)培训支出(项):支出决算数为0.51万元，比上年决算增加0.51万元，增长100.00%,主要原因是：本年度增加外出培训批次，导致</w:t>
      </w:r>
      <w:r>
        <w:rPr>
          <w:rFonts w:hint="eastAsia" w:ascii="仿宋_GB2312" w:hAnsi="仿宋_GB2312" w:eastAsia="仿宋_GB2312"/>
          <w:b w:val="0"/>
          <w:sz w:val="32"/>
          <w:lang w:val="en-US" w:eastAsia="zh-CN"/>
        </w:rPr>
        <w:t>培训费</w:t>
      </w:r>
      <w:r>
        <w:rPr>
          <w:rFonts w:ascii="仿宋_GB2312" w:hAnsi="仿宋_GB2312" w:eastAsia="仿宋_GB2312"/>
          <w:b w:val="0"/>
          <w:sz w:val="32"/>
        </w:rPr>
        <w:t>较上年增加。</w:t>
      </w:r>
    </w:p>
    <w:p w14:paraId="3AFE26CB">
      <w:pPr>
        <w:spacing w:line="580" w:lineRule="exact"/>
        <w:ind w:firstLine="640"/>
        <w:jc w:val="both"/>
      </w:pPr>
      <w:r>
        <w:rPr>
          <w:rFonts w:ascii="仿宋_GB2312" w:hAnsi="仿宋_GB2312" w:eastAsia="仿宋_GB2312"/>
          <w:b w:val="0"/>
          <w:sz w:val="32"/>
        </w:rPr>
        <w:t>2.社会保障和就业支出(类)行政事业单位养老支出(款)行政单位离退休(项):支出决算数为1.19万元，比上年决算增加0.92万元，增长340.74%,主要原因是：本年退休人员增加，增加退休人员基础绩效奖，退休费支出增加。</w:t>
      </w:r>
    </w:p>
    <w:p w14:paraId="3A381A46">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17.70万元，比上年决算减少0.94万元，下降5.04%,主要原因是：本年在职人员减少，单位基本养老保险缴费较上年减少。</w:t>
      </w:r>
    </w:p>
    <w:p w14:paraId="25EF8577">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4.社会保障和就业支出(类)行政事业单位养老支出(款)机关事业单位职业年金缴费支出(项):支出决算数为7.33万元，比上年决算增加0.36万元，增长5.16%,主要原因是：本年新增退休人员，职业年金缴费支出增加。</w:t>
      </w:r>
    </w:p>
    <w:p w14:paraId="61050D49">
      <w:pPr>
        <w:spacing w:line="580" w:lineRule="exact"/>
        <w:ind w:firstLine="640"/>
        <w:jc w:val="both"/>
      </w:pPr>
      <w:r>
        <w:rPr>
          <w:rFonts w:ascii="仿宋_GB2312" w:hAnsi="仿宋_GB2312" w:eastAsia="仿宋_GB2312"/>
          <w:b w:val="0"/>
          <w:sz w:val="32"/>
        </w:rPr>
        <w:t>5.卫生健康支出(类)行政事业单位医疗(款)行政单位医疗(项):支出决算数为6.91万元，比上年决算减少0.46万元，下降6.24%,主要原因是：本年在职人员减少，行政单位医疗支出较上年减少。</w:t>
      </w:r>
    </w:p>
    <w:p w14:paraId="13FD6ECD">
      <w:pPr>
        <w:spacing w:line="580" w:lineRule="exact"/>
        <w:ind w:firstLine="640"/>
        <w:jc w:val="both"/>
      </w:pPr>
      <w:r>
        <w:rPr>
          <w:rFonts w:ascii="仿宋_GB2312" w:hAnsi="仿宋_GB2312" w:eastAsia="仿宋_GB2312"/>
          <w:b w:val="0"/>
          <w:sz w:val="32"/>
        </w:rPr>
        <w:t>6.卫生健康支出(类)行政事业单位医疗(款)事业单位医疗(项):支出决算数为0.83万元，比上年决算增加0.05万元，增长6.41%,主要原因是：本年在职人员工资基数调增，医疗缴费基数上涨，相应支出增加。</w:t>
      </w:r>
    </w:p>
    <w:p w14:paraId="31A495BE">
      <w:pPr>
        <w:spacing w:line="580" w:lineRule="exact"/>
        <w:ind w:firstLine="640"/>
        <w:jc w:val="both"/>
      </w:pPr>
      <w:r>
        <w:rPr>
          <w:rFonts w:ascii="仿宋_GB2312" w:hAnsi="仿宋_GB2312" w:eastAsia="仿宋_GB2312"/>
          <w:b w:val="0"/>
          <w:sz w:val="32"/>
        </w:rPr>
        <w:t>7.卫生健康支出(类)行政事业单位医疗(款)公务员医疗补助(项):支出决算数为2.96万元，比上年决算减少0.20万元，下降6.33%,主要原因是：本年在职人员减少，公务员医疗补助较上年减少。</w:t>
      </w:r>
    </w:p>
    <w:p w14:paraId="3F314FFB">
      <w:pPr>
        <w:spacing w:line="580" w:lineRule="exact"/>
        <w:ind w:firstLine="640"/>
        <w:jc w:val="both"/>
      </w:pPr>
      <w:r>
        <w:rPr>
          <w:rFonts w:ascii="仿宋_GB2312" w:hAnsi="仿宋_GB2312" w:eastAsia="仿宋_GB2312"/>
          <w:b w:val="0"/>
          <w:sz w:val="32"/>
        </w:rPr>
        <w:t>8.卫生健康支出(类)行政事业单位医疗(款)其他行政事业单位医疗支出(项):支出决算数为0.29万元，比上年决算减少0.01万元，下降3.33%,主要原因是：本年在职人员减少，其他行政事业单位医疗支出较上年减少。</w:t>
      </w:r>
    </w:p>
    <w:p w14:paraId="53A3D604">
      <w:pPr>
        <w:spacing w:line="580" w:lineRule="exact"/>
        <w:ind w:firstLine="640"/>
        <w:jc w:val="both"/>
      </w:pPr>
      <w:r>
        <w:rPr>
          <w:rFonts w:ascii="仿宋_GB2312" w:hAnsi="仿宋_GB2312" w:eastAsia="仿宋_GB2312"/>
          <w:b w:val="0"/>
          <w:sz w:val="32"/>
        </w:rPr>
        <w:t>9.节能环保支出(类)环境保护管理事务(款)行政运行(项):支出决算数为132.28万元，比上年决算减少55.32万元，下降29.49%,主要原因是：本年在职人员减少，相应人员经费较上年减少；本年功能科目调整，事业编人员工资上年在行政运行科目列支，本年在其他环境保护管理事务支出科目列支，导致经费减少。</w:t>
      </w:r>
    </w:p>
    <w:p w14:paraId="652712BB">
      <w:pPr>
        <w:spacing w:line="580" w:lineRule="exact"/>
        <w:ind w:firstLine="640"/>
        <w:jc w:val="both"/>
      </w:pPr>
      <w:r>
        <w:rPr>
          <w:rFonts w:ascii="仿宋_GB2312" w:hAnsi="仿宋_GB2312" w:eastAsia="仿宋_GB2312"/>
          <w:b w:val="0"/>
          <w:sz w:val="32"/>
        </w:rPr>
        <w:t>10.节能环保支出(类)环境保护管理事务(款)一般行政管理事务(项):支出决算数为0.00万元，比上年决算减少7.00万元，下降100.00%,主要原因是：本年减少单位为民办实事经费。</w:t>
      </w:r>
    </w:p>
    <w:p w14:paraId="437F8097">
      <w:pPr>
        <w:spacing w:line="580" w:lineRule="exact"/>
        <w:ind w:firstLine="640"/>
        <w:jc w:val="both"/>
      </w:pPr>
      <w:r>
        <w:rPr>
          <w:rFonts w:ascii="仿宋_GB2312" w:hAnsi="仿宋_GB2312" w:eastAsia="仿宋_GB2312"/>
          <w:b w:val="0"/>
          <w:sz w:val="32"/>
        </w:rPr>
        <w:t>11.节能环保支出(类)环境保护管理事务(款)其他环境保护管理事务支出(项):支出决算数为13.43万元，比上年决算增加13.43万元，增长100.00%,主要原因是：本年功能科目调整，事业编人员工资上年在行政运行科目列支，本年在其他环境保护管理事务支出科目列支，导致经费增加。</w:t>
      </w:r>
    </w:p>
    <w:p w14:paraId="4B8FE335">
      <w:pPr>
        <w:spacing w:line="580" w:lineRule="exact"/>
        <w:ind w:firstLine="640"/>
        <w:jc w:val="both"/>
      </w:pPr>
      <w:r>
        <w:rPr>
          <w:rFonts w:ascii="仿宋_GB2312" w:hAnsi="仿宋_GB2312" w:eastAsia="仿宋_GB2312"/>
          <w:b w:val="0"/>
          <w:sz w:val="32"/>
        </w:rPr>
        <w:t>12.住房保障支出(类)住房改革支出(款)住房公积金(项):支出决算数为14.26万元，比上年决算增加0.83万元，增长6.18%,主要原因是：本年在职人员工资基数调增，公积金缴费基数上涨，相应支出增加。</w:t>
      </w:r>
    </w:p>
    <w:p w14:paraId="0CDB7B1C">
      <w:pPr>
        <w:spacing w:line="640" w:lineRule="exact"/>
        <w:ind w:firstLine="640"/>
        <w:jc w:val="both"/>
        <w:outlineLvl w:val="2"/>
      </w:pPr>
      <w:r>
        <w:rPr>
          <w:rFonts w:ascii="黑体" w:hAnsi="黑体" w:eastAsia="黑体"/>
          <w:sz w:val="32"/>
        </w:rPr>
        <w:t>六、一般公共预算财政拨款基本支出决算情况说明</w:t>
      </w:r>
    </w:p>
    <w:p w14:paraId="2EA1B25B">
      <w:pPr>
        <w:spacing w:line="580" w:lineRule="exact"/>
        <w:ind w:firstLine="640"/>
        <w:jc w:val="both"/>
      </w:pPr>
      <w:r>
        <w:rPr>
          <w:rFonts w:ascii="仿宋_GB2312" w:hAnsi="仿宋_GB2312" w:eastAsia="仿宋_GB2312"/>
          <w:b w:val="0"/>
          <w:sz w:val="32"/>
        </w:rPr>
        <w:t>2024年度一般公共预算财政拨款基本支出197.68万元，其中：</w:t>
      </w:r>
      <w:r>
        <w:rPr>
          <w:rFonts w:ascii="仿宋_GB2312" w:hAnsi="仿宋_GB2312" w:eastAsia="仿宋_GB2312"/>
          <w:b/>
          <w:sz w:val="32"/>
        </w:rPr>
        <w:t>人员经费181.82万元，</w:t>
      </w:r>
      <w:r>
        <w:rPr>
          <w:rFonts w:ascii="仿宋_GB2312" w:hAnsi="仿宋_GB2312" w:eastAsia="仿宋_GB2312"/>
          <w:b w:val="0"/>
          <w:sz w:val="32"/>
        </w:rPr>
        <w:t>包括：基本工资、津贴补贴、奖金、伙食补助费、机关事业单位基本养老保险缴费、职业年金缴费、职工基本医疗保险缴费、公务员医疗补助缴费、其他社会保障缴费、住房公积金、医疗费、退休费、奖励金。</w:t>
      </w:r>
    </w:p>
    <w:p w14:paraId="375FB1CD">
      <w:pPr>
        <w:spacing w:line="580" w:lineRule="exact"/>
        <w:ind w:firstLine="640"/>
        <w:jc w:val="both"/>
      </w:pPr>
      <w:r>
        <w:rPr>
          <w:rFonts w:ascii="仿宋_GB2312" w:hAnsi="仿宋_GB2312" w:eastAsia="仿宋_GB2312"/>
          <w:b/>
          <w:sz w:val="32"/>
        </w:rPr>
        <w:t>公用经费15.87万元，</w:t>
      </w:r>
      <w:r>
        <w:rPr>
          <w:rFonts w:ascii="仿宋_GB2312" w:hAnsi="仿宋_GB2312" w:eastAsia="仿宋_GB2312"/>
          <w:b w:val="0"/>
          <w:sz w:val="32"/>
        </w:rPr>
        <w:t>包括：办公费、水费、邮电费、取暖费、差旅费、租赁费、培训费、劳务费、工会经费、福利费、公务用车运行维护费、其他商品和服务支出。</w:t>
      </w:r>
    </w:p>
    <w:p w14:paraId="713516DD">
      <w:pPr>
        <w:spacing w:line="640" w:lineRule="exact"/>
        <w:ind w:firstLine="640"/>
        <w:jc w:val="both"/>
        <w:outlineLvl w:val="2"/>
      </w:pPr>
      <w:r>
        <w:rPr>
          <w:rFonts w:ascii="黑体" w:hAnsi="黑体" w:eastAsia="黑体"/>
          <w:sz w:val="32"/>
        </w:rPr>
        <w:t>七、政府性基金预算财政拨款收入支出决算情况说明</w:t>
      </w:r>
    </w:p>
    <w:p w14:paraId="73F256A3">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66824A55">
      <w:pPr>
        <w:spacing w:line="640" w:lineRule="exact"/>
        <w:ind w:firstLine="640"/>
        <w:jc w:val="both"/>
        <w:outlineLvl w:val="2"/>
      </w:pPr>
      <w:r>
        <w:rPr>
          <w:rFonts w:ascii="黑体" w:hAnsi="黑体" w:eastAsia="黑体"/>
          <w:sz w:val="32"/>
        </w:rPr>
        <w:t>八、国有资本经营预算财政拨款收入支出决算情况说明</w:t>
      </w:r>
    </w:p>
    <w:p w14:paraId="2C543636">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5C4AD62B">
      <w:pPr>
        <w:spacing w:line="640" w:lineRule="exact"/>
        <w:ind w:firstLine="640"/>
        <w:jc w:val="both"/>
        <w:outlineLvl w:val="2"/>
      </w:pPr>
      <w:r>
        <w:rPr>
          <w:rFonts w:ascii="黑体" w:hAnsi="黑体" w:eastAsia="黑体"/>
          <w:sz w:val="32"/>
        </w:rPr>
        <w:t>九、财政拨款“三公”经费支出决算情况说明</w:t>
      </w:r>
    </w:p>
    <w:p w14:paraId="5028E45C">
      <w:pPr>
        <w:spacing w:line="580" w:lineRule="exact"/>
        <w:ind w:firstLine="640"/>
        <w:jc w:val="both"/>
      </w:pPr>
      <w:r>
        <w:rPr>
          <w:rFonts w:ascii="仿宋_GB2312" w:hAnsi="仿宋_GB2312" w:eastAsia="仿宋_GB2312"/>
          <w:b/>
          <w:sz w:val="32"/>
        </w:rPr>
        <w:t>2024年度财政拨款“三公”经费支出2.52万元，</w:t>
      </w:r>
      <w:r>
        <w:rPr>
          <w:rFonts w:ascii="仿宋_GB2312" w:hAnsi="仿宋_GB2312" w:eastAsia="仿宋_GB2312"/>
          <w:b w:val="0"/>
          <w:sz w:val="32"/>
        </w:rPr>
        <w:t>比上年减少0.18万元，下降6.67%，主要原因是：严格落实中央八项规定精神，厉行节约，减少财政拨款“三公”经费支出。其中：因公出国（境）费支出0.00万元，占0.00%，比上年增加0.00万元，增长0.00%，主要原因是：2023年与2024年均未安排因公出国（境）费支出。公务用车购置及运行维护费支出2.52万元，占100.00%，比上年减少0.18万元，下降6.67%，主要原因是：严格落实中央八项规定精神，厉行节约，减少公务用车运行维护费。公务接待费支出0.00万元，占0.00%，比上年增加0.00万元，增长0.00%，主要原因是：2023年与2024年均未安排公务接待费支出。</w:t>
      </w:r>
    </w:p>
    <w:p w14:paraId="7A66382D">
      <w:pPr>
        <w:spacing w:line="580" w:lineRule="exact"/>
        <w:ind w:firstLine="640"/>
        <w:jc w:val="both"/>
      </w:pPr>
      <w:r>
        <w:rPr>
          <w:rFonts w:ascii="仿宋_GB2312" w:hAnsi="仿宋_GB2312" w:eastAsia="仿宋_GB2312"/>
          <w:b/>
          <w:sz w:val="32"/>
        </w:rPr>
        <w:t>具体情况如下：</w:t>
      </w:r>
    </w:p>
    <w:p w14:paraId="6D412240">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861AC45">
      <w:pPr>
        <w:spacing w:line="580" w:lineRule="exact"/>
        <w:ind w:firstLine="640"/>
        <w:jc w:val="both"/>
      </w:pPr>
      <w:r>
        <w:rPr>
          <w:rFonts w:ascii="仿宋_GB2312" w:hAnsi="仿宋_GB2312" w:eastAsia="仿宋_GB2312"/>
          <w:b w:val="0"/>
          <w:sz w:val="32"/>
        </w:rPr>
        <w:t>公务用车购置及运行维护费2.52万元，其中：公务用车购置费0.00万元，公务用车运行维护费2.52万元。公务用车运行维护费开支内容包括车辆加油费、维修费、保险费、审车费、过路费等。公务用车购置数0辆，公务用车保有量1辆。国有资产占用情况中固定资产车辆2辆，与公务用车保有量差异原因是：差异车辆为一般业务用车，预算未安排公务用车运行维护费。</w:t>
      </w:r>
    </w:p>
    <w:p w14:paraId="65C092EB">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25FD85C">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2.52万元，决算数2.52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2.52万元，决算数2.52万元，预决算差异率0.00%，主要原因是：严格按照预算执行，预决算无差异。公务接待费全年预算数0.00万元，决算数0.00万元，预决算差异率0.00%，主要原因是：本单位无公务接待费。</w:t>
      </w:r>
    </w:p>
    <w:p w14:paraId="473B789A">
      <w:pPr>
        <w:spacing w:line="640" w:lineRule="exact"/>
        <w:ind w:firstLine="640"/>
        <w:jc w:val="both"/>
        <w:outlineLvl w:val="2"/>
      </w:pPr>
      <w:r>
        <w:rPr>
          <w:rFonts w:ascii="黑体" w:hAnsi="黑体" w:eastAsia="黑体"/>
          <w:sz w:val="32"/>
        </w:rPr>
        <w:t>十、其他重要事项的情况说明</w:t>
      </w:r>
    </w:p>
    <w:p w14:paraId="46E56815">
      <w:pPr>
        <w:spacing w:line="640" w:lineRule="exact"/>
        <w:ind w:firstLine="640"/>
        <w:jc w:val="both"/>
        <w:outlineLvl w:val="3"/>
      </w:pPr>
      <w:r>
        <w:rPr>
          <w:rFonts w:ascii="楷体_GB2312" w:hAnsi="楷体_GB2312" w:eastAsia="楷体_GB2312"/>
          <w:b/>
          <w:sz w:val="32"/>
        </w:rPr>
        <w:t>（一）机关运行经费及公用经费支出情况</w:t>
      </w:r>
    </w:p>
    <w:p w14:paraId="79D88A1E">
      <w:pPr>
        <w:spacing w:line="580" w:lineRule="exact"/>
        <w:ind w:firstLine="640"/>
        <w:jc w:val="both"/>
      </w:pPr>
      <w:r>
        <w:rPr>
          <w:rFonts w:ascii="仿宋_GB2312" w:hAnsi="仿宋_GB2312" w:eastAsia="仿宋_GB2312"/>
          <w:b w:val="0"/>
          <w:sz w:val="32"/>
        </w:rPr>
        <w:t>2024年度巴音郭楞蒙古自治州生态环境局尉犁县分局（行政单位和参照公务员法管理事业单位）机关运行经费支出15.87万元，比上年减少12.09万元，下降43.24%，主要原因是：本年减少单位取暖费。</w:t>
      </w:r>
    </w:p>
    <w:p w14:paraId="4327FA75">
      <w:pPr>
        <w:spacing w:line="640" w:lineRule="exact"/>
        <w:ind w:firstLine="640"/>
        <w:jc w:val="both"/>
        <w:outlineLvl w:val="3"/>
      </w:pPr>
      <w:r>
        <w:rPr>
          <w:rFonts w:ascii="楷体_GB2312" w:hAnsi="楷体_GB2312" w:eastAsia="楷体_GB2312"/>
          <w:b/>
          <w:sz w:val="32"/>
        </w:rPr>
        <w:t>（二）政府采购情况</w:t>
      </w:r>
    </w:p>
    <w:p w14:paraId="4428675D">
      <w:pPr>
        <w:spacing w:line="580" w:lineRule="exact"/>
        <w:ind w:firstLine="640"/>
        <w:jc w:val="both"/>
      </w:pPr>
      <w:r>
        <w:rPr>
          <w:rFonts w:ascii="仿宋_GB2312" w:hAnsi="仿宋_GB2312" w:eastAsia="仿宋_GB2312"/>
          <w:b w:val="0"/>
          <w:sz w:val="32"/>
        </w:rPr>
        <w:t>2024年度政府采购支出总额1.88万元，其中：政府采购货物支出0.68万元、政府采购工程支出0.00万元、政府采购服务支出1.20万元。</w:t>
      </w:r>
    </w:p>
    <w:p w14:paraId="041DB083">
      <w:pPr>
        <w:spacing w:line="580" w:lineRule="exact"/>
        <w:ind w:firstLine="640"/>
        <w:jc w:val="both"/>
      </w:pPr>
      <w:r>
        <w:rPr>
          <w:rFonts w:ascii="仿宋_GB2312" w:hAnsi="仿宋_GB2312" w:eastAsia="仿宋_GB2312"/>
          <w:b w:val="0"/>
          <w:sz w:val="32"/>
        </w:rPr>
        <w:t>授予中小企业合同金额1.88万元，占政府采购支出总额的100.00%，其中：授予小微企业合同金额1.88万元，占政府采购支出总额的100.00%。</w:t>
      </w:r>
    </w:p>
    <w:p w14:paraId="06C38E20">
      <w:pPr>
        <w:spacing w:line="640" w:lineRule="exact"/>
        <w:ind w:firstLine="640"/>
        <w:jc w:val="both"/>
        <w:outlineLvl w:val="3"/>
      </w:pPr>
      <w:r>
        <w:rPr>
          <w:rFonts w:ascii="楷体_GB2312" w:hAnsi="楷体_GB2312" w:eastAsia="楷体_GB2312"/>
          <w:b/>
          <w:sz w:val="32"/>
        </w:rPr>
        <w:t>（三）国有资产占用情况说明</w:t>
      </w:r>
    </w:p>
    <w:p w14:paraId="0B19A531">
      <w:pPr>
        <w:spacing w:line="580" w:lineRule="exact"/>
        <w:ind w:firstLine="640"/>
        <w:jc w:val="both"/>
      </w:pPr>
      <w:r>
        <w:rPr>
          <w:rFonts w:ascii="仿宋_GB2312" w:hAnsi="仿宋_GB2312" w:eastAsia="仿宋_GB2312"/>
          <w:b w:val="0"/>
          <w:sz w:val="32"/>
        </w:rPr>
        <w:t>截至2024年12月31日，房屋1,166.05平方米，价值171.77万元。车辆2辆，价值41.49万元，其中：副部（省）级及以上领导用车0辆、主要负责人用车0辆、机要通信用车0辆、应急保障用车0辆、执法执勤用车2辆、特种专业技术用车0辆、离退休干部服务用车0辆、其他用车0辆，其他用车主要是：本单位无其他用车。单价100万元（含）以上设备（不含车辆）1台（套）。</w:t>
      </w:r>
    </w:p>
    <w:p w14:paraId="58AF7D09">
      <w:pPr>
        <w:spacing w:line="640" w:lineRule="exact"/>
        <w:ind w:firstLine="640"/>
        <w:jc w:val="both"/>
        <w:outlineLvl w:val="2"/>
      </w:pPr>
      <w:r>
        <w:rPr>
          <w:rFonts w:ascii="黑体" w:hAnsi="黑体" w:eastAsia="黑体"/>
          <w:sz w:val="32"/>
        </w:rPr>
        <w:t>十一、预算绩效的情况说明</w:t>
      </w:r>
    </w:p>
    <w:p w14:paraId="776F9F44">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本单位无项目绩效自评表。发现的问题及原因：本单位无项目绩效自评表。下一步改进措施：本单位无项目绩效自评表。</w:t>
      </w:r>
    </w:p>
    <w:p w14:paraId="396D4A95">
      <w:r>
        <w:br w:type="page"/>
      </w:r>
    </w:p>
    <w:p w14:paraId="46327B25">
      <w:pPr>
        <w:spacing w:line="640" w:lineRule="exact"/>
        <w:ind w:firstLine="640"/>
        <w:jc w:val="both"/>
        <w:outlineLvl w:val="2"/>
      </w:pPr>
      <w:r>
        <w:rPr>
          <w:rFonts w:ascii="黑体" w:hAnsi="黑体" w:eastAsia="黑体"/>
          <w:sz w:val="32"/>
        </w:rPr>
        <w:t>十二、其他需说明的事项</w:t>
      </w:r>
    </w:p>
    <w:p w14:paraId="49AF905E">
      <w:pPr>
        <w:spacing w:line="580" w:lineRule="exact"/>
        <w:ind w:firstLine="640"/>
        <w:jc w:val="both"/>
      </w:pPr>
      <w:r>
        <w:rPr>
          <w:rFonts w:ascii="仿宋_GB2312" w:hAnsi="仿宋_GB2312" w:eastAsia="仿宋_GB2312"/>
          <w:b w:val="0"/>
          <w:sz w:val="32"/>
        </w:rPr>
        <w:t>本年度本单位整体绩效自评表由主管部门编报并公开。</w:t>
      </w:r>
    </w:p>
    <w:p w14:paraId="3DBA33D1">
      <w:r>
        <w:br w:type="page"/>
      </w:r>
    </w:p>
    <w:p w14:paraId="034C1BC8">
      <w:pPr>
        <w:spacing w:line="240" w:lineRule="auto"/>
        <w:jc w:val="center"/>
        <w:outlineLvl w:val="1"/>
      </w:pPr>
      <w:r>
        <w:rPr>
          <w:rFonts w:ascii="黑体" w:hAnsi="黑体" w:eastAsia="黑体"/>
          <w:sz w:val="32"/>
        </w:rPr>
        <w:t>第三部分 专业名词解释</w:t>
      </w:r>
    </w:p>
    <w:p w14:paraId="3CE47687">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E3E8AE1">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E884D1C">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C0299AF">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092CEBB">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9476709">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6B27629">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74637B1">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E37383D">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FBB9E9F">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D56B08B">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F07A951">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85F9CCC">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D09C2DD">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1A16EFF">
      <w:r>
        <w:br w:type="page"/>
      </w:r>
    </w:p>
    <w:p w14:paraId="0AD1074A">
      <w:pPr>
        <w:spacing w:line="240" w:lineRule="auto"/>
        <w:jc w:val="center"/>
        <w:outlineLvl w:val="1"/>
      </w:pPr>
      <w:r>
        <w:rPr>
          <w:rFonts w:ascii="黑体" w:hAnsi="黑体" w:eastAsia="黑体"/>
          <w:sz w:val="32"/>
        </w:rPr>
        <w:t>第四部分 部门决算报表（见附表）</w:t>
      </w:r>
    </w:p>
    <w:p w14:paraId="51F757FC">
      <w:pPr>
        <w:spacing w:line="240" w:lineRule="auto"/>
        <w:ind w:firstLine="640"/>
        <w:jc w:val="both"/>
      </w:pPr>
      <w:r>
        <w:rPr>
          <w:rFonts w:ascii="仿宋_GB2312" w:hAnsi="仿宋_GB2312" w:eastAsia="仿宋_GB2312"/>
          <w:b w:val="0"/>
          <w:sz w:val="32"/>
        </w:rPr>
        <w:t>一、《收入支出决算总表》</w:t>
      </w:r>
    </w:p>
    <w:p w14:paraId="329562B9">
      <w:pPr>
        <w:spacing w:line="240" w:lineRule="auto"/>
        <w:ind w:firstLine="640"/>
        <w:jc w:val="both"/>
      </w:pPr>
      <w:r>
        <w:rPr>
          <w:rFonts w:ascii="仿宋_GB2312" w:hAnsi="仿宋_GB2312" w:eastAsia="仿宋_GB2312"/>
          <w:b w:val="0"/>
          <w:sz w:val="32"/>
        </w:rPr>
        <w:t>二、《收入决算表》</w:t>
      </w:r>
    </w:p>
    <w:p w14:paraId="2F14F124">
      <w:pPr>
        <w:spacing w:line="240" w:lineRule="auto"/>
        <w:ind w:firstLine="640"/>
        <w:jc w:val="both"/>
      </w:pPr>
      <w:r>
        <w:rPr>
          <w:rFonts w:ascii="仿宋_GB2312" w:hAnsi="仿宋_GB2312" w:eastAsia="仿宋_GB2312"/>
          <w:b w:val="0"/>
          <w:sz w:val="32"/>
        </w:rPr>
        <w:t>三、《支出决算表》</w:t>
      </w:r>
    </w:p>
    <w:p w14:paraId="474A0C0B">
      <w:pPr>
        <w:spacing w:line="240" w:lineRule="auto"/>
        <w:ind w:firstLine="640"/>
        <w:jc w:val="both"/>
      </w:pPr>
      <w:r>
        <w:rPr>
          <w:rFonts w:ascii="仿宋_GB2312" w:hAnsi="仿宋_GB2312" w:eastAsia="仿宋_GB2312"/>
          <w:b w:val="0"/>
          <w:sz w:val="32"/>
        </w:rPr>
        <w:t>四、《财政拨款收入支出决算总表》</w:t>
      </w:r>
    </w:p>
    <w:p w14:paraId="5A5B27B2">
      <w:pPr>
        <w:spacing w:line="240" w:lineRule="auto"/>
        <w:ind w:firstLine="640"/>
        <w:jc w:val="both"/>
      </w:pPr>
      <w:r>
        <w:rPr>
          <w:rFonts w:ascii="仿宋_GB2312" w:hAnsi="仿宋_GB2312" w:eastAsia="仿宋_GB2312"/>
          <w:b w:val="0"/>
          <w:sz w:val="32"/>
        </w:rPr>
        <w:t>五、《一般公共预算财政拨款支出决算表》</w:t>
      </w:r>
    </w:p>
    <w:p w14:paraId="59F5827D">
      <w:pPr>
        <w:spacing w:line="240" w:lineRule="auto"/>
        <w:ind w:firstLine="640"/>
        <w:jc w:val="both"/>
      </w:pPr>
      <w:r>
        <w:rPr>
          <w:rFonts w:ascii="仿宋_GB2312" w:hAnsi="仿宋_GB2312" w:eastAsia="仿宋_GB2312"/>
          <w:b w:val="0"/>
          <w:sz w:val="32"/>
        </w:rPr>
        <w:t>六、《一般公共预算财政拨款基本支出决算表》</w:t>
      </w:r>
    </w:p>
    <w:p w14:paraId="08B7BB68">
      <w:pPr>
        <w:spacing w:line="240" w:lineRule="auto"/>
        <w:ind w:firstLine="640"/>
        <w:jc w:val="both"/>
      </w:pPr>
      <w:r>
        <w:rPr>
          <w:rFonts w:ascii="仿宋_GB2312" w:hAnsi="仿宋_GB2312" w:eastAsia="仿宋_GB2312"/>
          <w:b w:val="0"/>
          <w:sz w:val="32"/>
        </w:rPr>
        <w:t>七、《政府性基金预算财政拨款收入支出决算表》</w:t>
      </w:r>
    </w:p>
    <w:p w14:paraId="77EE6B54">
      <w:pPr>
        <w:spacing w:line="240" w:lineRule="auto"/>
        <w:ind w:firstLine="640"/>
        <w:jc w:val="both"/>
      </w:pPr>
      <w:r>
        <w:rPr>
          <w:rFonts w:ascii="仿宋_GB2312" w:hAnsi="仿宋_GB2312" w:eastAsia="仿宋_GB2312"/>
          <w:b w:val="0"/>
          <w:sz w:val="32"/>
        </w:rPr>
        <w:t>八、《国有资本经营预算财政拨款收入支出决算表》</w:t>
      </w:r>
    </w:p>
    <w:p w14:paraId="670C4791">
      <w:pPr>
        <w:spacing w:line="240" w:lineRule="auto"/>
        <w:ind w:firstLine="640"/>
        <w:jc w:val="both"/>
      </w:pPr>
      <w:r>
        <w:rPr>
          <w:rFonts w:ascii="仿宋_GB2312" w:hAnsi="仿宋_GB2312" w:eastAsia="仿宋_GB2312"/>
          <w:b w:val="0"/>
          <w:sz w:val="32"/>
        </w:rPr>
        <w:t>九、《财政拨款“三公”经费支出决算表》</w:t>
      </w:r>
    </w:p>
    <w:p w14:paraId="64767B75">
      <w:pPr>
        <w:spacing w:line="240" w:lineRule="auto"/>
        <w:ind w:firstLine="640"/>
        <w:jc w:val="both"/>
      </w:pPr>
    </w:p>
    <w:p w14:paraId="7FE91A63">
      <w:pPr>
        <w:spacing w:line="240" w:lineRule="auto"/>
        <w:ind w:firstLine="640"/>
        <w:jc w:val="both"/>
      </w:pPr>
    </w:p>
    <w:p w14:paraId="14B6C42F">
      <w:pPr>
        <w:spacing w:line="240" w:lineRule="auto"/>
        <w:ind w:firstLine="640"/>
        <w:jc w:val="both"/>
      </w:pPr>
    </w:p>
    <w:p w14:paraId="5247404F">
      <w:pPr>
        <w:spacing w:line="240" w:lineRule="auto"/>
        <w:ind w:firstLine="640"/>
        <w:jc w:val="both"/>
      </w:pPr>
    </w:p>
    <w:p w14:paraId="26B4CD10">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8347021-86FA-45D7-8D6B-06FA59D30CB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78970D13-B03D-4032-89BE-9953A1B320D4}"/>
  </w:font>
  <w:font w:name="仿宋_GB2312">
    <w:panose1 w:val="02010609030101010101"/>
    <w:charset w:val="86"/>
    <w:family w:val="modern"/>
    <w:pitch w:val="default"/>
    <w:sig w:usb0="00000001" w:usb1="080E0000" w:usb2="00000000" w:usb3="00000000" w:csb0="00040000" w:csb1="00000000"/>
    <w:embedRegular r:id="rId3" w:fontKey="{D886E8A6-EBE4-4470-AE40-B2160FF3B0F8}"/>
  </w:font>
  <w:font w:name="楷体_GB2312">
    <w:panose1 w:val="02010609030101010101"/>
    <w:charset w:val="86"/>
    <w:family w:val="auto"/>
    <w:pitch w:val="default"/>
    <w:sig w:usb0="00000001" w:usb1="080E0000" w:usb2="00000000" w:usb3="00000000" w:csb0="00040000" w:csb1="00000000"/>
    <w:embedRegular r:id="rId4" w:fontKey="{3DC836AC-8BAD-4DC6-9773-6AA93DDF1A4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53234D2"/>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6F3C786A"/>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6090</Words>
  <Characters>6787</Characters>
  <Lines>0</Lines>
  <Paragraphs>0</Paragraphs>
  <TotalTime>2</TotalTime>
  <ScaleCrop>false</ScaleCrop>
  <LinksUpToDate>false</LinksUpToDate>
  <CharactersWithSpaces>6797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2025-09-11T09:34:43Z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