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巴音郭楞蒙古自治州生态环境局若羌县分局2024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F1C29DA">
      <w:r>
        <w:br w:type="page"/>
      </w:r>
    </w:p>
    <w:p w14:paraId="18F1E8DE">
      <w:pPr>
        <w:spacing w:line="640" w:lineRule="exact"/>
        <w:jc w:val="center"/>
        <w:outlineLvl w:val="1"/>
      </w:pPr>
      <w:r>
        <w:rPr>
          <w:rFonts w:ascii="黑体" w:hAnsi="黑体" w:eastAsia="黑体"/>
          <w:sz w:val="32"/>
        </w:rPr>
        <w:t>第一部分 单位概况</w:t>
      </w:r>
    </w:p>
    <w:p w14:paraId="5555BA74">
      <w:pPr>
        <w:spacing w:line="640" w:lineRule="exact"/>
        <w:ind w:firstLine="640"/>
        <w:jc w:val="both"/>
        <w:outlineLvl w:val="2"/>
      </w:pPr>
      <w:r>
        <w:rPr>
          <w:rFonts w:ascii="黑体" w:hAnsi="黑体" w:eastAsia="黑体"/>
          <w:sz w:val="32"/>
        </w:rPr>
        <w:t>一、主要职能</w:t>
      </w:r>
    </w:p>
    <w:p w14:paraId="3CBF9D3E">
      <w:pPr>
        <w:spacing w:line="580" w:lineRule="exact"/>
        <w:ind w:firstLine="640"/>
        <w:jc w:val="both"/>
      </w:pPr>
      <w:r>
        <w:rPr>
          <w:rFonts w:ascii="仿宋_GB2312" w:hAnsi="仿宋_GB2312" w:eastAsia="仿宋_GB2312"/>
          <w:sz w:val="32"/>
        </w:rPr>
        <w:t>本单位属行政机关单位，负责落实生态环境各项制度，贯彻执行国家、自治区、自治州生态环境政策、规划。配合所在县市人民政府拟订生态环境政策、规划并实施。配合所在县市人民政府编制并监督实施重点区域、流域、饮用水水源地生态环境规划和水功能区划。配合所在县市人民政府开展较大生态环境问题的调查处理。参与所在县市环境污染事故和生态破坏事件的调查处理，参与调解所在县市环境污染纠纷，配合做好重点区域、流域生态环境保护工作。配合所在县市人民政府抓好总量控制、排污许可制度，以及污染物、温室气体减排任务的落实。协助所在县市人民政府拟订辖区总量控制计划并加强考核。负责环境污染防治的监督管理。严格按照国家、自治区和自治州大气、水、土壤、噪声、光、恶臭、固体废物、化学品、机动车等</w:t>
      </w:r>
      <w:r>
        <w:rPr>
          <w:rFonts w:hint="eastAsia" w:ascii="仿宋_GB2312" w:hAnsi="仿宋_GB2312" w:eastAsia="仿宋_GB2312"/>
          <w:sz w:val="32"/>
          <w:lang w:eastAsia="zh-CN"/>
        </w:rPr>
        <w:t>治理</w:t>
      </w:r>
      <w:r>
        <w:rPr>
          <w:rFonts w:ascii="仿宋_GB2312" w:hAnsi="仿宋_GB2312" w:eastAsia="仿宋_GB2312"/>
          <w:sz w:val="32"/>
        </w:rPr>
        <w:t>管理制度，配合所在县市抓好落实并监督实施。配合所在县市人民政府加强辖区饮用水水源地保护管理，指导所在县市开展城乡生态环境综合整治，监督指导农业面源污染治理工作。负责环境污染防治的监督管理。指导协调和监督生态保护修复工作。配合所在县市人民政府编制生态环境保护规划，监督对生态环境有影响的自然资源开发利用活动、重要生态环境建设和生态环境破坏恢复工作。配合所在县市开展农村生态环境保护、生物多样性保护工作。负责生态环境准入的监督管理。指导督促所在县市重大经济和技术政策、发展规划以及重大经济开发计划开展环境影响评价。完成自治州生态环境局交办的其他任务，并配合所在县市人民政府做好生态环境领域相关工作。</w:t>
      </w:r>
    </w:p>
    <w:p w14:paraId="232E77C6">
      <w:pPr>
        <w:spacing w:line="640" w:lineRule="exact"/>
        <w:ind w:firstLine="640"/>
        <w:jc w:val="both"/>
        <w:outlineLvl w:val="2"/>
      </w:pPr>
      <w:r>
        <w:rPr>
          <w:rFonts w:ascii="黑体" w:hAnsi="黑体" w:eastAsia="黑体"/>
          <w:sz w:val="32"/>
        </w:rPr>
        <w:t>二、机构设置及人员情况</w:t>
      </w:r>
    </w:p>
    <w:p w14:paraId="53E5F9D4">
      <w:pPr>
        <w:spacing w:line="580" w:lineRule="exact"/>
        <w:ind w:firstLine="640"/>
        <w:jc w:val="both"/>
      </w:pPr>
      <w:r>
        <w:rPr>
          <w:rFonts w:ascii="仿宋_GB2312" w:hAnsi="仿宋_GB2312" w:eastAsia="仿宋_GB2312"/>
          <w:sz w:val="32"/>
        </w:rPr>
        <w:t>巴音郭楞蒙古自治州生态环境局若羌县分局2024年度，实有人数12人，其中：在职人员9人，减少1人；离休人员0人，增加0人；退休人员3人,增加2人。</w:t>
      </w:r>
    </w:p>
    <w:p w14:paraId="6F148148">
      <w:pPr>
        <w:spacing w:line="580" w:lineRule="exact"/>
        <w:ind w:firstLine="640"/>
        <w:jc w:val="both"/>
      </w:pPr>
      <w:r>
        <w:rPr>
          <w:rFonts w:ascii="仿宋_GB2312" w:hAnsi="仿宋_GB2312" w:eastAsia="仿宋_GB2312"/>
          <w:sz w:val="32"/>
        </w:rPr>
        <w:t>巴音郭楞蒙古自治州生态环境局若羌县分局无下属预算单位，下设3个科室，分别是：办公室、生态环境保护综合执法大队、综合业务室。</w:t>
      </w:r>
    </w:p>
    <w:p w14:paraId="0BA1B83B">
      <w:r>
        <w:br w:type="page"/>
      </w:r>
    </w:p>
    <w:p w14:paraId="14F19CCC">
      <w:pPr>
        <w:spacing w:line="240" w:lineRule="auto"/>
        <w:jc w:val="center"/>
        <w:outlineLvl w:val="1"/>
      </w:pPr>
      <w:r>
        <w:rPr>
          <w:rFonts w:ascii="黑体" w:hAnsi="黑体" w:eastAsia="黑体"/>
          <w:sz w:val="32"/>
        </w:rPr>
        <w:t>第二部分 部门决算情况说明</w:t>
      </w:r>
    </w:p>
    <w:p w14:paraId="621C09B6">
      <w:pPr>
        <w:spacing w:line="640" w:lineRule="exact"/>
        <w:ind w:firstLine="640"/>
        <w:jc w:val="both"/>
        <w:outlineLvl w:val="2"/>
      </w:pPr>
      <w:r>
        <w:rPr>
          <w:rFonts w:ascii="黑体" w:hAnsi="黑体" w:eastAsia="黑体"/>
          <w:sz w:val="32"/>
        </w:rPr>
        <w:t>一、收入支出决算总体情况说明</w:t>
      </w:r>
    </w:p>
    <w:p w14:paraId="2F240A86">
      <w:pPr>
        <w:spacing w:line="580" w:lineRule="exact"/>
        <w:ind w:firstLine="640"/>
        <w:jc w:val="both"/>
      </w:pPr>
      <w:r>
        <w:rPr>
          <w:rFonts w:ascii="仿宋_GB2312" w:hAnsi="仿宋_GB2312" w:eastAsia="仿宋_GB2312"/>
          <w:b/>
          <w:sz w:val="32"/>
        </w:rPr>
        <w:t>2024年度收入总计202.45万元，</w:t>
      </w:r>
      <w:r>
        <w:rPr>
          <w:rFonts w:ascii="仿宋_GB2312" w:hAnsi="仿宋_GB2312" w:eastAsia="仿宋_GB2312"/>
          <w:b w:val="0"/>
          <w:sz w:val="32"/>
        </w:rPr>
        <w:t>其中：本年收入合计202.45万元，使用非财政拨款结余（含专用结余）0.00万元，年初结转和结余0.00万元。</w:t>
      </w:r>
    </w:p>
    <w:p w14:paraId="2F680121">
      <w:pPr>
        <w:spacing w:line="580" w:lineRule="exact"/>
        <w:ind w:firstLine="640"/>
        <w:jc w:val="both"/>
      </w:pPr>
      <w:r>
        <w:rPr>
          <w:rFonts w:ascii="仿宋_GB2312" w:hAnsi="仿宋_GB2312" w:eastAsia="仿宋_GB2312"/>
          <w:b/>
          <w:sz w:val="32"/>
        </w:rPr>
        <w:t>2024年度支出总计202.45万元，</w:t>
      </w:r>
      <w:r>
        <w:rPr>
          <w:rFonts w:ascii="仿宋_GB2312" w:hAnsi="仿宋_GB2312" w:eastAsia="仿宋_GB2312"/>
          <w:b w:val="0"/>
          <w:sz w:val="32"/>
        </w:rPr>
        <w:t>其中：本年支出合计202.45万元，结余分配0.00万元，年末结转和结余0.00万元。</w:t>
      </w:r>
    </w:p>
    <w:p w14:paraId="1D62B190">
      <w:pPr>
        <w:spacing w:line="580" w:lineRule="exact"/>
        <w:ind w:firstLine="640"/>
        <w:jc w:val="both"/>
      </w:pPr>
      <w:r>
        <w:rPr>
          <w:rFonts w:ascii="仿宋_GB2312" w:hAnsi="仿宋_GB2312" w:eastAsia="仿宋_GB2312"/>
          <w:b w:val="0"/>
          <w:sz w:val="32"/>
        </w:rPr>
        <w:t>收入支出总体与上年相比，减少51.65万元，下降20.33%，主要原因是：本年在职人员减少，相关人员经费较上年减少；死亡抚恤支出较上年减少。</w:t>
      </w:r>
    </w:p>
    <w:p w14:paraId="2C14159C">
      <w:pPr>
        <w:spacing w:line="640" w:lineRule="exact"/>
        <w:ind w:firstLine="640"/>
        <w:jc w:val="both"/>
        <w:outlineLvl w:val="2"/>
      </w:pPr>
      <w:r>
        <w:rPr>
          <w:rFonts w:ascii="黑体" w:hAnsi="黑体" w:eastAsia="黑体"/>
          <w:sz w:val="32"/>
        </w:rPr>
        <w:t>二、收入决算情况说明</w:t>
      </w:r>
    </w:p>
    <w:p w14:paraId="3C9BD3D9">
      <w:pPr>
        <w:spacing w:line="580" w:lineRule="exact"/>
        <w:ind w:firstLine="640"/>
        <w:jc w:val="both"/>
      </w:pPr>
      <w:r>
        <w:rPr>
          <w:rFonts w:ascii="仿宋_GB2312" w:hAnsi="仿宋_GB2312" w:eastAsia="仿宋_GB2312"/>
          <w:b/>
          <w:sz w:val="32"/>
        </w:rPr>
        <w:t>本年收入202.45万元，</w:t>
      </w:r>
      <w:r>
        <w:rPr>
          <w:rFonts w:ascii="仿宋_GB2312" w:hAnsi="仿宋_GB2312" w:eastAsia="仿宋_GB2312"/>
          <w:b w:val="0"/>
          <w:sz w:val="32"/>
        </w:rPr>
        <w:t>其中：财政拨款收入202.45万元，占100.00%；上级补助收入0.00万元，占0.00%；事业收入0.00万元，占0.00%；经营收入0.00万元，占0.00%；附属单位上缴收入0.00万元，占0.00%；其他收入0.00万元，占0.00%。</w:t>
      </w:r>
    </w:p>
    <w:p w14:paraId="1B0356EA">
      <w:pPr>
        <w:spacing w:line="640" w:lineRule="exact"/>
        <w:ind w:firstLine="640"/>
        <w:jc w:val="both"/>
        <w:outlineLvl w:val="2"/>
      </w:pPr>
      <w:r>
        <w:rPr>
          <w:rFonts w:ascii="黑体" w:hAnsi="黑体" w:eastAsia="黑体"/>
          <w:sz w:val="32"/>
        </w:rPr>
        <w:t>三、支出决算情况说明</w:t>
      </w:r>
    </w:p>
    <w:p w14:paraId="6CF426D5">
      <w:pPr>
        <w:spacing w:line="580" w:lineRule="exact"/>
        <w:ind w:firstLine="640"/>
        <w:jc w:val="both"/>
      </w:pPr>
      <w:r>
        <w:rPr>
          <w:rFonts w:ascii="仿宋_GB2312" w:hAnsi="仿宋_GB2312" w:eastAsia="仿宋_GB2312"/>
          <w:b/>
          <w:sz w:val="32"/>
        </w:rPr>
        <w:t>本年支出202.45万元，</w:t>
      </w:r>
      <w:r>
        <w:rPr>
          <w:rFonts w:ascii="仿宋_GB2312" w:hAnsi="仿宋_GB2312" w:eastAsia="仿宋_GB2312"/>
          <w:b w:val="0"/>
          <w:sz w:val="32"/>
        </w:rPr>
        <w:t>其中：基本支出202.45万元，占100.00%；项目支出0.00万元，占0.00%；上缴上级支出0.00万元，占0.00%；经营支出0.00万元，占0.00%；对附属单位补助支出0.00万元，占0.00%。</w:t>
      </w:r>
    </w:p>
    <w:p w14:paraId="701A2CA3">
      <w:pPr>
        <w:spacing w:line="640" w:lineRule="exact"/>
        <w:ind w:firstLine="640"/>
        <w:jc w:val="both"/>
        <w:outlineLvl w:val="2"/>
      </w:pPr>
      <w:r>
        <w:rPr>
          <w:rFonts w:ascii="黑体" w:hAnsi="黑体" w:eastAsia="黑体"/>
          <w:sz w:val="32"/>
        </w:rPr>
        <w:t>四、财政拨款收入支出决算总体情况说明</w:t>
      </w:r>
    </w:p>
    <w:p w14:paraId="5A2AD383">
      <w:pPr>
        <w:spacing w:line="580" w:lineRule="exact"/>
        <w:ind w:firstLine="640"/>
        <w:jc w:val="both"/>
      </w:pPr>
      <w:r>
        <w:rPr>
          <w:rFonts w:ascii="仿宋_GB2312" w:hAnsi="仿宋_GB2312" w:eastAsia="仿宋_GB2312"/>
          <w:b/>
          <w:sz w:val="32"/>
        </w:rPr>
        <w:t>2024年度财政拨款收入总计202.45万元，</w:t>
      </w:r>
      <w:r>
        <w:rPr>
          <w:rFonts w:ascii="仿宋_GB2312" w:hAnsi="仿宋_GB2312" w:eastAsia="仿宋_GB2312"/>
          <w:b w:val="0"/>
          <w:sz w:val="32"/>
        </w:rPr>
        <w:t>其中：年初财政拨款结转和结余0.00万元，本年财政拨款收入202.45万元。</w:t>
      </w:r>
      <w:r>
        <w:rPr>
          <w:rFonts w:ascii="仿宋_GB2312" w:hAnsi="仿宋_GB2312" w:eastAsia="仿宋_GB2312"/>
          <w:b/>
          <w:sz w:val="32"/>
        </w:rPr>
        <w:t>财政拨款支出总计202.45万元，</w:t>
      </w:r>
      <w:r>
        <w:rPr>
          <w:rFonts w:ascii="仿宋_GB2312" w:hAnsi="仿宋_GB2312" w:eastAsia="仿宋_GB2312"/>
          <w:b w:val="0"/>
          <w:sz w:val="32"/>
        </w:rPr>
        <w:t>其中：年末财政拨款结转和结余0.00万元，本年财政拨款支出202.45万元。</w:t>
      </w:r>
    </w:p>
    <w:p w14:paraId="718A79B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减少51.65万元，下降20.33%，主要原因是：本年在职人员减少，相关人员经费较上年减少；死亡抚恤支出较上年减少。</w:t>
      </w:r>
      <w:r>
        <w:rPr>
          <w:rFonts w:ascii="仿宋_GB2312" w:hAnsi="仿宋_GB2312" w:eastAsia="仿宋_GB2312"/>
          <w:b/>
          <w:sz w:val="32"/>
        </w:rPr>
        <w:t>与年初预算相比，</w:t>
      </w:r>
      <w:r>
        <w:rPr>
          <w:rFonts w:ascii="仿宋_GB2312" w:hAnsi="仿宋_GB2312" w:eastAsia="仿宋_GB2312"/>
          <w:b w:val="0"/>
          <w:sz w:val="32"/>
        </w:rPr>
        <w:t>年初预算数195.23万元，决算数202.45万元，预决算差异率3.70%，主要原因是：年中追加人员工资、社保、公积金基数调增部分资金，导致预决算存在差异。</w:t>
      </w:r>
    </w:p>
    <w:p w14:paraId="082B09ED">
      <w:pPr>
        <w:spacing w:line="640" w:lineRule="exact"/>
        <w:ind w:firstLine="640"/>
        <w:jc w:val="both"/>
        <w:outlineLvl w:val="2"/>
      </w:pPr>
      <w:r>
        <w:rPr>
          <w:rFonts w:ascii="黑体" w:hAnsi="黑体" w:eastAsia="黑体"/>
          <w:sz w:val="32"/>
        </w:rPr>
        <w:t>五、一般公共预算财政拨款支出决算情况说明</w:t>
      </w:r>
    </w:p>
    <w:p w14:paraId="22AFF34C">
      <w:pPr>
        <w:spacing w:line="640" w:lineRule="exact"/>
        <w:ind w:firstLine="640"/>
        <w:jc w:val="both"/>
        <w:outlineLvl w:val="3"/>
      </w:pPr>
      <w:r>
        <w:rPr>
          <w:rFonts w:ascii="楷体_GB2312" w:hAnsi="楷体_GB2312" w:eastAsia="楷体_GB2312"/>
          <w:b/>
          <w:sz w:val="32"/>
        </w:rPr>
        <w:t>（一）一般公共预算财政拨款支出决算总体情况</w:t>
      </w:r>
    </w:p>
    <w:p w14:paraId="4AE90046">
      <w:pPr>
        <w:spacing w:line="580" w:lineRule="exact"/>
        <w:ind w:firstLine="640"/>
        <w:jc w:val="both"/>
      </w:pPr>
      <w:r>
        <w:rPr>
          <w:rFonts w:ascii="仿宋_GB2312" w:hAnsi="仿宋_GB2312" w:eastAsia="仿宋_GB2312"/>
          <w:b/>
          <w:sz w:val="32"/>
        </w:rPr>
        <w:t>2024年度一般公共预算财政拨款支出202.45万元，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减少51.65万元，下降20.33%，主要原因是：本年在职人员减少，相关人员经费较上年减少；死亡抚恤支出较上年减少。</w:t>
      </w:r>
      <w:r>
        <w:rPr>
          <w:rFonts w:ascii="仿宋_GB2312" w:hAnsi="仿宋_GB2312" w:eastAsia="仿宋_GB2312"/>
          <w:b/>
          <w:sz w:val="32"/>
        </w:rPr>
        <w:t>与年初预算相比,</w:t>
      </w:r>
      <w:r>
        <w:rPr>
          <w:rFonts w:ascii="仿宋_GB2312" w:hAnsi="仿宋_GB2312" w:eastAsia="仿宋_GB2312"/>
          <w:b w:val="0"/>
          <w:sz w:val="32"/>
        </w:rPr>
        <w:t>年初预算数195.23万元，决算数202.45万元，预决算差异率3.70%，主要原因是：年中追加人员工资、社保、公积金基数调增部分资金，导致预决算存在差异。</w:t>
      </w:r>
    </w:p>
    <w:p w14:paraId="4C5608A4">
      <w:pPr>
        <w:spacing w:line="640" w:lineRule="exact"/>
        <w:ind w:firstLine="640"/>
        <w:jc w:val="both"/>
        <w:outlineLvl w:val="3"/>
      </w:pPr>
      <w:r>
        <w:rPr>
          <w:rFonts w:ascii="楷体_GB2312" w:hAnsi="楷体_GB2312" w:eastAsia="楷体_GB2312"/>
          <w:b/>
          <w:sz w:val="32"/>
        </w:rPr>
        <w:t>（二）一般公共预算财政拨款支出决算结构情况</w:t>
      </w:r>
    </w:p>
    <w:p w14:paraId="214FAD8B">
      <w:pPr>
        <w:spacing w:line="580" w:lineRule="exact"/>
        <w:ind w:firstLine="640"/>
        <w:jc w:val="both"/>
      </w:pPr>
      <w:r>
        <w:rPr>
          <w:rFonts w:ascii="仿宋_GB2312" w:hAnsi="仿宋_GB2312" w:eastAsia="仿宋_GB2312"/>
          <w:b w:val="0"/>
          <w:sz w:val="32"/>
        </w:rPr>
        <w:t>1.教育支出(类)0.51万元,占0.25%。</w:t>
      </w:r>
    </w:p>
    <w:p w14:paraId="3CC3C611">
      <w:pPr>
        <w:spacing w:line="580" w:lineRule="exact"/>
        <w:ind w:firstLine="640"/>
        <w:jc w:val="both"/>
      </w:pPr>
      <w:r>
        <w:rPr>
          <w:rFonts w:ascii="仿宋_GB2312" w:hAnsi="仿宋_GB2312" w:eastAsia="仿宋_GB2312"/>
          <w:b w:val="0"/>
          <w:sz w:val="32"/>
        </w:rPr>
        <w:t>2.社会保障和就业支出(类)33.73万元,占16.66%。</w:t>
      </w:r>
    </w:p>
    <w:p w14:paraId="6790CB56">
      <w:pPr>
        <w:spacing w:line="580" w:lineRule="exact"/>
        <w:ind w:firstLine="640"/>
        <w:jc w:val="both"/>
      </w:pPr>
      <w:r>
        <w:rPr>
          <w:rFonts w:ascii="仿宋_GB2312" w:hAnsi="仿宋_GB2312" w:eastAsia="仿宋_GB2312"/>
          <w:b w:val="0"/>
          <w:sz w:val="32"/>
        </w:rPr>
        <w:t>3.卫生健康支出(类)8.64万元,占4.27%。</w:t>
      </w:r>
    </w:p>
    <w:p w14:paraId="7414D5E6">
      <w:pPr>
        <w:spacing w:line="580" w:lineRule="exact"/>
        <w:ind w:firstLine="640"/>
        <w:jc w:val="both"/>
      </w:pPr>
      <w:r>
        <w:rPr>
          <w:rFonts w:ascii="仿宋_GB2312" w:hAnsi="仿宋_GB2312" w:eastAsia="仿宋_GB2312"/>
          <w:b w:val="0"/>
          <w:sz w:val="32"/>
        </w:rPr>
        <w:t>4.节能环保支出(类)144.75万元,占71.50%。</w:t>
      </w:r>
    </w:p>
    <w:p w14:paraId="313D5EDD">
      <w:pPr>
        <w:spacing w:line="580" w:lineRule="exact"/>
        <w:ind w:firstLine="640"/>
        <w:jc w:val="both"/>
      </w:pPr>
      <w:r>
        <w:rPr>
          <w:rFonts w:ascii="仿宋_GB2312" w:hAnsi="仿宋_GB2312" w:eastAsia="仿宋_GB2312"/>
          <w:b w:val="0"/>
          <w:sz w:val="32"/>
        </w:rPr>
        <w:t>5.住房保障支出(类)14.82万元,占7.32%。</w:t>
      </w:r>
    </w:p>
    <w:p w14:paraId="108AB157">
      <w:pPr>
        <w:spacing w:line="640" w:lineRule="exact"/>
        <w:ind w:firstLine="640"/>
        <w:jc w:val="both"/>
        <w:outlineLvl w:val="3"/>
      </w:pPr>
      <w:r>
        <w:rPr>
          <w:rFonts w:ascii="楷体_GB2312" w:hAnsi="楷体_GB2312" w:eastAsia="楷体_GB2312"/>
          <w:b/>
          <w:sz w:val="32"/>
        </w:rPr>
        <w:t>（三）一般公共预算财政拨款支出决算具体情况</w:t>
      </w:r>
    </w:p>
    <w:p w14:paraId="2CED1D09">
      <w:pPr>
        <w:spacing w:line="580" w:lineRule="exact"/>
        <w:ind w:firstLine="640"/>
        <w:jc w:val="both"/>
      </w:pPr>
      <w:r>
        <w:rPr>
          <w:rFonts w:ascii="仿宋_GB2312" w:hAnsi="仿宋_GB2312" w:eastAsia="仿宋_GB2312"/>
          <w:b w:val="0"/>
          <w:sz w:val="32"/>
        </w:rPr>
        <w:t>1.教育支出(类)进修及培训(款)培训支出(项):支出决算数为0.51万元，比上年决算减少0.05万元，下降8.93%,主要原因是：本年减少培训次数，相应培训费支出减少。</w:t>
      </w:r>
    </w:p>
    <w:p w14:paraId="53021246">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2.社会保障和就业支出(类)行政事业单位养老支出(款)行政单位离退休(项):支出决算数为2.33万元，比上年决算减少0.38万元，下降14.02%,主要原因是：上年退休绩效发放较多，本年正常发放，相应退休减少。</w:t>
      </w:r>
    </w:p>
    <w:p w14:paraId="35CC8FB0">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16.00万元，比上年决算增加0.14万元，增长0.88%,主要原因是：本年在职人员工资基数调增，养老缴费基数上涨，相应支出增加。</w:t>
      </w:r>
    </w:p>
    <w:p w14:paraId="74EC8C7C">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15.39万元，比上年决算减少5.65万元，下降26.85%,主要原因是：本年新增退休人员较上年减少，职业年金缴费较上年减少。</w:t>
      </w:r>
    </w:p>
    <w:p w14:paraId="5D83B80E">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5.社会保障和就业支出(类)抚恤(款)死亡抚恤(项):支出决算数为0.00万元，比上年决算减少38.54万元，下降100.00%,主要原因是：本年无新增死亡人员，死亡抚恤支出较上年减少。</w:t>
      </w:r>
    </w:p>
    <w:p w14:paraId="595369D6">
      <w:pPr>
        <w:spacing w:line="580" w:lineRule="exact"/>
        <w:ind w:firstLine="640"/>
        <w:jc w:val="both"/>
      </w:pPr>
      <w:r>
        <w:rPr>
          <w:rFonts w:ascii="仿宋_GB2312" w:hAnsi="仿宋_GB2312" w:eastAsia="仿宋_GB2312"/>
          <w:b w:val="0"/>
          <w:sz w:val="32"/>
        </w:rPr>
        <w:t>6.卫生健康支出(类)行政事业单位医疗(款)行政单位医疗(项):支出决算数为3.29万元，比上年决算减少1.64万元，下降33.27%,主要原因是：本年在职人员减少，行政单位医疗支出较上年减少。</w:t>
      </w:r>
    </w:p>
    <w:p w14:paraId="7EF0C5CF">
      <w:pPr>
        <w:spacing w:line="580" w:lineRule="exact"/>
        <w:ind w:firstLine="640"/>
        <w:jc w:val="both"/>
      </w:pPr>
      <w:r>
        <w:rPr>
          <w:rFonts w:ascii="仿宋_GB2312" w:hAnsi="仿宋_GB2312" w:eastAsia="仿宋_GB2312"/>
          <w:b w:val="0"/>
          <w:sz w:val="32"/>
        </w:rPr>
        <w:t>7.卫生健康支出(类)行政事业单位医疗(款)事业单位医疗(项):支出决算数为3.71万元，比上年决算增加0.36万元，增长10.75%,主要原因是：本年在职人员工资基数调增，医疗缴费基数上涨，相应支出增加。</w:t>
      </w:r>
    </w:p>
    <w:p w14:paraId="28706A62">
      <w:pPr>
        <w:spacing w:line="580" w:lineRule="exact"/>
        <w:ind w:firstLine="640"/>
        <w:jc w:val="both"/>
      </w:pPr>
      <w:r>
        <w:rPr>
          <w:rFonts w:ascii="仿宋_GB2312" w:hAnsi="仿宋_GB2312" w:eastAsia="仿宋_GB2312"/>
          <w:b w:val="0"/>
          <w:sz w:val="32"/>
        </w:rPr>
        <w:t>8.卫生健康支出(类)行政事业单位医疗(款)公务员医疗补助(项):支出决算数为1.41万元，比上年决算减少0.67万元，下降32.21%,主要原因是：本年在职人员减少，公务员医疗补助较上年减少。</w:t>
      </w:r>
    </w:p>
    <w:p w14:paraId="5A3944DF">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9.卫生健康支出(类)行政事业单位医疗(款)其他行政事业单位医疗支出(项):支出决算数为0.22万元，比上年决算减少0.03万元，下降12.00%,主要原因是：本年在职人员减少，其他行政事业单位医疗支出较上年减少。</w:t>
      </w:r>
    </w:p>
    <w:p w14:paraId="48990AA2">
      <w:pPr>
        <w:spacing w:line="580" w:lineRule="exact"/>
        <w:ind w:firstLine="640"/>
        <w:jc w:val="both"/>
      </w:pPr>
      <w:r>
        <w:rPr>
          <w:rFonts w:ascii="仿宋_GB2312" w:hAnsi="仿宋_GB2312" w:eastAsia="仿宋_GB2312"/>
          <w:b w:val="0"/>
          <w:sz w:val="32"/>
        </w:rPr>
        <w:t>10.节能环保支出(类)环境保护管理事务(款)行政运行(项):支出决算数为81.22万元，比上年决算减少71.91万元，下降46.96%,主要原因是：本年在职人员减少，相应人员经费较上年减少；本年功能科目调整，事业人员经费上年在行政运行科目列支，本年在其他环境保护管理事务支出科目列支，导致经费减少。</w:t>
      </w:r>
    </w:p>
    <w:p w14:paraId="7FB67C4E">
      <w:pPr>
        <w:spacing w:line="580" w:lineRule="exact"/>
        <w:ind w:firstLine="640"/>
        <w:jc w:val="both"/>
      </w:pPr>
      <w:r>
        <w:rPr>
          <w:rFonts w:ascii="仿宋_GB2312" w:hAnsi="仿宋_GB2312" w:eastAsia="仿宋_GB2312"/>
          <w:b w:val="0"/>
          <w:sz w:val="32"/>
        </w:rPr>
        <w:t>11.节能环保支出(类)环境保护管理事务(款)其他环境保护管理事务支出(项):支出决算数为63.53万元，比上年决算增加63.53万元，增长100.00%,主要原因是：本年功能科目调整，事业人员经费上年在行政运行科目列支，本年在其他环境保护管理事务支出科目列支，导致经费增加。</w:t>
      </w:r>
    </w:p>
    <w:p w14:paraId="0719FA32">
      <w:pPr>
        <w:spacing w:line="580" w:lineRule="exact"/>
        <w:ind w:firstLine="640"/>
        <w:jc w:val="both"/>
      </w:pPr>
      <w:r>
        <w:rPr>
          <w:rFonts w:ascii="仿宋_GB2312" w:hAnsi="仿宋_GB2312" w:eastAsia="仿宋_GB2312"/>
          <w:b w:val="0"/>
          <w:sz w:val="32"/>
        </w:rPr>
        <w:t>12.住房保障支出(类)住房改革支出(款)住房公积金(项):支出决算数为14.82万元，比上年决算增加3.17万元，增长27.21%,主要原因是：本年在职人员工资基数调增，公积金缴费基数上涨，相应支出增加。</w:t>
      </w:r>
    </w:p>
    <w:p w14:paraId="0B1BFFBC">
      <w:pPr>
        <w:spacing w:line="640" w:lineRule="exact"/>
        <w:ind w:firstLine="640"/>
        <w:jc w:val="both"/>
        <w:outlineLvl w:val="2"/>
      </w:pPr>
      <w:r>
        <w:rPr>
          <w:rFonts w:ascii="黑体" w:hAnsi="黑体" w:eastAsia="黑体"/>
          <w:sz w:val="32"/>
        </w:rPr>
        <w:t>六、一般公共预算财政拨款基本支出决算情况说明</w:t>
      </w:r>
    </w:p>
    <w:p w14:paraId="2FE02CF2">
      <w:pPr>
        <w:spacing w:line="580" w:lineRule="exact"/>
        <w:ind w:firstLine="640"/>
        <w:jc w:val="both"/>
      </w:pPr>
      <w:r>
        <w:rPr>
          <w:rFonts w:ascii="仿宋_GB2312" w:hAnsi="仿宋_GB2312" w:eastAsia="仿宋_GB2312"/>
          <w:b w:val="0"/>
          <w:sz w:val="32"/>
        </w:rPr>
        <w:t>2024年度一般公共预算财政拨款基本支出202.45万元，其中：</w:t>
      </w:r>
      <w:r>
        <w:rPr>
          <w:rFonts w:ascii="仿宋_GB2312" w:hAnsi="仿宋_GB2312" w:eastAsia="仿宋_GB2312"/>
          <w:b/>
          <w:sz w:val="32"/>
        </w:rPr>
        <w:t>人员经费187.84万元，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医疗费、其他工资福利支出、退休费、生活补助、奖励金。</w:t>
      </w:r>
    </w:p>
    <w:p w14:paraId="03FFC5B7">
      <w:pPr>
        <w:spacing w:line="580" w:lineRule="exact"/>
        <w:ind w:firstLine="640"/>
        <w:jc w:val="both"/>
      </w:pPr>
      <w:r>
        <w:rPr>
          <w:rFonts w:ascii="仿宋_GB2312" w:hAnsi="仿宋_GB2312" w:eastAsia="仿宋_GB2312"/>
          <w:b/>
          <w:sz w:val="32"/>
        </w:rPr>
        <w:t>公用经费14.60万元，</w:t>
      </w:r>
      <w:r>
        <w:rPr>
          <w:rFonts w:ascii="仿宋_GB2312" w:hAnsi="仿宋_GB2312" w:eastAsia="仿宋_GB2312"/>
          <w:b w:val="0"/>
          <w:sz w:val="32"/>
        </w:rPr>
        <w:t>包括：办公费、电费、邮电费、取暖费、物业管理费、差旅费、租赁费、培训费、工会经费、福利费、公务用车运行维护费、其他商品和服务支出。</w:t>
      </w:r>
    </w:p>
    <w:p w14:paraId="09FF0264">
      <w:pPr>
        <w:spacing w:line="640" w:lineRule="exact"/>
        <w:ind w:firstLine="640"/>
        <w:jc w:val="both"/>
        <w:outlineLvl w:val="2"/>
      </w:pPr>
      <w:r>
        <w:rPr>
          <w:rFonts w:ascii="黑体" w:hAnsi="黑体" w:eastAsia="黑体"/>
          <w:sz w:val="32"/>
        </w:rPr>
        <w:t>七、政府性基金预算财政拨款收入支出决算情况说明</w:t>
      </w:r>
    </w:p>
    <w:p w14:paraId="2A4C22A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EB1DDC7">
      <w:pPr>
        <w:spacing w:line="640" w:lineRule="exact"/>
        <w:ind w:firstLine="640"/>
        <w:jc w:val="both"/>
        <w:outlineLvl w:val="2"/>
      </w:pPr>
      <w:r>
        <w:rPr>
          <w:rFonts w:ascii="黑体" w:hAnsi="黑体" w:eastAsia="黑体"/>
          <w:sz w:val="32"/>
        </w:rPr>
        <w:t>八、国有资本经营预算财政拨款收入支出决算情况说明</w:t>
      </w:r>
    </w:p>
    <w:p w14:paraId="546B6A4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21EC762">
      <w:pPr>
        <w:spacing w:line="640" w:lineRule="exact"/>
        <w:ind w:firstLine="640"/>
        <w:jc w:val="both"/>
        <w:outlineLvl w:val="2"/>
      </w:pPr>
      <w:r>
        <w:rPr>
          <w:rFonts w:ascii="黑体" w:hAnsi="黑体" w:eastAsia="黑体"/>
          <w:sz w:val="32"/>
        </w:rPr>
        <w:t>九、财政拨款“三公”经费支出决算情况说明</w:t>
      </w:r>
    </w:p>
    <w:p w14:paraId="41D18448">
      <w:pPr>
        <w:spacing w:line="580" w:lineRule="exact"/>
        <w:ind w:firstLine="640"/>
        <w:jc w:val="both"/>
      </w:pPr>
      <w:r>
        <w:rPr>
          <w:rFonts w:ascii="仿宋_GB2312" w:hAnsi="仿宋_GB2312" w:eastAsia="仿宋_GB2312"/>
          <w:b/>
          <w:sz w:val="32"/>
        </w:rPr>
        <w:t>2024年度财政拨款“三公”经费支出5.60万元，</w:t>
      </w:r>
      <w:r>
        <w:rPr>
          <w:rFonts w:ascii="仿宋_GB2312" w:hAnsi="仿宋_GB2312" w:eastAsia="仿宋_GB2312"/>
          <w:b w:val="0"/>
          <w:sz w:val="32"/>
        </w:rPr>
        <w:t>比上年增加0.62万元，增长12.45%，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5.60万元，占100.00%，比上年增加0.62万元，增长12.45%，主要原因是：本年因业务需求，用车次数增加，燃油费增加，导致公务用车运行维护费较上年增加。公务接待费支出0.00万元，占0.00%，比上年增加0.00万元，增长0.00%，主要原因是：2023年与2024年均未安排公务接待费支出。</w:t>
      </w:r>
    </w:p>
    <w:p w14:paraId="7E3C2B4F">
      <w:pPr>
        <w:spacing w:line="580" w:lineRule="exact"/>
        <w:ind w:firstLine="640"/>
        <w:jc w:val="both"/>
      </w:pPr>
      <w:r>
        <w:rPr>
          <w:rFonts w:ascii="仿宋_GB2312" w:hAnsi="仿宋_GB2312" w:eastAsia="仿宋_GB2312"/>
          <w:b/>
          <w:sz w:val="32"/>
        </w:rPr>
        <w:t>具体情况如下：</w:t>
      </w:r>
    </w:p>
    <w:p w14:paraId="64B7512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2E81BB1">
      <w:pPr>
        <w:spacing w:line="580" w:lineRule="exact"/>
        <w:ind w:firstLine="640"/>
        <w:jc w:val="both"/>
      </w:pPr>
      <w:r>
        <w:rPr>
          <w:rFonts w:ascii="仿宋_GB2312" w:hAnsi="仿宋_GB2312" w:eastAsia="仿宋_GB2312"/>
          <w:b w:val="0"/>
          <w:sz w:val="32"/>
        </w:rPr>
        <w:t>公务用车购置及运行维护费5.60万元，其中：公务用车购置费0.00万元，公务用车运行维护费5.60万元。公务用车运行维护费开支内容包括车辆加油费、维修费、保险费、审车费、过路费。公务用车购置数0辆，公务用车保有量3辆。国有资产占用情况中固定资产车辆3辆，与公务用车保有量差异原因是：本单位固定资产车辆与公务用车保有量一致无差异。</w:t>
      </w:r>
    </w:p>
    <w:p w14:paraId="10F89F6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555DD4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5.60万元，决算数5.60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5.60万元，决算数5.60万元，预决算差异率0.00%，主要原因是：严格按照预算执行，预决算无差异。公务接待费全年预算数0.00万元，决算数0.00万元，预决算差异率0.00%，主要原因是：本单位无公务接待费。</w:t>
      </w:r>
    </w:p>
    <w:p w14:paraId="4FB8F4D4">
      <w:pPr>
        <w:spacing w:line="640" w:lineRule="exact"/>
        <w:ind w:firstLine="640"/>
        <w:jc w:val="both"/>
        <w:outlineLvl w:val="2"/>
      </w:pPr>
      <w:r>
        <w:rPr>
          <w:rFonts w:ascii="黑体" w:hAnsi="黑体" w:eastAsia="黑体"/>
          <w:sz w:val="32"/>
        </w:rPr>
        <w:t>十、其他重要事项的情况说明</w:t>
      </w:r>
    </w:p>
    <w:p w14:paraId="715CCD0F">
      <w:pPr>
        <w:spacing w:line="640" w:lineRule="exact"/>
        <w:ind w:firstLine="640"/>
        <w:jc w:val="both"/>
        <w:outlineLvl w:val="3"/>
      </w:pPr>
      <w:r>
        <w:rPr>
          <w:rFonts w:ascii="楷体_GB2312" w:hAnsi="楷体_GB2312" w:eastAsia="楷体_GB2312"/>
          <w:b/>
          <w:sz w:val="32"/>
        </w:rPr>
        <w:t>（一）机关运行经费及公用经费支出情况</w:t>
      </w:r>
    </w:p>
    <w:p w14:paraId="06CE6A76">
      <w:pPr>
        <w:spacing w:line="580" w:lineRule="exact"/>
        <w:ind w:firstLine="640"/>
        <w:jc w:val="both"/>
      </w:pPr>
      <w:r>
        <w:rPr>
          <w:rFonts w:ascii="仿宋_GB2312" w:hAnsi="仿宋_GB2312" w:eastAsia="仿宋_GB2312"/>
          <w:b w:val="0"/>
          <w:sz w:val="32"/>
        </w:rPr>
        <w:t>2024年度巴音郭楞蒙古自治州生态环境局若羌县分局（行政单位和参照公务员法管理事业单位）机关运行经费支出14.60万元，比上年减少2.49万元，下降14.57%，主要原因是：严格控制公用经费，合理节约办公用品，减少不必要开支。</w:t>
      </w:r>
    </w:p>
    <w:p w14:paraId="0C3847B9">
      <w:pPr>
        <w:spacing w:line="640" w:lineRule="exact"/>
        <w:ind w:firstLine="640"/>
        <w:jc w:val="both"/>
        <w:outlineLvl w:val="3"/>
      </w:pPr>
      <w:r>
        <w:rPr>
          <w:rFonts w:ascii="楷体_GB2312" w:hAnsi="楷体_GB2312" w:eastAsia="楷体_GB2312"/>
          <w:b/>
          <w:sz w:val="32"/>
        </w:rPr>
        <w:t>（二）政府采购情况</w:t>
      </w:r>
    </w:p>
    <w:p w14:paraId="2ED4743E">
      <w:pPr>
        <w:spacing w:line="580" w:lineRule="exact"/>
        <w:ind w:firstLine="640"/>
        <w:jc w:val="both"/>
      </w:pPr>
      <w:r>
        <w:rPr>
          <w:rFonts w:ascii="仿宋_GB2312" w:hAnsi="仿宋_GB2312" w:eastAsia="仿宋_GB2312"/>
          <w:b w:val="0"/>
          <w:sz w:val="32"/>
        </w:rPr>
        <w:t>2024年度政府采购支出总额4.32万元，其中：政府采购货物支出0.97万元、政府采购工程支出0.00万元、政府采购服务支出3.36万元。</w:t>
      </w:r>
    </w:p>
    <w:p w14:paraId="68C2B8C8">
      <w:pPr>
        <w:spacing w:line="580" w:lineRule="exact"/>
        <w:ind w:firstLine="640"/>
        <w:jc w:val="both"/>
      </w:pPr>
      <w:r>
        <w:rPr>
          <w:rFonts w:ascii="仿宋_GB2312" w:hAnsi="仿宋_GB2312" w:eastAsia="仿宋_GB2312"/>
          <w:b w:val="0"/>
          <w:sz w:val="32"/>
        </w:rPr>
        <w:t>授予中小企业合同金额3.36万元，占政府采购支出总额的77.78%，其中：授予小微企业合同金额3.36万元，占政府采购支出总额的77.78%。</w:t>
      </w:r>
    </w:p>
    <w:p w14:paraId="1A7CE887">
      <w:pPr>
        <w:spacing w:line="640" w:lineRule="exact"/>
        <w:ind w:firstLine="640"/>
        <w:jc w:val="both"/>
        <w:outlineLvl w:val="3"/>
      </w:pPr>
      <w:r>
        <w:rPr>
          <w:rFonts w:ascii="楷体_GB2312" w:hAnsi="楷体_GB2312" w:eastAsia="楷体_GB2312"/>
          <w:b/>
          <w:sz w:val="32"/>
        </w:rPr>
        <w:t>（三）国有资产占用情况说明</w:t>
      </w:r>
    </w:p>
    <w:p w14:paraId="414767FF">
      <w:pPr>
        <w:spacing w:line="580" w:lineRule="exact"/>
        <w:ind w:firstLine="640"/>
        <w:jc w:val="both"/>
      </w:pPr>
      <w:r>
        <w:rPr>
          <w:rFonts w:ascii="仿宋_GB2312" w:hAnsi="仿宋_GB2312" w:eastAsia="仿宋_GB2312"/>
          <w:b w:val="0"/>
          <w:sz w:val="32"/>
        </w:rPr>
        <w:t>截至2024年12月31日，房屋887.00平方米，价值175.19万元。车辆3辆，价值46.21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18E3871F">
      <w:pPr>
        <w:spacing w:line="640" w:lineRule="exact"/>
        <w:ind w:firstLine="640"/>
        <w:jc w:val="both"/>
        <w:outlineLvl w:val="2"/>
      </w:pPr>
      <w:r>
        <w:rPr>
          <w:rFonts w:ascii="黑体" w:hAnsi="黑体" w:eastAsia="黑体"/>
          <w:sz w:val="32"/>
        </w:rPr>
        <w:t>十一、预算绩效的情况说明</w:t>
      </w:r>
    </w:p>
    <w:p w14:paraId="62427309">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预算绩效项目。发现的问题及原因：本单位无预算绩效项目。下一步改进措施：本单位无预算绩效项目。</w:t>
      </w:r>
    </w:p>
    <w:p w14:paraId="5F79819C">
      <w:r>
        <w:br w:type="page"/>
      </w:r>
    </w:p>
    <w:p w14:paraId="2D8CBF97">
      <w:pPr>
        <w:spacing w:line="640" w:lineRule="exact"/>
        <w:ind w:firstLine="640"/>
        <w:jc w:val="both"/>
        <w:outlineLvl w:val="2"/>
      </w:pPr>
      <w:r>
        <w:rPr>
          <w:rFonts w:ascii="黑体" w:hAnsi="黑体" w:eastAsia="黑体"/>
          <w:sz w:val="32"/>
        </w:rPr>
        <w:t>十二、其他需说明的事项</w:t>
      </w:r>
    </w:p>
    <w:p w14:paraId="7B3755AD">
      <w:pPr>
        <w:spacing w:line="580" w:lineRule="exact"/>
        <w:ind w:firstLine="640"/>
        <w:jc w:val="both"/>
      </w:pPr>
      <w:r>
        <w:rPr>
          <w:rFonts w:hint="eastAsia" w:ascii="仿宋_GB2312" w:hAnsi="仿宋_GB2312" w:eastAsia="仿宋_GB2312"/>
          <w:b w:val="0"/>
          <w:sz w:val="32"/>
        </w:rPr>
        <w:t>本年度本单位整体绩效自评表由主管部门编报并公开</w:t>
      </w:r>
      <w:bookmarkStart w:id="0" w:name="_GoBack"/>
      <w:bookmarkEnd w:id="0"/>
      <w:r>
        <w:rPr>
          <w:rFonts w:ascii="仿宋_GB2312" w:hAnsi="仿宋_GB2312" w:eastAsia="仿宋_GB2312"/>
          <w:b w:val="0"/>
          <w:sz w:val="32"/>
        </w:rPr>
        <w:t>。</w:t>
      </w:r>
    </w:p>
    <w:p w14:paraId="0D034A46">
      <w:r>
        <w:br w:type="page"/>
      </w:r>
    </w:p>
    <w:p w14:paraId="05E863A1">
      <w:pPr>
        <w:spacing w:line="240" w:lineRule="auto"/>
        <w:jc w:val="center"/>
        <w:outlineLvl w:val="1"/>
      </w:pPr>
      <w:r>
        <w:rPr>
          <w:rFonts w:ascii="黑体" w:hAnsi="黑体" w:eastAsia="黑体"/>
          <w:sz w:val="32"/>
        </w:rPr>
        <w:t>第三部分 专业名词解释</w:t>
      </w:r>
    </w:p>
    <w:p w14:paraId="6C1F57F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33DD9A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CC2188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2BB969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B6A531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A0D29E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DA4BD0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F3DEE8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07C1A6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000130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9BC070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BE349B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4F1A23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45A727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61B68DC">
      <w:r>
        <w:br w:type="page"/>
      </w:r>
    </w:p>
    <w:p w14:paraId="035FF486">
      <w:pPr>
        <w:spacing w:line="240" w:lineRule="auto"/>
        <w:jc w:val="center"/>
        <w:outlineLvl w:val="1"/>
      </w:pPr>
      <w:r>
        <w:rPr>
          <w:rFonts w:ascii="黑体" w:hAnsi="黑体" w:eastAsia="黑体"/>
          <w:sz w:val="32"/>
        </w:rPr>
        <w:t>第四部分 部门决算报表（见附表）</w:t>
      </w:r>
    </w:p>
    <w:p w14:paraId="3BD0ECED">
      <w:pPr>
        <w:spacing w:line="240" w:lineRule="auto"/>
        <w:ind w:firstLine="640"/>
        <w:jc w:val="both"/>
      </w:pPr>
      <w:r>
        <w:rPr>
          <w:rFonts w:ascii="仿宋_GB2312" w:hAnsi="仿宋_GB2312" w:eastAsia="仿宋_GB2312"/>
          <w:b w:val="0"/>
          <w:sz w:val="32"/>
        </w:rPr>
        <w:t>一、《收入支出决算总表》</w:t>
      </w:r>
    </w:p>
    <w:p w14:paraId="7E1BDEE7">
      <w:pPr>
        <w:spacing w:line="240" w:lineRule="auto"/>
        <w:ind w:firstLine="640"/>
        <w:jc w:val="both"/>
      </w:pPr>
      <w:r>
        <w:rPr>
          <w:rFonts w:ascii="仿宋_GB2312" w:hAnsi="仿宋_GB2312" w:eastAsia="仿宋_GB2312"/>
          <w:b w:val="0"/>
          <w:sz w:val="32"/>
        </w:rPr>
        <w:t>二、《收入决算表》</w:t>
      </w:r>
    </w:p>
    <w:p w14:paraId="25431D55">
      <w:pPr>
        <w:spacing w:line="240" w:lineRule="auto"/>
        <w:ind w:firstLine="640"/>
        <w:jc w:val="both"/>
      </w:pPr>
      <w:r>
        <w:rPr>
          <w:rFonts w:ascii="仿宋_GB2312" w:hAnsi="仿宋_GB2312" w:eastAsia="仿宋_GB2312"/>
          <w:b w:val="0"/>
          <w:sz w:val="32"/>
        </w:rPr>
        <w:t>三、《支出决算表》</w:t>
      </w:r>
    </w:p>
    <w:p w14:paraId="056E73B9">
      <w:pPr>
        <w:spacing w:line="240" w:lineRule="auto"/>
        <w:ind w:firstLine="640"/>
        <w:jc w:val="both"/>
      </w:pPr>
      <w:r>
        <w:rPr>
          <w:rFonts w:ascii="仿宋_GB2312" w:hAnsi="仿宋_GB2312" w:eastAsia="仿宋_GB2312"/>
          <w:b w:val="0"/>
          <w:sz w:val="32"/>
        </w:rPr>
        <w:t>四、《财政拨款收入支出决算总表》</w:t>
      </w:r>
    </w:p>
    <w:p w14:paraId="7AED1421">
      <w:pPr>
        <w:spacing w:line="240" w:lineRule="auto"/>
        <w:ind w:firstLine="640"/>
        <w:jc w:val="both"/>
      </w:pPr>
      <w:r>
        <w:rPr>
          <w:rFonts w:ascii="仿宋_GB2312" w:hAnsi="仿宋_GB2312" w:eastAsia="仿宋_GB2312"/>
          <w:b w:val="0"/>
          <w:sz w:val="32"/>
        </w:rPr>
        <w:t>五、《一般公共预算财政拨款支出决算表》</w:t>
      </w:r>
    </w:p>
    <w:p w14:paraId="7E58A237">
      <w:pPr>
        <w:spacing w:line="240" w:lineRule="auto"/>
        <w:ind w:firstLine="640"/>
        <w:jc w:val="both"/>
      </w:pPr>
      <w:r>
        <w:rPr>
          <w:rFonts w:ascii="仿宋_GB2312" w:hAnsi="仿宋_GB2312" w:eastAsia="仿宋_GB2312"/>
          <w:b w:val="0"/>
          <w:sz w:val="32"/>
        </w:rPr>
        <w:t>六、《一般公共预算财政拨款基本支出决算表》</w:t>
      </w:r>
    </w:p>
    <w:p w14:paraId="67938E0A">
      <w:pPr>
        <w:spacing w:line="240" w:lineRule="auto"/>
        <w:ind w:firstLine="640"/>
        <w:jc w:val="both"/>
      </w:pPr>
      <w:r>
        <w:rPr>
          <w:rFonts w:ascii="仿宋_GB2312" w:hAnsi="仿宋_GB2312" w:eastAsia="仿宋_GB2312"/>
          <w:b w:val="0"/>
          <w:sz w:val="32"/>
        </w:rPr>
        <w:t>七、《政府性基金预算财政拨款收入支出决算表》</w:t>
      </w:r>
    </w:p>
    <w:p w14:paraId="6B5AFECD">
      <w:pPr>
        <w:spacing w:line="240" w:lineRule="auto"/>
        <w:ind w:firstLine="640"/>
        <w:jc w:val="both"/>
      </w:pPr>
      <w:r>
        <w:rPr>
          <w:rFonts w:ascii="仿宋_GB2312" w:hAnsi="仿宋_GB2312" w:eastAsia="仿宋_GB2312"/>
          <w:b w:val="0"/>
          <w:sz w:val="32"/>
        </w:rPr>
        <w:t>八、《国有资本经营预算财政拨款收入支出决算表》</w:t>
      </w:r>
    </w:p>
    <w:p w14:paraId="0DD8CCF5">
      <w:pPr>
        <w:spacing w:line="240" w:lineRule="auto"/>
        <w:ind w:firstLine="640"/>
        <w:jc w:val="both"/>
      </w:pPr>
      <w:r>
        <w:rPr>
          <w:rFonts w:ascii="仿宋_GB2312" w:hAnsi="仿宋_GB2312" w:eastAsia="仿宋_GB2312"/>
          <w:b w:val="0"/>
          <w:sz w:val="32"/>
        </w:rPr>
        <w:t>九、《财政拨款“三公”经费支出决算表》</w:t>
      </w:r>
    </w:p>
    <w:p w14:paraId="78AB9DC7">
      <w:pPr>
        <w:spacing w:line="240" w:lineRule="auto"/>
        <w:ind w:firstLine="640"/>
        <w:jc w:val="both"/>
      </w:pPr>
    </w:p>
    <w:p w14:paraId="55601242">
      <w:pPr>
        <w:spacing w:line="240" w:lineRule="auto"/>
        <w:ind w:firstLine="640"/>
        <w:jc w:val="both"/>
      </w:pPr>
    </w:p>
    <w:p w14:paraId="0DFFB6E6">
      <w:pPr>
        <w:spacing w:line="240" w:lineRule="auto"/>
        <w:ind w:firstLine="640"/>
        <w:jc w:val="both"/>
      </w:pPr>
    </w:p>
    <w:p w14:paraId="53F65C0A">
      <w:pPr>
        <w:spacing w:line="240" w:lineRule="auto"/>
        <w:ind w:firstLine="640"/>
        <w:jc w:val="both"/>
      </w:pPr>
    </w:p>
    <w:p w14:paraId="053E195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A003EB"/>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4F12CBC"/>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6176</Words>
  <Characters>6870</Characters>
  <Lines>0</Lines>
  <Paragraphs>0</Paragraphs>
  <TotalTime>3</TotalTime>
  <ScaleCrop>false</ScaleCrop>
  <LinksUpToDate>false</LinksUpToDate>
  <CharactersWithSpaces>6880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2025-09-11T09:52:49Z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