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巴音郭楞蒙古自治州生态环境局</w:t>
      </w:r>
      <w:bookmarkStart w:id="0" w:name="_GoBack"/>
      <w:r>
        <w:rPr>
          <w:rFonts w:hint="eastAsia" w:ascii="方正小标宋_GBK" w:hAnsi="宋体" w:eastAsia="方正小标宋_GBK"/>
          <w:sz w:val="44"/>
          <w:szCs w:val="44"/>
          <w:highlight w:val="none"/>
          <w:lang w:val="en-US" w:eastAsia="zh-CN"/>
        </w:rPr>
        <w:t>焉耆县</w:t>
      </w:r>
      <w:bookmarkEnd w:id="0"/>
      <w:r>
        <w:rPr>
          <w:rFonts w:hint="eastAsia" w:ascii="方正小标宋_GBK" w:hAnsi="宋体" w:eastAsia="方正小标宋_GBK"/>
          <w:sz w:val="44"/>
          <w:szCs w:val="44"/>
          <w:highlight w:val="none"/>
          <w:lang w:val="en-US" w:eastAsia="zh-CN"/>
        </w:rPr>
        <w:t>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18D99F">
      <w:r>
        <w:br w:type="page"/>
      </w:r>
    </w:p>
    <w:p w14:paraId="09EF824C">
      <w:pPr>
        <w:spacing w:line="640" w:lineRule="exact"/>
        <w:jc w:val="center"/>
        <w:outlineLvl w:val="1"/>
      </w:pPr>
      <w:r>
        <w:rPr>
          <w:rFonts w:ascii="黑体" w:hAnsi="黑体" w:eastAsia="黑体"/>
          <w:sz w:val="32"/>
        </w:rPr>
        <w:t>第一部分 单位概况</w:t>
      </w:r>
    </w:p>
    <w:p w14:paraId="19A8D587">
      <w:pPr>
        <w:spacing w:line="640" w:lineRule="exact"/>
        <w:ind w:firstLine="640"/>
        <w:jc w:val="both"/>
        <w:outlineLvl w:val="2"/>
      </w:pPr>
      <w:r>
        <w:rPr>
          <w:rFonts w:ascii="黑体" w:hAnsi="黑体" w:eastAsia="黑体"/>
          <w:sz w:val="32"/>
        </w:rPr>
        <w:t>一、主要职能</w:t>
      </w:r>
    </w:p>
    <w:p w14:paraId="6CECD685">
      <w:pPr>
        <w:spacing w:line="580" w:lineRule="exact"/>
        <w:ind w:firstLine="640"/>
        <w:jc w:val="both"/>
      </w:pPr>
      <w:r>
        <w:rPr>
          <w:rFonts w:ascii="仿宋_GB2312" w:hAnsi="仿宋_GB2312" w:eastAsia="仿宋_GB2312"/>
          <w:sz w:val="32"/>
        </w:rPr>
        <w:t>焉耆回族自治县环境保护局是焉耆回族自治县人民政府的职能部门之一。单位主要工作职责：落实国家环境保护基本制度，执行国家主要污染物排放总量控制和排污许可制度，负责环境污染防治的监督管理，负责指导协调监督生态保护工作。参与核安全和辐射安全的监督管理以及核与辐射事故应急处理工作，负责环境监测统计信息工作。围绕节能减排工作，狠抓环保目标责任书和总量控制目标责任书各项任务的落实，使污染物排放总量在经济持续、健康、快速增长的同时，得到有效控制。</w:t>
      </w:r>
    </w:p>
    <w:p w14:paraId="36561F7E">
      <w:pPr>
        <w:spacing w:line="640" w:lineRule="exact"/>
        <w:ind w:firstLine="640"/>
        <w:jc w:val="both"/>
        <w:outlineLvl w:val="2"/>
      </w:pPr>
      <w:r>
        <w:rPr>
          <w:rFonts w:ascii="黑体" w:hAnsi="黑体" w:eastAsia="黑体"/>
          <w:sz w:val="32"/>
        </w:rPr>
        <w:t>二、机构设置及人员情况</w:t>
      </w:r>
    </w:p>
    <w:p w14:paraId="28213B98">
      <w:pPr>
        <w:spacing w:line="580" w:lineRule="exact"/>
        <w:ind w:firstLine="640"/>
        <w:jc w:val="both"/>
      </w:pPr>
      <w:r>
        <w:rPr>
          <w:rFonts w:ascii="仿宋_GB2312" w:hAnsi="仿宋_GB2312" w:eastAsia="仿宋_GB2312"/>
          <w:sz w:val="32"/>
        </w:rPr>
        <w:t>巴音郭楞蒙古自治州生态环境局焉耆县分局2024年度，实有人数14人，其中：在职人员12人，减少1人；离休人员0人，增加0人；退休人员2人,增加1人。</w:t>
      </w:r>
    </w:p>
    <w:p w14:paraId="13446297">
      <w:pPr>
        <w:spacing w:line="580" w:lineRule="exact"/>
        <w:ind w:firstLine="640"/>
        <w:jc w:val="both"/>
      </w:pPr>
      <w:r>
        <w:rPr>
          <w:rFonts w:ascii="仿宋_GB2312" w:hAnsi="仿宋_GB2312" w:eastAsia="仿宋_GB2312"/>
          <w:sz w:val="32"/>
        </w:rPr>
        <w:t>巴音郭楞蒙古自治州生态环境局焉耆县分局无下属预算单位，下设3个科室，分别是：行政办公室、综合业务室、焉耆县生态环境保护综合行政执法大队。</w:t>
      </w:r>
    </w:p>
    <w:p w14:paraId="3435F122">
      <w:r>
        <w:br w:type="page"/>
      </w:r>
    </w:p>
    <w:p w14:paraId="645494C5">
      <w:pPr>
        <w:spacing w:line="240" w:lineRule="auto"/>
        <w:jc w:val="center"/>
        <w:outlineLvl w:val="1"/>
      </w:pPr>
      <w:r>
        <w:rPr>
          <w:rFonts w:ascii="黑体" w:hAnsi="黑体" w:eastAsia="黑体"/>
          <w:sz w:val="32"/>
        </w:rPr>
        <w:t>第二部分 部门决算情况说明</w:t>
      </w:r>
    </w:p>
    <w:p w14:paraId="798B082B">
      <w:pPr>
        <w:spacing w:line="640" w:lineRule="exact"/>
        <w:ind w:firstLine="640"/>
        <w:jc w:val="both"/>
        <w:outlineLvl w:val="2"/>
      </w:pPr>
      <w:r>
        <w:rPr>
          <w:rFonts w:ascii="黑体" w:hAnsi="黑体" w:eastAsia="黑体"/>
          <w:sz w:val="32"/>
        </w:rPr>
        <w:t>一、收入支出决算总体情况说明</w:t>
      </w:r>
    </w:p>
    <w:p w14:paraId="38DCF3AF">
      <w:pPr>
        <w:spacing w:line="580" w:lineRule="exact"/>
        <w:ind w:firstLine="640"/>
        <w:jc w:val="both"/>
      </w:pPr>
      <w:r>
        <w:rPr>
          <w:rFonts w:ascii="仿宋_GB2312" w:hAnsi="仿宋_GB2312" w:eastAsia="仿宋_GB2312"/>
          <w:b/>
          <w:sz w:val="32"/>
        </w:rPr>
        <w:t>2024年度收入总计243.83万元，</w:t>
      </w:r>
      <w:r>
        <w:rPr>
          <w:rFonts w:ascii="仿宋_GB2312" w:hAnsi="仿宋_GB2312" w:eastAsia="仿宋_GB2312"/>
          <w:b w:val="0"/>
          <w:sz w:val="32"/>
        </w:rPr>
        <w:t>其中：本年收入合计243.83万元，使用非财政拨款结余（含专用结余）0.00万元，年初结转和结余0.00万元。</w:t>
      </w:r>
    </w:p>
    <w:p w14:paraId="4F4A007F">
      <w:pPr>
        <w:spacing w:line="580" w:lineRule="exact"/>
        <w:ind w:firstLine="640"/>
        <w:jc w:val="both"/>
      </w:pPr>
      <w:r>
        <w:rPr>
          <w:rFonts w:ascii="仿宋_GB2312" w:hAnsi="仿宋_GB2312" w:eastAsia="仿宋_GB2312"/>
          <w:b/>
          <w:sz w:val="32"/>
        </w:rPr>
        <w:t>2024年度支出总计243.83万元，</w:t>
      </w:r>
      <w:r>
        <w:rPr>
          <w:rFonts w:ascii="仿宋_GB2312" w:hAnsi="仿宋_GB2312" w:eastAsia="仿宋_GB2312"/>
          <w:b w:val="0"/>
          <w:sz w:val="32"/>
        </w:rPr>
        <w:t>其中：本年支出合计243.83万元，结余分配0.00万元，年末结转和结余0.00万元。</w:t>
      </w:r>
    </w:p>
    <w:p w14:paraId="4A2CC1D7">
      <w:pPr>
        <w:spacing w:line="580" w:lineRule="exact"/>
        <w:ind w:firstLine="640"/>
        <w:jc w:val="both"/>
      </w:pPr>
      <w:r>
        <w:rPr>
          <w:rFonts w:ascii="仿宋_GB2312" w:hAnsi="仿宋_GB2312" w:eastAsia="仿宋_GB2312"/>
          <w:b w:val="0"/>
          <w:sz w:val="32"/>
        </w:rPr>
        <w:t>收入支出总体与上年相比，减少6.19万元，下降2.48%，主要原因是：本年在职人员减少，相关人员经费较上年减少。</w:t>
      </w:r>
    </w:p>
    <w:p w14:paraId="23221B4A">
      <w:pPr>
        <w:spacing w:line="640" w:lineRule="exact"/>
        <w:ind w:firstLine="640"/>
        <w:jc w:val="both"/>
        <w:outlineLvl w:val="2"/>
      </w:pPr>
      <w:r>
        <w:rPr>
          <w:rFonts w:ascii="黑体" w:hAnsi="黑体" w:eastAsia="黑体"/>
          <w:sz w:val="32"/>
        </w:rPr>
        <w:t>二、收入决算情况说明</w:t>
      </w:r>
    </w:p>
    <w:p w14:paraId="7AD94D4B">
      <w:pPr>
        <w:spacing w:line="580" w:lineRule="exact"/>
        <w:ind w:firstLine="640"/>
        <w:jc w:val="both"/>
      </w:pPr>
      <w:r>
        <w:rPr>
          <w:rFonts w:ascii="仿宋_GB2312" w:hAnsi="仿宋_GB2312" w:eastAsia="仿宋_GB2312"/>
          <w:b/>
          <w:sz w:val="32"/>
        </w:rPr>
        <w:t>本年收入243.83万元，</w:t>
      </w:r>
      <w:r>
        <w:rPr>
          <w:rFonts w:ascii="仿宋_GB2312" w:hAnsi="仿宋_GB2312" w:eastAsia="仿宋_GB2312"/>
          <w:b w:val="0"/>
          <w:sz w:val="32"/>
        </w:rPr>
        <w:t>其中：财政拨款收入243.83万元，占100.00%；上级补助收入0.00万元，占0.00%；事业收入0.00万元，占0.00%；经营收入0.00万元，占0.00%；附属单位上缴收入0.00万元，占0.00%；其他收入0.00万元，占0.00%。</w:t>
      </w:r>
    </w:p>
    <w:p w14:paraId="7815429D">
      <w:pPr>
        <w:spacing w:line="640" w:lineRule="exact"/>
        <w:ind w:firstLine="640"/>
        <w:jc w:val="both"/>
        <w:outlineLvl w:val="2"/>
      </w:pPr>
      <w:r>
        <w:rPr>
          <w:rFonts w:ascii="黑体" w:hAnsi="黑体" w:eastAsia="黑体"/>
          <w:sz w:val="32"/>
        </w:rPr>
        <w:t>三、支出决算情况说明</w:t>
      </w:r>
    </w:p>
    <w:p w14:paraId="646005FB">
      <w:pPr>
        <w:spacing w:line="580" w:lineRule="exact"/>
        <w:ind w:firstLine="640"/>
        <w:jc w:val="both"/>
      </w:pPr>
      <w:r>
        <w:rPr>
          <w:rFonts w:ascii="仿宋_GB2312" w:hAnsi="仿宋_GB2312" w:eastAsia="仿宋_GB2312"/>
          <w:b/>
          <w:sz w:val="32"/>
        </w:rPr>
        <w:t>本年支出243.83万元，</w:t>
      </w:r>
      <w:r>
        <w:rPr>
          <w:rFonts w:ascii="仿宋_GB2312" w:hAnsi="仿宋_GB2312" w:eastAsia="仿宋_GB2312"/>
          <w:b w:val="0"/>
          <w:sz w:val="32"/>
        </w:rPr>
        <w:t>其中：基本支出243.83万元，占100.00%；项目支出0.00万元，占0.00%；上缴上级支出0.00万元，占0.00%；经营支出0.00万元，占0.00%；对附属单位补助支出0.00万元，占0.00%。</w:t>
      </w:r>
    </w:p>
    <w:p w14:paraId="2CC5D29C">
      <w:pPr>
        <w:spacing w:line="640" w:lineRule="exact"/>
        <w:ind w:firstLine="640"/>
        <w:jc w:val="both"/>
        <w:outlineLvl w:val="2"/>
      </w:pPr>
      <w:r>
        <w:rPr>
          <w:rFonts w:ascii="黑体" w:hAnsi="黑体" w:eastAsia="黑体"/>
          <w:sz w:val="32"/>
        </w:rPr>
        <w:t>四、财政拨款收入支出决算总体情况说明</w:t>
      </w:r>
    </w:p>
    <w:p w14:paraId="21F46EB1">
      <w:pPr>
        <w:spacing w:line="580" w:lineRule="exact"/>
        <w:ind w:firstLine="640"/>
        <w:jc w:val="both"/>
      </w:pPr>
      <w:r>
        <w:rPr>
          <w:rFonts w:ascii="仿宋_GB2312" w:hAnsi="仿宋_GB2312" w:eastAsia="仿宋_GB2312"/>
          <w:b/>
          <w:sz w:val="32"/>
        </w:rPr>
        <w:t>2024年度财政拨款收入总计243.83万元，</w:t>
      </w:r>
      <w:r>
        <w:rPr>
          <w:rFonts w:ascii="仿宋_GB2312" w:hAnsi="仿宋_GB2312" w:eastAsia="仿宋_GB2312"/>
          <w:b w:val="0"/>
          <w:sz w:val="32"/>
        </w:rPr>
        <w:t>其中：年初财政拨款结转和结余0.00万元，本年财政拨款收入243.83万元。</w:t>
      </w:r>
      <w:r>
        <w:rPr>
          <w:rFonts w:ascii="仿宋_GB2312" w:hAnsi="仿宋_GB2312" w:eastAsia="仿宋_GB2312"/>
          <w:b/>
          <w:sz w:val="32"/>
        </w:rPr>
        <w:t>财政拨款支出总计243.83万元，</w:t>
      </w:r>
      <w:r>
        <w:rPr>
          <w:rFonts w:ascii="仿宋_GB2312" w:hAnsi="仿宋_GB2312" w:eastAsia="仿宋_GB2312"/>
          <w:b w:val="0"/>
          <w:sz w:val="32"/>
        </w:rPr>
        <w:t>其中：年末财政拨款结转和结余0.00万元，本年财政拨款支出243.83万元。</w:t>
      </w:r>
    </w:p>
    <w:p w14:paraId="56F3246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减少6.19万元，下降2.48%，主要原因是：本年在职人员减少，相关人员经费较上年减少。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年初预算数252.42万元，决算数243.83万元，预决算差异率-3.40%，主要原因是：严格落实中央八项规定精神，厉行节约，减少不必要的开支。</w:t>
      </w:r>
    </w:p>
    <w:p w14:paraId="3C04AEE7">
      <w:pPr>
        <w:spacing w:line="640" w:lineRule="exact"/>
        <w:ind w:firstLine="640"/>
        <w:jc w:val="both"/>
        <w:outlineLvl w:val="2"/>
      </w:pPr>
      <w:r>
        <w:rPr>
          <w:rFonts w:ascii="黑体" w:hAnsi="黑体" w:eastAsia="黑体"/>
          <w:sz w:val="32"/>
        </w:rPr>
        <w:t>五、一般公共预算财政拨款支出决算情况说明</w:t>
      </w:r>
    </w:p>
    <w:p w14:paraId="5DFFD56C">
      <w:pPr>
        <w:spacing w:line="640" w:lineRule="exact"/>
        <w:ind w:firstLine="640"/>
        <w:jc w:val="both"/>
        <w:outlineLvl w:val="3"/>
      </w:pPr>
      <w:r>
        <w:rPr>
          <w:rFonts w:ascii="楷体_GB2312" w:hAnsi="楷体_GB2312" w:eastAsia="楷体_GB2312"/>
          <w:b/>
          <w:sz w:val="32"/>
        </w:rPr>
        <w:t>（一）一般公共预算财政拨款支出决算总体情况</w:t>
      </w:r>
    </w:p>
    <w:p w14:paraId="06917D62">
      <w:pPr>
        <w:spacing w:line="580" w:lineRule="exact"/>
        <w:ind w:firstLine="640"/>
        <w:jc w:val="both"/>
      </w:pPr>
      <w:r>
        <w:rPr>
          <w:rFonts w:ascii="仿宋_GB2312" w:hAnsi="仿宋_GB2312" w:eastAsia="仿宋_GB2312"/>
          <w:b/>
          <w:sz w:val="32"/>
        </w:rPr>
        <w:t>2024年度一般公共预算财政拨款支出243.83万元，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减少6.19万元，下降2.48%，主要原因是：本年在职人员减少，相关人员经费较上年减少。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年初预算数252.42万元，决算数243.83万元，预决算差异率-3.40%，主要原因是：严格落实中央八项规定精神，厉行节约，减少不必要的开支。</w:t>
      </w:r>
    </w:p>
    <w:p w14:paraId="61B12596">
      <w:pPr>
        <w:spacing w:line="640" w:lineRule="exact"/>
        <w:ind w:firstLine="640"/>
        <w:jc w:val="both"/>
        <w:outlineLvl w:val="3"/>
      </w:pPr>
      <w:r>
        <w:rPr>
          <w:rFonts w:ascii="楷体_GB2312" w:hAnsi="楷体_GB2312" w:eastAsia="楷体_GB2312"/>
          <w:b/>
          <w:sz w:val="32"/>
        </w:rPr>
        <w:t>（二）一般公共预算财政拨款支出决算结构情况</w:t>
      </w:r>
    </w:p>
    <w:p w14:paraId="53449284">
      <w:pPr>
        <w:spacing w:line="580" w:lineRule="exact"/>
        <w:ind w:firstLine="640"/>
        <w:jc w:val="both"/>
      </w:pPr>
      <w:r>
        <w:rPr>
          <w:rFonts w:ascii="仿宋_GB2312" w:hAnsi="仿宋_GB2312" w:eastAsia="仿宋_GB2312"/>
          <w:b w:val="0"/>
          <w:sz w:val="32"/>
        </w:rPr>
        <w:t>1.教育支出(类)0.89万元,占0.37%。</w:t>
      </w:r>
    </w:p>
    <w:p w14:paraId="1A2EC54B">
      <w:pPr>
        <w:spacing w:line="580" w:lineRule="exact"/>
        <w:ind w:firstLine="640"/>
        <w:jc w:val="both"/>
      </w:pPr>
      <w:r>
        <w:rPr>
          <w:rFonts w:ascii="仿宋_GB2312" w:hAnsi="仿宋_GB2312" w:eastAsia="仿宋_GB2312"/>
          <w:b w:val="0"/>
          <w:sz w:val="32"/>
        </w:rPr>
        <w:t>2.社会保障和就业支出(类)31.72万元,占13.01%。</w:t>
      </w:r>
    </w:p>
    <w:p w14:paraId="53975FCA">
      <w:pPr>
        <w:spacing w:line="580" w:lineRule="exact"/>
        <w:ind w:firstLine="640"/>
        <w:jc w:val="both"/>
      </w:pPr>
      <w:r>
        <w:rPr>
          <w:rFonts w:ascii="仿宋_GB2312" w:hAnsi="仿宋_GB2312" w:eastAsia="仿宋_GB2312"/>
          <w:b w:val="0"/>
          <w:sz w:val="32"/>
        </w:rPr>
        <w:t>3.卫生健康支出(类)13.64万元,占5.59%。</w:t>
      </w:r>
    </w:p>
    <w:p w14:paraId="41412775">
      <w:pPr>
        <w:spacing w:line="580" w:lineRule="exact"/>
        <w:ind w:firstLine="640"/>
        <w:jc w:val="both"/>
      </w:pPr>
      <w:r>
        <w:rPr>
          <w:rFonts w:ascii="仿宋_GB2312" w:hAnsi="仿宋_GB2312" w:eastAsia="仿宋_GB2312"/>
          <w:b w:val="0"/>
          <w:sz w:val="32"/>
        </w:rPr>
        <w:t>4.节能环保支出(类)180.31万元,占73.95%。</w:t>
      </w:r>
    </w:p>
    <w:p w14:paraId="02DFE0FE">
      <w:pPr>
        <w:spacing w:line="580" w:lineRule="exact"/>
        <w:ind w:firstLine="640"/>
        <w:jc w:val="both"/>
      </w:pPr>
      <w:r>
        <w:rPr>
          <w:rFonts w:ascii="仿宋_GB2312" w:hAnsi="仿宋_GB2312" w:eastAsia="仿宋_GB2312"/>
          <w:b w:val="0"/>
          <w:sz w:val="32"/>
        </w:rPr>
        <w:t>5.住房保障支出(类)17.27万元,占7.08%。</w:t>
      </w:r>
    </w:p>
    <w:p w14:paraId="79F5B215">
      <w:pPr>
        <w:spacing w:line="640" w:lineRule="exact"/>
        <w:ind w:firstLine="640"/>
        <w:jc w:val="both"/>
        <w:outlineLvl w:val="3"/>
      </w:pPr>
      <w:r>
        <w:rPr>
          <w:rFonts w:ascii="楷体_GB2312" w:hAnsi="楷体_GB2312" w:eastAsia="楷体_GB2312"/>
          <w:b/>
          <w:sz w:val="32"/>
        </w:rPr>
        <w:t>（三）一般公共预算财政拨款支出决算具体情况</w:t>
      </w:r>
    </w:p>
    <w:p w14:paraId="0EAABD01">
      <w:pPr>
        <w:spacing w:line="580" w:lineRule="exact"/>
        <w:ind w:firstLine="640"/>
        <w:jc w:val="both"/>
      </w:pPr>
      <w:r>
        <w:rPr>
          <w:rFonts w:ascii="仿宋_GB2312" w:hAnsi="仿宋_GB2312" w:eastAsia="仿宋_GB2312"/>
          <w:b w:val="0"/>
          <w:sz w:val="32"/>
        </w:rPr>
        <w:t>1.教育支出(类)进修及培训(款)培训支出(项):支出决算数为0.89万元，比上年决算增加0.51万元，增长134.21%,主要原因是：本年培训次数增加，培训经费增加。</w:t>
      </w:r>
    </w:p>
    <w:p w14:paraId="5D621FD6">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2.社会保障和就业支出(类)行政事业单位养老支出(款)行政单位离退休(项):支出决算数为1.25万元，比上年决算减少0.03万元，下降2.34%,主要原因是：</w:t>
      </w:r>
      <w:r>
        <w:rPr>
          <w:rFonts w:hint="eastAsia" w:ascii="仿宋_GB2312" w:hAnsi="仿宋_GB2312" w:eastAsia="仿宋_GB2312"/>
          <w:b w:val="0"/>
          <w:sz w:val="32"/>
          <w:lang w:eastAsia="zh-CN"/>
        </w:rPr>
        <w:t>上年发放退休人员绩效较多，本年正常发放，导致本年退休费减少</w:t>
      </w:r>
      <w:r>
        <w:rPr>
          <w:rFonts w:ascii="仿宋_GB2312" w:hAnsi="仿宋_GB2312" w:eastAsia="仿宋_GB2312"/>
          <w:b w:val="0"/>
          <w:sz w:val="32"/>
        </w:rPr>
        <w:t>。</w:t>
      </w:r>
    </w:p>
    <w:p w14:paraId="5115CCE7">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21.26万元，比上年决算增加2.08万元，增长10.84%,主要原因是：本年在职人员工资基数调增，养老缴费基数上涨，相应支出增加。</w:t>
      </w:r>
    </w:p>
    <w:p w14:paraId="79B811DE">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4.社会保障和就业支出(类)行政事业单位养老支出(款)机关事业单位职业年金缴费支出(项):支出决算数为9.20万元，比上年决算增加3.61万元，增长64.58%,主要原因是：本年新增退休人员</w:t>
      </w:r>
      <w:r>
        <w:rPr>
          <w:rFonts w:hint="eastAsia" w:ascii="仿宋_GB2312" w:hAnsi="仿宋_GB2312" w:eastAsia="仿宋_GB2312"/>
          <w:b w:val="0"/>
          <w:sz w:val="32"/>
          <w:lang w:eastAsia="zh-CN"/>
        </w:rPr>
        <w:t>基数较高</w:t>
      </w:r>
      <w:r>
        <w:rPr>
          <w:rFonts w:ascii="仿宋_GB2312" w:hAnsi="仿宋_GB2312" w:eastAsia="仿宋_GB2312"/>
          <w:b w:val="0"/>
          <w:sz w:val="32"/>
        </w:rPr>
        <w:t>，职业年金缴费支出增加。</w:t>
      </w:r>
    </w:p>
    <w:p w14:paraId="73C365C3">
      <w:pPr>
        <w:spacing w:line="580" w:lineRule="exact"/>
        <w:ind w:firstLine="640"/>
        <w:jc w:val="both"/>
      </w:pPr>
      <w:r>
        <w:rPr>
          <w:rFonts w:ascii="仿宋_GB2312" w:hAnsi="仿宋_GB2312" w:eastAsia="仿宋_GB2312"/>
          <w:b w:val="0"/>
          <w:sz w:val="32"/>
        </w:rPr>
        <w:t>5.卫生健康支出(类)行政事业单位医疗(款)行政单位医疗(项):支出决算数为9.30万元，比上年决算增加0.67万元，增长7.76%,主要原因是：本年在职人员工资基数调增，医疗缴费基数上涨，相应支出增加。</w:t>
      </w:r>
    </w:p>
    <w:p w14:paraId="0D76328B">
      <w:pPr>
        <w:spacing w:line="580" w:lineRule="exact"/>
        <w:ind w:firstLine="640"/>
        <w:jc w:val="both"/>
      </w:pPr>
      <w:r>
        <w:rPr>
          <w:rFonts w:ascii="仿宋_GB2312" w:hAnsi="仿宋_GB2312" w:eastAsia="仿宋_GB2312"/>
          <w:b w:val="0"/>
          <w:sz w:val="32"/>
        </w:rPr>
        <w:t>6.卫生健康支出(类)行政事业单位医疗(款)公务员医疗补助(项):支出决算数为3.99万元，比上年决算增加0.29万元，增长7.84%,主要原因是：本年在职人员工资基数调增，医疗缴费基数上涨，相应支出增加。</w:t>
      </w:r>
    </w:p>
    <w:p w14:paraId="025E695B">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7.卫生健康支出(类)行政事业单位医疗(款)其他行政事业单位医疗支出(项):支出决算数为0.35万元，比上年决算增加0.02万元，增长6.06%,主要原因是：本年在职人员工资基数调增，其他行政事业单位医疗支出增加。</w:t>
      </w:r>
    </w:p>
    <w:p w14:paraId="3AEBEB60">
      <w:pPr>
        <w:spacing w:line="580" w:lineRule="exact"/>
        <w:ind w:firstLine="640"/>
        <w:jc w:val="both"/>
      </w:pPr>
      <w:r>
        <w:rPr>
          <w:rFonts w:ascii="仿宋_GB2312" w:hAnsi="仿宋_GB2312" w:eastAsia="仿宋_GB2312"/>
          <w:b w:val="0"/>
          <w:sz w:val="32"/>
        </w:rPr>
        <w:t>8.节能环保支出(类)环境保护管理事务(款)行政运行(项):支出决算数为180.31万元，比上年决算减少3.92万元，下降2.13%,主要原因是：本年在职人员减少，相应人员经费较上年减少。</w:t>
      </w:r>
    </w:p>
    <w:p w14:paraId="15825B26">
      <w:pPr>
        <w:spacing w:line="580" w:lineRule="exact"/>
        <w:ind w:firstLine="640"/>
        <w:jc w:val="both"/>
      </w:pPr>
      <w:r>
        <w:rPr>
          <w:rFonts w:ascii="仿宋_GB2312" w:hAnsi="仿宋_GB2312" w:eastAsia="仿宋_GB2312"/>
          <w:b w:val="0"/>
          <w:sz w:val="32"/>
        </w:rPr>
        <w:t>9.节能环保支出(类)环境保护管理事务(款)一般行政管理事务(项):支出决算数为0.00万元，比上年决算减少12.00万元，下降100.00%,主要原因是：本年度减少为民办实事工作经费。</w:t>
      </w:r>
    </w:p>
    <w:p w14:paraId="236B0F04">
      <w:pPr>
        <w:spacing w:line="580" w:lineRule="exact"/>
        <w:ind w:firstLine="640"/>
        <w:jc w:val="both"/>
      </w:pPr>
      <w:r>
        <w:rPr>
          <w:rFonts w:ascii="仿宋_GB2312" w:hAnsi="仿宋_GB2312" w:eastAsia="仿宋_GB2312"/>
          <w:b w:val="0"/>
          <w:sz w:val="32"/>
        </w:rPr>
        <w:t>10.住房保障支出(类)住房改革支出(款)住房公积金(项):支出决算数为17.27万元，比上年决算增加2.57万元，增长17.48%,主要原因是：本年在职人员工资基数调增，公积金缴费基数上涨，相应支出增加。</w:t>
      </w:r>
    </w:p>
    <w:p w14:paraId="1EC8FF30">
      <w:pPr>
        <w:spacing w:line="640" w:lineRule="exact"/>
        <w:ind w:firstLine="640"/>
        <w:jc w:val="both"/>
        <w:outlineLvl w:val="2"/>
      </w:pPr>
      <w:r>
        <w:rPr>
          <w:rFonts w:ascii="黑体" w:hAnsi="黑体" w:eastAsia="黑体"/>
          <w:sz w:val="32"/>
        </w:rPr>
        <w:t>六、一般公共预算财政拨款基本支出决算情况说明</w:t>
      </w:r>
    </w:p>
    <w:p w14:paraId="4A05055B">
      <w:pPr>
        <w:spacing w:line="580" w:lineRule="exact"/>
        <w:ind w:firstLine="640"/>
        <w:jc w:val="both"/>
      </w:pPr>
      <w:r>
        <w:rPr>
          <w:rFonts w:ascii="仿宋_GB2312" w:hAnsi="仿宋_GB2312" w:eastAsia="仿宋_GB2312"/>
          <w:b w:val="0"/>
          <w:sz w:val="32"/>
        </w:rPr>
        <w:t>2024年度一般公共预算财政拨款基本支出243.83万元，其中：</w:t>
      </w:r>
      <w:r>
        <w:rPr>
          <w:rFonts w:ascii="仿宋_GB2312" w:hAnsi="仿宋_GB2312" w:eastAsia="仿宋_GB2312"/>
          <w:b/>
          <w:sz w:val="32"/>
        </w:rPr>
        <w:t>人员经费220.49万元，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包括：基本工资、津贴补贴、奖金、伙食补助费、机关事业单位基本养老保险缴费、职业年金缴费、职工基本医疗保险缴费、公务员医疗补助缴费、其他社会保障缴费、住房公积金、医疗费、退休费、奖励金。</w:t>
      </w:r>
    </w:p>
    <w:p w14:paraId="42C2B977">
      <w:pPr>
        <w:spacing w:line="580" w:lineRule="exact"/>
        <w:ind w:firstLine="640"/>
        <w:jc w:val="both"/>
      </w:pPr>
      <w:r>
        <w:rPr>
          <w:rFonts w:ascii="仿宋_GB2312" w:hAnsi="仿宋_GB2312" w:eastAsia="仿宋_GB2312"/>
          <w:b/>
          <w:sz w:val="32"/>
        </w:rPr>
        <w:t>公用经费23.34万元，</w:t>
      </w:r>
      <w:r>
        <w:rPr>
          <w:rFonts w:ascii="仿宋_GB2312" w:hAnsi="仿宋_GB2312" w:eastAsia="仿宋_GB2312"/>
          <w:b w:val="0"/>
          <w:sz w:val="32"/>
        </w:rPr>
        <w:t>包括：办公费、水费、电费、邮电费、取暖费、物业管理费、差旅费、租赁费、培训费、工会经费、福利费、公务用车运行维护费、其他商品和服务支出。</w:t>
      </w:r>
    </w:p>
    <w:p w14:paraId="198F16D5">
      <w:pPr>
        <w:spacing w:line="640" w:lineRule="exact"/>
        <w:ind w:firstLine="640"/>
        <w:jc w:val="both"/>
        <w:outlineLvl w:val="2"/>
      </w:pPr>
      <w:r>
        <w:rPr>
          <w:rFonts w:ascii="黑体" w:hAnsi="黑体" w:eastAsia="黑体"/>
          <w:sz w:val="32"/>
        </w:rPr>
        <w:t>七、政府性基金预算财政拨款收入支出决算情况说明</w:t>
      </w:r>
    </w:p>
    <w:p w14:paraId="70B2DC5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5A7CBC3">
      <w:pPr>
        <w:spacing w:line="640" w:lineRule="exact"/>
        <w:ind w:firstLine="640"/>
        <w:jc w:val="both"/>
        <w:outlineLvl w:val="2"/>
      </w:pPr>
      <w:r>
        <w:rPr>
          <w:rFonts w:ascii="黑体" w:hAnsi="黑体" w:eastAsia="黑体"/>
          <w:sz w:val="32"/>
        </w:rPr>
        <w:t>八、国有资本经营预算财政拨款收入支出决算情况说明</w:t>
      </w:r>
    </w:p>
    <w:p w14:paraId="2BD168E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A1F03EB">
      <w:pPr>
        <w:spacing w:line="640" w:lineRule="exact"/>
        <w:ind w:firstLine="640"/>
        <w:jc w:val="both"/>
        <w:outlineLvl w:val="2"/>
      </w:pPr>
      <w:r>
        <w:rPr>
          <w:rFonts w:ascii="黑体" w:hAnsi="黑体" w:eastAsia="黑体"/>
          <w:sz w:val="32"/>
        </w:rPr>
        <w:t>九、财政拨款“三公”经费支出决算情况说明</w:t>
      </w:r>
    </w:p>
    <w:p w14:paraId="487A9655">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5.60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26FF9E77">
      <w:pPr>
        <w:spacing w:line="580" w:lineRule="exact"/>
        <w:ind w:firstLine="640"/>
        <w:jc w:val="both"/>
      </w:pPr>
      <w:r>
        <w:rPr>
          <w:rFonts w:ascii="仿宋_GB2312" w:hAnsi="仿宋_GB2312" w:eastAsia="仿宋_GB2312"/>
          <w:b/>
          <w:sz w:val="32"/>
        </w:rPr>
        <w:t>具体情况如下：</w:t>
      </w:r>
    </w:p>
    <w:p w14:paraId="06FB5F5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613290">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048B10D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40A46F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5.60万元，决算数5.60万元，预决算差异率0.00%，主要原因是：严格按照预算执行，预决算无差异。公务接待费全年预算数0.00万元，决算数0.00万元，预决算差异率0.00%，主要原因是：本单位无公务接待费。</w:t>
      </w:r>
    </w:p>
    <w:p w14:paraId="15F90632">
      <w:pPr>
        <w:spacing w:line="640" w:lineRule="exact"/>
        <w:ind w:firstLine="640"/>
        <w:jc w:val="both"/>
        <w:outlineLvl w:val="2"/>
      </w:pPr>
      <w:r>
        <w:rPr>
          <w:rFonts w:ascii="黑体" w:hAnsi="黑体" w:eastAsia="黑体"/>
          <w:sz w:val="32"/>
        </w:rPr>
        <w:t>十、其他重要事项的情况说明</w:t>
      </w:r>
    </w:p>
    <w:p w14:paraId="1278CC25">
      <w:pPr>
        <w:spacing w:line="640" w:lineRule="exact"/>
        <w:ind w:firstLine="640"/>
        <w:jc w:val="both"/>
        <w:outlineLvl w:val="3"/>
      </w:pPr>
      <w:r>
        <w:rPr>
          <w:rFonts w:ascii="楷体_GB2312" w:hAnsi="楷体_GB2312" w:eastAsia="楷体_GB2312"/>
          <w:b/>
          <w:sz w:val="32"/>
        </w:rPr>
        <w:t>（一）机关运行经费及公用经费支出情况</w:t>
      </w:r>
    </w:p>
    <w:p w14:paraId="64E0B118">
      <w:pPr>
        <w:spacing w:line="580" w:lineRule="exact"/>
        <w:ind w:firstLine="640"/>
        <w:jc w:val="both"/>
      </w:pPr>
      <w:r>
        <w:rPr>
          <w:rFonts w:ascii="仿宋_GB2312" w:hAnsi="仿宋_GB2312" w:eastAsia="仿宋_GB2312"/>
          <w:b w:val="0"/>
          <w:sz w:val="32"/>
        </w:rPr>
        <w:t>2024年度巴音郭楞蒙古自治州生态环境局焉耆县分局（行政单位和参照公务员法管理事业单位）机关运行经费支出23.34万元，比上年减少0.27万元，下降1.14%，主要原因是：严控经费支出，厉行节约，减少经费支出。</w:t>
      </w:r>
    </w:p>
    <w:p w14:paraId="6EE6A966">
      <w:pPr>
        <w:spacing w:line="640" w:lineRule="exact"/>
        <w:ind w:firstLine="640"/>
        <w:jc w:val="both"/>
        <w:outlineLvl w:val="3"/>
      </w:pPr>
      <w:r>
        <w:rPr>
          <w:rFonts w:ascii="楷体_GB2312" w:hAnsi="楷体_GB2312" w:eastAsia="楷体_GB2312"/>
          <w:b/>
          <w:sz w:val="32"/>
        </w:rPr>
        <w:t>（二）政府采购情况</w:t>
      </w:r>
    </w:p>
    <w:p w14:paraId="01881EED">
      <w:pPr>
        <w:spacing w:line="580" w:lineRule="exact"/>
        <w:ind w:firstLine="640"/>
        <w:jc w:val="both"/>
      </w:pPr>
      <w:r>
        <w:rPr>
          <w:rFonts w:ascii="仿宋_GB2312" w:hAnsi="仿宋_GB2312" w:eastAsia="仿宋_GB2312"/>
          <w:b w:val="0"/>
          <w:sz w:val="32"/>
        </w:rPr>
        <w:t>2024年度政府采购支出总额4.83万元，其中：政府采购货物支出1.40万元、政府采购工程支出0.00万元、政府采购服务支出3.43万元。</w:t>
      </w:r>
    </w:p>
    <w:p w14:paraId="4D0A01A5">
      <w:pPr>
        <w:spacing w:line="580" w:lineRule="exact"/>
        <w:ind w:firstLine="640"/>
        <w:jc w:val="both"/>
      </w:pPr>
      <w:r>
        <w:rPr>
          <w:rFonts w:ascii="仿宋_GB2312" w:hAnsi="仿宋_GB2312" w:eastAsia="仿宋_GB2312"/>
          <w:b w:val="0"/>
          <w:sz w:val="32"/>
        </w:rPr>
        <w:t>授予中小企业合同金额4.83万元，占政府采购支出总额的100.00%，其中：授予小微企业合同金额4.18万元，占政府采购支出总额的86.54%。</w:t>
      </w:r>
    </w:p>
    <w:p w14:paraId="4FFAAB00">
      <w:pPr>
        <w:spacing w:line="640" w:lineRule="exact"/>
        <w:ind w:firstLine="640"/>
        <w:jc w:val="both"/>
        <w:outlineLvl w:val="3"/>
      </w:pPr>
      <w:r>
        <w:rPr>
          <w:rFonts w:ascii="楷体_GB2312" w:hAnsi="楷体_GB2312" w:eastAsia="楷体_GB2312"/>
          <w:b/>
          <w:sz w:val="32"/>
        </w:rPr>
        <w:t>（三）国有资产占用情况说明</w:t>
      </w:r>
    </w:p>
    <w:p w14:paraId="01F09514">
      <w:pPr>
        <w:spacing w:line="580" w:lineRule="exact"/>
        <w:ind w:firstLine="640"/>
        <w:jc w:val="both"/>
      </w:pPr>
      <w:r>
        <w:rPr>
          <w:rFonts w:ascii="仿宋_GB2312" w:hAnsi="仿宋_GB2312" w:eastAsia="仿宋_GB2312"/>
          <w:b w:val="0"/>
          <w:sz w:val="32"/>
        </w:rPr>
        <w:t>截至2024年12月31日，房屋3,377.24平方米，价值626.66万元。车辆2辆，价值33.97万元，其中：副部（省）级及以上领导用车0辆、主要负责人用车1辆、机要通信用车0辆、应急保障用车0辆、执法执勤用车1辆、特种专业技术用车0辆、离退休干部服务用车0辆、其他用车0辆，其他用车主要是：本单位无其他用车。单价100万元（含）以上设备（不含车辆）1台（套）。</w:t>
      </w:r>
    </w:p>
    <w:p w14:paraId="741FDD81">
      <w:pPr>
        <w:spacing w:line="640" w:lineRule="exact"/>
        <w:ind w:firstLine="640"/>
        <w:jc w:val="both"/>
        <w:outlineLvl w:val="2"/>
      </w:pPr>
      <w:r>
        <w:rPr>
          <w:rFonts w:ascii="黑体" w:hAnsi="黑体" w:eastAsia="黑体"/>
          <w:sz w:val="32"/>
        </w:rPr>
        <w:t>十一、预算绩效的情况说明</w:t>
      </w:r>
    </w:p>
    <w:p w14:paraId="36DBDA1C">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7B00C449">
      <w:r>
        <w:br w:type="page"/>
      </w:r>
    </w:p>
    <w:p w14:paraId="3A5A1DCC">
      <w:pPr>
        <w:spacing w:line="640" w:lineRule="exact"/>
        <w:ind w:firstLine="640"/>
        <w:jc w:val="both"/>
        <w:outlineLvl w:val="2"/>
      </w:pPr>
      <w:r>
        <w:rPr>
          <w:rFonts w:ascii="黑体" w:hAnsi="黑体" w:eastAsia="黑体"/>
          <w:sz w:val="32"/>
        </w:rPr>
        <w:t>十二、其他需说明的事项</w:t>
      </w:r>
    </w:p>
    <w:p w14:paraId="699DFC4B">
      <w:pPr>
        <w:spacing w:line="580" w:lineRule="exact"/>
        <w:ind w:firstLine="640"/>
        <w:jc w:val="both"/>
      </w:pPr>
      <w:r>
        <w:rPr>
          <w:rFonts w:ascii="仿宋_GB2312" w:hAnsi="仿宋_GB2312" w:eastAsia="仿宋_GB2312"/>
          <w:b w:val="0"/>
          <w:sz w:val="32"/>
        </w:rPr>
        <w:t>本年度本单位整体绩效自评表由主管部门编报并公开。</w:t>
      </w:r>
    </w:p>
    <w:p w14:paraId="1AAC75E1">
      <w:r>
        <w:br w:type="page"/>
      </w:r>
    </w:p>
    <w:p w14:paraId="1D6A14F2">
      <w:pPr>
        <w:spacing w:line="240" w:lineRule="auto"/>
        <w:jc w:val="center"/>
        <w:outlineLvl w:val="1"/>
      </w:pPr>
      <w:r>
        <w:rPr>
          <w:rFonts w:ascii="黑体" w:hAnsi="黑体" w:eastAsia="黑体"/>
          <w:sz w:val="32"/>
        </w:rPr>
        <w:t>第三部分 专业名词解释</w:t>
      </w:r>
    </w:p>
    <w:p w14:paraId="082243F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78F222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1B77C4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C9CEA1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53646D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58F52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4C90FB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0DEABF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32749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CB2EC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4BFDB9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AD0809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9E745C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7E3AC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C0299EF">
      <w:r>
        <w:br w:type="page"/>
      </w:r>
    </w:p>
    <w:p w14:paraId="728D0A52">
      <w:pPr>
        <w:spacing w:line="240" w:lineRule="auto"/>
        <w:jc w:val="center"/>
        <w:outlineLvl w:val="1"/>
      </w:pPr>
      <w:r>
        <w:rPr>
          <w:rFonts w:ascii="黑体" w:hAnsi="黑体" w:eastAsia="黑体"/>
          <w:sz w:val="32"/>
        </w:rPr>
        <w:t>第四部分 部门决算报表（见附表）</w:t>
      </w:r>
    </w:p>
    <w:p w14:paraId="5131704B">
      <w:pPr>
        <w:spacing w:line="240" w:lineRule="auto"/>
        <w:ind w:firstLine="640"/>
        <w:jc w:val="both"/>
      </w:pPr>
      <w:r>
        <w:rPr>
          <w:rFonts w:ascii="仿宋_GB2312" w:hAnsi="仿宋_GB2312" w:eastAsia="仿宋_GB2312"/>
          <w:b w:val="0"/>
          <w:sz w:val="32"/>
        </w:rPr>
        <w:t>一、《收入支出决算总表》</w:t>
      </w:r>
    </w:p>
    <w:p w14:paraId="77330C8A">
      <w:pPr>
        <w:spacing w:line="240" w:lineRule="auto"/>
        <w:ind w:firstLine="640"/>
        <w:jc w:val="both"/>
      </w:pPr>
      <w:r>
        <w:rPr>
          <w:rFonts w:ascii="仿宋_GB2312" w:hAnsi="仿宋_GB2312" w:eastAsia="仿宋_GB2312"/>
          <w:b w:val="0"/>
          <w:sz w:val="32"/>
        </w:rPr>
        <w:t>二、《收入决算表》</w:t>
      </w:r>
    </w:p>
    <w:p w14:paraId="6797D82B">
      <w:pPr>
        <w:spacing w:line="240" w:lineRule="auto"/>
        <w:ind w:firstLine="640"/>
        <w:jc w:val="both"/>
      </w:pPr>
      <w:r>
        <w:rPr>
          <w:rFonts w:ascii="仿宋_GB2312" w:hAnsi="仿宋_GB2312" w:eastAsia="仿宋_GB2312"/>
          <w:b w:val="0"/>
          <w:sz w:val="32"/>
        </w:rPr>
        <w:t>三、《支出决算表》</w:t>
      </w:r>
    </w:p>
    <w:p w14:paraId="4D2634DF">
      <w:pPr>
        <w:spacing w:line="240" w:lineRule="auto"/>
        <w:ind w:firstLine="640"/>
        <w:jc w:val="both"/>
      </w:pPr>
      <w:r>
        <w:rPr>
          <w:rFonts w:ascii="仿宋_GB2312" w:hAnsi="仿宋_GB2312" w:eastAsia="仿宋_GB2312"/>
          <w:b w:val="0"/>
          <w:sz w:val="32"/>
        </w:rPr>
        <w:t>四、《财政拨款收入支出决算总表》</w:t>
      </w:r>
    </w:p>
    <w:p w14:paraId="63318A14">
      <w:pPr>
        <w:spacing w:line="240" w:lineRule="auto"/>
        <w:ind w:firstLine="640"/>
        <w:jc w:val="both"/>
      </w:pPr>
      <w:r>
        <w:rPr>
          <w:rFonts w:ascii="仿宋_GB2312" w:hAnsi="仿宋_GB2312" w:eastAsia="仿宋_GB2312"/>
          <w:b w:val="0"/>
          <w:sz w:val="32"/>
        </w:rPr>
        <w:t>五、《一般公共预算财政拨款支出决算表》</w:t>
      </w:r>
    </w:p>
    <w:p w14:paraId="33A1700A">
      <w:pPr>
        <w:spacing w:line="240" w:lineRule="auto"/>
        <w:ind w:firstLine="640"/>
        <w:jc w:val="both"/>
      </w:pPr>
      <w:r>
        <w:rPr>
          <w:rFonts w:ascii="仿宋_GB2312" w:hAnsi="仿宋_GB2312" w:eastAsia="仿宋_GB2312"/>
          <w:b w:val="0"/>
          <w:sz w:val="32"/>
        </w:rPr>
        <w:t>六、《一般公共预算财政拨款基本支出决算表》</w:t>
      </w:r>
    </w:p>
    <w:p w14:paraId="1F9059C2">
      <w:pPr>
        <w:spacing w:line="240" w:lineRule="auto"/>
        <w:ind w:firstLine="640"/>
        <w:jc w:val="both"/>
      </w:pPr>
      <w:r>
        <w:rPr>
          <w:rFonts w:ascii="仿宋_GB2312" w:hAnsi="仿宋_GB2312" w:eastAsia="仿宋_GB2312"/>
          <w:b w:val="0"/>
          <w:sz w:val="32"/>
        </w:rPr>
        <w:t>七、《政府性基金预算财政拨款收入支出决算表》</w:t>
      </w:r>
    </w:p>
    <w:p w14:paraId="66EA88EA">
      <w:pPr>
        <w:spacing w:line="240" w:lineRule="auto"/>
        <w:ind w:firstLine="640"/>
        <w:jc w:val="both"/>
      </w:pPr>
      <w:r>
        <w:rPr>
          <w:rFonts w:ascii="仿宋_GB2312" w:hAnsi="仿宋_GB2312" w:eastAsia="仿宋_GB2312"/>
          <w:b w:val="0"/>
          <w:sz w:val="32"/>
        </w:rPr>
        <w:t>八、《国有资本经营预算财政拨款收入支出决算表》</w:t>
      </w:r>
    </w:p>
    <w:p w14:paraId="0B0AA7B6">
      <w:pPr>
        <w:spacing w:line="240" w:lineRule="auto"/>
        <w:ind w:firstLine="640"/>
        <w:jc w:val="both"/>
      </w:pPr>
      <w:r>
        <w:rPr>
          <w:rFonts w:ascii="仿宋_GB2312" w:hAnsi="仿宋_GB2312" w:eastAsia="仿宋_GB2312"/>
          <w:b w:val="0"/>
          <w:sz w:val="32"/>
        </w:rPr>
        <w:t>九、《财政拨款“三公”经费支出决算表》</w:t>
      </w:r>
    </w:p>
    <w:p w14:paraId="025A3AFD">
      <w:pPr>
        <w:spacing w:line="240" w:lineRule="auto"/>
        <w:ind w:firstLine="640"/>
        <w:jc w:val="both"/>
      </w:pPr>
    </w:p>
    <w:p w14:paraId="68D672F5">
      <w:pPr>
        <w:spacing w:line="240" w:lineRule="auto"/>
        <w:ind w:firstLine="640"/>
        <w:jc w:val="both"/>
      </w:pPr>
    </w:p>
    <w:p w14:paraId="5205478B">
      <w:pPr>
        <w:spacing w:line="240" w:lineRule="auto"/>
        <w:ind w:firstLine="640"/>
        <w:jc w:val="both"/>
      </w:pPr>
    </w:p>
    <w:p w14:paraId="3983CD8C">
      <w:pPr>
        <w:spacing w:line="240" w:lineRule="auto"/>
        <w:ind w:firstLine="640"/>
        <w:jc w:val="both"/>
      </w:pPr>
    </w:p>
    <w:p w14:paraId="7FB76E0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FD2D35"/>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E96F95"/>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5423</Words>
  <Characters>6079</Characters>
  <Lines>0</Lines>
  <Paragraphs>0</Paragraphs>
  <TotalTime>3</TotalTime>
  <ScaleCrop>false</ScaleCrop>
  <LinksUpToDate>false</LinksUpToDate>
  <CharactersWithSpaces>6089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2025-09-11T09:23:41Z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