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巴音郭楞蒙古自治州生态环境局且末县分局2024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9864D6D">
      <w:r>
        <w:br w:type="page"/>
      </w:r>
    </w:p>
    <w:p w14:paraId="1616A7BE">
      <w:pPr>
        <w:spacing w:line="640" w:lineRule="exact"/>
        <w:jc w:val="center"/>
        <w:outlineLvl w:val="1"/>
      </w:pPr>
      <w:r>
        <w:rPr>
          <w:rFonts w:ascii="黑体" w:hAnsi="黑体" w:eastAsia="黑体"/>
          <w:sz w:val="32"/>
        </w:rPr>
        <w:t>第一部分 单位概况</w:t>
      </w:r>
    </w:p>
    <w:p w14:paraId="501721DF">
      <w:pPr>
        <w:spacing w:line="640" w:lineRule="exact"/>
        <w:ind w:firstLine="640"/>
        <w:jc w:val="both"/>
        <w:outlineLvl w:val="2"/>
      </w:pPr>
      <w:r>
        <w:rPr>
          <w:rFonts w:ascii="黑体" w:hAnsi="黑体" w:eastAsia="黑体"/>
          <w:sz w:val="32"/>
        </w:rPr>
        <w:t>一、主要职能</w:t>
      </w:r>
    </w:p>
    <w:p w14:paraId="0C30592E">
      <w:pPr>
        <w:spacing w:line="580" w:lineRule="exact"/>
        <w:ind w:firstLine="640"/>
        <w:jc w:val="both"/>
      </w:pPr>
      <w:r>
        <w:rPr>
          <w:rFonts w:ascii="仿宋_GB2312" w:hAnsi="仿宋_GB2312" w:eastAsia="仿宋_GB2312"/>
          <w:sz w:val="32"/>
        </w:rPr>
        <w:t>（1）单位的主要职责：贯彻执行国家、自治区、自治州环境保护的方针、政策、法律、法规。协同有关范围内的建设项目进行环境影响评价；拟定且末县环境保护规划，参与制定且末县环境保护规划和功能区划，组织拟定和监督实施且末县的重点流域、污染源防治和生态保护规划。</w:t>
      </w:r>
    </w:p>
    <w:p w14:paraId="3D071122">
      <w:pPr>
        <w:spacing w:line="580" w:lineRule="exact"/>
        <w:ind w:firstLine="640"/>
        <w:jc w:val="both"/>
      </w:pPr>
      <w:r>
        <w:rPr>
          <w:rFonts w:ascii="仿宋_GB2312" w:hAnsi="仿宋_GB2312" w:eastAsia="仿宋_GB2312"/>
          <w:sz w:val="32"/>
        </w:rPr>
        <w:t>（2）负责监督管理大气、水体、土壤、固体废物、有毒化学品、噪声、辐射、放射以及机动车的污染防治和县域生态环境保护工作，监督管理国家禁止（或严格限制）建设的重污染项目名录和有毒化学品名录；组织实施污染物总量控制、污染物排放申报登记、排污许可证管理；负责全县污染源调查工作。</w:t>
      </w:r>
    </w:p>
    <w:p w14:paraId="34D0F169">
      <w:pPr>
        <w:spacing w:line="580" w:lineRule="exact"/>
        <w:ind w:firstLine="640"/>
        <w:jc w:val="both"/>
      </w:pPr>
      <w:r>
        <w:rPr>
          <w:rFonts w:ascii="仿宋_GB2312" w:hAnsi="仿宋_GB2312" w:eastAsia="仿宋_GB2312"/>
          <w:sz w:val="32"/>
        </w:rPr>
        <w:t>（3）拟定生态保护规划，评估生态环境质量状况，监督对生态环境有影响的自然资源开发利用活动、重要生态环境建设和生态破坏恢复工作；监督检查且末县各种类型自然保护区、旅游区、公园环境保护工作；监督对生态环境有影响的自然资源开发活动、重要生态环境建设和生态破坏恢复工作；监督检查生物多样性保护，野生动植物保护、湿地环境保护工作。</w:t>
      </w:r>
    </w:p>
    <w:p w14:paraId="59D4D061">
      <w:pPr>
        <w:spacing w:line="580" w:lineRule="exact"/>
        <w:ind w:firstLine="640"/>
        <w:jc w:val="both"/>
      </w:pPr>
      <w:r>
        <w:rPr>
          <w:rFonts w:ascii="仿宋_GB2312" w:hAnsi="仿宋_GB2312" w:eastAsia="仿宋_GB2312"/>
          <w:sz w:val="32"/>
        </w:rPr>
        <w:t>（4）指导和协调解决辖区内重大环境问题；组织协调环境污染事故和生态破坏事件的调查处理，指导协调突发环境事件的应急、预警工作；处理涉及县辖区环境污染纠纷；组织和协调且末县重大流域水污染防治工作，负责县行政辖区内的环境监察；组织开展全县环境保护执法检查活动。</w:t>
      </w:r>
    </w:p>
    <w:p w14:paraId="70A32E94">
      <w:pPr>
        <w:spacing w:line="580" w:lineRule="exact"/>
        <w:ind w:firstLine="640"/>
        <w:jc w:val="both"/>
      </w:pPr>
      <w:r>
        <w:rPr>
          <w:rFonts w:ascii="仿宋_GB2312" w:hAnsi="仿宋_GB2312" w:eastAsia="仿宋_GB2312"/>
          <w:sz w:val="32"/>
        </w:rPr>
        <w:t>（5）监督实施国家、自治区、自治州环境质量标准和污染物排放标准；审核且末县城镇总体规划中的环境保护内容；参与编制且末县经济和社会发展规划。</w:t>
      </w:r>
    </w:p>
    <w:p w14:paraId="619D300D">
      <w:pPr>
        <w:spacing w:line="580" w:lineRule="exact"/>
        <w:ind w:firstLine="640"/>
        <w:jc w:val="both"/>
      </w:pPr>
      <w:r>
        <w:rPr>
          <w:rFonts w:ascii="仿宋_GB2312" w:hAnsi="仿宋_GB2312" w:eastAsia="仿宋_GB2312"/>
          <w:sz w:val="32"/>
        </w:rPr>
        <w:t>（6）制定和组织实施各项环境管理制度；审核且末县开发建设活动环境影响评价；会同有关部门监督管理饮用水源地环境保护工作，指导城乡环境综合整治和农村生态环境保护及且末县生态示范区建设和生态农业建设。</w:t>
      </w:r>
    </w:p>
    <w:p w14:paraId="2BB2AFB3">
      <w:pPr>
        <w:spacing w:line="580" w:lineRule="exact"/>
        <w:ind w:firstLine="640"/>
        <w:jc w:val="both"/>
      </w:pPr>
      <w:r>
        <w:rPr>
          <w:rFonts w:ascii="仿宋_GB2312" w:hAnsi="仿宋_GB2312" w:eastAsia="仿宋_GB2312"/>
          <w:sz w:val="32"/>
        </w:rPr>
        <w:t>（7）参与（负责）核安全、辐射安全、放射性废物监督管理，以及核与辐射环境事故应急处理工作；监督管理核设施安全、</w:t>
      </w:r>
      <w:r>
        <w:rPr>
          <w:rFonts w:hint="eastAsia" w:ascii="仿宋_GB2312" w:hAnsi="仿宋_GB2312" w:eastAsia="仿宋_GB2312"/>
          <w:sz w:val="32"/>
          <w:lang w:eastAsia="zh-CN"/>
        </w:rPr>
        <w:t>放射源</w:t>
      </w:r>
      <w:r>
        <w:rPr>
          <w:rFonts w:ascii="仿宋_GB2312" w:hAnsi="仿宋_GB2312" w:eastAsia="仿宋_GB2312"/>
          <w:sz w:val="32"/>
        </w:rPr>
        <w:t>安全、核技术应用、电磁辐射、伴有放射性矿产资源开发利用中的污染防治工作以及建设项目竣工环境保护验收工作。</w:t>
      </w:r>
    </w:p>
    <w:p w14:paraId="4865CAD0">
      <w:pPr>
        <w:spacing w:line="580" w:lineRule="exact"/>
        <w:ind w:firstLine="640"/>
        <w:jc w:val="both"/>
      </w:pPr>
      <w:r>
        <w:rPr>
          <w:rFonts w:ascii="仿宋_GB2312" w:hAnsi="仿宋_GB2312" w:eastAsia="仿宋_GB2312"/>
          <w:sz w:val="32"/>
        </w:rPr>
        <w:t>（8）负责环境监察、监测、统计和信息工作，监督执行环境制度和规范；组织实施环境质量监测和污染源监督性监测，组织对环境质量状况进行调查评估、预测预警。</w:t>
      </w:r>
    </w:p>
    <w:p w14:paraId="77BC349D">
      <w:pPr>
        <w:spacing w:line="580" w:lineRule="exact"/>
        <w:ind w:firstLine="640"/>
        <w:jc w:val="both"/>
      </w:pPr>
      <w:r>
        <w:rPr>
          <w:rFonts w:ascii="仿宋_GB2312" w:hAnsi="仿宋_GB2312" w:eastAsia="仿宋_GB2312"/>
          <w:sz w:val="32"/>
        </w:rPr>
        <w:t>（9）组织、指导和协调且末县环境保护宣传教育工作；推动全社会广泛参与环境保护。</w:t>
      </w:r>
    </w:p>
    <w:p w14:paraId="44A3A487">
      <w:pPr>
        <w:spacing w:line="640" w:lineRule="exact"/>
        <w:ind w:firstLine="640"/>
        <w:jc w:val="both"/>
        <w:outlineLvl w:val="2"/>
      </w:pPr>
      <w:r>
        <w:rPr>
          <w:rFonts w:ascii="黑体" w:hAnsi="黑体" w:eastAsia="黑体"/>
          <w:sz w:val="32"/>
        </w:rPr>
        <w:t>二、机构设置及人员情况</w:t>
      </w:r>
    </w:p>
    <w:p w14:paraId="76A8831C">
      <w:pPr>
        <w:spacing w:line="580" w:lineRule="exact"/>
        <w:ind w:firstLine="640"/>
        <w:jc w:val="both"/>
      </w:pPr>
      <w:r>
        <w:rPr>
          <w:rFonts w:ascii="仿宋_GB2312" w:hAnsi="仿宋_GB2312" w:eastAsia="仿宋_GB2312"/>
          <w:sz w:val="32"/>
        </w:rPr>
        <w:t>巴音郭楞蒙古自治州生态环境局且末县分局2024年度，实有人数6人，其中：在职人员6人，减少1人；离休人员0人，增加0人；退休人员0人,增加0人。</w:t>
      </w:r>
    </w:p>
    <w:p w14:paraId="0866E7BF">
      <w:pPr>
        <w:spacing w:line="580" w:lineRule="exact"/>
        <w:ind w:firstLine="640"/>
        <w:jc w:val="both"/>
      </w:pPr>
      <w:r>
        <w:rPr>
          <w:rFonts w:ascii="仿宋_GB2312" w:hAnsi="仿宋_GB2312" w:eastAsia="仿宋_GB2312"/>
          <w:sz w:val="32"/>
        </w:rPr>
        <w:t>巴音郭楞蒙古自治州生态环境局且末县分局无下属预算单位，下设3个科室，分别是：办公室、业务科、环境监察大队。</w:t>
      </w:r>
    </w:p>
    <w:p w14:paraId="2E3EC51C">
      <w:r>
        <w:br w:type="page"/>
      </w:r>
    </w:p>
    <w:p w14:paraId="3B74345E">
      <w:pPr>
        <w:spacing w:line="240" w:lineRule="auto"/>
        <w:jc w:val="center"/>
        <w:outlineLvl w:val="1"/>
      </w:pPr>
      <w:r>
        <w:rPr>
          <w:rFonts w:ascii="黑体" w:hAnsi="黑体" w:eastAsia="黑体"/>
          <w:sz w:val="32"/>
        </w:rPr>
        <w:t>第二部分 部门决算情况说明</w:t>
      </w:r>
    </w:p>
    <w:p w14:paraId="29B42938">
      <w:pPr>
        <w:spacing w:line="640" w:lineRule="exact"/>
        <w:ind w:firstLine="640"/>
        <w:jc w:val="both"/>
        <w:outlineLvl w:val="2"/>
      </w:pPr>
      <w:r>
        <w:rPr>
          <w:rFonts w:ascii="黑体" w:hAnsi="黑体" w:eastAsia="黑体"/>
          <w:sz w:val="32"/>
        </w:rPr>
        <w:t>一、收入支出决算总体情况说明</w:t>
      </w:r>
    </w:p>
    <w:p w14:paraId="28118328">
      <w:pPr>
        <w:spacing w:line="580" w:lineRule="exact"/>
        <w:ind w:firstLine="640"/>
        <w:jc w:val="both"/>
      </w:pPr>
      <w:r>
        <w:rPr>
          <w:rFonts w:ascii="仿宋_GB2312" w:hAnsi="仿宋_GB2312" w:eastAsia="仿宋_GB2312"/>
          <w:b/>
          <w:sz w:val="32"/>
        </w:rPr>
        <w:t>2024年度收入总计302.72万元，</w:t>
      </w:r>
      <w:r>
        <w:rPr>
          <w:rFonts w:ascii="仿宋_GB2312" w:hAnsi="仿宋_GB2312" w:eastAsia="仿宋_GB2312"/>
          <w:b w:val="0"/>
          <w:sz w:val="32"/>
        </w:rPr>
        <w:t>其中：本年收入合计302.70万元，使用非财政拨款结余（含专用结余）0.00万元，年初结转和结余0.02万元。</w:t>
      </w:r>
    </w:p>
    <w:p w14:paraId="3DB01418">
      <w:pPr>
        <w:spacing w:line="580" w:lineRule="exact"/>
        <w:ind w:firstLine="640"/>
        <w:jc w:val="both"/>
      </w:pPr>
      <w:r>
        <w:rPr>
          <w:rFonts w:ascii="仿宋_GB2312" w:hAnsi="仿宋_GB2312" w:eastAsia="仿宋_GB2312"/>
          <w:b/>
          <w:sz w:val="32"/>
        </w:rPr>
        <w:t>2024年度支出总计302.72万元，</w:t>
      </w:r>
      <w:r>
        <w:rPr>
          <w:rFonts w:ascii="仿宋_GB2312" w:hAnsi="仿宋_GB2312" w:eastAsia="仿宋_GB2312"/>
          <w:b w:val="0"/>
          <w:sz w:val="32"/>
        </w:rPr>
        <w:t>其中：本年支出合计302.70万元，结余分配0.00万元，年末结转和结余0.02万元。</w:t>
      </w:r>
    </w:p>
    <w:p w14:paraId="4904557D">
      <w:pPr>
        <w:spacing w:line="580" w:lineRule="exact"/>
        <w:ind w:firstLine="640"/>
        <w:jc w:val="both"/>
      </w:pPr>
      <w:r>
        <w:rPr>
          <w:rFonts w:ascii="仿宋_GB2312" w:hAnsi="仿宋_GB2312" w:eastAsia="仿宋_GB2312"/>
          <w:b w:val="0"/>
          <w:sz w:val="32"/>
        </w:rPr>
        <w:t>收入支出总体与上年相比，增加11.61万元，增长3.99%，主要原因是：本年度新增县级重点生态功能检测费用项目资金。</w:t>
      </w:r>
    </w:p>
    <w:p w14:paraId="2477E0B1">
      <w:pPr>
        <w:spacing w:line="640" w:lineRule="exact"/>
        <w:ind w:firstLine="640"/>
        <w:jc w:val="both"/>
        <w:outlineLvl w:val="2"/>
      </w:pPr>
      <w:r>
        <w:rPr>
          <w:rFonts w:ascii="黑体" w:hAnsi="黑体" w:eastAsia="黑体"/>
          <w:sz w:val="32"/>
        </w:rPr>
        <w:t>二、收入决算情况说明</w:t>
      </w:r>
    </w:p>
    <w:p w14:paraId="48C07258">
      <w:pPr>
        <w:spacing w:line="580" w:lineRule="exact"/>
        <w:ind w:firstLine="640"/>
        <w:jc w:val="both"/>
      </w:pPr>
      <w:r>
        <w:rPr>
          <w:rFonts w:ascii="仿宋_GB2312" w:hAnsi="仿宋_GB2312" w:eastAsia="仿宋_GB2312"/>
          <w:b/>
          <w:sz w:val="32"/>
        </w:rPr>
        <w:t>本年收入302.70万元，</w:t>
      </w:r>
      <w:r>
        <w:rPr>
          <w:rFonts w:ascii="仿宋_GB2312" w:hAnsi="仿宋_GB2312" w:eastAsia="仿宋_GB2312"/>
          <w:b w:val="0"/>
          <w:sz w:val="32"/>
        </w:rPr>
        <w:t>其中：财政拨款收入163.34万元，占53.96%；上级补助收入0.00万元，占0.00%；事业收入0.00万元，占0.00%；经营收入0.00万元，占0.00%；附属单位上缴收入0.00万元，占0.00%；其他收入139.36万元，占46.04%。</w:t>
      </w:r>
    </w:p>
    <w:p w14:paraId="36FF2A25">
      <w:pPr>
        <w:spacing w:line="640" w:lineRule="exact"/>
        <w:ind w:firstLine="640"/>
        <w:jc w:val="both"/>
        <w:outlineLvl w:val="2"/>
      </w:pPr>
      <w:r>
        <w:rPr>
          <w:rFonts w:ascii="黑体" w:hAnsi="黑体" w:eastAsia="黑体"/>
          <w:sz w:val="32"/>
        </w:rPr>
        <w:t>三、支出决算情况说明</w:t>
      </w:r>
    </w:p>
    <w:p w14:paraId="665F86CD">
      <w:pPr>
        <w:spacing w:line="580" w:lineRule="exact"/>
        <w:ind w:firstLine="640"/>
        <w:jc w:val="both"/>
      </w:pPr>
      <w:r>
        <w:rPr>
          <w:rFonts w:ascii="仿宋_GB2312" w:hAnsi="仿宋_GB2312" w:eastAsia="仿宋_GB2312"/>
          <w:b/>
          <w:sz w:val="32"/>
        </w:rPr>
        <w:t>本年支出302.70万元，</w:t>
      </w:r>
      <w:r>
        <w:rPr>
          <w:rFonts w:ascii="仿宋_GB2312" w:hAnsi="仿宋_GB2312" w:eastAsia="仿宋_GB2312"/>
          <w:b w:val="0"/>
          <w:sz w:val="32"/>
        </w:rPr>
        <w:t>其中：基本支出163.34万元，占53.96%；项目支出139.36万元，占46.04%；上缴上级支出0.00万元，占0.00%；经营支出0.00万元，占0.00%；对附属单位补助支出0.00万元，占0.00%。</w:t>
      </w:r>
    </w:p>
    <w:p w14:paraId="0B4B37CF">
      <w:pPr>
        <w:spacing w:line="640" w:lineRule="exact"/>
        <w:ind w:firstLine="640"/>
        <w:jc w:val="both"/>
        <w:outlineLvl w:val="2"/>
      </w:pPr>
      <w:r>
        <w:rPr>
          <w:rFonts w:ascii="黑体" w:hAnsi="黑体" w:eastAsia="黑体"/>
          <w:sz w:val="32"/>
        </w:rPr>
        <w:t>四、财政拨款收入支出决算总体情况说明</w:t>
      </w:r>
    </w:p>
    <w:p w14:paraId="27113927">
      <w:pPr>
        <w:spacing w:line="580" w:lineRule="exact"/>
        <w:ind w:firstLine="640"/>
        <w:jc w:val="both"/>
      </w:pPr>
      <w:r>
        <w:rPr>
          <w:rFonts w:ascii="仿宋_GB2312" w:hAnsi="仿宋_GB2312" w:eastAsia="仿宋_GB2312"/>
          <w:b/>
          <w:sz w:val="32"/>
        </w:rPr>
        <w:t>2024年度财政拨款收入总计163.34万元，</w:t>
      </w:r>
      <w:r>
        <w:rPr>
          <w:rFonts w:ascii="仿宋_GB2312" w:hAnsi="仿宋_GB2312" w:eastAsia="仿宋_GB2312"/>
          <w:b w:val="0"/>
          <w:sz w:val="32"/>
        </w:rPr>
        <w:t>其中：年初财政拨款结转和结余0.00万元，本年财政拨款收入163.34万元。</w:t>
      </w:r>
      <w:r>
        <w:rPr>
          <w:rFonts w:ascii="仿宋_GB2312" w:hAnsi="仿宋_GB2312" w:eastAsia="仿宋_GB2312"/>
          <w:b/>
          <w:sz w:val="32"/>
        </w:rPr>
        <w:t>财政拨款支出总计163.34万元，</w:t>
      </w:r>
      <w:r>
        <w:rPr>
          <w:rFonts w:ascii="仿宋_GB2312" w:hAnsi="仿宋_GB2312" w:eastAsia="仿宋_GB2312"/>
          <w:b w:val="0"/>
          <w:sz w:val="32"/>
        </w:rPr>
        <w:t>其中：年末财政拨款结转和结余0.00万元，本年财政拨款支出163.34万元。</w:t>
      </w:r>
    </w:p>
    <w:p w14:paraId="428ED48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减少53.34万元，下降24.62%，主要原因是：本年在职人员减少，相关人员经费较上年减少；本年无去世人员，减少抚恤金；减少为民办实事工作经费。</w:t>
      </w:r>
      <w:r>
        <w:rPr>
          <w:rFonts w:ascii="仿宋_GB2312" w:hAnsi="仿宋_GB2312" w:eastAsia="仿宋_GB2312"/>
          <w:b/>
          <w:sz w:val="32"/>
        </w:rPr>
        <w:t>与年初预算相比，</w:t>
      </w:r>
      <w:r>
        <w:rPr>
          <w:rFonts w:ascii="仿宋_GB2312" w:hAnsi="仿宋_GB2312" w:eastAsia="仿宋_GB2312"/>
          <w:b w:val="0"/>
          <w:sz w:val="32"/>
        </w:rPr>
        <w:t>年初预算数172.00万元，决算数163.34万元，预决算差异率-5.03%，主要原因是：本年在职人员减少，年中调减人员经费，导致预决算存在差异。</w:t>
      </w:r>
    </w:p>
    <w:p w14:paraId="61528D7A">
      <w:pPr>
        <w:spacing w:line="640" w:lineRule="exact"/>
        <w:ind w:firstLine="640"/>
        <w:jc w:val="both"/>
        <w:outlineLvl w:val="2"/>
      </w:pPr>
      <w:r>
        <w:rPr>
          <w:rFonts w:ascii="黑体" w:hAnsi="黑体" w:eastAsia="黑体"/>
          <w:sz w:val="32"/>
        </w:rPr>
        <w:t>五、一般公共预算财政拨款支出决算情况说明</w:t>
      </w:r>
    </w:p>
    <w:p w14:paraId="12E84CEF">
      <w:pPr>
        <w:spacing w:line="640" w:lineRule="exact"/>
        <w:ind w:firstLine="640"/>
        <w:jc w:val="both"/>
        <w:outlineLvl w:val="3"/>
      </w:pPr>
      <w:r>
        <w:rPr>
          <w:rFonts w:ascii="楷体_GB2312" w:hAnsi="楷体_GB2312" w:eastAsia="楷体_GB2312"/>
          <w:b/>
          <w:sz w:val="32"/>
        </w:rPr>
        <w:t>（一）一般公共预算财政拨款支出决算总体情况</w:t>
      </w:r>
    </w:p>
    <w:p w14:paraId="639DBD89">
      <w:pPr>
        <w:spacing w:line="580" w:lineRule="exact"/>
        <w:ind w:firstLine="640"/>
        <w:jc w:val="both"/>
      </w:pPr>
      <w:r>
        <w:rPr>
          <w:rFonts w:ascii="仿宋_GB2312" w:hAnsi="仿宋_GB2312" w:eastAsia="仿宋_GB2312"/>
          <w:b/>
          <w:sz w:val="32"/>
        </w:rPr>
        <w:t>2024年度一般公共预算财政拨款支出163.34万元，</w:t>
      </w:r>
      <w:r>
        <w:rPr>
          <w:rFonts w:ascii="仿宋_GB2312" w:hAnsi="仿宋_GB2312" w:eastAsia="仿宋_GB2312"/>
          <w:b w:val="0"/>
          <w:sz w:val="32"/>
        </w:rPr>
        <w:t>占本年支出合计的53.96%。</w:t>
      </w:r>
      <w:r>
        <w:rPr>
          <w:rFonts w:ascii="仿宋_GB2312" w:hAnsi="仿宋_GB2312" w:eastAsia="仿宋_GB2312"/>
          <w:b/>
          <w:sz w:val="32"/>
        </w:rPr>
        <w:t>与上年相比，</w:t>
      </w:r>
      <w:r>
        <w:rPr>
          <w:rFonts w:ascii="仿宋_GB2312" w:hAnsi="仿宋_GB2312" w:eastAsia="仿宋_GB2312"/>
          <w:b w:val="0"/>
          <w:sz w:val="32"/>
        </w:rPr>
        <w:t>减少53.34万元，下降24.62%，主要原因是：本年在职人员减少，相关人员经费较上年减少；本年无去世人员，减少抚恤金；减少为民办实事工作经费。</w:t>
      </w:r>
      <w:r>
        <w:rPr>
          <w:rFonts w:ascii="仿宋_GB2312" w:hAnsi="仿宋_GB2312" w:eastAsia="仿宋_GB2312"/>
          <w:b/>
          <w:sz w:val="32"/>
        </w:rPr>
        <w:t>与年初预算相比,</w:t>
      </w:r>
      <w:r>
        <w:rPr>
          <w:rFonts w:ascii="仿宋_GB2312" w:hAnsi="仿宋_GB2312" w:eastAsia="仿宋_GB2312"/>
          <w:b w:val="0"/>
          <w:sz w:val="32"/>
        </w:rPr>
        <w:t>年初预算数172.00万元，决算数163.34万元，预决算差异率-5.03%，主要原因是：本年在职人员减少，年中调减人员经费，导致预决算存在差异。</w:t>
      </w:r>
    </w:p>
    <w:p w14:paraId="2DBF0E52">
      <w:pPr>
        <w:spacing w:line="640" w:lineRule="exact"/>
        <w:ind w:firstLine="640"/>
        <w:jc w:val="both"/>
        <w:outlineLvl w:val="3"/>
      </w:pPr>
      <w:r>
        <w:rPr>
          <w:rFonts w:ascii="楷体_GB2312" w:hAnsi="楷体_GB2312" w:eastAsia="楷体_GB2312"/>
          <w:b/>
          <w:sz w:val="32"/>
        </w:rPr>
        <w:t>（二）一般公共预算财政拨款支出决算结构情况</w:t>
      </w:r>
    </w:p>
    <w:p w14:paraId="08734AC4">
      <w:pPr>
        <w:spacing w:line="580" w:lineRule="exact"/>
        <w:ind w:firstLine="640"/>
        <w:jc w:val="both"/>
      </w:pPr>
      <w:r>
        <w:rPr>
          <w:rFonts w:ascii="仿宋_GB2312" w:hAnsi="仿宋_GB2312" w:eastAsia="仿宋_GB2312"/>
          <w:b w:val="0"/>
          <w:sz w:val="32"/>
        </w:rPr>
        <w:t>1.教育支出(类)0.20万元,占0.12%。</w:t>
      </w:r>
    </w:p>
    <w:p w14:paraId="4B3D68B3">
      <w:pPr>
        <w:spacing w:line="580" w:lineRule="exact"/>
        <w:ind w:firstLine="640"/>
        <w:jc w:val="both"/>
      </w:pPr>
      <w:r>
        <w:rPr>
          <w:rFonts w:ascii="仿宋_GB2312" w:hAnsi="仿宋_GB2312" w:eastAsia="仿宋_GB2312"/>
          <w:b w:val="0"/>
          <w:sz w:val="32"/>
        </w:rPr>
        <w:t>2.社会保障和就业支出(类)15.23万元,占9.32%。</w:t>
      </w:r>
    </w:p>
    <w:p w14:paraId="16FD401C">
      <w:pPr>
        <w:spacing w:line="580" w:lineRule="exact"/>
        <w:ind w:firstLine="640"/>
        <w:jc w:val="both"/>
      </w:pPr>
      <w:r>
        <w:rPr>
          <w:rFonts w:ascii="仿宋_GB2312" w:hAnsi="仿宋_GB2312" w:eastAsia="仿宋_GB2312"/>
          <w:b w:val="0"/>
          <w:sz w:val="32"/>
        </w:rPr>
        <w:t>3.卫生健康支出(类)9.71万元,占5.94%。</w:t>
      </w:r>
    </w:p>
    <w:p w14:paraId="79347A18">
      <w:pPr>
        <w:spacing w:line="580" w:lineRule="exact"/>
        <w:ind w:firstLine="640"/>
        <w:jc w:val="both"/>
      </w:pPr>
      <w:r>
        <w:rPr>
          <w:rFonts w:ascii="仿宋_GB2312" w:hAnsi="仿宋_GB2312" w:eastAsia="仿宋_GB2312"/>
          <w:b w:val="0"/>
          <w:sz w:val="32"/>
        </w:rPr>
        <w:t>4.节能环保支出(类)125.27万元,占76.69%。</w:t>
      </w:r>
    </w:p>
    <w:p w14:paraId="27856510">
      <w:pPr>
        <w:spacing w:line="580" w:lineRule="exact"/>
        <w:ind w:firstLine="640"/>
        <w:jc w:val="both"/>
      </w:pPr>
      <w:r>
        <w:rPr>
          <w:rFonts w:ascii="仿宋_GB2312" w:hAnsi="仿宋_GB2312" w:eastAsia="仿宋_GB2312"/>
          <w:b w:val="0"/>
          <w:sz w:val="32"/>
        </w:rPr>
        <w:t>5.住房保障支出(类)12.93万元,占7.92%。</w:t>
      </w:r>
    </w:p>
    <w:p w14:paraId="2FB21675">
      <w:pPr>
        <w:spacing w:line="640" w:lineRule="exact"/>
        <w:ind w:firstLine="640"/>
        <w:jc w:val="both"/>
        <w:outlineLvl w:val="3"/>
      </w:pPr>
      <w:r>
        <w:rPr>
          <w:rFonts w:ascii="楷体_GB2312" w:hAnsi="楷体_GB2312" w:eastAsia="楷体_GB2312"/>
          <w:b/>
          <w:sz w:val="32"/>
        </w:rPr>
        <w:t>（三）一般公共预算财政拨款支出决算具体情况</w:t>
      </w:r>
    </w:p>
    <w:p w14:paraId="28EEC17A">
      <w:pPr>
        <w:spacing w:line="580" w:lineRule="exact"/>
        <w:ind w:firstLine="640"/>
        <w:jc w:val="both"/>
      </w:pPr>
      <w:r>
        <w:rPr>
          <w:rFonts w:ascii="仿宋_GB2312" w:hAnsi="仿宋_GB2312" w:eastAsia="仿宋_GB2312"/>
          <w:b w:val="0"/>
          <w:sz w:val="32"/>
        </w:rPr>
        <w:t>1.教育支出(类)进修及培训(款)培训支出(项):支出决算数为0.20万元，比上年决算减少0.35万元，下降63.64%,主要原因是：本年度外派在职人员参加培训次数减少，培训费减少。</w:t>
      </w:r>
    </w:p>
    <w:p w14:paraId="6BF34C87">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15.23万元，比上年决算增加0.73万元，增长5.03%,主要原因是：本年在职人员工资基数调增，养老缴费基数上涨，相应支出增加。</w:t>
      </w:r>
    </w:p>
    <w:p w14:paraId="49C5AC03">
      <w:pPr>
        <w:spacing w:line="580" w:lineRule="exact"/>
        <w:ind w:firstLine="640"/>
        <w:jc w:val="both"/>
      </w:pPr>
      <w:r>
        <w:rPr>
          <w:rFonts w:ascii="仿宋_GB2312" w:hAnsi="仿宋_GB2312" w:eastAsia="仿宋_GB2312"/>
          <w:b w:val="0"/>
          <w:sz w:val="32"/>
        </w:rPr>
        <w:t>3.卫生健康支出(类)行政事业单位医疗(款)行政单位医疗(项):支出决算数为6.66万元，比上年决算增加0.32万元，增长5.05%,主要原因是：本年在职人员工资基数调增，医疗缴费基数上涨，相应支出增加。</w:t>
      </w:r>
    </w:p>
    <w:p w14:paraId="394BE7E4">
      <w:pPr>
        <w:spacing w:line="580" w:lineRule="exact"/>
        <w:ind w:firstLine="640"/>
        <w:jc w:val="both"/>
      </w:pPr>
      <w:r>
        <w:rPr>
          <w:rFonts w:ascii="仿宋_GB2312" w:hAnsi="仿宋_GB2312" w:eastAsia="仿宋_GB2312"/>
          <w:b w:val="0"/>
          <w:sz w:val="32"/>
        </w:rPr>
        <w:t>4.卫生健康支出(类)行政事业单位医疗(款)公务员医疗补助(项):支出决算数为2.86万元，比上年决算增加0.14万元，增长5.15%,主要原因是：本年在职人员工资基数调增，医疗缴费基数上涨，相应支出增加。</w:t>
      </w:r>
    </w:p>
    <w:p w14:paraId="76057050">
      <w:pPr>
        <w:spacing w:line="580" w:lineRule="exact"/>
        <w:ind w:firstLine="640"/>
        <w:jc w:val="both"/>
      </w:pPr>
      <w:r>
        <w:rPr>
          <w:rFonts w:ascii="仿宋_GB2312" w:hAnsi="仿宋_GB2312" w:eastAsia="仿宋_GB2312"/>
          <w:b w:val="0"/>
          <w:sz w:val="32"/>
        </w:rPr>
        <w:t>5.卫生健康支出(类)行政事业单位医疗(款)其他行政事业单位医疗支出(项):支出决算数为0.20万元，比上年决算增加0.01万元，增长5.26%,主要原因是：本年在职人员工资基数调增，医疗缴费基数上涨，相应支出增加。</w:t>
      </w:r>
    </w:p>
    <w:p w14:paraId="7FE08B16">
      <w:pPr>
        <w:spacing w:line="580" w:lineRule="exact"/>
        <w:ind w:firstLine="640"/>
        <w:jc w:val="both"/>
      </w:pPr>
      <w:r>
        <w:rPr>
          <w:rFonts w:ascii="仿宋_GB2312" w:hAnsi="仿宋_GB2312" w:eastAsia="仿宋_GB2312"/>
          <w:b w:val="0"/>
          <w:sz w:val="32"/>
        </w:rPr>
        <w:t>6.节能环保支出(类)环境保护管理事务(款)行政运行(项):支出决算数为125.27万元，比上年决算减少49.38万元，下降28.27%,主要原因是：</w:t>
      </w:r>
      <w:bookmarkStart w:id="0" w:name="_GoBack"/>
      <w:bookmarkEnd w:id="0"/>
      <w:r>
        <w:rPr>
          <w:rFonts w:ascii="仿宋_GB2312" w:hAnsi="仿宋_GB2312" w:eastAsia="仿宋_GB2312"/>
          <w:b w:val="0"/>
          <w:sz w:val="32"/>
        </w:rPr>
        <w:t>本年在职人员减少，相关人员经费较上年减少；本年无去世人员，减少抚恤金。</w:t>
      </w:r>
    </w:p>
    <w:p w14:paraId="33C68306">
      <w:pPr>
        <w:spacing w:line="580" w:lineRule="exact"/>
        <w:ind w:firstLine="640"/>
        <w:jc w:val="both"/>
      </w:pPr>
      <w:r>
        <w:rPr>
          <w:rFonts w:ascii="仿宋_GB2312" w:hAnsi="仿宋_GB2312" w:eastAsia="仿宋_GB2312"/>
          <w:b w:val="0"/>
          <w:sz w:val="32"/>
        </w:rPr>
        <w:t>7.节能环保支出(类)环境保护管理事务(款)一般行政管理事务(项):支出决算数为0.00万元，比上年决算减少7.00万元，下降100.00%,主要原因是：本年度减少为民办实事工作经费。</w:t>
      </w:r>
    </w:p>
    <w:p w14:paraId="551FED7C">
      <w:pPr>
        <w:spacing w:line="580" w:lineRule="exact"/>
        <w:ind w:firstLine="640"/>
        <w:jc w:val="both"/>
      </w:pPr>
      <w:r>
        <w:rPr>
          <w:rFonts w:ascii="仿宋_GB2312" w:hAnsi="仿宋_GB2312" w:eastAsia="仿宋_GB2312"/>
          <w:b w:val="0"/>
          <w:sz w:val="32"/>
        </w:rPr>
        <w:t>8.住房保障支出(类)住房改革支出(款)住房公积金(项):支出决算数为12.93万元，比上年决算增加2.19万元，增长20.39%,主要原因是：本年在职人员工资基数调增，公积金缴费基数上涨，相应支出增加。</w:t>
      </w:r>
    </w:p>
    <w:p w14:paraId="46800C81">
      <w:pPr>
        <w:spacing w:line="640" w:lineRule="exact"/>
        <w:ind w:firstLine="640"/>
        <w:jc w:val="both"/>
        <w:outlineLvl w:val="2"/>
      </w:pPr>
      <w:r>
        <w:rPr>
          <w:rFonts w:ascii="黑体" w:hAnsi="黑体" w:eastAsia="黑体"/>
          <w:sz w:val="32"/>
        </w:rPr>
        <w:t>六、一般公共预算财政拨款基本支出决算情况说明</w:t>
      </w:r>
    </w:p>
    <w:p w14:paraId="5B93029B">
      <w:pPr>
        <w:spacing w:line="580" w:lineRule="exact"/>
        <w:ind w:firstLine="640"/>
        <w:jc w:val="both"/>
      </w:pPr>
      <w:r>
        <w:rPr>
          <w:rFonts w:ascii="仿宋_GB2312" w:hAnsi="仿宋_GB2312" w:eastAsia="仿宋_GB2312"/>
          <w:b w:val="0"/>
          <w:sz w:val="32"/>
        </w:rPr>
        <w:t>2024年度一般公共预算财政拨款基本支出163.34万元，其中：</w:t>
      </w:r>
      <w:r>
        <w:rPr>
          <w:rFonts w:ascii="仿宋_GB2312" w:hAnsi="仿宋_GB2312" w:eastAsia="仿宋_GB2312"/>
          <w:b/>
          <w:sz w:val="32"/>
        </w:rPr>
        <w:t>人员经费153.65万元，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包括：基本工资、津贴补贴、奖金、机关事业单位基本养老保险缴费、职工基本医疗保险缴费、公务员医疗补助缴费、其他社会保障缴费、住房公积金、医疗费、其他工资福利支出、生活补助。</w:t>
      </w:r>
    </w:p>
    <w:p w14:paraId="690A868D">
      <w:pPr>
        <w:spacing w:line="580" w:lineRule="exact"/>
        <w:ind w:firstLine="640"/>
        <w:jc w:val="both"/>
      </w:pPr>
      <w:r>
        <w:rPr>
          <w:rFonts w:ascii="仿宋_GB2312" w:hAnsi="仿宋_GB2312" w:eastAsia="仿宋_GB2312"/>
          <w:b/>
          <w:sz w:val="32"/>
        </w:rPr>
        <w:t>公用经费9.70万元，</w:t>
      </w:r>
      <w:r>
        <w:rPr>
          <w:rFonts w:ascii="仿宋_GB2312" w:hAnsi="仿宋_GB2312" w:eastAsia="仿宋_GB2312"/>
          <w:b w:val="0"/>
          <w:sz w:val="32"/>
        </w:rPr>
        <w:t>包括：办公费、印刷费、水费、物业管理费、差旅费、维修（护）费、租赁费、培训费、劳务费、工会经费、福利费、公务用车运行维护费。</w:t>
      </w:r>
    </w:p>
    <w:p w14:paraId="6CCDBAF4">
      <w:pPr>
        <w:spacing w:line="640" w:lineRule="exact"/>
        <w:ind w:firstLine="640"/>
        <w:jc w:val="both"/>
        <w:outlineLvl w:val="2"/>
      </w:pPr>
      <w:r>
        <w:rPr>
          <w:rFonts w:ascii="黑体" w:hAnsi="黑体" w:eastAsia="黑体"/>
          <w:sz w:val="32"/>
        </w:rPr>
        <w:t>七、政府性基金预算财政拨款收入支出决算情况说明</w:t>
      </w:r>
    </w:p>
    <w:p w14:paraId="74EDB61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260BCF2">
      <w:pPr>
        <w:spacing w:line="640" w:lineRule="exact"/>
        <w:ind w:firstLine="640"/>
        <w:jc w:val="both"/>
        <w:outlineLvl w:val="2"/>
      </w:pPr>
      <w:r>
        <w:rPr>
          <w:rFonts w:ascii="黑体" w:hAnsi="黑体" w:eastAsia="黑体"/>
          <w:sz w:val="32"/>
        </w:rPr>
        <w:t>八、国有资本经营预算财政拨款收入支出决算情况说明</w:t>
      </w:r>
    </w:p>
    <w:p w14:paraId="22ACCB3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79F5DC1">
      <w:pPr>
        <w:spacing w:line="640" w:lineRule="exact"/>
        <w:ind w:firstLine="640"/>
        <w:jc w:val="both"/>
        <w:outlineLvl w:val="2"/>
      </w:pPr>
      <w:r>
        <w:rPr>
          <w:rFonts w:ascii="黑体" w:hAnsi="黑体" w:eastAsia="黑体"/>
          <w:sz w:val="32"/>
        </w:rPr>
        <w:t>九、财政拨款“三公”经费支出决算情况说明</w:t>
      </w:r>
    </w:p>
    <w:p w14:paraId="562EFADF">
      <w:pPr>
        <w:spacing w:line="580" w:lineRule="exact"/>
        <w:ind w:firstLine="640"/>
        <w:jc w:val="both"/>
      </w:pPr>
      <w:r>
        <w:rPr>
          <w:rFonts w:ascii="仿宋_GB2312" w:hAnsi="仿宋_GB2312" w:eastAsia="仿宋_GB2312"/>
          <w:b/>
          <w:sz w:val="32"/>
        </w:rPr>
        <w:t>2024年度财政拨款“三公”经费支出2.80万元，</w:t>
      </w:r>
      <w:r>
        <w:rPr>
          <w:rFonts w:ascii="仿宋_GB2312" w:hAnsi="仿宋_GB2312" w:eastAsia="仿宋_GB2312"/>
          <w:b w:val="0"/>
          <w:sz w:val="32"/>
        </w:rPr>
        <w:t>比上年增加0.15万元，增长5.66%，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2.80万元，占100.00%，比上年增加0.15万元，增长5.66%，主要原因是：本年因业务需求，用车次数增加，燃油费增加，导致公务用车运行维护费较上年增加。公务接待费支出0.00万元，占0.00%，比上年增加0.00万元，增长0.00%，主要原因是：2023年与2024年均未安排公务接待费支出。</w:t>
      </w:r>
    </w:p>
    <w:p w14:paraId="2165F022">
      <w:pPr>
        <w:spacing w:line="580" w:lineRule="exact"/>
        <w:ind w:firstLine="640"/>
        <w:jc w:val="both"/>
      </w:pPr>
      <w:r>
        <w:rPr>
          <w:rFonts w:ascii="仿宋_GB2312" w:hAnsi="仿宋_GB2312" w:eastAsia="仿宋_GB2312"/>
          <w:b/>
          <w:sz w:val="32"/>
        </w:rPr>
        <w:t>具体情况如下：</w:t>
      </w:r>
    </w:p>
    <w:p w14:paraId="7BEB5DE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0E169A9">
      <w:pPr>
        <w:spacing w:line="580" w:lineRule="exact"/>
        <w:ind w:firstLine="640"/>
        <w:jc w:val="both"/>
      </w:pPr>
      <w:r>
        <w:rPr>
          <w:rFonts w:ascii="仿宋_GB2312" w:hAnsi="仿宋_GB2312" w:eastAsia="仿宋_GB2312"/>
          <w:b w:val="0"/>
          <w:sz w:val="32"/>
        </w:rPr>
        <w:t>公务用车购置及运行维护费2.80万元，其中：公务用车购置费0.00万元，公务用车运行维护费2.80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088BF30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0BCFE9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2.80万元，决算数2.80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2.80万元，决算数2.80万元，预决算差异率0.00%，主要原因是：严格按照预算执行，预决算无差异。公务接待费全年预算数0.00万元，决算数0.00万元，预决算差异率0.00%，主要原因是：本单位无公务接待费。</w:t>
      </w:r>
    </w:p>
    <w:p w14:paraId="2EBA9C6C">
      <w:pPr>
        <w:spacing w:line="640" w:lineRule="exact"/>
        <w:ind w:firstLine="640"/>
        <w:jc w:val="both"/>
        <w:outlineLvl w:val="2"/>
      </w:pPr>
      <w:r>
        <w:rPr>
          <w:rFonts w:ascii="黑体" w:hAnsi="黑体" w:eastAsia="黑体"/>
          <w:sz w:val="32"/>
        </w:rPr>
        <w:t>十、其他重要事项的情况说明</w:t>
      </w:r>
    </w:p>
    <w:p w14:paraId="5B8FB074">
      <w:pPr>
        <w:spacing w:line="640" w:lineRule="exact"/>
        <w:ind w:firstLine="640"/>
        <w:jc w:val="both"/>
        <w:outlineLvl w:val="3"/>
      </w:pPr>
      <w:r>
        <w:rPr>
          <w:rFonts w:ascii="楷体_GB2312" w:hAnsi="楷体_GB2312" w:eastAsia="楷体_GB2312"/>
          <w:b/>
          <w:sz w:val="32"/>
        </w:rPr>
        <w:t>（一）机关运行经费及公用经费支出情况</w:t>
      </w:r>
    </w:p>
    <w:p w14:paraId="5CD38452">
      <w:pPr>
        <w:spacing w:line="580" w:lineRule="exact"/>
        <w:ind w:firstLine="640"/>
        <w:jc w:val="both"/>
      </w:pPr>
      <w:r>
        <w:rPr>
          <w:rFonts w:ascii="仿宋_GB2312" w:hAnsi="仿宋_GB2312" w:eastAsia="仿宋_GB2312"/>
          <w:b w:val="0"/>
          <w:sz w:val="32"/>
        </w:rPr>
        <w:t>2024年度巴音郭楞蒙古自治州生态环境局且末县分局（行政单位和参照公务员法管理事业单位）机关运行经费支出9.70万元，比上年减少0.55万元，下降5.37%，主要原因是：严格控制公用经费，合理节约办公用品，减少不必要开支。</w:t>
      </w:r>
    </w:p>
    <w:p w14:paraId="7FC1F16E">
      <w:pPr>
        <w:spacing w:line="640" w:lineRule="exact"/>
        <w:ind w:firstLine="640"/>
        <w:jc w:val="both"/>
        <w:outlineLvl w:val="3"/>
      </w:pPr>
      <w:r>
        <w:rPr>
          <w:rFonts w:ascii="楷体_GB2312" w:hAnsi="楷体_GB2312" w:eastAsia="楷体_GB2312"/>
          <w:b/>
          <w:sz w:val="32"/>
        </w:rPr>
        <w:t>（二）政府采购情况</w:t>
      </w:r>
    </w:p>
    <w:p w14:paraId="113DFD73">
      <w:pPr>
        <w:spacing w:line="580" w:lineRule="exact"/>
        <w:ind w:firstLine="640"/>
        <w:jc w:val="both"/>
      </w:pPr>
      <w:r>
        <w:rPr>
          <w:rFonts w:ascii="仿宋_GB2312" w:hAnsi="仿宋_GB2312" w:eastAsia="仿宋_GB2312"/>
          <w:b w:val="0"/>
          <w:sz w:val="32"/>
        </w:rPr>
        <w:t>2024年度政府采购支出总额1.91万元，其中：政府采购货物支出0.32万元、政府采购工程支出0.00万元、政府采购服务支出1.59万元。</w:t>
      </w:r>
    </w:p>
    <w:p w14:paraId="156FE282">
      <w:pPr>
        <w:spacing w:line="580" w:lineRule="exact"/>
        <w:ind w:firstLine="640"/>
        <w:jc w:val="both"/>
      </w:pPr>
      <w:r>
        <w:rPr>
          <w:rFonts w:ascii="仿宋_GB2312" w:hAnsi="仿宋_GB2312" w:eastAsia="仿宋_GB2312"/>
          <w:b w:val="0"/>
          <w:sz w:val="32"/>
        </w:rPr>
        <w:t>授予中小企业合同金额1.91万元，占政府采购支出总额的100.00%，其中：授予小微企业合同金额1.47万元，占政府采购支出总额的76.96%。</w:t>
      </w:r>
    </w:p>
    <w:p w14:paraId="2AD73FE7">
      <w:pPr>
        <w:spacing w:line="640" w:lineRule="exact"/>
        <w:ind w:firstLine="640"/>
        <w:jc w:val="both"/>
        <w:outlineLvl w:val="3"/>
      </w:pPr>
      <w:r>
        <w:rPr>
          <w:rFonts w:ascii="楷体_GB2312" w:hAnsi="楷体_GB2312" w:eastAsia="楷体_GB2312"/>
          <w:b/>
          <w:sz w:val="32"/>
        </w:rPr>
        <w:t>（三）国有资产占用情况说明</w:t>
      </w:r>
    </w:p>
    <w:p w14:paraId="16BA387C">
      <w:pPr>
        <w:spacing w:line="580" w:lineRule="exact"/>
        <w:ind w:firstLine="640"/>
        <w:jc w:val="both"/>
      </w:pPr>
      <w:r>
        <w:rPr>
          <w:rFonts w:ascii="仿宋_GB2312" w:hAnsi="仿宋_GB2312" w:eastAsia="仿宋_GB2312"/>
          <w:b w:val="0"/>
          <w:sz w:val="32"/>
        </w:rPr>
        <w:t>截至2024年12月31日，房屋0.00平方米，价值0.00万元。车辆1辆，价值19.96万元，其中：副部（省）级及以上领导用车0辆、主要负责人用车0辆、机要通信用车0辆、应急保障用车0辆、执法执勤用车1辆、特种专业技术用车0辆、离退休干部服务用车0辆、其他用车0辆，其他用车主要是：本单位无其他用车。单价100万元（含）以上设备（不含车辆）0台（套）。</w:t>
      </w:r>
    </w:p>
    <w:p w14:paraId="7687A61E">
      <w:pPr>
        <w:spacing w:line="640" w:lineRule="exact"/>
        <w:ind w:firstLine="640"/>
        <w:jc w:val="both"/>
        <w:outlineLvl w:val="2"/>
      </w:pPr>
      <w:r>
        <w:rPr>
          <w:rFonts w:ascii="黑体" w:hAnsi="黑体" w:eastAsia="黑体"/>
          <w:sz w:val="32"/>
        </w:rPr>
        <w:t>十一、预算绩效的情况说明</w:t>
      </w:r>
    </w:p>
    <w:p w14:paraId="1BA8CCC2">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4F494730">
      <w:r>
        <w:br w:type="page"/>
      </w:r>
    </w:p>
    <w:p w14:paraId="5BBCEA3B">
      <w:pPr>
        <w:spacing w:line="640" w:lineRule="exact"/>
        <w:ind w:firstLine="640"/>
        <w:jc w:val="both"/>
        <w:outlineLvl w:val="2"/>
      </w:pPr>
      <w:r>
        <w:rPr>
          <w:rFonts w:ascii="黑体" w:hAnsi="黑体" w:eastAsia="黑体"/>
          <w:sz w:val="32"/>
        </w:rPr>
        <w:t>十二、其他需说明的事项</w:t>
      </w:r>
    </w:p>
    <w:p w14:paraId="6C2BC75A">
      <w:pPr>
        <w:spacing w:line="580" w:lineRule="exact"/>
        <w:ind w:firstLine="640"/>
        <w:jc w:val="both"/>
      </w:pPr>
      <w:r>
        <w:rPr>
          <w:rFonts w:ascii="仿宋_GB2312" w:hAnsi="仿宋_GB2312" w:eastAsia="仿宋_GB2312"/>
          <w:b w:val="0"/>
          <w:sz w:val="32"/>
        </w:rPr>
        <w:t>本年度本单位整体绩效自评表由主管部门编报并公开。</w:t>
      </w:r>
    </w:p>
    <w:p w14:paraId="6FC9F8B8">
      <w:r>
        <w:br w:type="page"/>
      </w:r>
    </w:p>
    <w:p w14:paraId="78EF5682">
      <w:pPr>
        <w:spacing w:line="240" w:lineRule="auto"/>
        <w:jc w:val="center"/>
        <w:outlineLvl w:val="1"/>
      </w:pPr>
      <w:r>
        <w:rPr>
          <w:rFonts w:ascii="黑体" w:hAnsi="黑体" w:eastAsia="黑体"/>
          <w:sz w:val="32"/>
        </w:rPr>
        <w:t>第三部分 专业名词解释</w:t>
      </w:r>
    </w:p>
    <w:p w14:paraId="489EAF7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BDE31A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C11A6F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2774A8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D159AD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E83E58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B57257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5FD454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5445E0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1B7BFC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17FAAE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F16098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8FD974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19D11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A839BBC">
      <w:r>
        <w:br w:type="page"/>
      </w:r>
    </w:p>
    <w:p w14:paraId="4E0CFB78">
      <w:pPr>
        <w:spacing w:line="240" w:lineRule="auto"/>
        <w:jc w:val="center"/>
        <w:outlineLvl w:val="1"/>
      </w:pPr>
      <w:r>
        <w:rPr>
          <w:rFonts w:ascii="黑体" w:hAnsi="黑体" w:eastAsia="黑体"/>
          <w:sz w:val="32"/>
        </w:rPr>
        <w:t>第四部分 部门决算报表（见附表）</w:t>
      </w:r>
    </w:p>
    <w:p w14:paraId="3BBD1CDA">
      <w:pPr>
        <w:spacing w:line="240" w:lineRule="auto"/>
        <w:ind w:firstLine="640"/>
        <w:jc w:val="both"/>
      </w:pPr>
      <w:r>
        <w:rPr>
          <w:rFonts w:ascii="仿宋_GB2312" w:hAnsi="仿宋_GB2312" w:eastAsia="仿宋_GB2312"/>
          <w:b w:val="0"/>
          <w:sz w:val="32"/>
        </w:rPr>
        <w:t>一、《收入支出决算总表》</w:t>
      </w:r>
    </w:p>
    <w:p w14:paraId="77D06779">
      <w:pPr>
        <w:spacing w:line="240" w:lineRule="auto"/>
        <w:ind w:firstLine="640"/>
        <w:jc w:val="both"/>
      </w:pPr>
      <w:r>
        <w:rPr>
          <w:rFonts w:ascii="仿宋_GB2312" w:hAnsi="仿宋_GB2312" w:eastAsia="仿宋_GB2312"/>
          <w:b w:val="0"/>
          <w:sz w:val="32"/>
        </w:rPr>
        <w:t>二、《收入决算表》</w:t>
      </w:r>
    </w:p>
    <w:p w14:paraId="3C8C1BBF">
      <w:pPr>
        <w:spacing w:line="240" w:lineRule="auto"/>
        <w:ind w:firstLine="640"/>
        <w:jc w:val="both"/>
      </w:pPr>
      <w:r>
        <w:rPr>
          <w:rFonts w:ascii="仿宋_GB2312" w:hAnsi="仿宋_GB2312" w:eastAsia="仿宋_GB2312"/>
          <w:b w:val="0"/>
          <w:sz w:val="32"/>
        </w:rPr>
        <w:t>三、《支出决算表》</w:t>
      </w:r>
    </w:p>
    <w:p w14:paraId="6EECBC0E">
      <w:pPr>
        <w:spacing w:line="240" w:lineRule="auto"/>
        <w:ind w:firstLine="640"/>
        <w:jc w:val="both"/>
      </w:pPr>
      <w:r>
        <w:rPr>
          <w:rFonts w:ascii="仿宋_GB2312" w:hAnsi="仿宋_GB2312" w:eastAsia="仿宋_GB2312"/>
          <w:b w:val="0"/>
          <w:sz w:val="32"/>
        </w:rPr>
        <w:t>四、《财政拨款收入支出决算总表》</w:t>
      </w:r>
    </w:p>
    <w:p w14:paraId="22FC64AF">
      <w:pPr>
        <w:spacing w:line="240" w:lineRule="auto"/>
        <w:ind w:firstLine="640"/>
        <w:jc w:val="both"/>
      </w:pPr>
      <w:r>
        <w:rPr>
          <w:rFonts w:ascii="仿宋_GB2312" w:hAnsi="仿宋_GB2312" w:eastAsia="仿宋_GB2312"/>
          <w:b w:val="0"/>
          <w:sz w:val="32"/>
        </w:rPr>
        <w:t>五、《一般公共预算财政拨款支出决算表》</w:t>
      </w:r>
    </w:p>
    <w:p w14:paraId="63966D56">
      <w:pPr>
        <w:spacing w:line="240" w:lineRule="auto"/>
        <w:ind w:firstLine="640"/>
        <w:jc w:val="both"/>
      </w:pPr>
      <w:r>
        <w:rPr>
          <w:rFonts w:ascii="仿宋_GB2312" w:hAnsi="仿宋_GB2312" w:eastAsia="仿宋_GB2312"/>
          <w:b w:val="0"/>
          <w:sz w:val="32"/>
        </w:rPr>
        <w:t>六、《一般公共预算财政拨款基本支出决算表》</w:t>
      </w:r>
    </w:p>
    <w:p w14:paraId="7747A247">
      <w:pPr>
        <w:spacing w:line="240" w:lineRule="auto"/>
        <w:ind w:firstLine="640"/>
        <w:jc w:val="both"/>
      </w:pPr>
      <w:r>
        <w:rPr>
          <w:rFonts w:ascii="仿宋_GB2312" w:hAnsi="仿宋_GB2312" w:eastAsia="仿宋_GB2312"/>
          <w:b w:val="0"/>
          <w:sz w:val="32"/>
        </w:rPr>
        <w:t>七、《政府性基金预算财政拨款收入支出决算表》</w:t>
      </w:r>
    </w:p>
    <w:p w14:paraId="6FB7AD3A">
      <w:pPr>
        <w:spacing w:line="240" w:lineRule="auto"/>
        <w:ind w:firstLine="640"/>
        <w:jc w:val="both"/>
      </w:pPr>
      <w:r>
        <w:rPr>
          <w:rFonts w:ascii="仿宋_GB2312" w:hAnsi="仿宋_GB2312" w:eastAsia="仿宋_GB2312"/>
          <w:b w:val="0"/>
          <w:sz w:val="32"/>
        </w:rPr>
        <w:t>八、《国有资本经营预算财政拨款收入支出决算表》</w:t>
      </w:r>
    </w:p>
    <w:p w14:paraId="50E799EA">
      <w:pPr>
        <w:spacing w:line="240" w:lineRule="auto"/>
        <w:ind w:firstLine="640"/>
        <w:jc w:val="both"/>
      </w:pPr>
      <w:r>
        <w:rPr>
          <w:rFonts w:ascii="仿宋_GB2312" w:hAnsi="仿宋_GB2312" w:eastAsia="仿宋_GB2312"/>
          <w:b w:val="0"/>
          <w:sz w:val="32"/>
        </w:rPr>
        <w:t>九、《财政拨款“三公”经费支出决算表》</w:t>
      </w:r>
    </w:p>
    <w:p w14:paraId="16FB6983">
      <w:pPr>
        <w:spacing w:line="240" w:lineRule="auto"/>
        <w:ind w:firstLine="640"/>
        <w:jc w:val="both"/>
      </w:pPr>
    </w:p>
    <w:p w14:paraId="08558F61">
      <w:pPr>
        <w:spacing w:line="240" w:lineRule="auto"/>
        <w:ind w:firstLine="640"/>
        <w:jc w:val="both"/>
      </w:pPr>
    </w:p>
    <w:p w14:paraId="4BCBF57A">
      <w:pPr>
        <w:spacing w:line="240" w:lineRule="auto"/>
        <w:ind w:firstLine="640"/>
        <w:jc w:val="both"/>
      </w:pPr>
    </w:p>
    <w:p w14:paraId="0DA4BF1F">
      <w:pPr>
        <w:spacing w:line="240" w:lineRule="auto"/>
        <w:ind w:firstLine="640"/>
        <w:jc w:val="both"/>
      </w:pPr>
    </w:p>
    <w:p w14:paraId="7110A63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7C59A2C-F735-4E30-A46E-1F5E40D7BBB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78DF112-538C-4D79-9C2A-14F5FD190774}"/>
  </w:font>
  <w:font w:name="仿宋_GB2312">
    <w:altName w:val="仿宋"/>
    <w:panose1 w:val="02010609030101010101"/>
    <w:charset w:val="86"/>
    <w:family w:val="modern"/>
    <w:pitch w:val="default"/>
    <w:sig w:usb0="00000000" w:usb1="00000000" w:usb2="00000000" w:usb3="00000000" w:csb0="00040000" w:csb1="00000000"/>
    <w:embedRegular r:id="rId3" w:fontKey="{C5EB5586-9660-499C-8B32-ECA996E82C88}"/>
  </w:font>
  <w:font w:name="楷体_GB2312">
    <w:altName w:val="楷体"/>
    <w:panose1 w:val="00000000000000000000"/>
    <w:charset w:val="00"/>
    <w:family w:val="auto"/>
    <w:pitch w:val="default"/>
    <w:sig w:usb0="00000000" w:usb1="00000000" w:usb2="00000000" w:usb3="00000000" w:csb0="00000000" w:csb1="00000000"/>
    <w:embedRegular r:id="rId4" w:fontKey="{39129EAA-364B-422B-95DB-15DE80673EC4}"/>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3E24F12"/>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6038</Words>
  <Characters>6661</Characters>
  <Lines>0</Lines>
  <Paragraphs>0</Paragraphs>
  <TotalTime>0</TotalTime>
  <ScaleCrop>false</ScaleCrop>
  <LinksUpToDate>false</LinksUpToDate>
  <CharactersWithSpaces>6671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2025-09-10T12:00:15Z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