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bookmarkStart w:id="0" w:name="_GoBack"/>
      <w:r>
        <w:rPr>
          <w:rFonts w:hint="eastAsia" w:ascii="方正小标宋_GBK" w:hAnsi="宋体" w:eastAsia="方正小标宋_GBK"/>
          <w:sz w:val="44"/>
          <w:szCs w:val="44"/>
          <w:highlight w:val="none"/>
          <w:lang w:val="en-US" w:eastAsia="zh-CN"/>
        </w:rPr>
        <w:t>巴音郭楞</w:t>
      </w:r>
      <w:bookmarkEnd w:id="0"/>
      <w:r>
        <w:rPr>
          <w:rFonts w:hint="eastAsia" w:ascii="方正小标宋_GBK" w:hAnsi="宋体" w:eastAsia="方正小标宋_GBK"/>
          <w:sz w:val="44"/>
          <w:szCs w:val="44"/>
          <w:highlight w:val="none"/>
          <w:lang w:val="en-US" w:eastAsia="zh-CN"/>
        </w:rPr>
        <w:t>蒙古自治州生态环境局库尉轮联合监测站2024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48011A7">
      <w:r>
        <w:br w:type="page"/>
      </w:r>
    </w:p>
    <w:p w14:paraId="60B518D5">
      <w:pPr>
        <w:spacing w:line="640" w:lineRule="exact"/>
        <w:jc w:val="center"/>
        <w:outlineLvl w:val="1"/>
      </w:pPr>
      <w:r>
        <w:rPr>
          <w:rFonts w:ascii="黑体" w:hAnsi="黑体" w:eastAsia="黑体"/>
          <w:sz w:val="32"/>
        </w:rPr>
        <w:t>第一部分 单位概况</w:t>
      </w:r>
    </w:p>
    <w:p w14:paraId="45380427">
      <w:pPr>
        <w:spacing w:line="640" w:lineRule="exact"/>
        <w:ind w:firstLine="640"/>
        <w:jc w:val="both"/>
        <w:outlineLvl w:val="2"/>
      </w:pPr>
      <w:r>
        <w:rPr>
          <w:rFonts w:ascii="黑体" w:hAnsi="黑体" w:eastAsia="黑体"/>
          <w:sz w:val="32"/>
        </w:rPr>
        <w:t>一、主要职能</w:t>
      </w:r>
    </w:p>
    <w:p w14:paraId="2ACBEC21">
      <w:pPr>
        <w:spacing w:line="580" w:lineRule="exact"/>
        <w:ind w:firstLine="640"/>
        <w:jc w:val="both"/>
      </w:pPr>
      <w:r>
        <w:rPr>
          <w:rFonts w:ascii="仿宋_GB2312" w:hAnsi="仿宋_GB2312" w:eastAsia="仿宋_GB2312"/>
          <w:sz w:val="32"/>
        </w:rPr>
        <w:t>（1）负责落实生态环境各项制度。贯彻执行国家、自治区、自治州生态环境政策、规划，配合所在县市人民政府拟订生态环境政策、规划并实施。配合所在县市人民政府编制并监督实施重点区域、流域、饮用水水源地生态环境规划和水功能区划。</w:t>
      </w:r>
    </w:p>
    <w:p w14:paraId="1BE3A257">
      <w:pPr>
        <w:spacing w:line="580" w:lineRule="exact"/>
        <w:ind w:firstLine="640"/>
        <w:jc w:val="both"/>
      </w:pPr>
      <w:r>
        <w:rPr>
          <w:rFonts w:ascii="仿宋_GB2312" w:hAnsi="仿宋_GB2312" w:eastAsia="仿宋_GB2312"/>
          <w:sz w:val="32"/>
        </w:rPr>
        <w:t>（2）配合所在县市人民政府开展较大生态环境问题的调查处理。参与所在县市环境污染事故和生态破坏事件的调查处理，参与调解所在县市环境污染纠纷，配合做好重点区域、流域生态环境保护工作。</w:t>
      </w:r>
    </w:p>
    <w:p w14:paraId="08A6588B">
      <w:pPr>
        <w:spacing w:line="580" w:lineRule="exact"/>
        <w:ind w:firstLine="640"/>
        <w:jc w:val="both"/>
      </w:pPr>
      <w:r>
        <w:rPr>
          <w:rFonts w:ascii="仿宋_GB2312" w:hAnsi="仿宋_GB2312" w:eastAsia="仿宋_GB2312"/>
          <w:sz w:val="32"/>
        </w:rPr>
        <w:t>（3）配合所在县市人民政府抓好总量控制、排污许可制度，以及污染物、温室气体减排任务的落实。协助所在县市人民政府拟订辖区总量控制计划并加强考核。</w:t>
      </w:r>
    </w:p>
    <w:p w14:paraId="4138342E">
      <w:pPr>
        <w:spacing w:line="580" w:lineRule="exact"/>
        <w:ind w:firstLine="640"/>
        <w:jc w:val="both"/>
      </w:pPr>
      <w:r>
        <w:rPr>
          <w:rFonts w:ascii="仿宋_GB2312" w:hAnsi="仿宋_GB2312" w:eastAsia="仿宋_GB2312"/>
          <w:sz w:val="32"/>
        </w:rPr>
        <w:t>（4）负责环境污染防治的监督管理。严格按照国家、自治区和自治州大气、水、土壤、噪声、光、恶臭、固体废物、化学品机动车等污染防治管理制度，配合所在县市抓好落实并监督实施。配合所在县市人民政府加强辖区饮用水水源地保护管理，指导所在县市开展城乡生态环境综合整治，监督指导农业面源污染治理工作。</w:t>
      </w:r>
    </w:p>
    <w:p w14:paraId="00621338">
      <w:pPr>
        <w:spacing w:line="580" w:lineRule="exact"/>
        <w:ind w:firstLine="640"/>
        <w:jc w:val="both"/>
      </w:pPr>
      <w:r>
        <w:rPr>
          <w:rFonts w:ascii="仿宋_GB2312" w:hAnsi="仿宋_GB2312" w:eastAsia="仿宋_GB2312"/>
          <w:sz w:val="32"/>
        </w:rPr>
        <w:t>（5）指导协调和监督生态保护修复工作。配合所在县市人民政府编制生态环境保护规划，监督对生态环境有影响的自然资源开发利用活动、重要生态环境建设和生态环境破坏恢复工作。配合所在县市开展农村生态环境保护、生物多样性保护工作。</w:t>
      </w:r>
    </w:p>
    <w:p w14:paraId="67F13D53">
      <w:pPr>
        <w:spacing w:line="580" w:lineRule="exact"/>
        <w:ind w:firstLine="640"/>
        <w:jc w:val="both"/>
      </w:pPr>
      <w:r>
        <w:rPr>
          <w:rFonts w:ascii="仿宋_GB2312" w:hAnsi="仿宋_GB2312" w:eastAsia="仿宋_GB2312"/>
          <w:sz w:val="32"/>
        </w:rPr>
        <w:t>（6）根据州生态环境部门安排做好所在县市核与辐射</w:t>
      </w:r>
      <w:r>
        <w:rPr>
          <w:rFonts w:hint="eastAsia" w:ascii="仿宋_GB2312" w:hAnsi="仿宋_GB2312" w:eastAsia="仿宋_GB2312"/>
          <w:sz w:val="32"/>
          <w:lang w:eastAsia="zh-CN"/>
        </w:rPr>
        <w:t>安全</w:t>
      </w:r>
      <w:r>
        <w:rPr>
          <w:rFonts w:ascii="仿宋_GB2312" w:hAnsi="仿宋_GB2312" w:eastAsia="仿宋_GB2312"/>
          <w:sz w:val="32"/>
        </w:rPr>
        <w:t>的监督管理。参与辐射环境事故应急处理工作。监督管理放射源及射线装置安全，做好核技术应用、电磁辐射、伴有放射性矿产资源开发利用中的污染防治。</w:t>
      </w:r>
    </w:p>
    <w:p w14:paraId="7485BE66">
      <w:pPr>
        <w:spacing w:line="580" w:lineRule="exact"/>
        <w:ind w:firstLine="640"/>
        <w:jc w:val="both"/>
      </w:pPr>
      <w:r>
        <w:rPr>
          <w:rFonts w:ascii="仿宋_GB2312" w:hAnsi="仿宋_GB2312" w:eastAsia="仿宋_GB2312"/>
          <w:sz w:val="32"/>
        </w:rPr>
        <w:t>（7）负责生态环境准入的监督管理。指导督促所在县市重大经济和技术政策、发展规划以及重大经济开发计划开展环境影响评价。</w:t>
      </w:r>
    </w:p>
    <w:p w14:paraId="70FA65ED">
      <w:pPr>
        <w:spacing w:line="580" w:lineRule="exact"/>
        <w:ind w:firstLine="640"/>
        <w:jc w:val="both"/>
      </w:pPr>
      <w:r>
        <w:rPr>
          <w:rFonts w:ascii="仿宋_GB2312" w:hAnsi="仿宋_GB2312" w:eastAsia="仿宋_GB2312"/>
          <w:sz w:val="32"/>
        </w:rPr>
        <w:t>（8）组织开展区域生态环境保护执法监测和应急监测工作。</w:t>
      </w:r>
    </w:p>
    <w:p w14:paraId="65AED0CA">
      <w:pPr>
        <w:spacing w:line="580" w:lineRule="exact"/>
        <w:ind w:firstLine="640"/>
        <w:jc w:val="both"/>
      </w:pPr>
      <w:r>
        <w:rPr>
          <w:rFonts w:ascii="仿宋_GB2312" w:hAnsi="仿宋_GB2312" w:eastAsia="仿宋_GB2312"/>
          <w:sz w:val="32"/>
        </w:rPr>
        <w:t>（9）组织开展所在县市生态环境保护执法。负责查处生态环境违法案件和环境信访投诉案件的调查处理。</w:t>
      </w:r>
    </w:p>
    <w:p w14:paraId="58444EF0">
      <w:pPr>
        <w:spacing w:line="580" w:lineRule="exact"/>
        <w:ind w:firstLine="640"/>
        <w:jc w:val="both"/>
      </w:pPr>
      <w:r>
        <w:rPr>
          <w:rFonts w:ascii="仿宋_GB2312" w:hAnsi="仿宋_GB2312" w:eastAsia="仿宋_GB2312"/>
          <w:sz w:val="32"/>
        </w:rPr>
        <w:t>（10）组织开展生态环境保护宣传教育工作。推动社会组织和公众参与生态环境保护。</w:t>
      </w:r>
    </w:p>
    <w:p w14:paraId="0D0E1441">
      <w:pPr>
        <w:spacing w:line="580" w:lineRule="exact"/>
        <w:ind w:firstLine="640"/>
        <w:jc w:val="both"/>
      </w:pPr>
      <w:r>
        <w:rPr>
          <w:rFonts w:ascii="仿宋_GB2312" w:hAnsi="仿宋_GB2312" w:eastAsia="仿宋_GB2312"/>
          <w:sz w:val="32"/>
        </w:rPr>
        <w:t>（11）承接原水利、国土、发改、农业划入职责。</w:t>
      </w:r>
    </w:p>
    <w:p w14:paraId="466AFA0E">
      <w:pPr>
        <w:spacing w:line="580" w:lineRule="exact"/>
        <w:ind w:firstLine="640"/>
        <w:jc w:val="both"/>
      </w:pPr>
      <w:r>
        <w:rPr>
          <w:rFonts w:ascii="仿宋_GB2312" w:hAnsi="仿宋_GB2312" w:eastAsia="仿宋_GB2312"/>
          <w:sz w:val="32"/>
        </w:rPr>
        <w:t>（12）完成自治州生态环境局交办的其他任务，并配合所在县市人民政府做好生态环境领域相关工作。</w:t>
      </w:r>
    </w:p>
    <w:p w14:paraId="723E65D2">
      <w:pPr>
        <w:spacing w:line="640" w:lineRule="exact"/>
        <w:ind w:firstLine="640"/>
        <w:jc w:val="both"/>
        <w:outlineLvl w:val="2"/>
      </w:pPr>
      <w:r>
        <w:rPr>
          <w:rFonts w:ascii="黑体" w:hAnsi="黑体" w:eastAsia="黑体"/>
          <w:sz w:val="32"/>
        </w:rPr>
        <w:t>二、机构设置及人员情况</w:t>
      </w:r>
    </w:p>
    <w:p w14:paraId="1C73E244">
      <w:pPr>
        <w:spacing w:line="580" w:lineRule="exact"/>
        <w:ind w:firstLine="640"/>
        <w:jc w:val="both"/>
      </w:pPr>
      <w:r>
        <w:rPr>
          <w:rFonts w:ascii="仿宋_GB2312" w:hAnsi="仿宋_GB2312" w:eastAsia="仿宋_GB2312"/>
          <w:sz w:val="32"/>
        </w:rPr>
        <w:t>巴音郭楞蒙古自治州生态环境局库尉轮联合监测站2024年度，实有人数20人，其中：在职人员20人，增加20人；离休人员0人，增加0人；退休人员0人,增加0人。</w:t>
      </w:r>
    </w:p>
    <w:p w14:paraId="533F0B65">
      <w:pPr>
        <w:spacing w:line="580" w:lineRule="exact"/>
        <w:ind w:firstLine="640"/>
        <w:jc w:val="both"/>
      </w:pPr>
      <w:r>
        <w:rPr>
          <w:rFonts w:ascii="仿宋_GB2312" w:hAnsi="仿宋_GB2312" w:eastAsia="仿宋_GB2312"/>
          <w:sz w:val="32"/>
        </w:rPr>
        <w:t>巴音郭楞蒙古自治州生态环境局库尉轮联合监测站无下属预算单位，下设4个科室，分别是：分析室、质量管理综合业务室、办公室、现场采样监测室。</w:t>
      </w:r>
    </w:p>
    <w:p w14:paraId="1A44CAC1">
      <w:r>
        <w:br w:type="page"/>
      </w:r>
    </w:p>
    <w:p w14:paraId="524024B0">
      <w:pPr>
        <w:spacing w:line="240" w:lineRule="auto"/>
        <w:jc w:val="center"/>
        <w:outlineLvl w:val="1"/>
      </w:pPr>
      <w:r>
        <w:rPr>
          <w:rFonts w:ascii="黑体" w:hAnsi="黑体" w:eastAsia="黑体"/>
          <w:sz w:val="32"/>
        </w:rPr>
        <w:t>第二部分 部门决算情况说明</w:t>
      </w:r>
    </w:p>
    <w:p w14:paraId="4AB3F610">
      <w:pPr>
        <w:spacing w:line="640" w:lineRule="exact"/>
        <w:ind w:firstLine="640"/>
        <w:jc w:val="both"/>
        <w:outlineLvl w:val="2"/>
      </w:pPr>
      <w:r>
        <w:rPr>
          <w:rFonts w:ascii="黑体" w:hAnsi="黑体" w:eastAsia="黑体"/>
          <w:sz w:val="32"/>
        </w:rPr>
        <w:t>一、收入支出决算总体情况说明</w:t>
      </w:r>
    </w:p>
    <w:p w14:paraId="45A02243">
      <w:pPr>
        <w:spacing w:line="580" w:lineRule="exact"/>
        <w:ind w:firstLine="640"/>
        <w:jc w:val="both"/>
      </w:pPr>
      <w:r>
        <w:rPr>
          <w:rFonts w:ascii="仿宋_GB2312" w:hAnsi="仿宋_GB2312" w:eastAsia="仿宋_GB2312"/>
          <w:b/>
          <w:sz w:val="32"/>
        </w:rPr>
        <w:t>2024年度收入总计391.81万元，</w:t>
      </w:r>
      <w:r>
        <w:rPr>
          <w:rFonts w:ascii="仿宋_GB2312" w:hAnsi="仿宋_GB2312" w:eastAsia="仿宋_GB2312"/>
          <w:b w:val="0"/>
          <w:sz w:val="32"/>
        </w:rPr>
        <w:t>其中：本年收入合计391.81万元，使用非财政拨款结余（含专用结余）0.00万元，年初结转和结余0.00万元。</w:t>
      </w:r>
    </w:p>
    <w:p w14:paraId="7B107F25">
      <w:pPr>
        <w:spacing w:line="580" w:lineRule="exact"/>
        <w:ind w:firstLine="640"/>
        <w:jc w:val="both"/>
      </w:pPr>
      <w:r>
        <w:rPr>
          <w:rFonts w:ascii="仿宋_GB2312" w:hAnsi="仿宋_GB2312" w:eastAsia="仿宋_GB2312"/>
          <w:b/>
          <w:sz w:val="32"/>
        </w:rPr>
        <w:t>2024年度支出总计391.81万元，</w:t>
      </w:r>
      <w:r>
        <w:rPr>
          <w:rFonts w:ascii="仿宋_GB2312" w:hAnsi="仿宋_GB2312" w:eastAsia="仿宋_GB2312"/>
          <w:b w:val="0"/>
          <w:sz w:val="32"/>
        </w:rPr>
        <w:t>其中：本年支出合计391.81万元，结余分配0.00万元，年末结转和结余0.00万元。</w:t>
      </w:r>
    </w:p>
    <w:p w14:paraId="714BBA08">
      <w:pPr>
        <w:spacing w:line="580" w:lineRule="exact"/>
        <w:ind w:firstLine="640"/>
        <w:jc w:val="both"/>
      </w:pPr>
      <w:r>
        <w:rPr>
          <w:rFonts w:ascii="仿宋_GB2312" w:hAnsi="仿宋_GB2312" w:eastAsia="仿宋_GB2312"/>
          <w:b w:val="0"/>
          <w:sz w:val="32"/>
        </w:rPr>
        <w:t>收入支出总体与上年相比，增加391.81万元，增长100.00%，主要原因是：本单位为新增单位，无上年数据。</w:t>
      </w:r>
    </w:p>
    <w:p w14:paraId="756137A7">
      <w:pPr>
        <w:spacing w:line="640" w:lineRule="exact"/>
        <w:ind w:firstLine="640"/>
        <w:jc w:val="both"/>
        <w:outlineLvl w:val="2"/>
      </w:pPr>
      <w:r>
        <w:rPr>
          <w:rFonts w:ascii="黑体" w:hAnsi="黑体" w:eastAsia="黑体"/>
          <w:sz w:val="32"/>
        </w:rPr>
        <w:t>二、收入决算情况说明</w:t>
      </w:r>
    </w:p>
    <w:p w14:paraId="256A7935">
      <w:pPr>
        <w:spacing w:line="580" w:lineRule="exact"/>
        <w:ind w:firstLine="640"/>
        <w:jc w:val="both"/>
      </w:pPr>
      <w:r>
        <w:rPr>
          <w:rFonts w:ascii="仿宋_GB2312" w:hAnsi="仿宋_GB2312" w:eastAsia="仿宋_GB2312"/>
          <w:b/>
          <w:sz w:val="32"/>
        </w:rPr>
        <w:t>本年收入391.81万元，</w:t>
      </w:r>
      <w:r>
        <w:rPr>
          <w:rFonts w:ascii="仿宋_GB2312" w:hAnsi="仿宋_GB2312" w:eastAsia="仿宋_GB2312"/>
          <w:b w:val="0"/>
          <w:sz w:val="32"/>
        </w:rPr>
        <w:t>其中：财政拨款收入391.81万元，占100.00%；上级补助收入0.00万元，占0.00%；事业收入0.00万元，占0.00%；经营收入0.00万元，占0.00%；附属单位上缴收入0.00万元，占0.00%；其他收入0.00万元，占0.00%。</w:t>
      </w:r>
    </w:p>
    <w:p w14:paraId="1440558E">
      <w:pPr>
        <w:spacing w:line="640" w:lineRule="exact"/>
        <w:ind w:firstLine="640"/>
        <w:jc w:val="both"/>
        <w:outlineLvl w:val="2"/>
      </w:pPr>
      <w:r>
        <w:rPr>
          <w:rFonts w:ascii="黑体" w:hAnsi="黑体" w:eastAsia="黑体"/>
          <w:sz w:val="32"/>
        </w:rPr>
        <w:t>三、支出决算情况说明</w:t>
      </w:r>
    </w:p>
    <w:p w14:paraId="30D35226">
      <w:pPr>
        <w:spacing w:line="580" w:lineRule="exact"/>
        <w:ind w:firstLine="640"/>
        <w:jc w:val="both"/>
      </w:pPr>
      <w:r>
        <w:rPr>
          <w:rFonts w:ascii="仿宋_GB2312" w:hAnsi="仿宋_GB2312" w:eastAsia="仿宋_GB2312"/>
          <w:b/>
          <w:sz w:val="32"/>
        </w:rPr>
        <w:t>本年支出391.81万元，</w:t>
      </w:r>
      <w:r>
        <w:rPr>
          <w:rFonts w:ascii="仿宋_GB2312" w:hAnsi="仿宋_GB2312" w:eastAsia="仿宋_GB2312"/>
          <w:b w:val="0"/>
          <w:sz w:val="32"/>
        </w:rPr>
        <w:t>其中：基本支出338.81万元，占86.47%；项目支出53.00万元，占13.53%；上缴上级支出0.00万元，占0.00%；经营支出0.00万元，占0.00%；对附属单位补助支出0.00万元，占0.00%。</w:t>
      </w:r>
    </w:p>
    <w:p w14:paraId="78BE1483">
      <w:pPr>
        <w:spacing w:line="640" w:lineRule="exact"/>
        <w:ind w:firstLine="640"/>
        <w:jc w:val="both"/>
        <w:outlineLvl w:val="2"/>
      </w:pPr>
      <w:r>
        <w:rPr>
          <w:rFonts w:ascii="黑体" w:hAnsi="黑体" w:eastAsia="黑体"/>
          <w:sz w:val="32"/>
        </w:rPr>
        <w:t>四、财政拨款收入支出决算总体情况说明</w:t>
      </w:r>
    </w:p>
    <w:p w14:paraId="364681A4">
      <w:pPr>
        <w:spacing w:line="580" w:lineRule="exact"/>
        <w:ind w:firstLine="640"/>
        <w:jc w:val="both"/>
      </w:pPr>
      <w:r>
        <w:rPr>
          <w:rFonts w:ascii="仿宋_GB2312" w:hAnsi="仿宋_GB2312" w:eastAsia="仿宋_GB2312"/>
          <w:b/>
          <w:sz w:val="32"/>
        </w:rPr>
        <w:t>2024年度财政拨款收入总计391.81万元，</w:t>
      </w:r>
      <w:r>
        <w:rPr>
          <w:rFonts w:ascii="仿宋_GB2312" w:hAnsi="仿宋_GB2312" w:eastAsia="仿宋_GB2312"/>
          <w:b w:val="0"/>
          <w:sz w:val="32"/>
        </w:rPr>
        <w:t>其中：年初财政拨款结转和结余0.00万元，本年财政拨款收入391.81万元。</w:t>
      </w:r>
      <w:r>
        <w:rPr>
          <w:rFonts w:ascii="仿宋_GB2312" w:hAnsi="仿宋_GB2312" w:eastAsia="仿宋_GB2312"/>
          <w:b/>
          <w:sz w:val="32"/>
        </w:rPr>
        <w:t>财政拨款支出总计391.81万元，</w:t>
      </w:r>
      <w:r>
        <w:rPr>
          <w:rFonts w:ascii="仿宋_GB2312" w:hAnsi="仿宋_GB2312" w:eastAsia="仿宋_GB2312"/>
          <w:b w:val="0"/>
          <w:sz w:val="32"/>
        </w:rPr>
        <w:t>其中：年末财政拨款结转和结余0.00万元，本年财政拨款支出391.81万元。</w:t>
      </w:r>
    </w:p>
    <w:p w14:paraId="5AD5E33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增加391.81万元，增长100.00%，主要原因是：本单位为新增单位，无上年数据。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年初预算数406.96万元，决算数391.81万元，预决算差异率-3.72%，主要原因是：严格落实中央八项规定精神，厉行节约，减少不必要的开支。</w:t>
      </w:r>
    </w:p>
    <w:p w14:paraId="237BE791">
      <w:pPr>
        <w:spacing w:line="640" w:lineRule="exact"/>
        <w:ind w:firstLine="640"/>
        <w:jc w:val="both"/>
        <w:outlineLvl w:val="2"/>
      </w:pPr>
      <w:r>
        <w:rPr>
          <w:rFonts w:ascii="黑体" w:hAnsi="黑体" w:eastAsia="黑体"/>
          <w:sz w:val="32"/>
        </w:rPr>
        <w:t>五、一般公共预算财政拨款支出决算情况说明</w:t>
      </w:r>
    </w:p>
    <w:p w14:paraId="1B771984">
      <w:pPr>
        <w:spacing w:line="640" w:lineRule="exact"/>
        <w:ind w:firstLine="640"/>
        <w:jc w:val="both"/>
        <w:outlineLvl w:val="3"/>
      </w:pPr>
      <w:r>
        <w:rPr>
          <w:rFonts w:ascii="楷体_GB2312" w:hAnsi="楷体_GB2312" w:eastAsia="楷体_GB2312"/>
          <w:b/>
          <w:sz w:val="32"/>
        </w:rPr>
        <w:t>（一）一般公共预算财政拨款支出决算总体情况</w:t>
      </w:r>
    </w:p>
    <w:p w14:paraId="3909491A">
      <w:pPr>
        <w:spacing w:line="580" w:lineRule="exact"/>
        <w:ind w:firstLine="640"/>
        <w:jc w:val="both"/>
      </w:pPr>
      <w:r>
        <w:rPr>
          <w:rFonts w:ascii="仿宋_GB2312" w:hAnsi="仿宋_GB2312" w:eastAsia="仿宋_GB2312"/>
          <w:b/>
          <w:sz w:val="32"/>
        </w:rPr>
        <w:t>2024年度一般公共预算财政拨款支出391.81万元，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增加391.81万元，增长100.00%，主要原因是：本单位为新增单位，无上年数据。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年初预算数406.96万元，决算数391.81万元，预决算差异率-3.72%，主要原因是：严格落实中央八项规定精神，厉行节约，减少不必要的开支。</w:t>
      </w:r>
    </w:p>
    <w:p w14:paraId="33C49770">
      <w:pPr>
        <w:spacing w:line="640" w:lineRule="exact"/>
        <w:ind w:firstLine="640"/>
        <w:jc w:val="both"/>
        <w:outlineLvl w:val="3"/>
      </w:pPr>
      <w:r>
        <w:rPr>
          <w:rFonts w:ascii="楷体_GB2312" w:hAnsi="楷体_GB2312" w:eastAsia="楷体_GB2312"/>
          <w:b/>
          <w:sz w:val="32"/>
        </w:rPr>
        <w:t>（二）一般公共预算财政拨款支出决算结构情况</w:t>
      </w:r>
    </w:p>
    <w:p w14:paraId="3BA644BA">
      <w:pPr>
        <w:spacing w:line="580" w:lineRule="exact"/>
        <w:ind w:firstLine="640"/>
        <w:jc w:val="both"/>
      </w:pPr>
      <w:r>
        <w:rPr>
          <w:rFonts w:ascii="仿宋_GB2312" w:hAnsi="仿宋_GB2312" w:eastAsia="仿宋_GB2312"/>
          <w:b w:val="0"/>
          <w:sz w:val="32"/>
        </w:rPr>
        <w:t>1.教育支出(类)1.19万元,占0.30%。</w:t>
      </w:r>
    </w:p>
    <w:p w14:paraId="7C13F692">
      <w:pPr>
        <w:spacing w:line="580" w:lineRule="exact"/>
        <w:ind w:firstLine="640"/>
        <w:jc w:val="both"/>
      </w:pPr>
      <w:r>
        <w:rPr>
          <w:rFonts w:ascii="仿宋_GB2312" w:hAnsi="仿宋_GB2312" w:eastAsia="仿宋_GB2312"/>
          <w:b w:val="0"/>
          <w:sz w:val="32"/>
        </w:rPr>
        <w:t>2.社会保障和就业支出(类)34.99万元,占8.93%。</w:t>
      </w:r>
    </w:p>
    <w:p w14:paraId="1F1B90A0">
      <w:pPr>
        <w:spacing w:line="580" w:lineRule="exact"/>
        <w:ind w:firstLine="640"/>
        <w:jc w:val="both"/>
      </w:pPr>
      <w:r>
        <w:rPr>
          <w:rFonts w:ascii="仿宋_GB2312" w:hAnsi="仿宋_GB2312" w:eastAsia="仿宋_GB2312"/>
          <w:b w:val="0"/>
          <w:sz w:val="32"/>
        </w:rPr>
        <w:t>3.卫生健康支出(类)15.23万元,占3.89%。</w:t>
      </w:r>
    </w:p>
    <w:p w14:paraId="3B64975B">
      <w:pPr>
        <w:spacing w:line="580" w:lineRule="exact"/>
        <w:ind w:firstLine="640"/>
        <w:jc w:val="both"/>
      </w:pPr>
      <w:r>
        <w:rPr>
          <w:rFonts w:ascii="仿宋_GB2312" w:hAnsi="仿宋_GB2312" w:eastAsia="仿宋_GB2312"/>
          <w:b w:val="0"/>
          <w:sz w:val="32"/>
        </w:rPr>
        <w:t>4.节能环保支出(类)313.25万元,占79.95%。</w:t>
      </w:r>
    </w:p>
    <w:p w14:paraId="528A99FA">
      <w:pPr>
        <w:spacing w:line="580" w:lineRule="exact"/>
        <w:ind w:firstLine="640"/>
        <w:jc w:val="both"/>
      </w:pPr>
      <w:r>
        <w:rPr>
          <w:rFonts w:ascii="仿宋_GB2312" w:hAnsi="仿宋_GB2312" w:eastAsia="仿宋_GB2312"/>
          <w:b w:val="0"/>
          <w:sz w:val="32"/>
        </w:rPr>
        <w:t>5.住房保障支出(类)27.15万元,占6.93%。</w:t>
      </w:r>
    </w:p>
    <w:p w14:paraId="1A0D172B">
      <w:pPr>
        <w:spacing w:line="640" w:lineRule="exact"/>
        <w:ind w:firstLine="640"/>
        <w:jc w:val="both"/>
        <w:outlineLvl w:val="3"/>
      </w:pPr>
      <w:r>
        <w:rPr>
          <w:rFonts w:ascii="楷体_GB2312" w:hAnsi="楷体_GB2312" w:eastAsia="楷体_GB2312"/>
          <w:b/>
          <w:sz w:val="32"/>
        </w:rPr>
        <w:t>（三）一般公共预算财政拨款支出决算具体情况</w:t>
      </w:r>
    </w:p>
    <w:p w14:paraId="7072D9D5">
      <w:pPr>
        <w:spacing w:line="580" w:lineRule="exact"/>
        <w:ind w:firstLine="640"/>
        <w:jc w:val="both"/>
      </w:pPr>
      <w:r>
        <w:rPr>
          <w:rFonts w:ascii="仿宋_GB2312" w:hAnsi="仿宋_GB2312" w:eastAsia="仿宋_GB2312"/>
          <w:b w:val="0"/>
          <w:sz w:val="32"/>
        </w:rPr>
        <w:t>1.教育支出(类)进修及培训(款)培训支出(项):支出决算数为1.19万元，比上年决算增加1.19万元，增长100.00%,主要原因是：本单位为新增单位，无上年数据。</w:t>
      </w:r>
    </w:p>
    <w:p w14:paraId="5D18D5B1">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2.社会保障和就业支出(类)行政事业单位养老支出(款)机关事业单位基本养老保险缴费支出(项):支出决算数为34.99万元，比上年决算增加34.99万元，增长100.00%,主要原因是：本单位为新增单位，无上年数据。</w:t>
      </w:r>
    </w:p>
    <w:p w14:paraId="53E42F46">
      <w:pPr>
        <w:spacing w:line="580" w:lineRule="exact"/>
        <w:ind w:firstLine="640"/>
        <w:jc w:val="both"/>
      </w:pPr>
      <w:r>
        <w:rPr>
          <w:rFonts w:ascii="仿宋_GB2312" w:hAnsi="仿宋_GB2312" w:eastAsia="仿宋_GB2312"/>
          <w:b w:val="0"/>
          <w:sz w:val="32"/>
        </w:rPr>
        <w:t>3.卫生健康支出(类)行政事业单位医疗(款)事业单位医疗(项):支出决算数为15.23万元，比上年决算增加15.23万元，增长100.00%,主要原因是：本单位为新增单位，无上年数据。</w:t>
      </w:r>
    </w:p>
    <w:p w14:paraId="5BC62B42">
      <w:pPr>
        <w:spacing w:line="580" w:lineRule="exact"/>
        <w:ind w:firstLine="640"/>
        <w:jc w:val="both"/>
      </w:pPr>
      <w:r>
        <w:rPr>
          <w:rFonts w:ascii="仿宋_GB2312" w:hAnsi="仿宋_GB2312" w:eastAsia="仿宋_GB2312"/>
          <w:b w:val="0"/>
          <w:sz w:val="32"/>
        </w:rPr>
        <w:t>4.节能环保支出(类)环境保护管理事务(款)其他环境保护管理事务支出(项):支出决算数为260.25万元，比上年决算增加260.25万元，增长100.00%,主要原因是：本单位为新增单位，无上年数据。</w:t>
      </w:r>
    </w:p>
    <w:p w14:paraId="6262FD41">
      <w:pPr>
        <w:spacing w:line="580" w:lineRule="exact"/>
        <w:ind w:firstLine="640"/>
        <w:jc w:val="both"/>
      </w:pPr>
      <w:r>
        <w:rPr>
          <w:rFonts w:ascii="仿宋_GB2312" w:hAnsi="仿宋_GB2312" w:eastAsia="仿宋_GB2312"/>
          <w:b w:val="0"/>
          <w:sz w:val="32"/>
        </w:rPr>
        <w:t>5.节能环保支出(类)环境监测与监察(款)其他环境监测与监察支出(项):支出决算数为45.00万元，比上年决算增加45.00万元，增长100.00%,主要原因是：本单位为新增单位，无上年数据。</w:t>
      </w:r>
    </w:p>
    <w:p w14:paraId="3003772B">
      <w:pPr>
        <w:spacing w:line="580" w:lineRule="exact"/>
        <w:ind w:firstLine="640"/>
        <w:jc w:val="both"/>
      </w:pPr>
      <w:r>
        <w:rPr>
          <w:rFonts w:ascii="仿宋_GB2312" w:hAnsi="仿宋_GB2312" w:eastAsia="仿宋_GB2312"/>
          <w:b w:val="0"/>
          <w:sz w:val="32"/>
        </w:rPr>
        <w:t>6.节能环保支出(类)其他节能环保支出(款)其他节能环保支出(项):支出决算数为8.00万元，比上年决算增加8.00万元，增长100.00%,主要原因是：本单位为新增单位，无上年数据。</w:t>
      </w:r>
    </w:p>
    <w:p w14:paraId="5DDD9CA9">
      <w:pPr>
        <w:spacing w:line="580" w:lineRule="exact"/>
        <w:ind w:firstLine="640"/>
        <w:jc w:val="both"/>
      </w:pPr>
      <w:r>
        <w:rPr>
          <w:rFonts w:ascii="仿宋_GB2312" w:hAnsi="仿宋_GB2312" w:eastAsia="仿宋_GB2312"/>
          <w:b w:val="0"/>
          <w:sz w:val="32"/>
        </w:rPr>
        <w:t>7.住房保障支出(类)住房改革支出(款)住房公积金(项):支出决算数为27.15万元，比上年决算增加27.15万元，增长100.00%,主要原因是：本单位为新增单位，无上年数据。</w:t>
      </w:r>
    </w:p>
    <w:p w14:paraId="42E72AF8">
      <w:pPr>
        <w:spacing w:line="640" w:lineRule="exact"/>
        <w:ind w:firstLine="640"/>
        <w:jc w:val="both"/>
        <w:outlineLvl w:val="2"/>
      </w:pPr>
      <w:r>
        <w:rPr>
          <w:rFonts w:ascii="黑体" w:hAnsi="黑体" w:eastAsia="黑体"/>
          <w:sz w:val="32"/>
        </w:rPr>
        <w:t>六、一般公共预算财政拨款基本支出决算情况说明</w:t>
      </w:r>
    </w:p>
    <w:p w14:paraId="5F4639B3">
      <w:pPr>
        <w:spacing w:line="580" w:lineRule="exact"/>
        <w:ind w:firstLine="640"/>
        <w:jc w:val="both"/>
      </w:pPr>
      <w:r>
        <w:rPr>
          <w:rFonts w:ascii="仿宋_GB2312" w:hAnsi="仿宋_GB2312" w:eastAsia="仿宋_GB2312"/>
          <w:b w:val="0"/>
          <w:sz w:val="32"/>
        </w:rPr>
        <w:t>2024年度一般公共预算财政拨款基本支出338.81万元，其中：</w:t>
      </w:r>
      <w:r>
        <w:rPr>
          <w:rFonts w:ascii="仿宋_GB2312" w:hAnsi="仿宋_GB2312" w:eastAsia="仿宋_GB2312"/>
          <w:b/>
          <w:sz w:val="32"/>
        </w:rPr>
        <w:t>人员经费322.08万元，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包括：基本工资、津贴补贴、奖金、伙食补助费、机关事业单位基本养老保险缴费、职工基本医疗保险缴费、其他社会保障缴费、住房公积金、医疗费。</w:t>
      </w:r>
    </w:p>
    <w:p w14:paraId="06AD8970">
      <w:pPr>
        <w:spacing w:line="580" w:lineRule="exact"/>
        <w:ind w:firstLine="640"/>
        <w:jc w:val="both"/>
      </w:pPr>
      <w:r>
        <w:rPr>
          <w:rFonts w:ascii="仿宋_GB2312" w:hAnsi="仿宋_GB2312" w:eastAsia="仿宋_GB2312"/>
          <w:b/>
          <w:sz w:val="32"/>
        </w:rPr>
        <w:t>公用经费16.74万元，</w:t>
      </w:r>
      <w:r>
        <w:rPr>
          <w:rFonts w:ascii="仿宋_GB2312" w:hAnsi="仿宋_GB2312" w:eastAsia="仿宋_GB2312"/>
          <w:b w:val="0"/>
          <w:sz w:val="32"/>
        </w:rPr>
        <w:t>包括：办公费、电费、取暖费、物业管理费、差旅费、培训费、工会经费、福利费、其他交通费用。</w:t>
      </w:r>
    </w:p>
    <w:p w14:paraId="44A980E2">
      <w:pPr>
        <w:spacing w:line="640" w:lineRule="exact"/>
        <w:ind w:firstLine="640"/>
        <w:jc w:val="both"/>
        <w:outlineLvl w:val="2"/>
      </w:pPr>
      <w:r>
        <w:rPr>
          <w:rFonts w:ascii="黑体" w:hAnsi="黑体" w:eastAsia="黑体"/>
          <w:sz w:val="32"/>
        </w:rPr>
        <w:t>七、政府性基金预算财政拨款收入支出决算情况说明</w:t>
      </w:r>
    </w:p>
    <w:p w14:paraId="1255E14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3D6305A">
      <w:pPr>
        <w:spacing w:line="640" w:lineRule="exact"/>
        <w:ind w:firstLine="640"/>
        <w:jc w:val="both"/>
        <w:outlineLvl w:val="2"/>
      </w:pPr>
      <w:r>
        <w:rPr>
          <w:rFonts w:ascii="黑体" w:hAnsi="黑体" w:eastAsia="黑体"/>
          <w:sz w:val="32"/>
        </w:rPr>
        <w:t>八、国有资本经营预算财政拨款收入支出决算情况说明</w:t>
      </w:r>
    </w:p>
    <w:p w14:paraId="4FE4921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EE718DB">
      <w:pPr>
        <w:spacing w:line="640" w:lineRule="exact"/>
        <w:ind w:firstLine="640"/>
        <w:jc w:val="both"/>
        <w:outlineLvl w:val="2"/>
      </w:pPr>
      <w:r>
        <w:rPr>
          <w:rFonts w:ascii="黑体" w:hAnsi="黑体" w:eastAsia="黑体"/>
          <w:sz w:val="32"/>
        </w:rPr>
        <w:t>九、财政拨款“三公”经费支出决算情况说明</w:t>
      </w:r>
    </w:p>
    <w:p w14:paraId="1A9E6F2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53435AC">
      <w:pPr>
        <w:spacing w:line="580" w:lineRule="exact"/>
        <w:ind w:firstLine="640"/>
        <w:jc w:val="both"/>
      </w:pPr>
      <w:r>
        <w:rPr>
          <w:rFonts w:ascii="仿宋_GB2312" w:hAnsi="仿宋_GB2312" w:eastAsia="仿宋_GB2312"/>
          <w:b/>
          <w:sz w:val="32"/>
        </w:rPr>
        <w:t>具体情况如下：</w:t>
      </w:r>
    </w:p>
    <w:p w14:paraId="171DDEA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126E72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BE18AD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4293DA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4050E79">
      <w:pPr>
        <w:spacing w:line="640" w:lineRule="exact"/>
        <w:ind w:firstLine="640"/>
        <w:jc w:val="both"/>
        <w:outlineLvl w:val="2"/>
      </w:pPr>
      <w:r>
        <w:rPr>
          <w:rFonts w:ascii="黑体" w:hAnsi="黑体" w:eastAsia="黑体"/>
          <w:sz w:val="32"/>
        </w:rPr>
        <w:t>十、其他重要事项的情况说明</w:t>
      </w:r>
    </w:p>
    <w:p w14:paraId="0B8A68A0">
      <w:pPr>
        <w:spacing w:line="640" w:lineRule="exact"/>
        <w:ind w:firstLine="640"/>
        <w:jc w:val="both"/>
        <w:outlineLvl w:val="3"/>
      </w:pPr>
      <w:r>
        <w:rPr>
          <w:rFonts w:ascii="楷体_GB2312" w:hAnsi="楷体_GB2312" w:eastAsia="楷体_GB2312"/>
          <w:b/>
          <w:sz w:val="32"/>
        </w:rPr>
        <w:t>（一）机关运行经费及公用经费支出情况</w:t>
      </w:r>
    </w:p>
    <w:p w14:paraId="34076D56">
      <w:pPr>
        <w:spacing w:line="580" w:lineRule="exact"/>
        <w:ind w:firstLine="640"/>
        <w:jc w:val="both"/>
      </w:pPr>
      <w:r>
        <w:rPr>
          <w:rFonts w:ascii="仿宋_GB2312" w:hAnsi="仿宋_GB2312" w:eastAsia="仿宋_GB2312"/>
          <w:b w:val="0"/>
          <w:sz w:val="32"/>
        </w:rPr>
        <w:t>2024年度巴音郭楞蒙古自治州生态环境局库尉轮联合监测站（事业单位）公用经费支出16.74万元，比上年增加16.74万元，增长100.00%，主要原因是：本单位为新增单位，无上年数据。</w:t>
      </w:r>
    </w:p>
    <w:p w14:paraId="28CEF0F1">
      <w:pPr>
        <w:spacing w:line="640" w:lineRule="exact"/>
        <w:ind w:firstLine="640"/>
        <w:jc w:val="both"/>
        <w:outlineLvl w:val="3"/>
      </w:pPr>
      <w:r>
        <w:rPr>
          <w:rFonts w:ascii="楷体_GB2312" w:hAnsi="楷体_GB2312" w:eastAsia="楷体_GB2312"/>
          <w:b/>
          <w:sz w:val="32"/>
        </w:rPr>
        <w:t>（二）政府采购情况</w:t>
      </w:r>
    </w:p>
    <w:p w14:paraId="350AA0E3">
      <w:pPr>
        <w:spacing w:line="580" w:lineRule="exact"/>
        <w:ind w:firstLine="640"/>
        <w:jc w:val="both"/>
      </w:pPr>
      <w:r>
        <w:rPr>
          <w:rFonts w:ascii="仿宋_GB2312" w:hAnsi="仿宋_GB2312" w:eastAsia="仿宋_GB2312"/>
          <w:b w:val="0"/>
          <w:sz w:val="32"/>
        </w:rPr>
        <w:t>2024年度政府采购支出总额1.87万元，其中：政府采购货物支出0.67万元、政府采购工程支出1.21万元、政府采购服务支出0.00万元。</w:t>
      </w:r>
    </w:p>
    <w:p w14:paraId="55643707">
      <w:pPr>
        <w:spacing w:line="580" w:lineRule="exact"/>
        <w:ind w:firstLine="640"/>
        <w:jc w:val="both"/>
      </w:pPr>
      <w:r>
        <w:rPr>
          <w:rFonts w:ascii="仿宋_GB2312" w:hAnsi="仿宋_GB2312" w:eastAsia="仿宋_GB2312"/>
          <w:b w:val="0"/>
          <w:sz w:val="32"/>
        </w:rPr>
        <w:t>授予中小企业合同金额1.87万元，占政府采购支出总额的100.00%，其中：授予小微企业合同金额0.60万元，占政府采购支出总额的32.09%。</w:t>
      </w:r>
    </w:p>
    <w:p w14:paraId="31EEB5D4">
      <w:pPr>
        <w:spacing w:line="640" w:lineRule="exact"/>
        <w:ind w:firstLine="640"/>
        <w:jc w:val="both"/>
        <w:outlineLvl w:val="3"/>
      </w:pPr>
      <w:r>
        <w:rPr>
          <w:rFonts w:ascii="楷体_GB2312" w:hAnsi="楷体_GB2312" w:eastAsia="楷体_GB2312"/>
          <w:b/>
          <w:sz w:val="32"/>
        </w:rPr>
        <w:t>（三）国有资产占用情况说明</w:t>
      </w:r>
    </w:p>
    <w:p w14:paraId="1C379F2B">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50DFCA1">
      <w:pPr>
        <w:spacing w:line="640" w:lineRule="exact"/>
        <w:ind w:firstLine="640"/>
        <w:jc w:val="both"/>
        <w:outlineLvl w:val="2"/>
      </w:pPr>
      <w:r>
        <w:rPr>
          <w:rFonts w:ascii="黑体" w:hAnsi="黑体" w:eastAsia="黑体"/>
          <w:sz w:val="32"/>
        </w:rPr>
        <w:t>十一、预算绩效的情况说明</w:t>
      </w:r>
    </w:p>
    <w:p w14:paraId="5F2CABC7">
      <w:pPr>
        <w:spacing w:line="580" w:lineRule="exact"/>
        <w:ind w:firstLine="640"/>
        <w:jc w:val="both"/>
      </w:pPr>
      <w:r>
        <w:rPr>
          <w:rFonts w:ascii="仿宋_GB2312" w:hAnsi="仿宋_GB2312" w:eastAsia="仿宋_GB2312"/>
          <w:b w:val="0"/>
          <w:sz w:val="32"/>
        </w:rPr>
        <w:t>根据预算绩效管理要求，本单位预算绩效评价项目2个，全年预算数</w:t>
      </w:r>
      <w:r>
        <w:rPr>
          <w:rFonts w:hint="eastAsia" w:ascii="仿宋_GB2312" w:hAnsi="仿宋_GB2312" w:eastAsia="仿宋_GB2312"/>
          <w:b w:val="0"/>
          <w:sz w:val="32"/>
          <w:lang w:val="en-US" w:eastAsia="zh-CN"/>
        </w:rPr>
        <w:t>53</w:t>
      </w:r>
      <w:r>
        <w:rPr>
          <w:rFonts w:ascii="仿宋_GB2312" w:hAnsi="仿宋_GB2312" w:eastAsia="仿宋_GB2312"/>
          <w:b w:val="0"/>
          <w:sz w:val="32"/>
        </w:rPr>
        <w:t>.00万元，全年执行数</w:t>
      </w:r>
      <w:r>
        <w:rPr>
          <w:rFonts w:hint="eastAsia" w:ascii="仿宋_GB2312" w:hAnsi="仿宋_GB2312" w:eastAsia="仿宋_GB2312"/>
          <w:b w:val="0"/>
          <w:sz w:val="32"/>
          <w:lang w:val="en-US" w:eastAsia="zh-CN"/>
        </w:rPr>
        <w:t>53</w:t>
      </w:r>
      <w:r>
        <w:rPr>
          <w:rFonts w:ascii="仿宋_GB2312" w:hAnsi="仿宋_GB2312" w:eastAsia="仿宋_GB2312"/>
          <w:b w:val="0"/>
          <w:sz w:val="32"/>
        </w:rPr>
        <w:t>.00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47C075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0A2511ED">
        <w:tblPrEx>
          <w:tblCellMar>
            <w:top w:w="0" w:type="dxa"/>
            <w:left w:w="108" w:type="dxa"/>
            <w:bottom w:w="0" w:type="dxa"/>
            <w:right w:w="108" w:type="dxa"/>
          </w:tblCellMar>
        </w:tblPrEx>
        <w:tc>
          <w:tcPr>
            <w:tcW w:w="8848" w:type="dxa"/>
            <w:gridSpan w:val="14"/>
            <w:vAlign w:val="center"/>
          </w:tcPr>
          <w:p w14:paraId="6B4872BB">
            <w:pPr>
              <w:jc w:val="center"/>
            </w:pPr>
            <w:r>
              <w:rPr>
                <w:rFonts w:ascii="宋体" w:hAnsi="宋体" w:eastAsia="宋体"/>
                <w:sz w:val="24"/>
              </w:rPr>
              <w:t>项目支出绩效自评表</w:t>
            </w:r>
          </w:p>
        </w:tc>
      </w:tr>
      <w:tr w14:paraId="1376A6A4">
        <w:tblPrEx>
          <w:tblCellMar>
            <w:top w:w="0" w:type="dxa"/>
            <w:left w:w="108" w:type="dxa"/>
            <w:bottom w:w="0" w:type="dxa"/>
            <w:right w:w="108" w:type="dxa"/>
          </w:tblCellMar>
        </w:tblPrEx>
        <w:tc>
          <w:tcPr>
            <w:tcW w:w="8848" w:type="dxa"/>
            <w:gridSpan w:val="14"/>
            <w:vAlign w:val="center"/>
          </w:tcPr>
          <w:p w14:paraId="3FB15050">
            <w:pPr>
              <w:jc w:val="center"/>
            </w:pPr>
            <w:r>
              <w:rPr>
                <w:rFonts w:ascii="宋体" w:hAnsi="宋体" w:eastAsia="宋体"/>
                <w:sz w:val="24"/>
              </w:rPr>
              <w:t>(2024年度)</w:t>
            </w:r>
          </w:p>
        </w:tc>
      </w:tr>
      <w:tr w14:paraId="191C0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BC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AE4BDB">
            <w:pPr>
              <w:jc w:val="center"/>
            </w:pPr>
            <w:r>
              <w:rPr>
                <w:rFonts w:ascii="宋体" w:hAnsi="宋体" w:eastAsia="宋体"/>
                <w:sz w:val="16"/>
              </w:rPr>
              <w:t>州域生态环境监测项目</w:t>
            </w:r>
          </w:p>
        </w:tc>
      </w:tr>
      <w:tr w14:paraId="76C3BF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E2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12F2E4">
            <w:pPr>
              <w:jc w:val="center"/>
            </w:pPr>
            <w:r>
              <w:rPr>
                <w:rFonts w:ascii="宋体" w:hAnsi="宋体" w:eastAsia="宋体"/>
                <w:sz w:val="16"/>
              </w:rPr>
              <w:t>巴音郭楞蒙古自治州生态环境局库尉轮联合监测站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C0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1E4899">
            <w:pPr>
              <w:jc w:val="center"/>
            </w:pPr>
            <w:r>
              <w:rPr>
                <w:rFonts w:ascii="宋体" w:hAnsi="宋体" w:eastAsia="宋体"/>
                <w:sz w:val="16"/>
              </w:rPr>
              <w:t>巴音郭楞蒙古自治州生态环境局库尉轮联合监测站</w:t>
            </w:r>
          </w:p>
        </w:tc>
      </w:tr>
      <w:tr w14:paraId="47E0E3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7BF2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35E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8B5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A5D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183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916A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554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BC8E">
            <w:pPr>
              <w:jc w:val="center"/>
            </w:pPr>
            <w:r>
              <w:rPr>
                <w:rFonts w:ascii="宋体" w:hAnsi="宋体" w:eastAsia="宋体"/>
                <w:sz w:val="16"/>
              </w:rPr>
              <w:t>得分</w:t>
            </w:r>
          </w:p>
        </w:tc>
      </w:tr>
      <w:tr w14:paraId="1E035C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245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536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B9996">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327C1">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DF80A">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AEC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3B16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D8A9">
            <w:pPr>
              <w:jc w:val="center"/>
            </w:pPr>
            <w:r>
              <w:rPr>
                <w:rFonts w:ascii="宋体" w:hAnsi="宋体" w:eastAsia="宋体"/>
                <w:sz w:val="16"/>
              </w:rPr>
              <w:t>10.00</w:t>
            </w:r>
          </w:p>
        </w:tc>
      </w:tr>
      <w:tr w14:paraId="3C1BC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ADD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B27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173B3">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595FB">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1AD89">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ECC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9B7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9B18">
            <w:pPr>
              <w:jc w:val="center"/>
            </w:pPr>
            <w:r>
              <w:rPr>
                <w:rFonts w:ascii="宋体" w:hAnsi="宋体" w:eastAsia="宋体"/>
                <w:sz w:val="16"/>
              </w:rPr>
              <w:t>-</w:t>
            </w:r>
          </w:p>
        </w:tc>
      </w:tr>
      <w:tr w14:paraId="4AF94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7AB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FB0D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056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F4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2AF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691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EE5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239D">
            <w:pPr>
              <w:jc w:val="center"/>
            </w:pPr>
            <w:r>
              <w:rPr>
                <w:rFonts w:ascii="宋体" w:hAnsi="宋体" w:eastAsia="宋体"/>
                <w:sz w:val="16"/>
              </w:rPr>
              <w:t>-</w:t>
            </w:r>
          </w:p>
        </w:tc>
      </w:tr>
      <w:tr w14:paraId="3ACB68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F66E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77DA8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65FFFC">
            <w:pPr>
              <w:jc w:val="center"/>
            </w:pPr>
            <w:r>
              <w:rPr>
                <w:rFonts w:ascii="宋体" w:hAnsi="宋体" w:eastAsia="宋体"/>
                <w:sz w:val="16"/>
              </w:rPr>
              <w:t>总体目标完成情况</w:t>
            </w:r>
          </w:p>
        </w:tc>
      </w:tr>
      <w:tr w14:paraId="06693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D21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F9E1F">
            <w:pPr>
              <w:jc w:val="both"/>
            </w:pPr>
            <w:r>
              <w:rPr>
                <w:rFonts w:ascii="宋体" w:hAnsi="宋体" w:eastAsia="宋体"/>
                <w:sz w:val="16"/>
              </w:rPr>
              <w:t>库尉轮联合监测站整合、利用现有环保资源，分批次购置195种药品，维护站内61台/套仪器设备，开展县市环境监测；通过本项目开展，持续加强质量管理体系建设，规范监测行为，以“监测先行、监测灵敏、监测准确”为导向，重点推进库尉轮联合监测站监测能力提升，充分发挥环境监测在全州生态环境保护中“顶梁柱”“奠基石”“生命线”作用，提高库尉轮联合监测站监测能力现代化水平，为进一步改善巴州生态环境质量提供强有力的技术支撑。通过开展项目，将为“十四五”期间巴州社会经济的科学、健康发展保驾护航，为生态环境执法和应急监测提供有效的数据支撑，同时也是保证巴州地区年度环境监测任务完成的最经济手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E42868">
            <w:pPr>
              <w:jc w:val="both"/>
            </w:pPr>
            <w:r>
              <w:rPr>
                <w:rFonts w:ascii="宋体" w:hAnsi="宋体" w:eastAsia="宋体"/>
                <w:sz w:val="16"/>
              </w:rPr>
              <w:t>库尉轮联合监测站2024年完成分批次购置241种药品，维护站内61台/套仪器设备，开展县市环境监测；通过本项目开展，持续加强质量管理体系建设，规范监测行为，以“监测先行、监测灵敏、监测准确”为导向，重点推进库尉轮联合监测站监测能力提升，充分发挥环境监测在全州生态环境保护中“顶梁柱”“奠基石”“生命线”作用，提高库尉轮联合监测站监测能力现代化水平，为进一步改善巴州生态环境质量提供强有力的技术支撑。通过开展项目，将为“十四五”期间巴州社会经济的科学、健康发展保驾护航，为生态环境执法和应急监测提供有效的数据支撑，</w:t>
            </w:r>
          </w:p>
        </w:tc>
      </w:tr>
      <w:tr w14:paraId="2A26DA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B70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8A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07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97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98F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EE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F3B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BDD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60E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36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AD2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EA6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C85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D8AF">
            <w:pPr>
              <w:jc w:val="center"/>
            </w:pPr>
            <w:r>
              <w:rPr>
                <w:rFonts w:ascii="宋体" w:hAnsi="宋体" w:eastAsia="宋体"/>
                <w:sz w:val="16"/>
              </w:rPr>
              <w:t>偏差原因分析及改进措施</w:t>
            </w:r>
          </w:p>
        </w:tc>
      </w:tr>
      <w:tr w14:paraId="39B0E0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99E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637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091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6D80">
            <w:pPr>
              <w:jc w:val="center"/>
            </w:pPr>
            <w:r>
              <w:rPr>
                <w:rFonts w:ascii="宋体" w:hAnsi="宋体" w:eastAsia="宋体"/>
                <w:sz w:val="16"/>
              </w:rPr>
              <w:t>药剂采购种类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C76D">
            <w:pPr>
              <w:jc w:val="center"/>
            </w:pPr>
            <w:r>
              <w:rPr>
                <w:rFonts w:ascii="宋体" w:hAnsi="宋体" w:eastAsia="宋体"/>
                <w:sz w:val="16"/>
              </w:rPr>
              <w:t>&gt;=195种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1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E3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D79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E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F7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9277">
            <w:pPr>
              <w:jc w:val="center"/>
            </w:pPr>
            <w:r>
              <w:rPr>
                <w:rFonts w:ascii="宋体" w:hAnsi="宋体" w:eastAsia="宋体"/>
                <w:sz w:val="16"/>
              </w:rPr>
              <w:t>=241种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B899">
            <w:pPr>
              <w:jc w:val="center"/>
            </w:pPr>
            <w:r>
              <w:rPr>
                <w:rFonts w:ascii="宋体" w:hAnsi="宋体" w:eastAsia="宋体"/>
                <w:sz w:val="16"/>
              </w:rPr>
              <w:t>123.59%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86F5">
            <w:pPr>
              <w:jc w:val="center"/>
            </w:pPr>
            <w:r>
              <w:rPr>
                <w:rFonts w:ascii="宋体" w:hAnsi="宋体" w:eastAsia="宋体"/>
                <w:sz w:val="16"/>
              </w:rPr>
              <w:t>6.11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C8F2">
            <w:pPr>
              <w:jc w:val="center"/>
            </w:pPr>
            <w:r>
              <w:rPr>
                <w:rFonts w:ascii="宋体" w:hAnsi="宋体" w:eastAsia="宋体"/>
                <w:sz w:val="16"/>
              </w:rPr>
              <w:t>库尉轮联合监测站年初预计计划采购195种药剂，因绩效指标设置不精准，按照实际情况采购241种药剂。</w:t>
            </w:r>
          </w:p>
        </w:tc>
      </w:tr>
      <w:tr w14:paraId="05E00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A4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F4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31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47F0">
            <w:pPr>
              <w:jc w:val="center"/>
            </w:pPr>
            <w:r>
              <w:rPr>
                <w:rFonts w:ascii="宋体" w:hAnsi="宋体" w:eastAsia="宋体"/>
                <w:sz w:val="16"/>
              </w:rPr>
              <w:t>仪器维护数量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9FFC">
            <w:pPr>
              <w:jc w:val="center"/>
            </w:pPr>
            <w:r>
              <w:rPr>
                <w:rFonts w:ascii="宋体" w:hAnsi="宋体" w:eastAsia="宋体"/>
                <w:sz w:val="16"/>
              </w:rPr>
              <w:t>&gt;=61台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BA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5C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89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AB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CAA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D3BC">
            <w:pPr>
              <w:jc w:val="center"/>
            </w:pPr>
            <w:r>
              <w:rPr>
                <w:rFonts w:ascii="宋体" w:hAnsi="宋体" w:eastAsia="宋体"/>
                <w:sz w:val="16"/>
              </w:rPr>
              <w:t>=61台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C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A1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C0C7">
            <w:pPr>
              <w:jc w:val="center"/>
            </w:pPr>
          </w:p>
        </w:tc>
      </w:tr>
      <w:tr w14:paraId="0410C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38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1E3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9D4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0367">
            <w:pPr>
              <w:jc w:val="center"/>
            </w:pPr>
            <w:r>
              <w:rPr>
                <w:rFonts w:ascii="宋体" w:hAnsi="宋体" w:eastAsia="宋体"/>
                <w:sz w:val="16"/>
              </w:rPr>
              <w:t>仪器设备校准率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9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2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0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F1F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61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606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3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2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B7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262D">
            <w:pPr>
              <w:jc w:val="center"/>
            </w:pPr>
          </w:p>
        </w:tc>
      </w:tr>
      <w:tr w14:paraId="18DBD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D4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B7A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56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0A34">
            <w:pPr>
              <w:jc w:val="center"/>
            </w:pPr>
            <w:r>
              <w:rPr>
                <w:rFonts w:ascii="宋体" w:hAnsi="宋体" w:eastAsia="宋体"/>
                <w:sz w:val="16"/>
              </w:rPr>
              <w:t>药剂质量合格率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67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F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A8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600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1E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05E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54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7A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A04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C386">
            <w:pPr>
              <w:jc w:val="center"/>
            </w:pPr>
          </w:p>
        </w:tc>
      </w:tr>
      <w:tr w14:paraId="1E2DA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6D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326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968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01B3">
            <w:pPr>
              <w:jc w:val="center"/>
            </w:pPr>
            <w:r>
              <w:rPr>
                <w:rFonts w:ascii="宋体" w:hAnsi="宋体" w:eastAsia="宋体"/>
                <w:sz w:val="16"/>
              </w:rPr>
              <w:t>仪器校准及时率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F7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9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E7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952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C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3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5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F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4A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EAD6">
            <w:pPr>
              <w:jc w:val="center"/>
            </w:pPr>
          </w:p>
        </w:tc>
      </w:tr>
      <w:tr w14:paraId="75B7B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5B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82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F8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843B">
            <w:pPr>
              <w:jc w:val="center"/>
            </w:pPr>
            <w:r>
              <w:rPr>
                <w:rFonts w:ascii="宋体" w:hAnsi="宋体" w:eastAsia="宋体"/>
                <w:sz w:val="16"/>
              </w:rPr>
              <w:t>药剂购买及时率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C4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3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B5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E82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B3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F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01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2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6E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20CF">
            <w:pPr>
              <w:jc w:val="center"/>
            </w:pPr>
          </w:p>
        </w:tc>
      </w:tr>
      <w:tr w14:paraId="47954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D8F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725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255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0D2E">
            <w:pPr>
              <w:jc w:val="center"/>
            </w:pPr>
            <w:r>
              <w:rPr>
                <w:rFonts w:ascii="宋体" w:hAnsi="宋体" w:eastAsia="宋体"/>
                <w:sz w:val="16"/>
              </w:rPr>
              <w:t>每种药剂采购成本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587E">
            <w:pPr>
              <w:jc w:val="center"/>
            </w:pPr>
            <w:r>
              <w:rPr>
                <w:rFonts w:ascii="宋体" w:hAnsi="宋体" w:eastAsia="宋体"/>
                <w:sz w:val="16"/>
              </w:rPr>
              <w:t>&lt;=0.13万元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6E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2A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6A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87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08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1A17">
            <w:pPr>
              <w:jc w:val="center"/>
            </w:pPr>
            <w:r>
              <w:rPr>
                <w:rFonts w:ascii="宋体" w:hAnsi="宋体" w:eastAsia="宋体"/>
                <w:sz w:val="16"/>
              </w:rPr>
              <w:t>=0.12万元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DD9A">
            <w:pPr>
              <w:jc w:val="center"/>
            </w:pPr>
            <w:r>
              <w:rPr>
                <w:rFonts w:ascii="宋体" w:hAnsi="宋体" w:eastAsia="宋体"/>
                <w:sz w:val="16"/>
              </w:rPr>
              <w:t>92.31%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FA48">
            <w:pPr>
              <w:jc w:val="center"/>
            </w:pPr>
            <w:r>
              <w:rPr>
                <w:rFonts w:ascii="宋体" w:hAnsi="宋体" w:eastAsia="宋体"/>
                <w:sz w:val="16"/>
              </w:rPr>
              <w:t>8.08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336F">
            <w:pPr>
              <w:jc w:val="center"/>
            </w:pPr>
            <w:r>
              <w:rPr>
                <w:rFonts w:ascii="宋体" w:hAnsi="宋体" w:eastAsia="宋体"/>
                <w:sz w:val="16"/>
              </w:rPr>
              <w:t>因绩效指标设置不精准，按照实际情况采购241种药剂，降低了采购单价成本。</w:t>
            </w:r>
          </w:p>
        </w:tc>
      </w:tr>
      <w:tr w14:paraId="4B5CF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14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B07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21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83CD">
            <w:pPr>
              <w:jc w:val="center"/>
            </w:pPr>
            <w:r>
              <w:rPr>
                <w:rFonts w:ascii="宋体" w:hAnsi="宋体" w:eastAsia="宋体"/>
                <w:sz w:val="16"/>
              </w:rPr>
              <w:t>每台仪器设备维护成本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0D8E">
            <w:pPr>
              <w:jc w:val="center"/>
            </w:pPr>
            <w:r>
              <w:rPr>
                <w:rFonts w:ascii="宋体" w:hAnsi="宋体" w:eastAsia="宋体"/>
                <w:sz w:val="16"/>
              </w:rPr>
              <w:t>&lt;=0.32万元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1E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57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23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1F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D4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3C2E">
            <w:pPr>
              <w:jc w:val="center"/>
            </w:pPr>
            <w:r>
              <w:rPr>
                <w:rFonts w:ascii="宋体" w:hAnsi="宋体" w:eastAsia="宋体"/>
                <w:sz w:val="16"/>
              </w:rPr>
              <w: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B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F1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BA8A">
            <w:pPr>
              <w:jc w:val="center"/>
            </w:pPr>
          </w:p>
        </w:tc>
      </w:tr>
      <w:tr w14:paraId="05B05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D4F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640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E0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FB19">
            <w:pPr>
              <w:jc w:val="center"/>
            </w:pPr>
            <w:r>
              <w:rPr>
                <w:rFonts w:ascii="宋体" w:hAnsi="宋体" w:eastAsia="宋体"/>
                <w:sz w:val="16"/>
              </w:rPr>
              <w:t>为生态环境执法和应急监测提供数据支撑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AC56">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8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D3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D8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1E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DC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7BAF">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B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8D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30E3">
            <w:pPr>
              <w:jc w:val="center"/>
            </w:pPr>
          </w:p>
        </w:tc>
      </w:tr>
      <w:tr w14:paraId="21204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8E7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35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AC3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3024">
            <w:pPr>
              <w:jc w:val="center"/>
            </w:pPr>
            <w:r>
              <w:rPr>
                <w:rFonts w:ascii="宋体" w:hAnsi="宋体" w:eastAsia="宋体"/>
                <w:sz w:val="16"/>
              </w:rPr>
              <w:t>环境监测能力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E381">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C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F8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2D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A0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C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66A3">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D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98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D4B5">
            <w:pPr>
              <w:jc w:val="center"/>
            </w:pPr>
          </w:p>
        </w:tc>
      </w:tr>
      <w:tr w14:paraId="3D5F2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07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2D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CB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22FF">
            <w:pPr>
              <w:jc w:val="center"/>
            </w:pPr>
            <w:r>
              <w:rPr>
                <w:rFonts w:ascii="宋体" w:hAnsi="宋体" w:eastAsia="宋体"/>
                <w:sz w:val="16"/>
              </w:rPr>
              <w:t>药剂使用人员满意度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27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1F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D8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89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B1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86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09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88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1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58DF">
            <w:pPr>
              <w:jc w:val="center"/>
            </w:pPr>
          </w:p>
        </w:tc>
      </w:tr>
      <w:tr w14:paraId="6D3BA21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A2FF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F0A9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45F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EF0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A2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8BFB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4F48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8710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98DA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4C5A">
            <w:pPr>
              <w:jc w:val="center"/>
            </w:pPr>
            <w:r>
              <w:rPr>
                <w:rFonts w:ascii="宋体" w:hAnsi="宋体" w:eastAsia="宋体"/>
                <w:sz w:val="16"/>
              </w:rPr>
              <w:t>96.19分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4092D"/>
        </w:tc>
      </w:tr>
    </w:tbl>
    <w:p w14:paraId="085F52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E71F0BE">
        <w:tblPrEx>
          <w:tblCellMar>
            <w:top w:w="0" w:type="dxa"/>
            <w:left w:w="108" w:type="dxa"/>
            <w:bottom w:w="0" w:type="dxa"/>
            <w:right w:w="108" w:type="dxa"/>
          </w:tblCellMar>
        </w:tblPrEx>
        <w:tc>
          <w:tcPr>
            <w:tcW w:w="8848" w:type="dxa"/>
            <w:gridSpan w:val="14"/>
            <w:vAlign w:val="center"/>
          </w:tcPr>
          <w:p w14:paraId="26CB1E45">
            <w:pPr>
              <w:jc w:val="center"/>
            </w:pPr>
            <w:r>
              <w:rPr>
                <w:rFonts w:ascii="宋体" w:hAnsi="宋体" w:eastAsia="宋体"/>
                <w:sz w:val="24"/>
              </w:rPr>
              <w:t>项目支出绩效自评表</w:t>
            </w:r>
          </w:p>
        </w:tc>
      </w:tr>
      <w:tr w14:paraId="6A00D3A6">
        <w:tblPrEx>
          <w:tblCellMar>
            <w:top w:w="0" w:type="dxa"/>
            <w:left w:w="108" w:type="dxa"/>
            <w:bottom w:w="0" w:type="dxa"/>
            <w:right w:w="108" w:type="dxa"/>
          </w:tblCellMar>
        </w:tblPrEx>
        <w:tc>
          <w:tcPr>
            <w:tcW w:w="8848" w:type="dxa"/>
            <w:gridSpan w:val="14"/>
            <w:vAlign w:val="center"/>
          </w:tcPr>
          <w:p w14:paraId="74E0DD3E">
            <w:pPr>
              <w:jc w:val="center"/>
            </w:pPr>
            <w:r>
              <w:rPr>
                <w:rFonts w:ascii="宋体" w:hAnsi="宋体" w:eastAsia="宋体"/>
                <w:sz w:val="24"/>
              </w:rPr>
              <w:t>(2024年度)</w:t>
            </w:r>
          </w:p>
        </w:tc>
      </w:tr>
      <w:tr w14:paraId="344EB4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58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D5B226">
            <w:pPr>
              <w:jc w:val="center"/>
            </w:pPr>
            <w:r>
              <w:rPr>
                <w:rFonts w:ascii="宋体" w:hAnsi="宋体" w:eastAsia="宋体"/>
                <w:sz w:val="16"/>
              </w:rPr>
              <w:t>自治州第二批优秀专家工作室支持项目</w:t>
            </w:r>
          </w:p>
        </w:tc>
      </w:tr>
      <w:tr w14:paraId="344183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16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35B70A">
            <w:pPr>
              <w:jc w:val="center"/>
            </w:pPr>
            <w:r>
              <w:rPr>
                <w:rFonts w:ascii="宋体" w:hAnsi="宋体" w:eastAsia="宋体"/>
                <w:sz w:val="16"/>
              </w:rPr>
              <w:t>巴音郭楞蒙古自治州生态环境局库尉轮联合监测站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44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867C3F">
            <w:pPr>
              <w:jc w:val="center"/>
            </w:pPr>
            <w:r>
              <w:rPr>
                <w:rFonts w:ascii="宋体" w:hAnsi="宋体" w:eastAsia="宋体"/>
                <w:sz w:val="16"/>
              </w:rPr>
              <w:t>巴音郭楞蒙古自治州生态环境局库尉轮联合监测站</w:t>
            </w:r>
          </w:p>
        </w:tc>
      </w:tr>
      <w:tr w14:paraId="328309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5172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4B6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3FC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6C4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FF9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A08C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36D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A02D">
            <w:pPr>
              <w:jc w:val="center"/>
            </w:pPr>
            <w:r>
              <w:rPr>
                <w:rFonts w:ascii="宋体" w:hAnsi="宋体" w:eastAsia="宋体"/>
                <w:sz w:val="16"/>
              </w:rPr>
              <w:t>得分</w:t>
            </w:r>
          </w:p>
        </w:tc>
      </w:tr>
      <w:tr w14:paraId="0C611F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E15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3CC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A076D">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3E39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8603B">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96D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740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DC69">
            <w:pPr>
              <w:jc w:val="center"/>
            </w:pPr>
            <w:r>
              <w:rPr>
                <w:rFonts w:ascii="宋体" w:hAnsi="宋体" w:eastAsia="宋体"/>
                <w:sz w:val="16"/>
              </w:rPr>
              <w:t>10.00</w:t>
            </w:r>
          </w:p>
        </w:tc>
      </w:tr>
      <w:tr w14:paraId="43E61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C3F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2A4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8B1AD">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147C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CC11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5A9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ACD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1C81">
            <w:pPr>
              <w:jc w:val="center"/>
            </w:pPr>
            <w:r>
              <w:rPr>
                <w:rFonts w:ascii="宋体" w:hAnsi="宋体" w:eastAsia="宋体"/>
                <w:sz w:val="16"/>
              </w:rPr>
              <w:t>-</w:t>
            </w:r>
          </w:p>
        </w:tc>
      </w:tr>
      <w:tr w14:paraId="08AF8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A13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C619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4B4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7E2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A7F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AB4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24C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513B">
            <w:pPr>
              <w:jc w:val="center"/>
            </w:pPr>
            <w:r>
              <w:rPr>
                <w:rFonts w:ascii="宋体" w:hAnsi="宋体" w:eastAsia="宋体"/>
                <w:sz w:val="16"/>
              </w:rPr>
              <w:t>-</w:t>
            </w:r>
          </w:p>
        </w:tc>
      </w:tr>
      <w:tr w14:paraId="74C7F0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9CEE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F34B3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C01A6A">
            <w:pPr>
              <w:jc w:val="center"/>
            </w:pPr>
            <w:r>
              <w:rPr>
                <w:rFonts w:ascii="宋体" w:hAnsi="宋体" w:eastAsia="宋体"/>
                <w:sz w:val="16"/>
              </w:rPr>
              <w:t>总体目标完成情况</w:t>
            </w:r>
          </w:p>
        </w:tc>
      </w:tr>
      <w:tr w14:paraId="27805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BA1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3FB59">
            <w:pPr>
              <w:jc w:val="both"/>
            </w:pPr>
            <w:r>
              <w:rPr>
                <w:rFonts w:ascii="宋体" w:hAnsi="宋体" w:eastAsia="宋体"/>
                <w:sz w:val="16"/>
              </w:rPr>
              <w:t>为了培养团队成员协作能力及生态环境监测人员综合分析能力，计划购置设备5台，水质采样监测租赁船15次，对博湖国控监测点的取样和监测工作，出具监测分析报告18个。针对问题提出不同的解决方案，通过团队建设，培养团队成员个人的发展和成长，鼓励团队成员勇于思考，进一步提升其职业技能和领导能力,为生态环境监测提供数据支撑</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EB9541">
            <w:pPr>
              <w:jc w:val="both"/>
            </w:pPr>
            <w:r>
              <w:rPr>
                <w:rFonts w:ascii="宋体" w:hAnsi="宋体" w:eastAsia="宋体"/>
                <w:sz w:val="16"/>
              </w:rPr>
              <w:t>2024年库尉轮联合监测站完成了购置设备5台，水质采样监测租赁船15次，对博湖国控监测点的取样和监测工作，出具监测分析报告18个。针对问题提出不同的解决方案，通过团队建设，培养团队成员个人的发展和成长，鼓励团队成员勇于思考，进一步提升了其职业技能和领导能力,为生态环境监测提供数据支撑的依据</w:t>
            </w:r>
            <w:r>
              <w:rPr>
                <w:rFonts w:hint="eastAsia" w:ascii="宋体" w:hAnsi="宋体"/>
                <w:sz w:val="16"/>
                <w:lang w:eastAsia="zh-CN"/>
              </w:rPr>
              <w:t>。</w:t>
            </w:r>
          </w:p>
        </w:tc>
      </w:tr>
      <w:tr w14:paraId="023A01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E74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F6F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B5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1A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EF3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81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429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92D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806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8F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F98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842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ECE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0229">
            <w:pPr>
              <w:jc w:val="center"/>
            </w:pPr>
            <w:r>
              <w:rPr>
                <w:rFonts w:ascii="宋体" w:hAnsi="宋体" w:eastAsia="宋体"/>
                <w:sz w:val="16"/>
              </w:rPr>
              <w:t>偏差原因分析及改进措施</w:t>
            </w:r>
          </w:p>
        </w:tc>
      </w:tr>
      <w:tr w14:paraId="014663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023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1104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099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9EEE">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5324">
            <w:pPr>
              <w:jc w:val="center"/>
            </w:pPr>
            <w:r>
              <w:rPr>
                <w:rFonts w:ascii="宋体" w:hAnsi="宋体" w:eastAsia="宋体"/>
                <w:sz w:val="16"/>
              </w:rPr>
              <w:t>&gt;=5台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0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40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65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B3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18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BFE4">
            <w:pPr>
              <w:jc w:val="center"/>
            </w:pPr>
            <w:r>
              <w:rPr>
                <w:rFonts w:ascii="宋体" w:hAnsi="宋体" w:eastAsia="宋体"/>
                <w:sz w:val="16"/>
              </w:rPr>
              <w: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F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5B1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F2F4">
            <w:pPr>
              <w:jc w:val="center"/>
            </w:pPr>
          </w:p>
        </w:tc>
      </w:tr>
      <w:tr w14:paraId="131DB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47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B7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596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B298">
            <w:pPr>
              <w:jc w:val="center"/>
            </w:pPr>
            <w:r>
              <w:rPr>
                <w:rFonts w:ascii="宋体" w:hAnsi="宋体" w:eastAsia="宋体"/>
                <w:sz w:val="16"/>
              </w:rPr>
              <w:t>监测及科研分析报告数量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3CCB">
            <w:pPr>
              <w:jc w:val="center"/>
            </w:pPr>
            <w:r>
              <w:rPr>
                <w:rFonts w:ascii="宋体" w:hAnsi="宋体" w:eastAsia="宋体"/>
                <w:sz w:val="16"/>
              </w:rPr>
              <w:t>&gt;=18个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6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2A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3C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5E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DD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3C9D">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BC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EC7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BE28">
            <w:pPr>
              <w:jc w:val="center"/>
            </w:pPr>
          </w:p>
        </w:tc>
      </w:tr>
      <w:tr w14:paraId="5D774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5DC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3C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980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59BD">
            <w:pPr>
              <w:jc w:val="center"/>
            </w:pPr>
            <w:r>
              <w:rPr>
                <w:rFonts w:ascii="宋体" w:hAnsi="宋体" w:eastAsia="宋体"/>
                <w:sz w:val="16"/>
              </w:rPr>
              <w:t>水质监测采样租赁船次数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E4B9">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7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A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A5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9A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89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EF66">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3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50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B1E2">
            <w:pPr>
              <w:jc w:val="center"/>
            </w:pPr>
          </w:p>
        </w:tc>
      </w:tr>
      <w:tr w14:paraId="57C56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DE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15E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172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64F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5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0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EC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B1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5E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42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0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0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41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9ECD">
            <w:pPr>
              <w:jc w:val="center"/>
            </w:pPr>
          </w:p>
        </w:tc>
      </w:tr>
      <w:tr w14:paraId="4A2F7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B0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3B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BD2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5FE1">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9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8B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5D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C9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1A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8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E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8F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6E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3E13">
            <w:pPr>
              <w:jc w:val="center"/>
            </w:pPr>
          </w:p>
        </w:tc>
      </w:tr>
      <w:tr w14:paraId="4C3A1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CB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B4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EC4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1657">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6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5D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E9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D2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15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E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9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A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6B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D8F9">
            <w:pPr>
              <w:jc w:val="center"/>
            </w:pPr>
          </w:p>
        </w:tc>
      </w:tr>
      <w:tr w14:paraId="6FDB8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94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C5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CA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5A79">
            <w:pPr>
              <w:jc w:val="center"/>
            </w:pPr>
            <w:r>
              <w:rPr>
                <w:rFonts w:ascii="宋体" w:hAnsi="宋体" w:eastAsia="宋体"/>
                <w:sz w:val="16"/>
              </w:rPr>
              <w:t>监测及科研分析报告合格率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1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B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D7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F3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E5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19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6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9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E3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B8A4">
            <w:pPr>
              <w:jc w:val="center"/>
            </w:pPr>
          </w:p>
        </w:tc>
      </w:tr>
      <w:tr w14:paraId="670B0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06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B53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599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8DF5">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108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0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9E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E3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D8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35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77BE">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2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4A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AB83">
            <w:pPr>
              <w:jc w:val="center"/>
            </w:pPr>
          </w:p>
        </w:tc>
      </w:tr>
      <w:tr w14:paraId="3D3F5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BC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81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8D2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EACE">
            <w:pPr>
              <w:jc w:val="center"/>
            </w:pPr>
            <w:r>
              <w:rPr>
                <w:rFonts w:ascii="宋体" w:hAnsi="宋体" w:eastAsia="宋体"/>
                <w:sz w:val="16"/>
              </w:rPr>
              <w:t>监测及科研分析报告完成时间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754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37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00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F8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DF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3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D30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3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96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1926">
            <w:pPr>
              <w:jc w:val="center"/>
            </w:pPr>
          </w:p>
        </w:tc>
      </w:tr>
      <w:tr w14:paraId="57F74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CEE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4A6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376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0155">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0064">
            <w:pPr>
              <w:jc w:val="center"/>
            </w:pPr>
            <w:r>
              <w:rPr>
                <w:rFonts w:ascii="宋体" w:hAnsi="宋体" w:eastAsia="宋体"/>
                <w:sz w:val="16"/>
              </w:rPr>
              <w:t>&lt;=4.1万元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1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8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C9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93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4E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0E47">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D9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80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3D2F">
            <w:pPr>
              <w:jc w:val="center"/>
            </w:pPr>
          </w:p>
        </w:tc>
      </w:tr>
      <w:tr w14:paraId="3402A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44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020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C0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8AF0">
            <w:pPr>
              <w:jc w:val="center"/>
            </w:pPr>
            <w:r>
              <w:rPr>
                <w:rFonts w:ascii="宋体" w:hAnsi="宋体" w:eastAsia="宋体"/>
                <w:sz w:val="16"/>
              </w:rPr>
              <w:t>生态环境监测工作经费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DBFDD">
            <w:pPr>
              <w:jc w:val="center"/>
            </w:pPr>
            <w:r>
              <w:rPr>
                <w:rFonts w:ascii="宋体" w:hAnsi="宋体" w:eastAsia="宋体"/>
                <w:sz w:val="16"/>
              </w:rPr>
              <w:t>&lt;=3.9万元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0C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4D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89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5E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96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CFCD">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D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8E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058D">
            <w:pPr>
              <w:jc w:val="center"/>
            </w:pPr>
          </w:p>
        </w:tc>
      </w:tr>
      <w:tr w14:paraId="42B15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7AE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AC45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1A1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4B55">
            <w:pPr>
              <w:jc w:val="center"/>
            </w:pPr>
            <w:r>
              <w:rPr>
                <w:rFonts w:ascii="宋体" w:hAnsi="宋体" w:eastAsia="宋体"/>
                <w:sz w:val="16"/>
              </w:rPr>
              <w:t>为生态环境管理提供数据支撑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9A01">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8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73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03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1A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F1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BD2A">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5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E4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BD2E">
            <w:pPr>
              <w:jc w:val="center"/>
            </w:pPr>
          </w:p>
        </w:tc>
      </w:tr>
      <w:tr w14:paraId="2538C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EB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30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FC1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A5E5">
            <w:pPr>
              <w:jc w:val="center"/>
            </w:pPr>
            <w:r>
              <w:rPr>
                <w:rFonts w:ascii="宋体" w:hAnsi="宋体" w:eastAsia="宋体"/>
                <w:sz w:val="16"/>
              </w:rPr>
              <w:t>提高监测人员综合业务水平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C399">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8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51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DC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21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69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2D08">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E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9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65B2">
            <w:pPr>
              <w:jc w:val="center"/>
            </w:pPr>
          </w:p>
        </w:tc>
      </w:tr>
      <w:tr w14:paraId="62609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FC9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74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24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4065">
            <w:pPr>
              <w:jc w:val="center"/>
            </w:pPr>
            <w:r>
              <w:rPr>
                <w:rFonts w:ascii="宋体" w:hAnsi="宋体" w:eastAsia="宋体"/>
                <w:sz w:val="16"/>
              </w:rPr>
              <w:t>生态环境监测人员的满意度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5AF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99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6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BE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F0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08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7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24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41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40DD">
            <w:pPr>
              <w:jc w:val="center"/>
            </w:pPr>
          </w:p>
        </w:tc>
      </w:tr>
      <w:tr w14:paraId="6322E0E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E3EF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01C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950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711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E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763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B16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D00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97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AFC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C6F75"/>
        </w:tc>
      </w:tr>
    </w:tbl>
    <w:p w14:paraId="083E9208">
      <w:r>
        <w:br w:type="page"/>
      </w:r>
    </w:p>
    <w:p w14:paraId="1974E914">
      <w:pPr>
        <w:spacing w:line="640" w:lineRule="exact"/>
        <w:ind w:firstLine="640"/>
        <w:jc w:val="both"/>
        <w:outlineLvl w:val="2"/>
      </w:pPr>
      <w:r>
        <w:rPr>
          <w:rFonts w:ascii="黑体" w:hAnsi="黑体" w:eastAsia="黑体"/>
          <w:sz w:val="32"/>
        </w:rPr>
        <w:t>十二、其他需说明的事项</w:t>
      </w:r>
    </w:p>
    <w:p w14:paraId="1AE75E4C">
      <w:pPr>
        <w:spacing w:line="580" w:lineRule="exact"/>
        <w:ind w:firstLine="640"/>
        <w:jc w:val="both"/>
      </w:pPr>
      <w:r>
        <w:rPr>
          <w:rFonts w:ascii="仿宋_GB2312" w:hAnsi="仿宋_GB2312" w:eastAsia="仿宋_GB2312"/>
          <w:b w:val="0"/>
          <w:sz w:val="32"/>
        </w:rPr>
        <w:t>本年度本单位整体绩效自评表由主管部门编报并公开。</w:t>
      </w:r>
    </w:p>
    <w:p w14:paraId="4265866C">
      <w:r>
        <w:br w:type="page"/>
      </w:r>
    </w:p>
    <w:p w14:paraId="7C18A197">
      <w:pPr>
        <w:spacing w:line="240" w:lineRule="auto"/>
        <w:jc w:val="center"/>
        <w:outlineLvl w:val="1"/>
      </w:pPr>
      <w:r>
        <w:rPr>
          <w:rFonts w:ascii="黑体" w:hAnsi="黑体" w:eastAsia="黑体"/>
          <w:sz w:val="32"/>
        </w:rPr>
        <w:t>第三部分 专业名词解释</w:t>
      </w:r>
    </w:p>
    <w:p w14:paraId="311FF3D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32DF27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1C3D8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2548C0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6E083A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19735D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5E31AD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C0BBE5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22BC9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58327E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DFC9C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AFD224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CE0BD9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99702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72B0126">
      <w:r>
        <w:br w:type="page"/>
      </w:r>
    </w:p>
    <w:p w14:paraId="1EA46A96">
      <w:pPr>
        <w:spacing w:line="240" w:lineRule="auto"/>
        <w:jc w:val="center"/>
        <w:outlineLvl w:val="1"/>
      </w:pPr>
      <w:r>
        <w:rPr>
          <w:rFonts w:ascii="黑体" w:hAnsi="黑体" w:eastAsia="黑体"/>
          <w:sz w:val="32"/>
        </w:rPr>
        <w:t>第四部分 部门决算报表（见附表）</w:t>
      </w:r>
    </w:p>
    <w:p w14:paraId="3A5A64C3">
      <w:pPr>
        <w:spacing w:line="240" w:lineRule="auto"/>
        <w:ind w:firstLine="640"/>
        <w:jc w:val="both"/>
      </w:pPr>
      <w:r>
        <w:rPr>
          <w:rFonts w:ascii="仿宋_GB2312" w:hAnsi="仿宋_GB2312" w:eastAsia="仿宋_GB2312"/>
          <w:b w:val="0"/>
          <w:sz w:val="32"/>
        </w:rPr>
        <w:t>一、《收入支出决算总表》</w:t>
      </w:r>
    </w:p>
    <w:p w14:paraId="02C620D2">
      <w:pPr>
        <w:spacing w:line="240" w:lineRule="auto"/>
        <w:ind w:firstLine="640"/>
        <w:jc w:val="both"/>
      </w:pPr>
      <w:r>
        <w:rPr>
          <w:rFonts w:ascii="仿宋_GB2312" w:hAnsi="仿宋_GB2312" w:eastAsia="仿宋_GB2312"/>
          <w:b w:val="0"/>
          <w:sz w:val="32"/>
        </w:rPr>
        <w:t>二、《收入决算表》</w:t>
      </w:r>
    </w:p>
    <w:p w14:paraId="148AF0B8">
      <w:pPr>
        <w:spacing w:line="240" w:lineRule="auto"/>
        <w:ind w:firstLine="640"/>
        <w:jc w:val="both"/>
      </w:pPr>
      <w:r>
        <w:rPr>
          <w:rFonts w:ascii="仿宋_GB2312" w:hAnsi="仿宋_GB2312" w:eastAsia="仿宋_GB2312"/>
          <w:b w:val="0"/>
          <w:sz w:val="32"/>
        </w:rPr>
        <w:t>三、《支出决算表》</w:t>
      </w:r>
    </w:p>
    <w:p w14:paraId="5F9C4735">
      <w:pPr>
        <w:spacing w:line="240" w:lineRule="auto"/>
        <w:ind w:firstLine="640"/>
        <w:jc w:val="both"/>
      </w:pPr>
      <w:r>
        <w:rPr>
          <w:rFonts w:ascii="仿宋_GB2312" w:hAnsi="仿宋_GB2312" w:eastAsia="仿宋_GB2312"/>
          <w:b w:val="0"/>
          <w:sz w:val="32"/>
        </w:rPr>
        <w:t>四、《财政拨款收入支出决算总表》</w:t>
      </w:r>
    </w:p>
    <w:p w14:paraId="5C6AFAF1">
      <w:pPr>
        <w:spacing w:line="240" w:lineRule="auto"/>
        <w:ind w:firstLine="640"/>
        <w:jc w:val="both"/>
      </w:pPr>
      <w:r>
        <w:rPr>
          <w:rFonts w:ascii="仿宋_GB2312" w:hAnsi="仿宋_GB2312" w:eastAsia="仿宋_GB2312"/>
          <w:b w:val="0"/>
          <w:sz w:val="32"/>
        </w:rPr>
        <w:t>五、《一般公共预算财政拨款支出决算表》</w:t>
      </w:r>
    </w:p>
    <w:p w14:paraId="18BC4144">
      <w:pPr>
        <w:spacing w:line="240" w:lineRule="auto"/>
        <w:ind w:firstLine="640"/>
        <w:jc w:val="both"/>
      </w:pPr>
      <w:r>
        <w:rPr>
          <w:rFonts w:ascii="仿宋_GB2312" w:hAnsi="仿宋_GB2312" w:eastAsia="仿宋_GB2312"/>
          <w:b w:val="0"/>
          <w:sz w:val="32"/>
        </w:rPr>
        <w:t>六、《一般公共预算财政拨款基本支出决算表》</w:t>
      </w:r>
    </w:p>
    <w:p w14:paraId="75369924">
      <w:pPr>
        <w:spacing w:line="240" w:lineRule="auto"/>
        <w:ind w:firstLine="640"/>
        <w:jc w:val="both"/>
      </w:pPr>
      <w:r>
        <w:rPr>
          <w:rFonts w:ascii="仿宋_GB2312" w:hAnsi="仿宋_GB2312" w:eastAsia="仿宋_GB2312"/>
          <w:b w:val="0"/>
          <w:sz w:val="32"/>
        </w:rPr>
        <w:t>七、《政府性基金预算财政拨款收入支出决算表》</w:t>
      </w:r>
    </w:p>
    <w:p w14:paraId="02B4BD7A">
      <w:pPr>
        <w:spacing w:line="240" w:lineRule="auto"/>
        <w:ind w:firstLine="640"/>
        <w:jc w:val="both"/>
      </w:pPr>
      <w:r>
        <w:rPr>
          <w:rFonts w:ascii="仿宋_GB2312" w:hAnsi="仿宋_GB2312" w:eastAsia="仿宋_GB2312"/>
          <w:b w:val="0"/>
          <w:sz w:val="32"/>
        </w:rPr>
        <w:t>八、《国有资本经营预算财政拨款收入支出决算表》</w:t>
      </w:r>
    </w:p>
    <w:p w14:paraId="1EE8498C">
      <w:pPr>
        <w:spacing w:line="240" w:lineRule="auto"/>
        <w:ind w:firstLine="640"/>
        <w:jc w:val="both"/>
      </w:pPr>
      <w:r>
        <w:rPr>
          <w:rFonts w:ascii="仿宋_GB2312" w:hAnsi="仿宋_GB2312" w:eastAsia="仿宋_GB2312"/>
          <w:b w:val="0"/>
          <w:sz w:val="32"/>
        </w:rPr>
        <w:t>九、《财政拨款“三公”经费支出决算表》</w:t>
      </w:r>
    </w:p>
    <w:p w14:paraId="4A03EC4A">
      <w:pPr>
        <w:spacing w:line="240" w:lineRule="auto"/>
        <w:ind w:firstLine="640"/>
        <w:jc w:val="both"/>
      </w:pPr>
    </w:p>
    <w:p w14:paraId="307CE539">
      <w:pPr>
        <w:spacing w:line="240" w:lineRule="auto"/>
        <w:ind w:firstLine="640"/>
        <w:jc w:val="both"/>
      </w:pPr>
    </w:p>
    <w:p w14:paraId="05ECC6E6">
      <w:pPr>
        <w:spacing w:line="240" w:lineRule="auto"/>
        <w:ind w:firstLine="640"/>
        <w:jc w:val="both"/>
      </w:pPr>
    </w:p>
    <w:p w14:paraId="4C3C4F04">
      <w:pPr>
        <w:spacing w:line="240" w:lineRule="auto"/>
        <w:ind w:firstLine="640"/>
        <w:jc w:val="both"/>
      </w:pPr>
    </w:p>
    <w:p w14:paraId="17BE326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DF924EE"/>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F97328"/>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5113</Words>
  <Characters>5771</Characters>
  <Lines>0</Lines>
  <Paragraphs>0</Paragraphs>
  <TotalTime>5</TotalTime>
  <ScaleCrop>false</ScaleCrop>
  <LinksUpToDate>false</LinksUpToDate>
  <CharactersWithSpaces>5779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2025-09-11T09:19:17Z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