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新疆巴音郭楞蒙古自治州商务局2024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038E433">
      <w:r>
        <w:br w:type="page"/>
      </w:r>
    </w:p>
    <w:p w14:paraId="310A68CB">
      <w:pPr>
        <w:spacing w:line="640" w:lineRule="exact"/>
        <w:jc w:val="center"/>
        <w:outlineLvl w:val="1"/>
      </w:pPr>
      <w:r>
        <w:rPr>
          <w:rFonts w:ascii="黑体" w:hAnsi="黑体" w:eastAsia="黑体"/>
          <w:sz w:val="32"/>
        </w:rPr>
        <w:t>第一部分 部门概况</w:t>
      </w:r>
    </w:p>
    <w:p w14:paraId="423DDDDD">
      <w:pPr>
        <w:spacing w:line="640" w:lineRule="exact"/>
        <w:ind w:firstLine="640"/>
        <w:jc w:val="both"/>
        <w:outlineLvl w:val="2"/>
      </w:pPr>
      <w:r>
        <w:rPr>
          <w:rFonts w:ascii="黑体" w:hAnsi="黑体" w:eastAsia="黑体"/>
          <w:sz w:val="32"/>
        </w:rPr>
        <w:t>一、主要职能</w:t>
      </w:r>
    </w:p>
    <w:p w14:paraId="5B290C61">
      <w:pPr>
        <w:spacing w:line="580" w:lineRule="exact"/>
        <w:ind w:firstLine="640"/>
        <w:jc w:val="both"/>
      </w:pPr>
      <w:r>
        <w:rPr>
          <w:rFonts w:ascii="仿宋_GB2312" w:hAnsi="仿宋_GB2312" w:eastAsia="仿宋_GB2312"/>
          <w:sz w:val="32"/>
        </w:rPr>
        <w:t>（1）贯彻执行国家国内贸易、国际经济合作发展战略和政策，拟定国内贸易、</w:t>
      </w:r>
      <w:r>
        <w:rPr>
          <w:rFonts w:hint="eastAsia" w:ascii="仿宋_GB2312" w:hAnsi="仿宋_GB2312" w:eastAsia="仿宋_GB2312"/>
          <w:sz w:val="32"/>
          <w:lang w:eastAsia="zh-CN"/>
        </w:rPr>
        <w:t>招</w:t>
      </w:r>
      <w:r>
        <w:rPr>
          <w:rFonts w:ascii="仿宋_GB2312" w:hAnsi="仿宋_GB2312" w:eastAsia="仿宋_GB2312"/>
          <w:sz w:val="32"/>
        </w:rPr>
        <w:t>商引资、对外经济合作、外商投资、对外投资和对外援助的有关政策措施并组织实施；研究拟定自治州商务领域有关政策并组织实施；贯彻“一带一路”“中巴经济走廊综合承载区”、区域经济合作、现代流通方式和流通体制改革方面的政策并提出相关建议。</w:t>
      </w:r>
    </w:p>
    <w:p w14:paraId="1CB7FD33">
      <w:pPr>
        <w:spacing w:line="580" w:lineRule="exact"/>
        <w:ind w:firstLine="640"/>
        <w:jc w:val="both"/>
      </w:pPr>
      <w:r>
        <w:rPr>
          <w:rFonts w:ascii="仿宋_GB2312" w:hAnsi="仿宋_GB2312" w:eastAsia="仿宋_GB2312"/>
          <w:sz w:val="32"/>
        </w:rPr>
        <w:t>（2）负责推进流通产业结构调整，指导流通企业改革、商贸服务业和社区商业发展。</w:t>
      </w:r>
    </w:p>
    <w:p w14:paraId="18DD9B6D">
      <w:pPr>
        <w:spacing w:line="580" w:lineRule="exact"/>
        <w:ind w:firstLine="640"/>
        <w:jc w:val="both"/>
      </w:pPr>
      <w:r>
        <w:rPr>
          <w:rFonts w:ascii="仿宋_GB2312" w:hAnsi="仿宋_GB2312" w:eastAsia="仿宋_GB2312"/>
          <w:sz w:val="32"/>
        </w:rPr>
        <w:t>（3）拟定全州贸易发展规划，促进城乡市场发展，执行引导国内外资金投向市场体系建设的政策，指导大宗产品批发市场规划和城市商业网点规划、商业体系建设工作，推进有关农村市场体系建设，组织实施农村现代化流通网络工程。</w:t>
      </w:r>
    </w:p>
    <w:p w14:paraId="56C389CC">
      <w:pPr>
        <w:spacing w:line="580" w:lineRule="exact"/>
        <w:ind w:firstLine="640"/>
        <w:jc w:val="both"/>
      </w:pPr>
      <w:r>
        <w:rPr>
          <w:rFonts w:ascii="仿宋_GB2312" w:hAnsi="仿宋_GB2312" w:eastAsia="仿宋_GB2312"/>
          <w:sz w:val="32"/>
        </w:rPr>
        <w:t>（4）承担牵头协调整顿和规范市场经济秩序工作责任。</w:t>
      </w:r>
    </w:p>
    <w:p w14:paraId="79172590">
      <w:pPr>
        <w:spacing w:line="580" w:lineRule="exact"/>
        <w:ind w:firstLine="640"/>
        <w:jc w:val="both"/>
      </w:pPr>
      <w:r>
        <w:rPr>
          <w:rFonts w:ascii="仿宋_GB2312" w:hAnsi="仿宋_GB2312" w:eastAsia="仿宋_GB2312"/>
          <w:sz w:val="32"/>
        </w:rPr>
        <w:t>（5）承担组织实施巴州重要消费品市场调控和重要生产资料流通管理责任。</w:t>
      </w:r>
    </w:p>
    <w:p w14:paraId="77400AB6">
      <w:pPr>
        <w:spacing w:line="580" w:lineRule="exact"/>
        <w:ind w:firstLine="640"/>
        <w:jc w:val="both"/>
      </w:pPr>
      <w:r>
        <w:rPr>
          <w:rFonts w:ascii="仿宋_GB2312" w:hAnsi="仿宋_GB2312" w:eastAsia="仿宋_GB2312"/>
          <w:sz w:val="32"/>
        </w:rPr>
        <w:t>（6）拟定和执行全州外贸进出口中长期发展战略和促进外贸发展方式转变的政策措施。</w:t>
      </w:r>
    </w:p>
    <w:p w14:paraId="17D0C624">
      <w:pPr>
        <w:spacing w:line="580" w:lineRule="exact"/>
        <w:ind w:firstLine="640"/>
        <w:jc w:val="both"/>
      </w:pPr>
      <w:r>
        <w:rPr>
          <w:rFonts w:ascii="仿宋_GB2312" w:hAnsi="仿宋_GB2312" w:eastAsia="仿宋_GB2312"/>
          <w:sz w:val="32"/>
        </w:rPr>
        <w:t>（7）组织实施国家对外技术贸易、出口管制以及鼓励技术和成套设备进出口的贸易政策，推进地方出口贸易标准化工作。</w:t>
      </w:r>
    </w:p>
    <w:p w14:paraId="64CC6C48">
      <w:pPr>
        <w:spacing w:line="580" w:lineRule="exact"/>
        <w:ind w:firstLine="640"/>
        <w:jc w:val="both"/>
      </w:pPr>
      <w:r>
        <w:rPr>
          <w:rFonts w:ascii="仿宋_GB2312" w:hAnsi="仿宋_GB2312" w:eastAsia="仿宋_GB2312"/>
          <w:sz w:val="32"/>
        </w:rPr>
        <w:t>（8）拟定服务贸易发展规划并开展相关工作。</w:t>
      </w:r>
    </w:p>
    <w:p w14:paraId="090009C8">
      <w:pPr>
        <w:spacing w:line="580" w:lineRule="exact"/>
        <w:ind w:firstLine="640"/>
        <w:jc w:val="both"/>
      </w:pPr>
      <w:r>
        <w:rPr>
          <w:rFonts w:ascii="仿宋_GB2312" w:hAnsi="仿宋_GB2312" w:eastAsia="仿宋_GB2312"/>
          <w:sz w:val="32"/>
        </w:rPr>
        <w:t>（9）贯彻执行国家有关边境贸易的各项政策并组织实施。</w:t>
      </w:r>
    </w:p>
    <w:p w14:paraId="715182AB">
      <w:pPr>
        <w:spacing w:line="580" w:lineRule="exact"/>
        <w:ind w:firstLine="640"/>
        <w:jc w:val="both"/>
      </w:pPr>
      <w:r>
        <w:rPr>
          <w:rFonts w:ascii="仿宋_GB2312" w:hAnsi="仿宋_GB2312" w:eastAsia="仿宋_GB2312"/>
          <w:sz w:val="32"/>
        </w:rPr>
        <w:t>（10）贯彻落实国家、自治区关于协调反倾销、反补贴、保障措施及其他与进出口公平贸易相关政策。</w:t>
      </w:r>
    </w:p>
    <w:p w14:paraId="641FA159">
      <w:pPr>
        <w:spacing w:line="580" w:lineRule="exact"/>
        <w:ind w:firstLine="640"/>
        <w:jc w:val="both"/>
      </w:pPr>
      <w:r>
        <w:rPr>
          <w:rFonts w:ascii="仿宋_GB2312" w:hAnsi="仿宋_GB2312" w:eastAsia="仿宋_GB2312"/>
          <w:sz w:val="32"/>
        </w:rPr>
        <w:t>（11）贯彻执行国家、自治区有关外商投资政策，推进和指导巴州外商投资工作。</w:t>
      </w:r>
    </w:p>
    <w:p w14:paraId="5DA6A1D3">
      <w:pPr>
        <w:spacing w:line="580" w:lineRule="exact"/>
        <w:ind w:firstLine="640"/>
        <w:jc w:val="both"/>
      </w:pPr>
      <w:r>
        <w:rPr>
          <w:rFonts w:ascii="仿宋_GB2312" w:hAnsi="仿宋_GB2312" w:eastAsia="仿宋_GB2312"/>
          <w:sz w:val="32"/>
        </w:rPr>
        <w:t>（12）负责巴州对外经济合作工作。</w:t>
      </w:r>
    </w:p>
    <w:p w14:paraId="109B6239">
      <w:pPr>
        <w:spacing w:line="580" w:lineRule="exact"/>
        <w:ind w:firstLine="640"/>
        <w:jc w:val="both"/>
      </w:pPr>
      <w:r>
        <w:rPr>
          <w:rFonts w:ascii="仿宋_GB2312" w:hAnsi="仿宋_GB2312" w:eastAsia="仿宋_GB2312"/>
          <w:sz w:val="32"/>
        </w:rPr>
        <w:t>（13）制定电子商务发展规划和政策措施并组织实施。</w:t>
      </w:r>
    </w:p>
    <w:p w14:paraId="7115F95A">
      <w:pPr>
        <w:spacing w:line="580" w:lineRule="exact"/>
        <w:ind w:firstLine="640"/>
        <w:jc w:val="both"/>
      </w:pPr>
      <w:r>
        <w:rPr>
          <w:rFonts w:ascii="仿宋_GB2312" w:hAnsi="仿宋_GB2312" w:eastAsia="仿宋_GB2312"/>
          <w:sz w:val="32"/>
        </w:rPr>
        <w:t>（14）研究起草、执行招招招招商引资方针政策，编制招招招招商引资发展规划和年度计划。</w:t>
      </w:r>
    </w:p>
    <w:p w14:paraId="035342D7">
      <w:pPr>
        <w:spacing w:line="580" w:lineRule="exact"/>
        <w:ind w:firstLine="640"/>
        <w:jc w:val="both"/>
      </w:pPr>
      <w:r>
        <w:rPr>
          <w:rFonts w:ascii="仿宋_GB2312" w:hAnsi="仿宋_GB2312" w:eastAsia="仿宋_GB2312"/>
          <w:sz w:val="32"/>
        </w:rPr>
        <w:t>（15）指导和管理巴州贸易投资促进工作；指导和组织全州参加各类商务领域交易会、洽谈会、博览会、展览会和有关招商活动等。指导和管理巴州商务系统协会、学会工作。</w:t>
      </w:r>
    </w:p>
    <w:p w14:paraId="218456F4">
      <w:pPr>
        <w:spacing w:line="640" w:lineRule="exact"/>
        <w:ind w:firstLine="640"/>
        <w:jc w:val="both"/>
        <w:outlineLvl w:val="2"/>
      </w:pPr>
      <w:r>
        <w:rPr>
          <w:rFonts w:ascii="黑体" w:hAnsi="黑体" w:eastAsia="黑体"/>
          <w:sz w:val="32"/>
        </w:rPr>
        <w:t>二、机构设置及人员情况</w:t>
      </w:r>
    </w:p>
    <w:p w14:paraId="22C1BBFA">
      <w:pPr>
        <w:spacing w:line="580" w:lineRule="exact"/>
        <w:ind w:firstLine="640"/>
        <w:jc w:val="both"/>
      </w:pPr>
      <w:r>
        <w:rPr>
          <w:rFonts w:ascii="仿宋_GB2312" w:hAnsi="仿宋_GB2312" w:eastAsia="仿宋_GB2312"/>
          <w:sz w:val="32"/>
        </w:rPr>
        <w:t>新疆巴音郭楞蒙古自治州商务局2024年度，实有人数47人，其中：在职人员22人，增加3人；离休人员0人，增加0人；退休人员25人,增加0人。</w:t>
      </w:r>
    </w:p>
    <w:p w14:paraId="099BEE0A">
      <w:pPr>
        <w:spacing w:line="580" w:lineRule="exact"/>
        <w:ind w:firstLine="640"/>
        <w:jc w:val="both"/>
      </w:pPr>
      <w:r>
        <w:rPr>
          <w:rFonts w:ascii="仿宋_GB2312" w:hAnsi="仿宋_GB2312" w:eastAsia="仿宋_GB2312"/>
          <w:sz w:val="32"/>
        </w:rPr>
        <w:t>新疆巴音郭楞蒙古自治州商务局无下属预算单位，下设6个科室，分别是：办公室、市场建设与流通发展科、外资外贸合作科、电子商务会展管理科、市场运行调节与秩序科、招商科。</w:t>
      </w:r>
    </w:p>
    <w:p w14:paraId="0DBE3803">
      <w:r>
        <w:br w:type="page"/>
      </w:r>
    </w:p>
    <w:p w14:paraId="771CD2AA">
      <w:pPr>
        <w:spacing w:line="240" w:lineRule="auto"/>
        <w:jc w:val="center"/>
        <w:outlineLvl w:val="1"/>
      </w:pPr>
      <w:r>
        <w:rPr>
          <w:rFonts w:ascii="黑体" w:hAnsi="黑体" w:eastAsia="黑体"/>
          <w:sz w:val="32"/>
        </w:rPr>
        <w:t>第二部分 部门决算情况说明</w:t>
      </w:r>
    </w:p>
    <w:p w14:paraId="6B5D43E3">
      <w:pPr>
        <w:spacing w:line="640" w:lineRule="exact"/>
        <w:ind w:firstLine="640"/>
        <w:jc w:val="both"/>
        <w:outlineLvl w:val="2"/>
      </w:pPr>
      <w:r>
        <w:rPr>
          <w:rFonts w:ascii="黑体" w:hAnsi="黑体" w:eastAsia="黑体"/>
          <w:sz w:val="32"/>
        </w:rPr>
        <w:t>一、收入支出决算总体情况说明</w:t>
      </w:r>
    </w:p>
    <w:p w14:paraId="0AAFA6FB">
      <w:pPr>
        <w:spacing w:line="580" w:lineRule="exact"/>
        <w:ind w:firstLine="640"/>
        <w:jc w:val="both"/>
      </w:pPr>
      <w:r>
        <w:rPr>
          <w:rFonts w:ascii="仿宋_GB2312" w:hAnsi="仿宋_GB2312" w:eastAsia="仿宋_GB2312"/>
          <w:b/>
          <w:sz w:val="32"/>
        </w:rPr>
        <w:t>2024年度收入总计14,729.72万元，</w:t>
      </w:r>
      <w:r>
        <w:rPr>
          <w:rFonts w:ascii="仿宋_GB2312" w:hAnsi="仿宋_GB2312" w:eastAsia="仿宋_GB2312"/>
          <w:b w:val="0"/>
          <w:sz w:val="32"/>
        </w:rPr>
        <w:t>其中：本年收入合计14,723.21万元，使用非财政拨款结余（含专用结余）0.00万元，年初结转和结余6.50万元。</w:t>
      </w:r>
    </w:p>
    <w:p w14:paraId="60282D46">
      <w:pPr>
        <w:spacing w:line="580" w:lineRule="exact"/>
        <w:ind w:firstLine="640"/>
        <w:jc w:val="both"/>
      </w:pPr>
      <w:r>
        <w:rPr>
          <w:rFonts w:ascii="仿宋_GB2312" w:hAnsi="仿宋_GB2312" w:eastAsia="仿宋_GB2312"/>
          <w:b/>
          <w:sz w:val="32"/>
        </w:rPr>
        <w:t>2024年度支出总计14,729.72万元，</w:t>
      </w:r>
      <w:r>
        <w:rPr>
          <w:rFonts w:ascii="仿宋_GB2312" w:hAnsi="仿宋_GB2312" w:eastAsia="仿宋_GB2312"/>
          <w:b w:val="0"/>
          <w:sz w:val="32"/>
        </w:rPr>
        <w:t>其中：本年支出合计14,723.21万元，结余分配0.00万元，年末结转和结余6.51万元。</w:t>
      </w:r>
    </w:p>
    <w:p w14:paraId="7107BDFA">
      <w:pPr>
        <w:spacing w:line="580" w:lineRule="exact"/>
        <w:ind w:firstLine="640"/>
        <w:jc w:val="both"/>
      </w:pPr>
      <w:r>
        <w:rPr>
          <w:rFonts w:ascii="仿宋_GB2312" w:hAnsi="仿宋_GB2312" w:eastAsia="仿宋_GB2312"/>
          <w:b w:val="0"/>
          <w:sz w:val="32"/>
        </w:rPr>
        <w:t>收入支出总体与上年相比，增加14,004.21万元，增长1,930.26%，主要原因是：本年增加自治区以旧换新州本级财政配套资金</w:t>
      </w:r>
      <w:r>
        <w:rPr>
          <w:rFonts w:hint="eastAsia" w:ascii="仿宋_GB2312" w:hAnsi="仿宋_GB2312" w:eastAsia="仿宋_GB2312"/>
          <w:b w:val="0"/>
          <w:sz w:val="32"/>
          <w:lang w:eastAsia="zh-CN"/>
        </w:rPr>
        <w:t>、</w:t>
      </w:r>
      <w:r>
        <w:rPr>
          <w:rFonts w:ascii="仿宋_GB2312" w:hAnsi="仿宋_GB2312" w:eastAsia="仿宋_GB2312"/>
          <w:b w:val="0"/>
          <w:sz w:val="32"/>
        </w:rPr>
        <w:t>招</w:t>
      </w:r>
      <w:r>
        <w:rPr>
          <w:rFonts w:hint="eastAsia" w:ascii="仿宋_GB2312" w:hAnsi="仿宋_GB2312" w:eastAsia="仿宋_GB2312"/>
          <w:b w:val="0"/>
          <w:sz w:val="32"/>
          <w:lang w:eastAsia="zh-CN"/>
        </w:rPr>
        <w:t>商引资</w:t>
      </w:r>
      <w:r>
        <w:rPr>
          <w:rFonts w:ascii="仿宋_GB2312" w:hAnsi="仿宋_GB2312" w:eastAsia="仿宋_GB2312"/>
          <w:b w:val="0"/>
          <w:sz w:val="32"/>
        </w:rPr>
        <w:t>培训费</w:t>
      </w:r>
      <w:r>
        <w:rPr>
          <w:rFonts w:hint="eastAsia" w:ascii="仿宋_GB2312" w:hAnsi="仿宋_GB2312" w:eastAsia="仿宋_GB2312"/>
          <w:b w:val="0"/>
          <w:sz w:val="32"/>
          <w:lang w:eastAsia="zh-CN"/>
        </w:rPr>
        <w:t>、</w:t>
      </w:r>
      <w:r>
        <w:rPr>
          <w:rFonts w:ascii="仿宋_GB2312" w:hAnsi="仿宋_GB2312" w:eastAsia="仿宋_GB2312"/>
          <w:b w:val="0"/>
          <w:sz w:val="32"/>
        </w:rPr>
        <w:t>消费品以旧换新活动项目资金。</w:t>
      </w:r>
    </w:p>
    <w:p w14:paraId="1BA3A1F0">
      <w:pPr>
        <w:spacing w:line="640" w:lineRule="exact"/>
        <w:ind w:firstLine="640"/>
        <w:jc w:val="both"/>
        <w:outlineLvl w:val="2"/>
      </w:pPr>
      <w:r>
        <w:rPr>
          <w:rFonts w:ascii="黑体" w:hAnsi="黑体" w:eastAsia="黑体"/>
          <w:sz w:val="32"/>
        </w:rPr>
        <w:t>二、收入决算情况说明</w:t>
      </w:r>
    </w:p>
    <w:p w14:paraId="260A648B">
      <w:pPr>
        <w:spacing w:line="580" w:lineRule="exact"/>
        <w:ind w:firstLine="640"/>
        <w:jc w:val="both"/>
      </w:pPr>
      <w:r>
        <w:rPr>
          <w:rFonts w:ascii="仿宋_GB2312" w:hAnsi="仿宋_GB2312" w:eastAsia="仿宋_GB2312"/>
          <w:b/>
          <w:sz w:val="32"/>
        </w:rPr>
        <w:t>本年收入14,723.21万元，</w:t>
      </w:r>
      <w:r>
        <w:rPr>
          <w:rFonts w:ascii="仿宋_GB2312" w:hAnsi="仿宋_GB2312" w:eastAsia="仿宋_GB2312"/>
          <w:b w:val="0"/>
          <w:sz w:val="32"/>
        </w:rPr>
        <w:t>其中：财政拨款收入14,528.71万元，占98.68%；上级补助收入0.00万元，占0.00%；事业收入0.00万元，占0.00%；经营收入0.00万元，占0.00%；附属单位上缴收入0.00万元，占0.00%；其他收入194.50万元，占1.32%。</w:t>
      </w:r>
    </w:p>
    <w:p w14:paraId="51D3CD5B">
      <w:pPr>
        <w:spacing w:line="640" w:lineRule="exact"/>
        <w:ind w:firstLine="640"/>
        <w:jc w:val="both"/>
        <w:outlineLvl w:val="2"/>
      </w:pPr>
      <w:r>
        <w:rPr>
          <w:rFonts w:ascii="黑体" w:hAnsi="黑体" w:eastAsia="黑体"/>
          <w:sz w:val="32"/>
        </w:rPr>
        <w:t>三、支出决算情况说明</w:t>
      </w:r>
    </w:p>
    <w:p w14:paraId="77442017">
      <w:pPr>
        <w:spacing w:line="580" w:lineRule="exact"/>
        <w:ind w:firstLine="640"/>
        <w:jc w:val="both"/>
      </w:pPr>
      <w:r>
        <w:rPr>
          <w:rFonts w:ascii="仿宋_GB2312" w:hAnsi="仿宋_GB2312" w:eastAsia="仿宋_GB2312"/>
          <w:b/>
          <w:sz w:val="32"/>
        </w:rPr>
        <w:t>本年支出14,723.21万元，</w:t>
      </w:r>
      <w:r>
        <w:rPr>
          <w:rFonts w:ascii="仿宋_GB2312" w:hAnsi="仿宋_GB2312" w:eastAsia="仿宋_GB2312"/>
          <w:b w:val="0"/>
          <w:sz w:val="32"/>
        </w:rPr>
        <w:t>其中：基本支出462.04万元，占3.14%；项目支出14,261.17万元，占96.86%；上缴上级支出0.00万元，占0.00%；经营支出0.00万元，占0.00%；对附属单位补助支出0.00万元，占0.00%。</w:t>
      </w:r>
    </w:p>
    <w:p w14:paraId="016446E9">
      <w:pPr>
        <w:spacing w:line="640" w:lineRule="exact"/>
        <w:ind w:firstLine="640"/>
        <w:jc w:val="both"/>
        <w:outlineLvl w:val="2"/>
      </w:pPr>
      <w:r>
        <w:rPr>
          <w:rFonts w:ascii="黑体" w:hAnsi="黑体" w:eastAsia="黑体"/>
          <w:sz w:val="32"/>
        </w:rPr>
        <w:t>四、财政拨款收入支出决算总体情况说明</w:t>
      </w:r>
    </w:p>
    <w:p w14:paraId="17478D10">
      <w:pPr>
        <w:spacing w:line="580" w:lineRule="exact"/>
        <w:ind w:firstLine="640"/>
        <w:jc w:val="both"/>
      </w:pPr>
      <w:r>
        <w:rPr>
          <w:rFonts w:ascii="仿宋_GB2312" w:hAnsi="仿宋_GB2312" w:eastAsia="仿宋_GB2312"/>
          <w:b/>
          <w:sz w:val="32"/>
        </w:rPr>
        <w:t>2024年度财政拨款收入总计14,528.71万元，</w:t>
      </w:r>
      <w:r>
        <w:rPr>
          <w:rFonts w:ascii="仿宋_GB2312" w:hAnsi="仿宋_GB2312" w:eastAsia="仿宋_GB2312"/>
          <w:b w:val="0"/>
          <w:sz w:val="32"/>
        </w:rPr>
        <w:t>其中：年初财政拨款结转和结余0.00万元，本年财政拨款收入14,528.71万元。</w:t>
      </w:r>
      <w:r>
        <w:rPr>
          <w:rFonts w:ascii="仿宋_GB2312" w:hAnsi="仿宋_GB2312" w:eastAsia="仿宋_GB2312"/>
          <w:b/>
          <w:sz w:val="32"/>
        </w:rPr>
        <w:t>财政拨款支出总计14,528.71万元，</w:t>
      </w:r>
      <w:r>
        <w:rPr>
          <w:rFonts w:ascii="仿宋_GB2312" w:hAnsi="仿宋_GB2312" w:eastAsia="仿宋_GB2312"/>
          <w:b w:val="0"/>
          <w:sz w:val="32"/>
        </w:rPr>
        <w:t>其中：年末财政拨款结转和结余0.00万元，本年财政拨款支出14,528.71万元。</w:t>
      </w:r>
    </w:p>
    <w:p w14:paraId="70DBE0E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增加13,834.71万元，增长1,993.47%，主要原因是：本年增加自治区以旧换新州本级财政配套资金</w:t>
      </w:r>
      <w:r>
        <w:rPr>
          <w:rFonts w:hint="eastAsia" w:ascii="仿宋_GB2312" w:hAnsi="仿宋_GB2312" w:eastAsia="仿宋_GB2312"/>
          <w:b w:val="0"/>
          <w:sz w:val="32"/>
          <w:lang w:eastAsia="zh-CN"/>
        </w:rPr>
        <w:t>、</w:t>
      </w:r>
      <w:r>
        <w:rPr>
          <w:rFonts w:ascii="仿宋_GB2312" w:hAnsi="仿宋_GB2312" w:eastAsia="仿宋_GB2312"/>
          <w:b w:val="0"/>
          <w:sz w:val="32"/>
        </w:rPr>
        <w:t>招</w:t>
      </w:r>
      <w:r>
        <w:rPr>
          <w:rFonts w:hint="eastAsia" w:ascii="仿宋_GB2312" w:hAnsi="仿宋_GB2312" w:eastAsia="仿宋_GB2312"/>
          <w:b w:val="0"/>
          <w:sz w:val="32"/>
          <w:lang w:eastAsia="zh-CN"/>
        </w:rPr>
        <w:t>商引资</w:t>
      </w:r>
      <w:r>
        <w:rPr>
          <w:rFonts w:ascii="仿宋_GB2312" w:hAnsi="仿宋_GB2312" w:eastAsia="仿宋_GB2312"/>
          <w:b w:val="0"/>
          <w:sz w:val="32"/>
        </w:rPr>
        <w:t>培训费</w:t>
      </w:r>
      <w:r>
        <w:rPr>
          <w:rFonts w:hint="eastAsia" w:ascii="仿宋_GB2312" w:hAnsi="仿宋_GB2312" w:eastAsia="仿宋_GB2312"/>
          <w:b w:val="0"/>
          <w:sz w:val="32"/>
          <w:lang w:eastAsia="zh-CN"/>
        </w:rPr>
        <w:t>、</w:t>
      </w:r>
      <w:r>
        <w:rPr>
          <w:rFonts w:ascii="仿宋_GB2312" w:hAnsi="仿宋_GB2312" w:eastAsia="仿宋_GB2312"/>
          <w:b w:val="0"/>
          <w:sz w:val="32"/>
        </w:rPr>
        <w:t>消费品以旧换新活动项目资金。</w:t>
      </w:r>
      <w:r>
        <w:rPr>
          <w:rFonts w:ascii="仿宋_GB2312" w:hAnsi="仿宋_GB2312" w:eastAsia="仿宋_GB2312"/>
          <w:b/>
          <w:sz w:val="32"/>
        </w:rPr>
        <w:t>与年初预算相比，</w:t>
      </w:r>
      <w:r>
        <w:rPr>
          <w:rFonts w:ascii="仿宋_GB2312" w:hAnsi="仿宋_GB2312" w:eastAsia="仿宋_GB2312"/>
          <w:b w:val="0"/>
          <w:sz w:val="32"/>
        </w:rPr>
        <w:t>年初预算数715.73万元，决算数14,528.71万元，预决算差异率1929.91%，主要原因是：年中追加以旧换新补助资金，导致预决算存在差异。</w:t>
      </w:r>
    </w:p>
    <w:p w14:paraId="4D299189">
      <w:pPr>
        <w:spacing w:line="640" w:lineRule="exact"/>
        <w:ind w:firstLine="640"/>
        <w:jc w:val="both"/>
        <w:outlineLvl w:val="2"/>
      </w:pPr>
      <w:r>
        <w:rPr>
          <w:rFonts w:ascii="黑体" w:hAnsi="黑体" w:eastAsia="黑体"/>
          <w:sz w:val="32"/>
        </w:rPr>
        <w:t>五、一般公共预算财政拨款支出决算情况说明</w:t>
      </w:r>
    </w:p>
    <w:p w14:paraId="3DD9E4B9">
      <w:pPr>
        <w:spacing w:line="640" w:lineRule="exact"/>
        <w:ind w:firstLine="640"/>
        <w:jc w:val="both"/>
        <w:outlineLvl w:val="3"/>
      </w:pPr>
      <w:r>
        <w:rPr>
          <w:rFonts w:ascii="楷体_GB2312" w:hAnsi="楷体_GB2312" w:eastAsia="楷体_GB2312"/>
          <w:b/>
          <w:sz w:val="32"/>
        </w:rPr>
        <w:t>（一）一般公共预算财政拨款支出决算总体情况</w:t>
      </w:r>
    </w:p>
    <w:p w14:paraId="210309B5">
      <w:pPr>
        <w:spacing w:line="580" w:lineRule="exact"/>
        <w:ind w:firstLine="640"/>
        <w:jc w:val="both"/>
      </w:pPr>
      <w:r>
        <w:rPr>
          <w:rFonts w:ascii="仿宋_GB2312" w:hAnsi="仿宋_GB2312" w:eastAsia="仿宋_GB2312"/>
          <w:b/>
          <w:sz w:val="32"/>
        </w:rPr>
        <w:t>2024年度一般公共预算财政拨款支出2,876.82万元，</w:t>
      </w:r>
      <w:r>
        <w:rPr>
          <w:rFonts w:ascii="仿宋_GB2312" w:hAnsi="仿宋_GB2312" w:eastAsia="仿宋_GB2312"/>
          <w:b w:val="0"/>
          <w:sz w:val="32"/>
        </w:rPr>
        <w:t>占本年支出合计的19.54%。</w:t>
      </w:r>
      <w:r>
        <w:rPr>
          <w:rFonts w:ascii="仿宋_GB2312" w:hAnsi="仿宋_GB2312" w:eastAsia="仿宋_GB2312"/>
          <w:b/>
          <w:sz w:val="32"/>
        </w:rPr>
        <w:t>与上年相比，</w:t>
      </w:r>
      <w:r>
        <w:rPr>
          <w:rFonts w:ascii="仿宋_GB2312" w:hAnsi="仿宋_GB2312" w:eastAsia="仿宋_GB2312"/>
          <w:b w:val="0"/>
          <w:sz w:val="32"/>
        </w:rPr>
        <w:t>增加2,182.82万元，增长314.53%，主要原因是：本年增加自治州“十五五”规划前期重大研究课题经费</w:t>
      </w:r>
      <w:r>
        <w:rPr>
          <w:rFonts w:hint="eastAsia" w:ascii="仿宋_GB2312" w:hAnsi="仿宋_GB2312" w:eastAsia="仿宋_GB2312"/>
          <w:b w:val="0"/>
          <w:sz w:val="32"/>
          <w:lang w:eastAsia="zh-CN"/>
        </w:rPr>
        <w:t>、</w:t>
      </w:r>
      <w:r>
        <w:rPr>
          <w:rFonts w:ascii="仿宋_GB2312" w:hAnsi="仿宋_GB2312" w:eastAsia="仿宋_GB2312"/>
          <w:b w:val="0"/>
          <w:sz w:val="32"/>
        </w:rPr>
        <w:t>招商引资培训费</w:t>
      </w:r>
      <w:bookmarkStart w:id="0" w:name="_GoBack"/>
      <w:bookmarkEnd w:id="0"/>
      <w:r>
        <w:rPr>
          <w:rFonts w:ascii="仿宋_GB2312" w:hAnsi="仿宋_GB2312" w:eastAsia="仿宋_GB2312"/>
          <w:b w:val="0"/>
          <w:sz w:val="32"/>
        </w:rPr>
        <w:t>；本年新增消费品以旧换新活动项目资金。</w:t>
      </w:r>
      <w:r>
        <w:rPr>
          <w:rFonts w:ascii="仿宋_GB2312" w:hAnsi="仿宋_GB2312" w:eastAsia="仿宋_GB2312"/>
          <w:b/>
          <w:sz w:val="32"/>
        </w:rPr>
        <w:t>与年初预算相比,</w:t>
      </w:r>
      <w:r>
        <w:rPr>
          <w:rFonts w:ascii="仿宋_GB2312" w:hAnsi="仿宋_GB2312" w:eastAsia="仿宋_GB2312"/>
          <w:b w:val="0"/>
          <w:sz w:val="32"/>
        </w:rPr>
        <w:t>年初预算数715.73万元，决算数2,876.82万元，预决算差异率301.94%，主要原因是：年中</w:t>
      </w:r>
      <w:r>
        <w:rPr>
          <w:rFonts w:hint="eastAsia" w:ascii="仿宋_GB2312" w:hAnsi="仿宋_GB2312" w:eastAsia="仿宋_GB2312"/>
          <w:b w:val="0"/>
          <w:sz w:val="32"/>
          <w:lang w:val="en-US" w:eastAsia="zh-CN"/>
        </w:rPr>
        <w:t>追加</w:t>
      </w:r>
      <w:r>
        <w:rPr>
          <w:rFonts w:ascii="仿宋_GB2312" w:hAnsi="仿宋_GB2312" w:eastAsia="仿宋_GB2312"/>
          <w:b w:val="0"/>
          <w:sz w:val="32"/>
        </w:rPr>
        <w:t>消费品以旧换新活动项目资金，导致预决算存在差异。</w:t>
      </w:r>
    </w:p>
    <w:p w14:paraId="284DCBFD">
      <w:pPr>
        <w:spacing w:line="640" w:lineRule="exact"/>
        <w:ind w:firstLine="640"/>
        <w:jc w:val="both"/>
        <w:outlineLvl w:val="3"/>
      </w:pPr>
      <w:r>
        <w:rPr>
          <w:rFonts w:ascii="楷体_GB2312" w:hAnsi="楷体_GB2312" w:eastAsia="楷体_GB2312"/>
          <w:b/>
          <w:sz w:val="32"/>
        </w:rPr>
        <w:t>（二）一般公共预算财政拨款支出决算结构情况</w:t>
      </w:r>
    </w:p>
    <w:p w14:paraId="401F5DBA">
      <w:pPr>
        <w:spacing w:line="580" w:lineRule="exact"/>
        <w:ind w:firstLine="640"/>
        <w:jc w:val="both"/>
      </w:pPr>
      <w:r>
        <w:rPr>
          <w:rFonts w:ascii="仿宋_GB2312" w:hAnsi="仿宋_GB2312" w:eastAsia="仿宋_GB2312"/>
          <w:b w:val="0"/>
          <w:sz w:val="32"/>
        </w:rPr>
        <w:t>1.一般公共服务支出(类)626.34万元,占21.77%。</w:t>
      </w:r>
    </w:p>
    <w:p w14:paraId="35D3C886">
      <w:pPr>
        <w:spacing w:line="580" w:lineRule="exact"/>
        <w:ind w:firstLine="640"/>
        <w:jc w:val="both"/>
      </w:pPr>
      <w:r>
        <w:rPr>
          <w:rFonts w:ascii="仿宋_GB2312" w:hAnsi="仿宋_GB2312" w:eastAsia="仿宋_GB2312"/>
          <w:b w:val="0"/>
          <w:sz w:val="32"/>
        </w:rPr>
        <w:t>2.教育支出(类)1.30万元,占0.05%。</w:t>
      </w:r>
    </w:p>
    <w:p w14:paraId="6539917A">
      <w:pPr>
        <w:spacing w:line="580" w:lineRule="exact"/>
        <w:ind w:firstLine="640"/>
        <w:jc w:val="both"/>
      </w:pPr>
      <w:r>
        <w:rPr>
          <w:rFonts w:ascii="仿宋_GB2312" w:hAnsi="仿宋_GB2312" w:eastAsia="仿宋_GB2312"/>
          <w:b w:val="0"/>
          <w:sz w:val="32"/>
        </w:rPr>
        <w:t>3.社会保障和就业支出(类)66.05万元,占2.30%。</w:t>
      </w:r>
    </w:p>
    <w:p w14:paraId="1673FCBD">
      <w:pPr>
        <w:spacing w:line="580" w:lineRule="exact"/>
        <w:ind w:firstLine="640"/>
        <w:jc w:val="both"/>
      </w:pPr>
      <w:r>
        <w:rPr>
          <w:rFonts w:ascii="仿宋_GB2312" w:hAnsi="仿宋_GB2312" w:eastAsia="仿宋_GB2312"/>
          <w:b w:val="0"/>
          <w:sz w:val="32"/>
        </w:rPr>
        <w:t>4.卫生健康支出(类)23.04万元,占0.80%。</w:t>
      </w:r>
    </w:p>
    <w:p w14:paraId="7FCB9F4E">
      <w:pPr>
        <w:spacing w:line="580" w:lineRule="exact"/>
        <w:ind w:firstLine="640"/>
        <w:jc w:val="both"/>
      </w:pPr>
      <w:r>
        <w:rPr>
          <w:rFonts w:ascii="仿宋_GB2312" w:hAnsi="仿宋_GB2312" w:eastAsia="仿宋_GB2312"/>
          <w:b w:val="0"/>
          <w:sz w:val="32"/>
        </w:rPr>
        <w:t>5.商业服务业等支出(类)2,131.49万元,占74.09%。</w:t>
      </w:r>
    </w:p>
    <w:p w14:paraId="2D5277AF">
      <w:pPr>
        <w:spacing w:line="580" w:lineRule="exact"/>
        <w:ind w:firstLine="640"/>
        <w:jc w:val="both"/>
      </w:pPr>
      <w:r>
        <w:rPr>
          <w:rFonts w:ascii="仿宋_GB2312" w:hAnsi="仿宋_GB2312" w:eastAsia="仿宋_GB2312"/>
          <w:b w:val="0"/>
          <w:sz w:val="32"/>
        </w:rPr>
        <w:t>6.住房保障支出(类)28.60万元,占0.99%。</w:t>
      </w:r>
    </w:p>
    <w:p w14:paraId="33FEF98C">
      <w:pPr>
        <w:spacing w:line="640" w:lineRule="exact"/>
        <w:ind w:firstLine="640"/>
        <w:jc w:val="both"/>
        <w:outlineLvl w:val="3"/>
      </w:pPr>
      <w:r>
        <w:rPr>
          <w:rFonts w:ascii="楷体_GB2312" w:hAnsi="楷体_GB2312" w:eastAsia="楷体_GB2312"/>
          <w:b/>
          <w:sz w:val="32"/>
        </w:rPr>
        <w:t>（三）一般公共预算财政拨款支出决算具体情况</w:t>
      </w:r>
    </w:p>
    <w:p w14:paraId="17D27F33">
      <w:pPr>
        <w:spacing w:line="580" w:lineRule="exact"/>
        <w:ind w:firstLine="640"/>
        <w:jc w:val="both"/>
      </w:pPr>
      <w:r>
        <w:rPr>
          <w:rFonts w:ascii="仿宋_GB2312" w:hAnsi="仿宋_GB2312" w:eastAsia="仿宋_GB2312"/>
          <w:b w:val="0"/>
          <w:sz w:val="32"/>
        </w:rPr>
        <w:t>1.一般公共服务支出(类)发展与改革事务(款)社会事业发展规划(项):支出决算数为10.00万元，比上年决算增加10.00万元，增长100.00%,主要原因是：本年增加自治州“十五五”规划前期重大研究课题经费。</w:t>
      </w:r>
    </w:p>
    <w:p w14:paraId="447D5164">
      <w:pPr>
        <w:spacing w:line="580" w:lineRule="exact"/>
        <w:ind w:firstLine="640"/>
        <w:jc w:val="both"/>
      </w:pPr>
      <w:r>
        <w:rPr>
          <w:rFonts w:ascii="仿宋_GB2312" w:hAnsi="仿宋_GB2312" w:eastAsia="仿宋_GB2312"/>
          <w:b w:val="0"/>
          <w:sz w:val="32"/>
        </w:rPr>
        <w:t>2.一般公共服务支出(类)商贸事务(款)行政运行(项):支出决算数为306.35万元，比上年决算减少27.93万元，下降8.36%,主要原因是：本年在职人员调入调出，人员职级不同，工资基数不同，导致人员经费较上年减少。</w:t>
      </w:r>
    </w:p>
    <w:p w14:paraId="02968D4A">
      <w:pPr>
        <w:spacing w:line="580" w:lineRule="exact"/>
        <w:ind w:firstLine="640"/>
        <w:jc w:val="both"/>
      </w:pPr>
      <w:r>
        <w:rPr>
          <w:rFonts w:ascii="仿宋_GB2312" w:hAnsi="仿宋_GB2312" w:eastAsia="仿宋_GB2312"/>
          <w:b w:val="0"/>
          <w:sz w:val="32"/>
        </w:rPr>
        <w:t>3.一般公共服务支出(类)商贸事务(款)招商引资(项):支出决算数为278.79万元，比上年决算增加63.69万元，增长29.61%,主要原因是：本年招商引资培训费增加。</w:t>
      </w:r>
    </w:p>
    <w:p w14:paraId="53A5D2C3">
      <w:pPr>
        <w:spacing w:line="580" w:lineRule="exact"/>
        <w:ind w:firstLine="640"/>
        <w:jc w:val="both"/>
      </w:pPr>
      <w:r>
        <w:rPr>
          <w:rFonts w:ascii="仿宋_GB2312" w:hAnsi="仿宋_GB2312" w:eastAsia="仿宋_GB2312"/>
          <w:b w:val="0"/>
          <w:sz w:val="32"/>
        </w:rPr>
        <w:t>4.一般公共服务支出(类)商贸事务(款)事业运行(项):支出决算数为31.21万元，比上年决算增加6.57万元，增长26.66%,主要原因是：本年新增在职人员，人员经费增加，导致经费较上年有所增加。</w:t>
      </w:r>
    </w:p>
    <w:p w14:paraId="21E3DD1B">
      <w:pPr>
        <w:spacing w:line="580" w:lineRule="exact"/>
        <w:ind w:firstLine="640"/>
        <w:jc w:val="both"/>
      </w:pPr>
      <w:r>
        <w:rPr>
          <w:rFonts w:ascii="仿宋_GB2312" w:hAnsi="仿宋_GB2312" w:eastAsia="仿宋_GB2312"/>
          <w:b w:val="0"/>
          <w:sz w:val="32"/>
        </w:rPr>
        <w:t>5.教育支出(类)进修及培训(款)培训支出(项):支出决算数为1.30万元，比上年决算增加1.30万元，增长100.00%,主要原因是：本年培训次数增加，增加培训费支出。</w:t>
      </w:r>
    </w:p>
    <w:p w14:paraId="747B8D8B">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6.社会保障和就业支出(类)行政事业单位养老支出(款)行政单位离退休(项):支出决算数为28.77万元，比上年决算增加6.82万元，增长31.07%,主要原因是：本年增加退休人员基础绩效奖，退休费支出增加。</w:t>
      </w:r>
    </w:p>
    <w:p w14:paraId="4C2810BE">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37.27万元，比上年决算增加2.33万元，增长6.67%,主要原因是：本年在职人员工资基数调增，养老缴费基数上涨，相应支出增加。</w:t>
      </w:r>
    </w:p>
    <w:p w14:paraId="06C5FB90">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0.00万元，比上年决算减少15.55万元，下降100.00%,主要原因是：本年无新增退休人员，职业年金缴费较上年减少。</w:t>
      </w:r>
    </w:p>
    <w:p w14:paraId="644A15DB">
      <w:pPr>
        <w:spacing w:line="580" w:lineRule="exact"/>
        <w:ind w:firstLine="640"/>
        <w:jc w:val="both"/>
      </w:pPr>
      <w:r>
        <w:rPr>
          <w:rFonts w:ascii="仿宋_GB2312" w:hAnsi="仿宋_GB2312" w:eastAsia="仿宋_GB2312"/>
          <w:b w:val="0"/>
          <w:sz w:val="32"/>
        </w:rPr>
        <w:t>9.卫生健康支出(类)行政事业单位医疗(款)行政单位医疗(项):支出决算数为14.92万元，比上年决算增加1.04万元，增长7.49%,主要原因是：本年在职人员工资基数调增，医疗缴费基数上涨，相应支出增加。</w:t>
      </w:r>
    </w:p>
    <w:p w14:paraId="78C98985">
      <w:pPr>
        <w:spacing w:line="580" w:lineRule="exact"/>
        <w:ind w:firstLine="640"/>
        <w:jc w:val="both"/>
      </w:pPr>
      <w:r>
        <w:rPr>
          <w:rFonts w:ascii="仿宋_GB2312" w:hAnsi="仿宋_GB2312" w:eastAsia="仿宋_GB2312"/>
          <w:b w:val="0"/>
          <w:sz w:val="32"/>
        </w:rPr>
        <w:t>10.卫生健康支出(类)行政事业单位医疗(款)事业单位医疗(项):支出决算数为1.97万元，比上年决算增加0.56万元，增长39.72%,主要原因是：本年在职人员工资基数调增，医疗缴费基数上涨，相应支出增加。</w:t>
      </w:r>
    </w:p>
    <w:p w14:paraId="35CC8F0B">
      <w:pPr>
        <w:spacing w:line="580" w:lineRule="exact"/>
        <w:ind w:firstLine="640"/>
        <w:jc w:val="both"/>
      </w:pPr>
      <w:r>
        <w:rPr>
          <w:rFonts w:ascii="仿宋_GB2312" w:hAnsi="仿宋_GB2312" w:eastAsia="仿宋_GB2312"/>
          <w:b w:val="0"/>
          <w:sz w:val="32"/>
        </w:rPr>
        <w:t>11.卫生健康支出(类)行政事业单位医疗(款)公务员医疗补助(项):支出决算数为5.57万元，比上年决算减少0.38万元，下降6.39%,主要原因是：本年在职人员调入调出，人员职级不同，缴费基数不同，导致公务员医疗补助较上年减少。</w:t>
      </w:r>
    </w:p>
    <w:p w14:paraId="678E961B">
      <w:pPr>
        <w:spacing w:line="580" w:lineRule="exact"/>
        <w:ind w:firstLine="640"/>
        <w:jc w:val="both"/>
      </w:pPr>
      <w:r>
        <w:rPr>
          <w:rFonts w:ascii="仿宋_GB2312" w:hAnsi="仿宋_GB2312" w:eastAsia="仿宋_GB2312"/>
          <w:b w:val="0"/>
          <w:sz w:val="32"/>
        </w:rPr>
        <w:t>12.卫生健康支出(类)行政事业单位医疗(款)其他行政事业单位医疗支出(项):支出决算数为0.58万元，比上年决算减少0.50万元，下降46.30%,主要原因是：本年在职人员调入调出，人员职级不同，缴费基数不同，导致其他行政事业单位医疗较上年减少。</w:t>
      </w:r>
    </w:p>
    <w:p w14:paraId="1D2B27BD">
      <w:pPr>
        <w:spacing w:line="580" w:lineRule="exact"/>
        <w:ind w:firstLine="640"/>
        <w:jc w:val="both"/>
      </w:pPr>
      <w:r>
        <w:rPr>
          <w:rFonts w:ascii="仿宋_GB2312" w:hAnsi="仿宋_GB2312" w:eastAsia="仿宋_GB2312"/>
          <w:b w:val="0"/>
          <w:sz w:val="32"/>
        </w:rPr>
        <w:t>13.商业服务业等支出(类)商业流通事务(款)其他商业流通事务支出(项):支出决算数为2,131.49万元，比上年决算增加2,131.49万元，增长100.00%,主要原因是：本年度新增消费品以旧换新活动项目资金。</w:t>
      </w:r>
    </w:p>
    <w:p w14:paraId="7C4BE506">
      <w:pPr>
        <w:spacing w:line="580" w:lineRule="exact"/>
        <w:ind w:firstLine="640"/>
        <w:jc w:val="both"/>
      </w:pPr>
      <w:r>
        <w:rPr>
          <w:rFonts w:ascii="仿宋_GB2312" w:hAnsi="仿宋_GB2312" w:eastAsia="仿宋_GB2312"/>
          <w:b w:val="0"/>
          <w:sz w:val="32"/>
        </w:rPr>
        <w:t>14.住房保障支出(类)住房改革支出(款)住房公积金(项):支出决算数为28.60万元，比上年决算增加3.37万元，增长13.36%,主要原因是：本年在职人员工资基数调增，公积金缴费基数上涨，相应支出增加。</w:t>
      </w:r>
    </w:p>
    <w:p w14:paraId="68D4F213">
      <w:pPr>
        <w:spacing w:line="640" w:lineRule="exact"/>
        <w:ind w:firstLine="640"/>
        <w:jc w:val="both"/>
        <w:outlineLvl w:val="2"/>
      </w:pPr>
      <w:r>
        <w:rPr>
          <w:rFonts w:ascii="黑体" w:hAnsi="黑体" w:eastAsia="黑体"/>
          <w:sz w:val="32"/>
        </w:rPr>
        <w:t>六、一般公共预算财政拨款基本支出决算情况说明</w:t>
      </w:r>
    </w:p>
    <w:p w14:paraId="0E7F48E5">
      <w:pPr>
        <w:spacing w:line="580" w:lineRule="exact"/>
        <w:ind w:firstLine="640"/>
        <w:jc w:val="both"/>
      </w:pPr>
      <w:r>
        <w:rPr>
          <w:rFonts w:ascii="仿宋_GB2312" w:hAnsi="仿宋_GB2312" w:eastAsia="仿宋_GB2312"/>
          <w:b w:val="0"/>
          <w:sz w:val="32"/>
        </w:rPr>
        <w:t>2024年度一般公共预算财政拨款基本支出456.54万元，其中：</w:t>
      </w:r>
      <w:r>
        <w:rPr>
          <w:rFonts w:ascii="仿宋_GB2312" w:hAnsi="仿宋_GB2312" w:eastAsia="仿宋_GB2312"/>
          <w:b/>
          <w:sz w:val="32"/>
        </w:rPr>
        <w:t>人员经费395.30万元，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包括：基本工资、津贴补贴、奖金、机关事业单位基本养老保险缴费、职工基本医疗保险缴费、公务员医疗补助缴费、其他社会保障缴费、住房公积金、其他工资福利支出、退休费、生活补助、奖励金。</w:t>
      </w:r>
    </w:p>
    <w:p w14:paraId="1D1AF0F3">
      <w:pPr>
        <w:spacing w:line="580" w:lineRule="exact"/>
        <w:ind w:firstLine="640"/>
        <w:jc w:val="both"/>
      </w:pPr>
      <w:r>
        <w:rPr>
          <w:rFonts w:ascii="仿宋_GB2312" w:hAnsi="仿宋_GB2312" w:eastAsia="仿宋_GB2312"/>
          <w:b/>
          <w:sz w:val="32"/>
        </w:rPr>
        <w:t>公用经费61.24万元，</w:t>
      </w:r>
      <w:r>
        <w:rPr>
          <w:rFonts w:ascii="仿宋_GB2312" w:hAnsi="仿宋_GB2312" w:eastAsia="仿宋_GB2312"/>
          <w:b w:val="0"/>
          <w:sz w:val="32"/>
        </w:rPr>
        <w:t>包括：办公费、电费、物业管理费、差旅费、维修（护）费、租赁费、培训费、劳务费、工会经费、福利费、公务用车运行维护费、其他商品和服务支出。</w:t>
      </w:r>
    </w:p>
    <w:p w14:paraId="369A1DFB">
      <w:pPr>
        <w:spacing w:line="640" w:lineRule="exact"/>
        <w:ind w:firstLine="640"/>
        <w:jc w:val="both"/>
        <w:outlineLvl w:val="2"/>
      </w:pPr>
      <w:r>
        <w:rPr>
          <w:rFonts w:ascii="黑体" w:hAnsi="黑体" w:eastAsia="黑体"/>
          <w:sz w:val="32"/>
        </w:rPr>
        <w:t>七、政府性基金预算财政拨款收入支出决算情况说明</w:t>
      </w:r>
    </w:p>
    <w:p w14:paraId="3D2D848D">
      <w:pPr>
        <w:spacing w:line="580" w:lineRule="exact"/>
        <w:ind w:firstLine="640"/>
        <w:jc w:val="both"/>
      </w:pPr>
      <w:r>
        <w:rPr>
          <w:rFonts w:ascii="仿宋_GB2312" w:hAnsi="仿宋_GB2312" w:eastAsia="仿宋_GB2312"/>
          <w:b/>
          <w:sz w:val="32"/>
        </w:rPr>
        <w:t>2024年度政府性基金预算财政拨款收入总计11,651.89万元，</w:t>
      </w:r>
      <w:r>
        <w:rPr>
          <w:rFonts w:ascii="仿宋_GB2312" w:hAnsi="仿宋_GB2312" w:eastAsia="仿宋_GB2312"/>
          <w:b w:val="0"/>
          <w:sz w:val="32"/>
        </w:rPr>
        <w:t>其中：年初结转和结余0.00万元，本年收入11,651.89万元。</w:t>
      </w:r>
      <w:r>
        <w:rPr>
          <w:rFonts w:ascii="仿宋_GB2312" w:hAnsi="仿宋_GB2312" w:eastAsia="仿宋_GB2312"/>
          <w:b/>
          <w:sz w:val="32"/>
        </w:rPr>
        <w:t>政府性基金预算财政拨款支出总计11,651.89万元，</w:t>
      </w:r>
      <w:r>
        <w:rPr>
          <w:rFonts w:ascii="仿宋_GB2312" w:hAnsi="仿宋_GB2312" w:eastAsia="仿宋_GB2312"/>
          <w:b w:val="0"/>
          <w:sz w:val="32"/>
        </w:rPr>
        <w:t>其中：年末结转和结余0.00万元，本年支出11,651.89万元。</w:t>
      </w:r>
    </w:p>
    <w:p w14:paraId="57774205">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增加11,651.89万元，增长100.00%，主要原因是：本年增加超长期特别国债支持消费品领域以旧换新支出</w:t>
      </w:r>
      <w:r>
        <w:rPr>
          <w:rFonts w:hint="eastAsia" w:ascii="仿宋_GB2312" w:hAnsi="仿宋_GB2312" w:eastAsia="仿宋_GB2312"/>
          <w:b w:val="0"/>
          <w:sz w:val="32"/>
          <w:lang w:eastAsia="zh-CN"/>
        </w:rPr>
        <w:t>－</w:t>
      </w:r>
      <w:r>
        <w:rPr>
          <w:rFonts w:ascii="仿宋_GB2312" w:hAnsi="仿宋_GB2312" w:eastAsia="仿宋_GB2312"/>
          <w:b w:val="0"/>
          <w:sz w:val="32"/>
        </w:rPr>
        <w:t>对个人购买或置换汽车、家电、电动车95%的中央补贴资金。</w:t>
      </w:r>
      <w:r>
        <w:rPr>
          <w:rFonts w:ascii="仿宋_GB2312" w:hAnsi="仿宋_GB2312" w:eastAsia="仿宋_GB2312"/>
          <w:b/>
          <w:sz w:val="32"/>
        </w:rPr>
        <w:t>与年初预算相比，</w:t>
      </w:r>
      <w:r>
        <w:rPr>
          <w:rFonts w:ascii="仿宋_GB2312" w:hAnsi="仿宋_GB2312" w:eastAsia="仿宋_GB2312"/>
          <w:b w:val="0"/>
          <w:sz w:val="32"/>
        </w:rPr>
        <w:t>年初预算数0.00万元，决算数11,651.89万元，预决算差异率100.00%，主要原因是：年中追加超长期特别国债支持消费品领域以旧换新支出</w:t>
      </w:r>
      <w:r>
        <w:rPr>
          <w:rFonts w:hint="eastAsia" w:ascii="仿宋_GB2312" w:hAnsi="仿宋_GB2312" w:eastAsia="仿宋_GB2312"/>
          <w:b w:val="0"/>
          <w:sz w:val="32"/>
          <w:lang w:eastAsia="zh-CN"/>
        </w:rPr>
        <w:t>－</w:t>
      </w:r>
      <w:r>
        <w:rPr>
          <w:rFonts w:ascii="仿宋_GB2312" w:hAnsi="仿宋_GB2312" w:eastAsia="仿宋_GB2312"/>
          <w:b w:val="0"/>
          <w:sz w:val="32"/>
        </w:rPr>
        <w:t>对个人购买或置换汽车、家电、电动车95%的中央补贴资金，导致预决算存在差异。</w:t>
      </w:r>
    </w:p>
    <w:p w14:paraId="2B69C126">
      <w:pPr>
        <w:spacing w:line="580" w:lineRule="exact"/>
        <w:ind w:firstLine="640"/>
        <w:jc w:val="both"/>
      </w:pPr>
      <w:r>
        <w:rPr>
          <w:rFonts w:ascii="仿宋_GB2312" w:hAnsi="仿宋_GB2312" w:eastAsia="仿宋_GB2312"/>
          <w:b w:val="0"/>
          <w:sz w:val="32"/>
        </w:rPr>
        <w:t>政府性基金预算财政拨款支出11,651.89万元。</w:t>
      </w:r>
    </w:p>
    <w:p w14:paraId="3B917770">
      <w:pPr>
        <w:spacing w:line="580" w:lineRule="exact"/>
        <w:ind w:firstLine="640"/>
        <w:jc w:val="both"/>
      </w:pPr>
      <w:r>
        <w:rPr>
          <w:rFonts w:ascii="仿宋_GB2312" w:hAnsi="仿宋_GB2312" w:eastAsia="仿宋_GB2312"/>
          <w:b w:val="0"/>
          <w:sz w:val="32"/>
        </w:rPr>
        <w:t>1.资源勘探工业信息等支出(类)超长期特别国债安排的支出(款)制造业(项):支出决算数为11,651.89万元，比上年决算增加11,651.89万元，增长100.00%,主要原因是：本年增加超长期特别国债支持消费品领域以旧换新支出</w:t>
      </w:r>
      <w:r>
        <w:rPr>
          <w:rFonts w:hint="eastAsia" w:ascii="仿宋_GB2312" w:hAnsi="仿宋_GB2312" w:eastAsia="仿宋_GB2312"/>
          <w:b w:val="0"/>
          <w:sz w:val="32"/>
          <w:lang w:eastAsia="zh-CN"/>
        </w:rPr>
        <w:t>－</w:t>
      </w:r>
      <w:r>
        <w:rPr>
          <w:rFonts w:ascii="仿宋_GB2312" w:hAnsi="仿宋_GB2312" w:eastAsia="仿宋_GB2312"/>
          <w:b w:val="0"/>
          <w:sz w:val="32"/>
        </w:rPr>
        <w:t>对个人购买或置换汽车、家电、电动车95%的中央补贴资金。</w:t>
      </w:r>
    </w:p>
    <w:p w14:paraId="54B8CBA4">
      <w:pPr>
        <w:spacing w:line="640" w:lineRule="exact"/>
        <w:ind w:firstLine="640"/>
        <w:jc w:val="both"/>
        <w:outlineLvl w:val="2"/>
      </w:pPr>
      <w:r>
        <w:rPr>
          <w:rFonts w:ascii="黑体" w:hAnsi="黑体" w:eastAsia="黑体"/>
          <w:sz w:val="32"/>
        </w:rPr>
        <w:t>八、国有资本经营预算财政拨款收入支出决算情况说明</w:t>
      </w:r>
    </w:p>
    <w:p w14:paraId="551B6B0C">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08E10456">
      <w:pPr>
        <w:spacing w:line="640" w:lineRule="exact"/>
        <w:ind w:firstLine="640"/>
        <w:jc w:val="both"/>
        <w:outlineLvl w:val="2"/>
      </w:pPr>
      <w:r>
        <w:rPr>
          <w:rFonts w:ascii="黑体" w:hAnsi="黑体" w:eastAsia="黑体"/>
          <w:sz w:val="32"/>
        </w:rPr>
        <w:t>九、财政拨款“三公”经费支出决算情况说明</w:t>
      </w:r>
    </w:p>
    <w:p w14:paraId="0849D7A5">
      <w:pPr>
        <w:spacing w:line="580" w:lineRule="exact"/>
        <w:ind w:firstLine="640"/>
        <w:jc w:val="both"/>
      </w:pPr>
      <w:r>
        <w:rPr>
          <w:rFonts w:ascii="仿宋_GB2312" w:hAnsi="仿宋_GB2312" w:eastAsia="仿宋_GB2312"/>
          <w:b/>
          <w:sz w:val="32"/>
        </w:rPr>
        <w:t>2024年度财政拨款“三公”经费支出24.37万元，</w:t>
      </w:r>
      <w:r>
        <w:rPr>
          <w:rFonts w:ascii="仿宋_GB2312" w:hAnsi="仿宋_GB2312" w:eastAsia="仿宋_GB2312"/>
          <w:b w:val="0"/>
          <w:sz w:val="32"/>
        </w:rPr>
        <w:t>比上年增加10.06万元，增长70.25%，主要原因是：本年因业务需求，增加因公出国（境）费。其中：因公出国（境）费支出10.80万元，占44.32%，比上年增加10.80万元，增长100.00%，主要原因是：因（第十三届）乌兹别克斯坦</w:t>
      </w:r>
      <w:r>
        <w:rPr>
          <w:rFonts w:hint="eastAsia" w:ascii="仿宋_GB2312" w:hAnsi="仿宋_GB2312" w:eastAsia="仿宋_GB2312"/>
          <w:b w:val="0"/>
          <w:sz w:val="32"/>
          <w:lang w:eastAsia="zh-CN"/>
        </w:rPr>
        <w:t>－</w:t>
      </w:r>
      <w:r>
        <w:rPr>
          <w:rFonts w:ascii="仿宋_GB2312" w:hAnsi="仿宋_GB2312" w:eastAsia="仿宋_GB2312"/>
          <w:b w:val="0"/>
          <w:sz w:val="32"/>
        </w:rPr>
        <w:t>中国新疆商品展览会、港澳</w:t>
      </w:r>
      <w:r>
        <w:rPr>
          <w:rFonts w:hint="eastAsia" w:ascii="仿宋_GB2312" w:hAnsi="仿宋_GB2312" w:eastAsia="仿宋_GB2312"/>
          <w:b w:val="0"/>
          <w:sz w:val="32"/>
          <w:lang w:eastAsia="zh-CN"/>
        </w:rPr>
        <w:t>－</w:t>
      </w:r>
      <w:r>
        <w:rPr>
          <w:rFonts w:ascii="仿宋_GB2312" w:hAnsi="仿宋_GB2312" w:eastAsia="仿宋_GB2312"/>
          <w:b w:val="0"/>
          <w:sz w:val="32"/>
        </w:rPr>
        <w:t>投资新疆经贸文化交流活动、第十九届哈萨克斯坦</w:t>
      </w:r>
      <w:r>
        <w:rPr>
          <w:rFonts w:hint="eastAsia" w:ascii="仿宋_GB2312" w:hAnsi="仿宋_GB2312" w:eastAsia="仿宋_GB2312"/>
          <w:b w:val="0"/>
          <w:sz w:val="32"/>
          <w:lang w:eastAsia="zh-CN"/>
        </w:rPr>
        <w:t>－</w:t>
      </w:r>
      <w:r>
        <w:rPr>
          <w:rFonts w:ascii="仿宋_GB2312" w:hAnsi="仿宋_GB2312" w:eastAsia="仿宋_GB2312"/>
          <w:b w:val="0"/>
          <w:sz w:val="32"/>
        </w:rPr>
        <w:t>中国商品展览会，住宿费、就餐费、交通费增加。公务用车购置及运行维护费支出8.88万元，占36.44%，比上年减少0.74万元，下降7.69%，主要原因是：严格落实中央八项规定精神，厉行节约，减少公务用车运行维护费。公务接待费支出4.70万元，占19.29%，比上年增加0.00万元，增长0.00%，主要原因是：本部门公务接待费与上年一致无变化。</w:t>
      </w:r>
    </w:p>
    <w:p w14:paraId="29CCEA9B">
      <w:pPr>
        <w:spacing w:line="580" w:lineRule="exact"/>
        <w:ind w:firstLine="640"/>
        <w:jc w:val="both"/>
      </w:pPr>
      <w:r>
        <w:rPr>
          <w:rFonts w:ascii="仿宋_GB2312" w:hAnsi="仿宋_GB2312" w:eastAsia="仿宋_GB2312"/>
          <w:b/>
          <w:sz w:val="32"/>
        </w:rPr>
        <w:t>具体情况如下：</w:t>
      </w:r>
    </w:p>
    <w:p w14:paraId="72328251">
      <w:pPr>
        <w:spacing w:line="580" w:lineRule="exact"/>
        <w:ind w:firstLine="640"/>
        <w:jc w:val="both"/>
      </w:pPr>
      <w:r>
        <w:rPr>
          <w:rFonts w:ascii="仿宋_GB2312" w:hAnsi="仿宋_GB2312" w:eastAsia="仿宋_GB2312"/>
          <w:b w:val="0"/>
          <w:sz w:val="32"/>
        </w:rPr>
        <w:t>因公出国（境）费支出10.80万元，开支内容包括因（第十三届）乌兹别克斯坦</w:t>
      </w:r>
      <w:r>
        <w:rPr>
          <w:rFonts w:hint="eastAsia" w:ascii="仿宋_GB2312" w:hAnsi="仿宋_GB2312" w:eastAsia="仿宋_GB2312"/>
          <w:b w:val="0"/>
          <w:sz w:val="32"/>
          <w:lang w:eastAsia="zh-CN"/>
        </w:rPr>
        <w:t>－</w:t>
      </w:r>
      <w:r>
        <w:rPr>
          <w:rFonts w:ascii="仿宋_GB2312" w:hAnsi="仿宋_GB2312" w:eastAsia="仿宋_GB2312"/>
          <w:b w:val="0"/>
          <w:sz w:val="32"/>
        </w:rPr>
        <w:t>中国新疆商品展览会、港澳</w:t>
      </w:r>
      <w:r>
        <w:rPr>
          <w:rFonts w:hint="eastAsia" w:ascii="仿宋_GB2312" w:hAnsi="仿宋_GB2312" w:eastAsia="仿宋_GB2312"/>
          <w:b w:val="0"/>
          <w:sz w:val="32"/>
          <w:lang w:eastAsia="zh-CN"/>
        </w:rPr>
        <w:t>－</w:t>
      </w:r>
      <w:r>
        <w:rPr>
          <w:rFonts w:ascii="仿宋_GB2312" w:hAnsi="仿宋_GB2312" w:eastAsia="仿宋_GB2312"/>
          <w:b w:val="0"/>
          <w:sz w:val="32"/>
        </w:rPr>
        <w:t>投资新疆经贸文化交流活动、第十九届哈萨克斯坦</w:t>
      </w:r>
      <w:r>
        <w:rPr>
          <w:rFonts w:hint="eastAsia" w:ascii="仿宋_GB2312" w:hAnsi="仿宋_GB2312" w:eastAsia="仿宋_GB2312"/>
          <w:b w:val="0"/>
          <w:sz w:val="32"/>
          <w:lang w:eastAsia="zh-CN"/>
        </w:rPr>
        <w:t>－</w:t>
      </w:r>
      <w:r>
        <w:rPr>
          <w:rFonts w:ascii="仿宋_GB2312" w:hAnsi="仿宋_GB2312" w:eastAsia="仿宋_GB2312"/>
          <w:b w:val="0"/>
          <w:sz w:val="32"/>
        </w:rPr>
        <w:t>中国商品展览会，产生的住宿费、就餐费、交通费。部门全年安排的因公出国（境）团组6个，因公出国（境）6人次。</w:t>
      </w:r>
    </w:p>
    <w:p w14:paraId="1EDBBD21">
      <w:pPr>
        <w:spacing w:line="580" w:lineRule="exact"/>
        <w:ind w:firstLine="640"/>
        <w:jc w:val="both"/>
      </w:pPr>
      <w:r>
        <w:rPr>
          <w:rFonts w:ascii="仿宋_GB2312" w:hAnsi="仿宋_GB2312" w:eastAsia="仿宋_GB2312"/>
          <w:b w:val="0"/>
          <w:sz w:val="32"/>
        </w:rPr>
        <w:t>公务用车购置及运行维护费8.88万元，其中：公务用车购置费0.00万元，公务用车运行维护费8.88万元。公务用车运行维护费开支内容包括车燃料费、维修费、过路过桥费、保险费。公务用车购置数0辆，公务用车保有量2辆。国有资产占用情况中固定资产车辆2辆，与公务用车保有量差异原因是：本部门固定资产车辆与公务用车保有量一致无差异。</w:t>
      </w:r>
    </w:p>
    <w:p w14:paraId="13789CF4">
      <w:pPr>
        <w:spacing w:line="580" w:lineRule="exact"/>
        <w:ind w:firstLine="640"/>
        <w:jc w:val="both"/>
      </w:pPr>
      <w:r>
        <w:rPr>
          <w:rFonts w:ascii="仿宋_GB2312" w:hAnsi="仿宋_GB2312" w:eastAsia="仿宋_GB2312"/>
          <w:b w:val="0"/>
          <w:sz w:val="32"/>
        </w:rPr>
        <w:t>公务接待费4.70万元，开支内容包括因调研、考察项目，接待上级领导、企业人员产生的就餐费。部门全年安排的国内公务接待50批次，486人次。</w:t>
      </w:r>
    </w:p>
    <w:p w14:paraId="321D99C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24.37万元，决算数24.37万元，预决算差异率0.00%，主要原因是：严格按照预算执行，预决算无差异。其中：因公出国（境）费全年预算数10.80万元，决算数10.80万元，预决算差异率0.00%，主要原因是：严格按照预算执行，预决算无差异。公务用车购置费全年预算数0.00万元，决算数0.00万元，预决算差异率0.00%，主要原因是：本部门无公务用车购置费。公务用车运行维护费全年预算数8.88万元，决算数8.88万元，预决算差异率0.00%，主要原因是：严格按照预算执行，预决算无差异。公务接待费全年预算数4.70万元，决算数4.70万元，预决算差异率0.00%，主要原因是：严格按照预算执行，预决算无差异。</w:t>
      </w:r>
    </w:p>
    <w:p w14:paraId="024CCF36">
      <w:pPr>
        <w:spacing w:line="640" w:lineRule="exact"/>
        <w:ind w:firstLine="640"/>
        <w:jc w:val="both"/>
        <w:outlineLvl w:val="2"/>
      </w:pPr>
      <w:r>
        <w:rPr>
          <w:rFonts w:ascii="黑体" w:hAnsi="黑体" w:eastAsia="黑体"/>
          <w:sz w:val="32"/>
        </w:rPr>
        <w:t>十、其他重要事项的情况说明</w:t>
      </w:r>
    </w:p>
    <w:p w14:paraId="68D9FA2D">
      <w:pPr>
        <w:spacing w:line="640" w:lineRule="exact"/>
        <w:ind w:firstLine="640"/>
        <w:jc w:val="both"/>
        <w:outlineLvl w:val="3"/>
      </w:pPr>
      <w:r>
        <w:rPr>
          <w:rFonts w:ascii="楷体_GB2312" w:hAnsi="楷体_GB2312" w:eastAsia="楷体_GB2312"/>
          <w:b/>
          <w:sz w:val="32"/>
        </w:rPr>
        <w:t>（一）机关运行经费及公用经费支出情况</w:t>
      </w:r>
    </w:p>
    <w:p w14:paraId="39FDBAEB">
      <w:pPr>
        <w:spacing w:line="580" w:lineRule="exact"/>
        <w:ind w:firstLine="640"/>
        <w:jc w:val="both"/>
      </w:pPr>
      <w:r>
        <w:rPr>
          <w:rFonts w:ascii="仿宋_GB2312" w:hAnsi="仿宋_GB2312" w:eastAsia="仿宋_GB2312"/>
          <w:b w:val="0"/>
          <w:sz w:val="32"/>
        </w:rPr>
        <w:t>2024年度新疆巴音郭楞蒙古自治州商务局（行政单位和参照公务员法管理事业单位）机关运行经费支出61.24万元，比上年增加12.69万元，增长26.14%，主要原因是：本年度增加办公新址装修改造经费，导致机关运行经费较上年增加。</w:t>
      </w:r>
    </w:p>
    <w:p w14:paraId="49810D49">
      <w:pPr>
        <w:spacing w:line="640" w:lineRule="exact"/>
        <w:ind w:firstLine="640"/>
        <w:jc w:val="both"/>
        <w:outlineLvl w:val="3"/>
      </w:pPr>
      <w:r>
        <w:rPr>
          <w:rFonts w:ascii="楷体_GB2312" w:hAnsi="楷体_GB2312" w:eastAsia="楷体_GB2312"/>
          <w:b/>
          <w:sz w:val="32"/>
        </w:rPr>
        <w:t>（二）政府采购情况</w:t>
      </w:r>
    </w:p>
    <w:p w14:paraId="486D9F43">
      <w:pPr>
        <w:spacing w:line="580" w:lineRule="exact"/>
        <w:ind w:firstLine="640"/>
        <w:jc w:val="both"/>
      </w:pPr>
      <w:r>
        <w:rPr>
          <w:rFonts w:ascii="仿宋_GB2312" w:hAnsi="仿宋_GB2312" w:eastAsia="仿宋_GB2312"/>
          <w:b w:val="0"/>
          <w:sz w:val="32"/>
        </w:rPr>
        <w:t>2024年度政府采购支出总额471.84万元，其中：政府采购货物支出3.01万元、政府采购工程支出0.00万元、政府采购服务支出468.83万元。</w:t>
      </w:r>
    </w:p>
    <w:p w14:paraId="68F4CF68">
      <w:pPr>
        <w:spacing w:line="580" w:lineRule="exact"/>
        <w:ind w:firstLine="640"/>
        <w:jc w:val="both"/>
      </w:pPr>
      <w:r>
        <w:rPr>
          <w:rFonts w:ascii="仿宋_GB2312" w:hAnsi="仿宋_GB2312" w:eastAsia="仿宋_GB2312"/>
          <w:b w:val="0"/>
          <w:sz w:val="32"/>
        </w:rPr>
        <w:t>授予中小企业合同金额471.84万元，占政府采购支出总额的100.00%，其中：授予小微企业合同金额467.71万元，占政府采购支出总额的99.12%。</w:t>
      </w:r>
    </w:p>
    <w:p w14:paraId="3C3F8AD9">
      <w:pPr>
        <w:spacing w:line="640" w:lineRule="exact"/>
        <w:ind w:firstLine="640"/>
        <w:jc w:val="both"/>
        <w:outlineLvl w:val="3"/>
      </w:pPr>
      <w:r>
        <w:rPr>
          <w:rFonts w:ascii="楷体_GB2312" w:hAnsi="楷体_GB2312" w:eastAsia="楷体_GB2312"/>
          <w:b/>
          <w:sz w:val="32"/>
        </w:rPr>
        <w:t>（三）国有资产占用情况说明</w:t>
      </w:r>
    </w:p>
    <w:p w14:paraId="2F5F2C1C">
      <w:pPr>
        <w:spacing w:line="580" w:lineRule="exact"/>
        <w:ind w:firstLine="640"/>
        <w:jc w:val="both"/>
      </w:pPr>
      <w:r>
        <w:rPr>
          <w:rFonts w:ascii="仿宋_GB2312" w:hAnsi="仿宋_GB2312" w:eastAsia="仿宋_GB2312"/>
          <w:b w:val="0"/>
          <w:sz w:val="32"/>
        </w:rPr>
        <w:t>截至2024年12月31日，房屋0.00平方米，价值0.00万元。车辆2辆，价值56.84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18144846">
      <w:pPr>
        <w:spacing w:line="640" w:lineRule="exact"/>
        <w:ind w:firstLine="640"/>
        <w:jc w:val="both"/>
        <w:outlineLvl w:val="2"/>
      </w:pPr>
      <w:r>
        <w:rPr>
          <w:rFonts w:ascii="黑体" w:hAnsi="黑体" w:eastAsia="黑体"/>
          <w:sz w:val="32"/>
        </w:rPr>
        <w:t>十一、预算绩效的情况说明</w:t>
      </w:r>
    </w:p>
    <w:p w14:paraId="1CF63391">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14,729.72万元，实际执行总额14,723.21万元；预算绩效评价项目3个，全年预算数307.42万元，全年执行数307.41万元。预算绩效管理取得的成效：一是本部门以绩效目标实现为导向，加强制度建设，提升预算执行质量，预算绩效管理取得一定成效。预算绩效管理取得的成效，科学制定目标，促进绩效目标顺利实现。二是自落实预算绩效管理工作以来，本部门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对绩效目标偏差问题缺乏有效分析，从而导致填报的内容相对简单。二是在部门整体支出的资金安排和使用上仍有不可预见性，在经费支出科学化精细化管理上还有待加强。下一步改进措施：一是加大预算绩效评价公开力度。不仅各类预算支出项目的绩效目标需要公开，二是进一步较为详细</w:t>
      </w:r>
      <w:r>
        <w:rPr>
          <w:rFonts w:hint="eastAsia" w:ascii="仿宋_GB2312" w:hAnsi="仿宋_GB2312" w:eastAsia="仿宋_GB2312"/>
          <w:b w:val="0"/>
          <w:sz w:val="32"/>
          <w:lang w:eastAsia="zh-CN"/>
        </w:rPr>
        <w:t>地</w:t>
      </w:r>
      <w:r>
        <w:rPr>
          <w:rFonts w:ascii="仿宋_GB2312" w:hAnsi="仿宋_GB2312" w:eastAsia="仿宋_GB2312"/>
          <w:b w:val="0"/>
          <w:sz w:val="32"/>
        </w:rPr>
        <w:t>公开预算绩效评价结果及后续的追踪问责机制，避免出现各预算单位“自说自话”问题，实现信息透明、共享。具体附部门整体支出绩效自评表，项目支出绩效自评表。</w:t>
      </w:r>
    </w:p>
    <w:p w14:paraId="4DD1CD4F">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648F35DB">
        <w:tblPrEx>
          <w:tblCellMar>
            <w:top w:w="0" w:type="dxa"/>
            <w:left w:w="108" w:type="dxa"/>
            <w:bottom w:w="0" w:type="dxa"/>
            <w:right w:w="108" w:type="dxa"/>
          </w:tblCellMar>
        </w:tblPrEx>
        <w:tc>
          <w:tcPr>
            <w:tcW w:w="8840" w:type="dxa"/>
            <w:gridSpan w:val="8"/>
            <w:vAlign w:val="center"/>
          </w:tcPr>
          <w:p w14:paraId="11A2F68C">
            <w:pPr>
              <w:jc w:val="center"/>
            </w:pPr>
            <w:r>
              <w:rPr>
                <w:rFonts w:ascii="宋体" w:hAnsi="宋体" w:eastAsia="宋体"/>
                <w:sz w:val="24"/>
              </w:rPr>
              <w:t>部门整体支出绩效自评表</w:t>
            </w:r>
          </w:p>
        </w:tc>
      </w:tr>
      <w:tr w14:paraId="645B47F6">
        <w:tblPrEx>
          <w:tblCellMar>
            <w:top w:w="0" w:type="dxa"/>
            <w:left w:w="108" w:type="dxa"/>
            <w:bottom w:w="0" w:type="dxa"/>
            <w:right w:w="108" w:type="dxa"/>
          </w:tblCellMar>
        </w:tblPrEx>
        <w:tc>
          <w:tcPr>
            <w:tcW w:w="8840" w:type="dxa"/>
            <w:gridSpan w:val="8"/>
            <w:vAlign w:val="center"/>
          </w:tcPr>
          <w:p w14:paraId="7048283C">
            <w:pPr>
              <w:jc w:val="center"/>
            </w:pPr>
            <w:r>
              <w:rPr>
                <w:rFonts w:ascii="宋体" w:hAnsi="宋体" w:eastAsia="宋体"/>
                <w:sz w:val="24"/>
              </w:rPr>
              <w:t>（2024年度）</w:t>
            </w:r>
          </w:p>
        </w:tc>
      </w:tr>
      <w:tr w14:paraId="0B0E9C2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4EF9BD">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8EBAEE">
            <w:pPr>
              <w:jc w:val="center"/>
            </w:pPr>
            <w:r>
              <w:rPr>
                <w:rFonts w:ascii="宋体" w:hAnsi="宋体" w:eastAsia="宋体"/>
                <w:sz w:val="16"/>
              </w:rPr>
              <w:t>新疆巴音郭楞蒙古自治州商务局</w:t>
            </w:r>
          </w:p>
        </w:tc>
      </w:tr>
      <w:tr w14:paraId="2E85519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244A8B">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0F929A">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36EAB1">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2AA0DE">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145B35">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4F091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4228AC">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DF2592">
            <w:pPr>
              <w:jc w:val="center"/>
            </w:pPr>
            <w:r>
              <w:rPr>
                <w:rFonts w:ascii="宋体" w:hAnsi="宋体" w:eastAsia="宋体"/>
                <w:sz w:val="16"/>
              </w:rPr>
              <w:t>得分</w:t>
            </w:r>
          </w:p>
        </w:tc>
      </w:tr>
      <w:tr w14:paraId="4245133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0DAD6A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4BD699">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556D45">
            <w:pPr>
              <w:jc w:val="center"/>
            </w:pPr>
            <w:r>
              <w:rPr>
                <w:rFonts w:ascii="宋体" w:hAnsi="宋体" w:eastAsia="宋体"/>
                <w:sz w:val="16"/>
              </w:rPr>
              <w:t>14,729.72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FF5633">
            <w:pPr>
              <w:jc w:val="center"/>
            </w:pPr>
            <w:r>
              <w:rPr>
                <w:rFonts w:ascii="宋体" w:hAnsi="宋体" w:eastAsia="宋体"/>
                <w:sz w:val="16"/>
              </w:rPr>
              <w:t>14,729.72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0B77AD">
            <w:pPr>
              <w:jc w:val="center"/>
            </w:pPr>
            <w:r>
              <w:rPr>
                <w:rFonts w:ascii="宋体" w:hAnsi="宋体" w:eastAsia="宋体"/>
                <w:sz w:val="16"/>
              </w:rPr>
              <w:t>14,723.21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740C45">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01D5B3">
            <w:pPr>
              <w:jc w:val="center"/>
            </w:pPr>
            <w:r>
              <w:rPr>
                <w:rFonts w:ascii="宋体" w:hAnsi="宋体" w:eastAsia="宋体"/>
                <w:sz w:val="16"/>
              </w:rPr>
              <w:t>99.96%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4584B5">
            <w:pPr>
              <w:jc w:val="center"/>
            </w:pPr>
            <w:r>
              <w:rPr>
                <w:rFonts w:ascii="宋体" w:hAnsi="宋体" w:eastAsia="宋体"/>
                <w:sz w:val="16"/>
              </w:rPr>
              <w:t>9.99</w:t>
            </w:r>
          </w:p>
        </w:tc>
      </w:tr>
      <w:tr w14:paraId="4D7F483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DBA77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566E81">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BEBDA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378ABA">
            <w:pPr>
              <w:jc w:val="center"/>
            </w:pPr>
            <w:r>
              <w:rPr>
                <w:rFonts w:ascii="宋体" w:hAnsi="宋体" w:eastAsia="宋体"/>
                <w:sz w:val="16"/>
              </w:rPr>
              <w:t>13,783.38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6DE1D3">
            <w:pPr>
              <w:jc w:val="center"/>
            </w:pPr>
            <w:r>
              <w:rPr>
                <w:rFonts w:ascii="宋体" w:hAnsi="宋体" w:eastAsia="宋体"/>
                <w:sz w:val="16"/>
              </w:rPr>
              <w:t>13,783.38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FEED8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B9B11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2DA303">
            <w:pPr>
              <w:jc w:val="center"/>
            </w:pPr>
            <w:r>
              <w:rPr>
                <w:rFonts w:ascii="宋体" w:hAnsi="宋体" w:eastAsia="宋体"/>
                <w:sz w:val="16"/>
              </w:rPr>
              <w:t>-</w:t>
            </w:r>
          </w:p>
        </w:tc>
      </w:tr>
      <w:tr w14:paraId="3FC53F9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0BD32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5E302A">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C9654D">
            <w:pPr>
              <w:jc w:val="center"/>
            </w:pPr>
            <w:r>
              <w:rPr>
                <w:rFonts w:ascii="宋体" w:hAnsi="宋体" w:eastAsia="宋体"/>
                <w:sz w:val="16"/>
              </w:rPr>
              <w:t>14,528.75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7EF119">
            <w:pPr>
              <w:jc w:val="center"/>
            </w:pPr>
            <w:r>
              <w:rPr>
                <w:rFonts w:ascii="宋体" w:hAnsi="宋体" w:eastAsia="宋体"/>
                <w:sz w:val="16"/>
              </w:rPr>
              <w:t>745.37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C74F33">
            <w:pPr>
              <w:jc w:val="center"/>
            </w:pPr>
            <w:r>
              <w:rPr>
                <w:rFonts w:ascii="宋体" w:hAnsi="宋体" w:eastAsia="宋体"/>
                <w:sz w:val="16"/>
              </w:rPr>
              <w:t>745.37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F7B42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E73D9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2FB1FB">
            <w:pPr>
              <w:jc w:val="center"/>
            </w:pPr>
            <w:r>
              <w:rPr>
                <w:rFonts w:ascii="宋体" w:hAnsi="宋体" w:eastAsia="宋体"/>
                <w:sz w:val="16"/>
              </w:rPr>
              <w:t>-</w:t>
            </w:r>
          </w:p>
        </w:tc>
      </w:tr>
      <w:tr w14:paraId="49978AC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FF8FB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07EC58">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A76834">
            <w:pPr>
              <w:jc w:val="center"/>
            </w:pPr>
            <w:r>
              <w:rPr>
                <w:rFonts w:ascii="宋体" w:hAnsi="宋体" w:eastAsia="宋体"/>
                <w:sz w:val="16"/>
              </w:rPr>
              <w:t>200.97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874362">
            <w:pPr>
              <w:jc w:val="center"/>
            </w:pPr>
            <w:r>
              <w:rPr>
                <w:rFonts w:ascii="宋体" w:hAnsi="宋体" w:eastAsia="宋体"/>
                <w:sz w:val="16"/>
              </w:rPr>
              <w:t>200.97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EE9E89">
            <w:pPr>
              <w:jc w:val="center"/>
            </w:pPr>
            <w:r>
              <w:rPr>
                <w:rFonts w:ascii="宋体" w:hAnsi="宋体" w:eastAsia="宋体"/>
                <w:sz w:val="16"/>
              </w:rPr>
              <w:t>194.46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E9BDF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AE6DA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C94002">
            <w:pPr>
              <w:jc w:val="center"/>
            </w:pPr>
            <w:r>
              <w:rPr>
                <w:rFonts w:ascii="宋体" w:hAnsi="宋体" w:eastAsia="宋体"/>
                <w:sz w:val="16"/>
              </w:rPr>
              <w:t>-</w:t>
            </w:r>
          </w:p>
        </w:tc>
      </w:tr>
      <w:tr w14:paraId="0B9EFE4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1E685A">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C49D89">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5DF8D7">
            <w:pPr>
              <w:jc w:val="center"/>
            </w:pPr>
            <w:r>
              <w:rPr>
                <w:rFonts w:ascii="宋体" w:hAnsi="宋体" w:eastAsia="宋体"/>
                <w:sz w:val="16"/>
              </w:rPr>
              <w:t>实际完成情况</w:t>
            </w:r>
          </w:p>
        </w:tc>
      </w:tr>
      <w:tr w14:paraId="047E73F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DE9DC9D"/>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47C276">
            <w:pPr>
              <w:jc w:val="both"/>
            </w:pPr>
            <w:r>
              <w:rPr>
                <w:rFonts w:ascii="宋体" w:hAnsi="宋体" w:eastAsia="宋体"/>
                <w:sz w:val="16"/>
              </w:rPr>
              <w:t>按照《2024年政府工作报告》确定的工作任务，巴州商务局将开展调研与考察，聚焦“五大优势产业集群”，完成好</w:t>
            </w:r>
            <w:r>
              <w:rPr>
                <w:rFonts w:hint="eastAsia" w:ascii="宋体" w:hAnsi="宋体"/>
                <w:sz w:val="16"/>
                <w:lang w:eastAsia="zh-CN"/>
              </w:rPr>
              <w:t>招</w:t>
            </w:r>
            <w:r>
              <w:rPr>
                <w:rFonts w:ascii="宋体" w:hAnsi="宋体" w:eastAsia="宋体"/>
                <w:sz w:val="16"/>
              </w:rPr>
              <w:t>商引资工作任务，促进全州社会消费品零售总额增长，高质量发展对外贸易，强化部门联系机制，拓展出口产品</w:t>
            </w:r>
            <w:r>
              <w:rPr>
                <w:rFonts w:hint="eastAsia" w:ascii="宋体" w:hAnsi="宋体"/>
                <w:sz w:val="16"/>
                <w:lang w:eastAsia="zh-CN"/>
              </w:rPr>
              <w:t>品类</w:t>
            </w:r>
            <w:r>
              <w:rPr>
                <w:rFonts w:ascii="宋体" w:hAnsi="宋体" w:eastAsia="宋体"/>
                <w:sz w:val="16"/>
              </w:rPr>
              <w:t>，切实增强经济活力、增进民生福祉。</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CE400A">
            <w:pPr>
              <w:jc w:val="both"/>
            </w:pPr>
            <w:r>
              <w:rPr>
                <w:rFonts w:ascii="宋体" w:hAnsi="宋体" w:eastAsia="宋体"/>
                <w:sz w:val="16"/>
              </w:rPr>
              <w:t>2024年巴州商务局整体绩效完成情况：执行预算数为14723.21万元，实现社会消费品零售总额同比增长3.1%，培育全州范围内“一刻钟便民生活圈”16个，实现</w:t>
            </w:r>
            <w:r>
              <w:rPr>
                <w:rFonts w:hint="eastAsia" w:ascii="宋体" w:hAnsi="宋体"/>
                <w:sz w:val="16"/>
                <w:lang w:eastAsia="zh-CN"/>
              </w:rPr>
              <w:t>招</w:t>
            </w:r>
            <w:r>
              <w:rPr>
                <w:rFonts w:ascii="宋体" w:hAnsi="宋体" w:eastAsia="宋体"/>
                <w:sz w:val="16"/>
              </w:rPr>
              <w:t>商引资到位资金665.99亿元。达到了高质量发展对外贸易，强化了部门联系机制，拓展了出口产品</w:t>
            </w:r>
            <w:r>
              <w:rPr>
                <w:rFonts w:hint="eastAsia" w:ascii="宋体" w:hAnsi="宋体"/>
                <w:sz w:val="16"/>
                <w:lang w:eastAsia="zh-CN"/>
              </w:rPr>
              <w:t>品类</w:t>
            </w:r>
            <w:r>
              <w:rPr>
                <w:rFonts w:ascii="宋体" w:hAnsi="宋体" w:eastAsia="宋体"/>
                <w:sz w:val="16"/>
              </w:rPr>
              <w:t>，切实增强了全州经济活力、增进民生福祉。</w:t>
            </w:r>
          </w:p>
        </w:tc>
      </w:tr>
      <w:tr w14:paraId="78209FF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11EE54">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36A0C0">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B60EE8">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40B620">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1066CB">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6428C2">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2EEAB5">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5F6DEB">
            <w:pPr>
              <w:jc w:val="center"/>
            </w:pPr>
            <w:r>
              <w:rPr>
                <w:rFonts w:ascii="宋体" w:hAnsi="宋体" w:eastAsia="宋体"/>
                <w:sz w:val="16"/>
              </w:rPr>
              <w:t>得分</w:t>
            </w:r>
          </w:p>
        </w:tc>
      </w:tr>
      <w:tr w14:paraId="4306D9A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FFD694">
            <w:pPr>
              <w:jc w:val="center"/>
            </w:pPr>
            <w:r>
              <w:rPr>
                <w:rFonts w:ascii="宋体" w:hAnsi="宋体" w:eastAsia="宋体"/>
                <w:sz w:val="16"/>
              </w:rPr>
              <w:t>履职效能</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9B4B07">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E41571">
            <w:pPr>
              <w:jc w:val="center"/>
            </w:pPr>
            <w:r>
              <w:rPr>
                <w:rFonts w:ascii="宋体" w:hAnsi="宋体" w:eastAsia="宋体"/>
                <w:sz w:val="16"/>
              </w:rPr>
              <w:t>社会消费品零售总额同比增长</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340DB9">
            <w:pPr>
              <w:jc w:val="center"/>
            </w:pPr>
            <w:r>
              <w:rPr>
                <w:rFonts w:ascii="宋体" w:hAnsi="宋体" w:eastAsia="宋体"/>
                <w:sz w:val="16"/>
              </w:rPr>
              <w:t>&gt;=3%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D5B2C2">
            <w:pPr>
              <w:jc w:val="center"/>
            </w:pPr>
            <w:r>
              <w:rPr>
                <w:rFonts w:ascii="宋体" w:hAnsi="宋体" w:eastAsia="宋体"/>
                <w:sz w:val="16"/>
              </w:rPr>
              <w:t>2024年政府工作报告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7AB050">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202CEE">
            <w:pPr>
              <w:jc w:val="center"/>
            </w:pPr>
            <w:r>
              <w:rPr>
                <w:rFonts w:ascii="宋体" w:hAnsi="宋体" w:eastAsia="宋体"/>
                <w:sz w:val="16"/>
              </w:rPr>
              <w:t>3.1%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F976CA">
            <w:pPr>
              <w:jc w:val="center"/>
            </w:pPr>
            <w:r>
              <w:rPr>
                <w:rFonts w:ascii="宋体" w:hAnsi="宋体" w:eastAsia="宋体"/>
                <w:sz w:val="16"/>
              </w:rPr>
              <w:t>30</w:t>
            </w:r>
          </w:p>
        </w:tc>
      </w:tr>
      <w:tr w14:paraId="0E05C5F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291135"/>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C74BD2">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661D49">
            <w:pPr>
              <w:jc w:val="center"/>
            </w:pPr>
            <w:r>
              <w:rPr>
                <w:rFonts w:ascii="宋体" w:hAnsi="宋体" w:eastAsia="宋体"/>
                <w:sz w:val="16"/>
              </w:rPr>
              <w:t>培育全州范围内“一刻钟便民生活圈”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EEC106">
            <w:pPr>
              <w:jc w:val="center"/>
            </w:pPr>
            <w:r>
              <w:rPr>
                <w:rFonts w:ascii="宋体" w:hAnsi="宋体" w:eastAsia="宋体"/>
                <w:sz w:val="16"/>
              </w:rPr>
              <w:t>&gt;=10个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6A9C13">
            <w:pPr>
              <w:jc w:val="center"/>
            </w:pPr>
            <w:r>
              <w:rPr>
                <w:rFonts w:ascii="宋体" w:hAnsi="宋体" w:eastAsia="宋体"/>
                <w:sz w:val="16"/>
              </w:rPr>
              <w:t>2024年政府工作报告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CA1607">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3C6A06">
            <w:pPr>
              <w:jc w:val="center"/>
            </w:pPr>
            <w:r>
              <w:rPr>
                <w:rFonts w:ascii="宋体" w:hAnsi="宋体" w:eastAsia="宋体"/>
                <w:sz w:val="16"/>
              </w:rPr>
              <w:t>16个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41B854">
            <w:pPr>
              <w:jc w:val="center"/>
            </w:pPr>
            <w:r>
              <w:rPr>
                <w:rFonts w:ascii="宋体" w:hAnsi="宋体" w:eastAsia="宋体"/>
                <w:sz w:val="16"/>
              </w:rPr>
              <w:t>30</w:t>
            </w:r>
          </w:p>
        </w:tc>
      </w:tr>
      <w:tr w14:paraId="640F753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9278F7">
            <w:pPr>
              <w:jc w:val="center"/>
            </w:pPr>
            <w:r>
              <w:rPr>
                <w:rFonts w:ascii="宋体" w:hAnsi="宋体" w:eastAsia="宋体"/>
                <w:sz w:val="16"/>
              </w:rPr>
              <w:t>社会效益</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AE7AAC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A0C7FF">
            <w:pPr>
              <w:jc w:val="center"/>
            </w:pPr>
            <w:r>
              <w:rPr>
                <w:rFonts w:ascii="宋体" w:hAnsi="宋体" w:eastAsia="宋体"/>
                <w:sz w:val="16"/>
              </w:rPr>
              <w:t>实现招商引资到位资金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EBDC45">
            <w:pPr>
              <w:jc w:val="center"/>
            </w:pPr>
            <w:r>
              <w:rPr>
                <w:rFonts w:ascii="宋体" w:hAnsi="宋体" w:eastAsia="宋体"/>
                <w:sz w:val="16"/>
              </w:rPr>
              <w:t>&gt;=685亿元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711D2C">
            <w:pPr>
              <w:jc w:val="center"/>
            </w:pPr>
            <w:r>
              <w:rPr>
                <w:rFonts w:ascii="宋体" w:hAnsi="宋体" w:eastAsia="宋体"/>
                <w:sz w:val="16"/>
              </w:rPr>
              <w:t>2024年政府工作报告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E5B1C0">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E7486D">
            <w:pPr>
              <w:jc w:val="center"/>
            </w:pPr>
            <w:r>
              <w:rPr>
                <w:rFonts w:ascii="宋体" w:hAnsi="宋体" w:eastAsia="宋体"/>
                <w:sz w:val="16"/>
              </w:rPr>
              <w:t>665.99亿元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7A6793">
            <w:pPr>
              <w:jc w:val="center"/>
            </w:pPr>
            <w:r>
              <w:rPr>
                <w:rFonts w:ascii="宋体" w:hAnsi="宋体" w:eastAsia="宋体"/>
                <w:sz w:val="16"/>
              </w:rPr>
              <w:t>19.44</w:t>
            </w:r>
          </w:p>
        </w:tc>
      </w:tr>
      <w:tr w14:paraId="570E2F6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7AEE72">
            <w:pPr>
              <w:jc w:val="center"/>
            </w:pPr>
            <w:r>
              <w:rPr>
                <w:rFonts w:ascii="宋体" w:hAnsi="宋体" w:eastAsia="宋体"/>
                <w:sz w:val="16"/>
              </w:rPr>
              <w:t>服务对象满意度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A6EA69">
            <w:pPr>
              <w:jc w:val="center"/>
            </w:pPr>
            <w:r>
              <w:rPr>
                <w:rFonts w:ascii="宋体" w:hAnsi="宋体" w:eastAsia="宋体"/>
                <w:sz w:val="16"/>
              </w:rPr>
              <w:t>满意度指标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C114A2">
            <w:pPr>
              <w:jc w:val="center"/>
            </w:pPr>
            <w:r>
              <w:rPr>
                <w:rFonts w:ascii="宋体" w:hAnsi="宋体" w:eastAsia="宋体"/>
                <w:sz w:val="16"/>
              </w:rPr>
              <w:t>参与企业满意度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71D9E0">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0A4C5A">
            <w:pPr>
              <w:jc w:val="center"/>
            </w:pPr>
            <w:r>
              <w:rPr>
                <w:rFonts w:ascii="宋体" w:hAnsi="宋体" w:eastAsia="宋体"/>
                <w:sz w:val="16"/>
              </w:rPr>
              <w:t>2024年政府工作报告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D3A1A7">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DEE8B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5035A5">
            <w:pPr>
              <w:jc w:val="center"/>
            </w:pPr>
            <w:r>
              <w:rPr>
                <w:rFonts w:ascii="宋体" w:hAnsi="宋体" w:eastAsia="宋体"/>
                <w:sz w:val="16"/>
              </w:rPr>
              <w:t>10</w:t>
            </w:r>
          </w:p>
        </w:tc>
      </w:tr>
    </w:tbl>
    <w:p w14:paraId="564414C3">
      <w:r>
        <w:br w:type="page"/>
      </w:r>
    </w:p>
    <w:tbl>
      <w:tblPr>
        <w:tblStyle w:val="9"/>
        <w:tblW w:w="0" w:type="auto"/>
        <w:tblInd w:w="0" w:type="dxa"/>
        <w:tblLayout w:type="autofit"/>
        <w:tblCellMar>
          <w:top w:w="0" w:type="dxa"/>
          <w:left w:w="108" w:type="dxa"/>
          <w:bottom w:w="0" w:type="dxa"/>
          <w:right w:w="108" w:type="dxa"/>
        </w:tblCellMar>
      </w:tblPr>
      <w:tblGrid>
        <w:gridCol w:w="620"/>
        <w:gridCol w:w="601"/>
        <w:gridCol w:w="602"/>
        <w:gridCol w:w="621"/>
        <w:gridCol w:w="856"/>
        <w:gridCol w:w="602"/>
        <w:gridCol w:w="602"/>
        <w:gridCol w:w="611"/>
        <w:gridCol w:w="602"/>
        <w:gridCol w:w="611"/>
        <w:gridCol w:w="776"/>
        <w:gridCol w:w="696"/>
        <w:gridCol w:w="630"/>
        <w:gridCol w:w="630"/>
      </w:tblGrid>
      <w:tr w14:paraId="175B681E">
        <w:tblPrEx>
          <w:tblCellMar>
            <w:top w:w="0" w:type="dxa"/>
            <w:left w:w="108" w:type="dxa"/>
            <w:bottom w:w="0" w:type="dxa"/>
            <w:right w:w="108" w:type="dxa"/>
          </w:tblCellMar>
        </w:tblPrEx>
        <w:tc>
          <w:tcPr>
            <w:tcW w:w="8848" w:type="dxa"/>
            <w:gridSpan w:val="14"/>
            <w:vAlign w:val="center"/>
          </w:tcPr>
          <w:p w14:paraId="26AE1F8B">
            <w:pPr>
              <w:jc w:val="center"/>
            </w:pPr>
            <w:r>
              <w:rPr>
                <w:rFonts w:ascii="宋体" w:hAnsi="宋体" w:eastAsia="宋体"/>
                <w:sz w:val="24"/>
              </w:rPr>
              <w:t>项目支出绩效自评表</w:t>
            </w:r>
          </w:p>
        </w:tc>
      </w:tr>
      <w:tr w14:paraId="476AEF68">
        <w:tblPrEx>
          <w:tblCellMar>
            <w:top w:w="0" w:type="dxa"/>
            <w:left w:w="108" w:type="dxa"/>
            <w:bottom w:w="0" w:type="dxa"/>
            <w:right w:w="108" w:type="dxa"/>
          </w:tblCellMar>
        </w:tblPrEx>
        <w:tc>
          <w:tcPr>
            <w:tcW w:w="8848" w:type="dxa"/>
            <w:gridSpan w:val="14"/>
            <w:vAlign w:val="center"/>
          </w:tcPr>
          <w:p w14:paraId="6304FD78">
            <w:pPr>
              <w:jc w:val="center"/>
            </w:pPr>
            <w:r>
              <w:rPr>
                <w:rFonts w:ascii="宋体" w:hAnsi="宋体" w:eastAsia="宋体"/>
                <w:sz w:val="24"/>
              </w:rPr>
              <w:t>(2024年度)</w:t>
            </w:r>
          </w:p>
        </w:tc>
      </w:tr>
      <w:tr w14:paraId="51DE43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E7D7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F940F1">
            <w:pPr>
              <w:jc w:val="center"/>
            </w:pPr>
            <w:r>
              <w:rPr>
                <w:rFonts w:ascii="宋体" w:hAnsi="宋体" w:eastAsia="宋体"/>
                <w:sz w:val="16"/>
              </w:rPr>
              <w:t>2024年商务与招商引资业务</w:t>
            </w:r>
          </w:p>
        </w:tc>
      </w:tr>
      <w:tr w14:paraId="2FF7ED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634C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17FEA3">
            <w:pPr>
              <w:jc w:val="center"/>
            </w:pPr>
            <w:r>
              <w:rPr>
                <w:rFonts w:ascii="宋体" w:hAnsi="宋体" w:eastAsia="宋体"/>
                <w:sz w:val="16"/>
              </w:rPr>
              <w:t>新疆巴音郭楞蒙古自治州商务局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54CE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CABD16">
            <w:pPr>
              <w:jc w:val="center"/>
            </w:pPr>
            <w:r>
              <w:rPr>
                <w:rFonts w:ascii="宋体" w:hAnsi="宋体" w:eastAsia="宋体"/>
                <w:sz w:val="16"/>
              </w:rPr>
              <w:t>新疆巴音郭楞蒙古自治州商务局</w:t>
            </w:r>
          </w:p>
        </w:tc>
      </w:tr>
      <w:tr w14:paraId="09146B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A84F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3745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B474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AF19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4734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976D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2D6E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AC958">
            <w:pPr>
              <w:jc w:val="center"/>
            </w:pPr>
            <w:r>
              <w:rPr>
                <w:rFonts w:ascii="宋体" w:hAnsi="宋体" w:eastAsia="宋体"/>
                <w:sz w:val="16"/>
              </w:rPr>
              <w:t>得分</w:t>
            </w:r>
          </w:p>
        </w:tc>
      </w:tr>
      <w:tr w14:paraId="344906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D7AA1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07B9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B9F84">
            <w:pPr>
              <w:jc w:val="center"/>
            </w:pPr>
            <w:r>
              <w:rPr>
                <w:rFonts w:ascii="宋体" w:hAnsi="宋体" w:eastAsia="宋体"/>
                <w:sz w:val="16"/>
              </w:rPr>
              <w:t>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2F085">
            <w:pPr>
              <w:jc w:val="center"/>
            </w:pPr>
            <w:r>
              <w:rPr>
                <w:rFonts w:ascii="宋体" w:hAnsi="宋体" w:eastAsia="宋体"/>
                <w:sz w:val="16"/>
              </w:rPr>
              <w:t>278.80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96D69">
            <w:pPr>
              <w:jc w:val="center"/>
            </w:pPr>
            <w:r>
              <w:rPr>
                <w:rFonts w:ascii="宋体" w:hAnsi="宋体" w:eastAsia="宋体"/>
                <w:sz w:val="16"/>
              </w:rPr>
              <w:t>278.79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5F9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5D2E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BCD59">
            <w:pPr>
              <w:jc w:val="center"/>
            </w:pPr>
            <w:r>
              <w:rPr>
                <w:rFonts w:ascii="宋体" w:hAnsi="宋体" w:eastAsia="宋体"/>
                <w:sz w:val="16"/>
              </w:rPr>
              <w:t>10.00</w:t>
            </w:r>
          </w:p>
        </w:tc>
      </w:tr>
      <w:tr w14:paraId="4BA543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E51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1A12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D816A">
            <w:pPr>
              <w:jc w:val="center"/>
            </w:pPr>
            <w:r>
              <w:rPr>
                <w:rFonts w:ascii="宋体" w:hAnsi="宋体" w:eastAsia="宋体"/>
                <w:sz w:val="16"/>
              </w:rPr>
              <w:t>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D1AF8">
            <w:pPr>
              <w:jc w:val="center"/>
            </w:pPr>
            <w:r>
              <w:rPr>
                <w:rFonts w:ascii="宋体" w:hAnsi="宋体" w:eastAsia="宋体"/>
                <w:sz w:val="16"/>
              </w:rPr>
              <w:t>278.80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12E2E">
            <w:pPr>
              <w:jc w:val="center"/>
            </w:pPr>
            <w:r>
              <w:rPr>
                <w:rFonts w:ascii="宋体" w:hAnsi="宋体" w:eastAsia="宋体"/>
                <w:sz w:val="16"/>
              </w:rPr>
              <w:t>278.79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253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EDF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7A88A">
            <w:pPr>
              <w:jc w:val="center"/>
            </w:pPr>
            <w:r>
              <w:rPr>
                <w:rFonts w:ascii="宋体" w:hAnsi="宋体" w:eastAsia="宋体"/>
                <w:sz w:val="16"/>
              </w:rPr>
              <w:t>-</w:t>
            </w:r>
          </w:p>
        </w:tc>
      </w:tr>
      <w:tr w14:paraId="5B2DE7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2EC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09A2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168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4B1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F52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A70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F2D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5FF7F">
            <w:pPr>
              <w:jc w:val="center"/>
            </w:pPr>
            <w:r>
              <w:rPr>
                <w:rFonts w:ascii="宋体" w:hAnsi="宋体" w:eastAsia="宋体"/>
                <w:sz w:val="16"/>
              </w:rPr>
              <w:t>-</w:t>
            </w:r>
          </w:p>
        </w:tc>
      </w:tr>
      <w:tr w14:paraId="7FF573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CA6FF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3F0FB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CAB3E9">
            <w:pPr>
              <w:jc w:val="center"/>
            </w:pPr>
            <w:r>
              <w:rPr>
                <w:rFonts w:ascii="宋体" w:hAnsi="宋体" w:eastAsia="宋体"/>
                <w:sz w:val="16"/>
              </w:rPr>
              <w:t>总体目标完成情况</w:t>
            </w:r>
          </w:p>
        </w:tc>
      </w:tr>
      <w:tr w14:paraId="1EF67F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F13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0A6759">
            <w:pPr>
              <w:jc w:val="both"/>
            </w:pPr>
            <w:r>
              <w:rPr>
                <w:rFonts w:ascii="宋体" w:hAnsi="宋体" w:eastAsia="宋体"/>
                <w:sz w:val="16"/>
              </w:rPr>
              <w:t>全力以赴做好恢复和扩大消费，推动外贸稳定增长，更大力度招商引资等重点工作，1.开展商务综合业务及招商引资项目，重点参加国际国内展会并制作招商宣传手册及展会展位搭建不少于4次，广告制作与宣传成本不超过110.96万元；2.开展电子商务数据分析监测服务、制作成品油零售体系“2024-2026”三年发展规划（规划费）、开展</w:t>
            </w:r>
            <w:r>
              <w:rPr>
                <w:rFonts w:hint="eastAsia" w:ascii="宋体" w:hAnsi="宋体"/>
                <w:sz w:val="16"/>
                <w:lang w:eastAsia="zh-CN"/>
              </w:rPr>
              <w:t>一刻钟便民</w:t>
            </w:r>
            <w:r>
              <w:rPr>
                <w:rFonts w:ascii="宋体" w:hAnsi="宋体" w:eastAsia="宋体"/>
                <w:sz w:val="16"/>
              </w:rPr>
              <w:t>生活圈现场观摩会、委托商务法律顾问、会计代理记账等委托业务不少于4次、商务业务委托成本少于26.6万元，商务业务购买办公耗材、邮寄商务业务资料、业务档案扫描整理费用、订阅商务业务学习资料等日常开展商务业务指导检查，接待外地客商汽车租赁、公务接待，召开外贸联席座谈会议、招商引资推介会、座谈会、商务系统“一刻钟便民生活圈”推荐会及展会期间召开推介会场地租赁全年不少于6次，租赁成本不小于21.34万元，开展办公业务及公务接待成</w:t>
            </w:r>
            <w:r>
              <w:rPr>
                <w:rFonts w:hint="eastAsia" w:ascii="宋体" w:hAnsi="宋体"/>
                <w:sz w:val="16"/>
                <w:lang w:eastAsia="zh-CN"/>
              </w:rPr>
              <w:t>本不</w:t>
            </w:r>
            <w:r>
              <w:rPr>
                <w:rFonts w:ascii="宋体" w:hAnsi="宋体" w:eastAsia="宋体"/>
                <w:sz w:val="16"/>
              </w:rPr>
              <w:t>少于112.9万元，开展办公业务及公务接待不少于10次；3.开展商务业务培训项目，参加电子商务、外资外贸、市场建设（商贸流通发展）等业务培训及举办外经贸业务联合培训班、市场运行监测样本企业培训、电商培训、招商引资落地项目到位资金统计及业务培训7万元，培训次数不少于4场次，培训不少于4天。通过项目设定，使业务培训人员满意度提高了，同时提高我州企业及产品的知名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E5BA85">
            <w:pPr>
              <w:jc w:val="both"/>
            </w:pPr>
            <w:r>
              <w:rPr>
                <w:rFonts w:ascii="宋体" w:hAnsi="宋体" w:eastAsia="宋体"/>
                <w:sz w:val="16"/>
              </w:rPr>
              <w:t>1.开展广告制作与宣传4次，支付费用110.95万元；2.开展业务委托4次、商务业务委托支付26.6万元3.完成会场和房屋</w:t>
            </w:r>
            <w:r>
              <w:rPr>
                <w:rFonts w:hint="eastAsia" w:ascii="宋体" w:hAnsi="宋体"/>
                <w:sz w:val="16"/>
                <w:lang w:eastAsia="zh-CN"/>
              </w:rPr>
              <w:t>租赁</w:t>
            </w:r>
            <w:r>
              <w:rPr>
                <w:rFonts w:ascii="宋体" w:hAnsi="宋体" w:eastAsia="宋体"/>
                <w:sz w:val="16"/>
              </w:rPr>
              <w:t>6次，租赁费用21.34万元；4.开展办公业务及公务接待10次，支付费用112.90万元；5.开展商务业务培训5次，支付费用7万元。通过项目的完成，服务了广大企业客户，提升了商务业务人员的能力素质，同时提高我州企业及产品的知名度。</w:t>
            </w:r>
          </w:p>
        </w:tc>
      </w:tr>
      <w:tr w14:paraId="0DA607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5826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6A26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AA1F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D021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2F71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6889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91ED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B03C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E7F1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D271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0F3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2506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262A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CBA18">
            <w:pPr>
              <w:jc w:val="center"/>
            </w:pPr>
            <w:r>
              <w:rPr>
                <w:rFonts w:ascii="宋体" w:hAnsi="宋体" w:eastAsia="宋体"/>
                <w:sz w:val="16"/>
              </w:rPr>
              <w:t>偏差原因分析及改进措施</w:t>
            </w:r>
          </w:p>
        </w:tc>
      </w:tr>
      <w:tr w14:paraId="5F7D41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FFCF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12DEC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3ACF8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2EE94">
            <w:pPr>
              <w:jc w:val="center"/>
            </w:pPr>
            <w:r>
              <w:rPr>
                <w:rFonts w:ascii="宋体" w:hAnsi="宋体" w:eastAsia="宋体"/>
                <w:sz w:val="16"/>
              </w:rPr>
              <w:t>广告制作与宣传（含亚博会）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39C58">
            <w:pPr>
              <w:jc w:val="center"/>
            </w:pPr>
            <w:r>
              <w:rPr>
                <w:rFonts w:ascii="宋体" w:hAnsi="宋体" w:eastAsia="宋体"/>
                <w:sz w:val="16"/>
              </w:rPr>
              <w:t>&gt;=4场次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0C4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20E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137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06C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3F76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950DB">
            <w:pPr>
              <w:jc w:val="center"/>
            </w:pPr>
            <w:r>
              <w:rPr>
                <w:rFonts w:ascii="宋体" w:hAnsi="宋体" w:eastAsia="宋体"/>
                <w:sz w:val="16"/>
              </w:rPr>
              <w:t>=4场次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8F1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F5B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5A0E9">
            <w:pPr>
              <w:jc w:val="center"/>
            </w:pPr>
          </w:p>
        </w:tc>
      </w:tr>
      <w:tr w14:paraId="7549A3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80F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3F0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1C4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123D3">
            <w:pPr>
              <w:jc w:val="center"/>
            </w:pPr>
            <w:r>
              <w:rPr>
                <w:rFonts w:ascii="宋体" w:hAnsi="宋体" w:eastAsia="宋体"/>
                <w:sz w:val="16"/>
              </w:rPr>
              <w:t>开展办公业务及公务接待（含亚博会）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FA427">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626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7AA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499F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FFE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8F79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A46F7">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127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A8DF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6ED3F">
            <w:pPr>
              <w:jc w:val="center"/>
            </w:pPr>
          </w:p>
        </w:tc>
      </w:tr>
      <w:tr w14:paraId="587734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A77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0C7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325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082AD">
            <w:pPr>
              <w:jc w:val="center"/>
            </w:pPr>
            <w:r>
              <w:rPr>
                <w:rFonts w:ascii="宋体" w:hAnsi="宋体" w:eastAsia="宋体"/>
                <w:sz w:val="16"/>
              </w:rPr>
              <w:t>商务业务培训次数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BD992">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4E8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8F7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B1CA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603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0B124">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9EC6C">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476CD">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40C85">
            <w:pPr>
              <w:jc w:val="center"/>
            </w:pPr>
            <w:r>
              <w:rPr>
                <w:rFonts w:ascii="宋体" w:hAnsi="宋体" w:eastAsia="宋体"/>
                <w:sz w:val="16"/>
              </w:rPr>
              <w:t>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1E742">
            <w:pPr>
              <w:jc w:val="center"/>
            </w:pPr>
            <w:r>
              <w:rPr>
                <w:rFonts w:ascii="宋体" w:hAnsi="宋体" w:eastAsia="宋体"/>
                <w:sz w:val="16"/>
              </w:rPr>
              <w:t>偏差原因：是增加以旧换新的促销宣传力度，增加了培训次数，改进措施：研判具体情况，结合实际，确保实际项目和预算相一致。</w:t>
            </w:r>
          </w:p>
        </w:tc>
      </w:tr>
      <w:tr w14:paraId="65E3E0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0FE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8EE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ED4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65D91">
            <w:pPr>
              <w:jc w:val="center"/>
            </w:pPr>
            <w:r>
              <w:rPr>
                <w:rFonts w:ascii="宋体" w:hAnsi="宋体" w:eastAsia="宋体"/>
                <w:sz w:val="16"/>
              </w:rPr>
              <w:t>商务业务培训人数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FB22E">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256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846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1CED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737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1A08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C9484">
            <w:pPr>
              <w:jc w:val="center"/>
            </w:pPr>
            <w:r>
              <w:rPr>
                <w:rFonts w:ascii="宋体" w:hAnsi="宋体" w:eastAsia="宋体"/>
                <w:sz w:val="16"/>
              </w:rPr>
              <w:t>=246人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13B5B">
            <w:pPr>
              <w:jc w:val="center"/>
            </w:pPr>
            <w:r>
              <w:rPr>
                <w:rFonts w:ascii="宋体" w:hAnsi="宋体" w:eastAsia="宋体"/>
                <w:sz w:val="16"/>
              </w:rPr>
              <w:t>123%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5D596">
            <w:pPr>
              <w:jc w:val="center"/>
            </w:pPr>
            <w:r>
              <w:rPr>
                <w:rFonts w:ascii="宋体" w:hAnsi="宋体" w:eastAsia="宋体"/>
                <w:sz w:val="16"/>
              </w:rPr>
              <w:t>2.31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22F7C">
            <w:pPr>
              <w:jc w:val="center"/>
            </w:pPr>
            <w:r>
              <w:rPr>
                <w:rFonts w:ascii="宋体" w:hAnsi="宋体" w:eastAsia="宋体"/>
                <w:sz w:val="16"/>
              </w:rPr>
              <w:t>偏差原因：是增加了培训次数，进而增加了培训人数；改进措施：建立项目进度跟踪机制，及时解决类似问题，确保项目实施与项目预算设定保持一致。度跟踪机制，及时解决问题确保项目顺利实施；建立项目进度跟踪机制，及时解决问题确保项目顺利实施；建立项目进度跟踪机制，及时解决问题</w:t>
            </w:r>
          </w:p>
        </w:tc>
      </w:tr>
      <w:tr w14:paraId="20E2D9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AD2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C24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8B1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B2181">
            <w:pPr>
              <w:jc w:val="center"/>
            </w:pPr>
            <w:r>
              <w:rPr>
                <w:rFonts w:ascii="宋体" w:hAnsi="宋体" w:eastAsia="宋体"/>
                <w:sz w:val="16"/>
              </w:rPr>
              <w:t>商务业务培训天数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FFD58">
            <w:pPr>
              <w:jc w:val="center"/>
            </w:pPr>
            <w:r>
              <w:rPr>
                <w:rFonts w:ascii="宋体" w:hAnsi="宋体" w:eastAsia="宋体"/>
                <w:sz w:val="16"/>
              </w:rPr>
              <w:t>&gt;=4天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F73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4FA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49E0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97D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3162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E43E2">
            <w:pPr>
              <w:jc w:val="center"/>
            </w:pPr>
            <w:r>
              <w:rPr>
                <w:rFonts w:ascii="宋体" w:hAnsi="宋体" w:eastAsia="宋体"/>
                <w:sz w:val="16"/>
              </w:rPr>
              <w:t>=6天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D2DF4">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81FE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DF99C">
            <w:pPr>
              <w:jc w:val="center"/>
            </w:pPr>
            <w:r>
              <w:rPr>
                <w:rFonts w:ascii="宋体" w:hAnsi="宋体" w:eastAsia="宋体"/>
                <w:sz w:val="16"/>
              </w:rPr>
              <w:t>偏差原因：是增加以旧换新的促销宣传力度，增加了培训天数；改进措施：研判具体情况，结合实际，确保实际项目和预算相一致。</w:t>
            </w:r>
          </w:p>
        </w:tc>
      </w:tr>
      <w:tr w14:paraId="169E13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8AA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FA3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A32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16E80">
            <w:pPr>
              <w:jc w:val="center"/>
            </w:pPr>
            <w:r>
              <w:rPr>
                <w:rFonts w:ascii="宋体" w:hAnsi="宋体" w:eastAsia="宋体"/>
                <w:sz w:val="16"/>
              </w:rPr>
              <w:t>开展商务业务委托（含亚博会）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8FDCA">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8B9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CC9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7DDF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6A8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FB7C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5BB01">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47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26EF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2DC0D">
            <w:pPr>
              <w:jc w:val="center"/>
            </w:pPr>
          </w:p>
        </w:tc>
      </w:tr>
      <w:tr w14:paraId="346FCA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DB6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49A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BC9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88942">
            <w:pPr>
              <w:jc w:val="center"/>
            </w:pPr>
            <w:r>
              <w:rPr>
                <w:rFonts w:ascii="宋体" w:hAnsi="宋体" w:eastAsia="宋体"/>
                <w:sz w:val="16"/>
              </w:rPr>
              <w:t>商务业务场地租赁次数（含亚博会）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89490">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6AB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4DC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4CF5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801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84F3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CDD3A">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F26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97D0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F3451">
            <w:pPr>
              <w:jc w:val="center"/>
            </w:pPr>
          </w:p>
        </w:tc>
      </w:tr>
      <w:tr w14:paraId="4F98BA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525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316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BBA24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5E964">
            <w:pPr>
              <w:jc w:val="center"/>
            </w:pPr>
            <w:r>
              <w:rPr>
                <w:rFonts w:ascii="宋体" w:hAnsi="宋体" w:eastAsia="宋体"/>
                <w:sz w:val="16"/>
              </w:rPr>
              <w:t>商务业务培训出勤率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7A1C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956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AD2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CFDD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E07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914C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7B8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41B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41A4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B586F">
            <w:pPr>
              <w:jc w:val="center"/>
            </w:pPr>
          </w:p>
        </w:tc>
      </w:tr>
      <w:tr w14:paraId="041D0F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9DF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DAF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44C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E85A4">
            <w:pPr>
              <w:jc w:val="center"/>
            </w:pPr>
            <w:r>
              <w:rPr>
                <w:rFonts w:ascii="宋体" w:hAnsi="宋体" w:eastAsia="宋体"/>
                <w:sz w:val="16"/>
              </w:rPr>
              <w:t>办公业务及公务接待经费支付保障率（含亚博会）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DA06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22C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3A3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1109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109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F063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7BB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9B4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CB59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6437B">
            <w:pPr>
              <w:jc w:val="center"/>
            </w:pPr>
          </w:p>
        </w:tc>
      </w:tr>
      <w:tr w14:paraId="3519B3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40F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DB1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46A9E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8C77F">
            <w:pPr>
              <w:jc w:val="center"/>
            </w:pPr>
            <w:r>
              <w:rPr>
                <w:rFonts w:ascii="宋体" w:hAnsi="宋体" w:eastAsia="宋体"/>
                <w:sz w:val="16"/>
              </w:rPr>
              <w:t>商务业务资金支付及时率（含亚博会）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DC6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36C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800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4306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D8F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F8DE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3E2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EC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E36C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6646B">
            <w:pPr>
              <w:jc w:val="center"/>
            </w:pPr>
          </w:p>
        </w:tc>
      </w:tr>
      <w:tr w14:paraId="754553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BED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337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9C0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65CAF">
            <w:pPr>
              <w:jc w:val="center"/>
            </w:pPr>
            <w:r>
              <w:rPr>
                <w:rFonts w:ascii="宋体" w:hAnsi="宋体" w:eastAsia="宋体"/>
                <w:sz w:val="16"/>
              </w:rPr>
              <w:t>商务业务培训班按期完成率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ABF2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A69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B7B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776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EF7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34F1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1D6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21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E80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AF519">
            <w:pPr>
              <w:jc w:val="center"/>
            </w:pPr>
          </w:p>
        </w:tc>
      </w:tr>
      <w:tr w14:paraId="1F443C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D10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0DC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A10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62CD3">
            <w:pPr>
              <w:jc w:val="center"/>
            </w:pPr>
            <w:r>
              <w:rPr>
                <w:rFonts w:ascii="宋体" w:hAnsi="宋体" w:eastAsia="宋体"/>
                <w:sz w:val="16"/>
              </w:rPr>
              <w:t>商务业务及公务接待按时完成率（含亚博会）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F27A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F70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A46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57D1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9BF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7D96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9DC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3DC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CB5A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01D24">
            <w:pPr>
              <w:jc w:val="center"/>
            </w:pPr>
          </w:p>
        </w:tc>
      </w:tr>
      <w:tr w14:paraId="1061F0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247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895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9D7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FAA96">
            <w:pPr>
              <w:jc w:val="center"/>
            </w:pPr>
            <w:r>
              <w:rPr>
                <w:rFonts w:ascii="宋体" w:hAnsi="宋体" w:eastAsia="宋体"/>
                <w:sz w:val="16"/>
              </w:rPr>
              <w:t>广告制作与宣传资金支付及时率（含亚博会）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867B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06F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B69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F1AD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382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4560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1CAB4">
            <w:pPr>
              <w:jc w:val="center"/>
            </w:pPr>
            <w:r>
              <w:rPr>
                <w:rFonts w:ascii="宋体" w:hAnsi="宋体" w:eastAsia="宋体"/>
                <w:sz w:val="16"/>
              </w:rPr>
              <w:t>=99.99%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B6C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C4AD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1BD99">
            <w:pPr>
              <w:jc w:val="center"/>
            </w:pPr>
            <w:r>
              <w:rPr>
                <w:rFonts w:ascii="宋体" w:hAnsi="宋体" w:eastAsia="宋体"/>
                <w:sz w:val="16"/>
              </w:rPr>
              <w:t>偏差原因：是在支付过程中有小微企业优惠政策的执行，执行数与预算有偏差；改进措施：提高预算安排的精准性，确保资金分配合理；定期监控预算执行情况，</w:t>
            </w:r>
            <w:r>
              <w:rPr>
                <w:rFonts w:hint="eastAsia" w:ascii="宋体" w:hAnsi="宋体"/>
                <w:sz w:val="16"/>
                <w:lang w:eastAsia="zh-CN"/>
              </w:rPr>
              <w:t>及时校准偏差</w:t>
            </w:r>
            <w:r>
              <w:rPr>
                <w:rFonts w:ascii="宋体" w:hAnsi="宋体" w:eastAsia="宋体"/>
                <w:sz w:val="16"/>
              </w:rPr>
              <w:t>。</w:t>
            </w:r>
          </w:p>
        </w:tc>
      </w:tr>
      <w:tr w14:paraId="265F91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FE4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7BB1A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69A94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CA6F7">
            <w:pPr>
              <w:jc w:val="center"/>
            </w:pPr>
            <w:r>
              <w:rPr>
                <w:rFonts w:ascii="宋体" w:hAnsi="宋体" w:eastAsia="宋体"/>
                <w:sz w:val="16"/>
              </w:rPr>
              <w:t>支付广告制作与宣传成本（含亚博会）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69CC1">
            <w:pPr>
              <w:jc w:val="center"/>
            </w:pPr>
            <w:r>
              <w:rPr>
                <w:rFonts w:ascii="宋体" w:hAnsi="宋体" w:eastAsia="宋体"/>
                <w:sz w:val="16"/>
              </w:rPr>
              <w:t>&lt;=110.96万元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4C9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DB5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B86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F75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6A63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70408">
            <w:pPr>
              <w:jc w:val="center"/>
            </w:pPr>
            <w:r>
              <w:rPr>
                <w:rFonts w:ascii="宋体" w:hAnsi="宋体" w:eastAsia="宋体"/>
                <w:sz w:val="16"/>
              </w:rPr>
              <w:t>=110.95万元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0BC35">
            <w:pPr>
              <w:jc w:val="center"/>
            </w:pPr>
            <w:r>
              <w:rPr>
                <w:rFonts w:ascii="宋体" w:hAnsi="宋体" w:eastAsia="宋体"/>
                <w:sz w:val="16"/>
              </w:rPr>
              <w:t>99.99%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53E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1FF13">
            <w:pPr>
              <w:jc w:val="center"/>
            </w:pPr>
            <w:r>
              <w:rPr>
                <w:rFonts w:ascii="宋体" w:hAnsi="宋体" w:eastAsia="宋体"/>
                <w:sz w:val="16"/>
              </w:rPr>
              <w:t>偏差原因：是在支付过程中有小微企业优惠政策的执行，执行数与预算有偏差；改进措施：提高预算安排的精准性，确保资金分配合理；定期监控预算执行情况，</w:t>
            </w:r>
            <w:r>
              <w:rPr>
                <w:rFonts w:hint="eastAsia" w:ascii="宋体" w:hAnsi="宋体"/>
                <w:sz w:val="16"/>
                <w:lang w:eastAsia="zh-CN"/>
              </w:rPr>
              <w:t>及时校准偏差</w:t>
            </w:r>
            <w:r>
              <w:rPr>
                <w:rFonts w:ascii="宋体" w:hAnsi="宋体" w:eastAsia="宋体"/>
                <w:sz w:val="16"/>
              </w:rPr>
              <w:t>。</w:t>
            </w:r>
          </w:p>
        </w:tc>
      </w:tr>
      <w:tr w14:paraId="52039F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8AD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D48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23A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D81BB">
            <w:pPr>
              <w:jc w:val="center"/>
            </w:pPr>
            <w:r>
              <w:rPr>
                <w:rFonts w:ascii="宋体" w:hAnsi="宋体" w:eastAsia="宋体"/>
                <w:sz w:val="16"/>
              </w:rPr>
              <w:t>开展办公业务及公务接待成本（含亚博会）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EA735">
            <w:pPr>
              <w:jc w:val="center"/>
            </w:pPr>
            <w:r>
              <w:rPr>
                <w:rFonts w:ascii="宋体" w:hAnsi="宋体" w:eastAsia="宋体"/>
                <w:sz w:val="16"/>
              </w:rPr>
              <w:t>&lt;=112.9万元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7C1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592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7F8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25C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732F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CEAD2">
            <w:pPr>
              <w:jc w:val="center"/>
            </w:pPr>
            <w:r>
              <w:rPr>
                <w:rFonts w:ascii="宋体" w:hAnsi="宋体" w:eastAsia="宋体"/>
                <w:sz w:val="16"/>
              </w:rPr>
              <w:t>=112.9万元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CDC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98C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35134">
            <w:pPr>
              <w:jc w:val="center"/>
            </w:pPr>
          </w:p>
        </w:tc>
      </w:tr>
      <w:tr w14:paraId="7F6B93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28C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578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37F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84C01">
            <w:pPr>
              <w:jc w:val="center"/>
            </w:pPr>
            <w:r>
              <w:rPr>
                <w:rFonts w:ascii="宋体" w:hAnsi="宋体" w:eastAsia="宋体"/>
                <w:sz w:val="16"/>
              </w:rPr>
              <w:t>商务业务培训成本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24136">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F38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A92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5B6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44C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0229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6EF6B">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D04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04E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F8286">
            <w:pPr>
              <w:jc w:val="center"/>
            </w:pPr>
          </w:p>
        </w:tc>
      </w:tr>
      <w:tr w14:paraId="6573BB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B29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7E0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D2C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BF737">
            <w:pPr>
              <w:jc w:val="center"/>
            </w:pPr>
            <w:r>
              <w:rPr>
                <w:rFonts w:ascii="宋体" w:hAnsi="宋体" w:eastAsia="宋体"/>
                <w:sz w:val="16"/>
              </w:rPr>
              <w:t>开展商务业务委托成本（含亚博会）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ED77">
            <w:pPr>
              <w:jc w:val="center"/>
            </w:pPr>
            <w:r>
              <w:rPr>
                <w:rFonts w:ascii="宋体" w:hAnsi="宋体" w:eastAsia="宋体"/>
                <w:sz w:val="16"/>
              </w:rPr>
              <w:t>&lt;=26.6万元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008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152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EA1B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186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DB8E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945A3">
            <w:pPr>
              <w:jc w:val="center"/>
            </w:pPr>
            <w:r>
              <w:rPr>
                <w:rFonts w:ascii="宋体" w:hAnsi="宋体" w:eastAsia="宋体"/>
                <w:sz w:val="16"/>
              </w:rPr>
              <w:t>=26.6万元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B4A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6EE6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9770E">
            <w:pPr>
              <w:jc w:val="center"/>
            </w:pPr>
          </w:p>
        </w:tc>
      </w:tr>
      <w:tr w14:paraId="6177AE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C9F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1CC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BF1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CCDC6">
            <w:pPr>
              <w:jc w:val="center"/>
            </w:pPr>
            <w:r>
              <w:rPr>
                <w:rFonts w:ascii="宋体" w:hAnsi="宋体" w:eastAsia="宋体"/>
                <w:sz w:val="16"/>
              </w:rPr>
              <w:t>商务业务场地租赁成本（含亚博会）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4D3F3">
            <w:pPr>
              <w:jc w:val="center"/>
            </w:pPr>
            <w:r>
              <w:rPr>
                <w:rFonts w:ascii="宋体" w:hAnsi="宋体" w:eastAsia="宋体"/>
                <w:sz w:val="16"/>
              </w:rPr>
              <w:t>&lt;=21.34万元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55A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D7E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8DBE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D30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2BBF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697E7">
            <w:pPr>
              <w:jc w:val="center"/>
            </w:pPr>
            <w:r>
              <w:rPr>
                <w:rFonts w:ascii="宋体" w:hAnsi="宋体" w:eastAsia="宋体"/>
                <w:sz w:val="16"/>
              </w:rPr>
              <w:t>=21.34万元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410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B259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1183A">
            <w:pPr>
              <w:jc w:val="center"/>
            </w:pPr>
          </w:p>
        </w:tc>
      </w:tr>
      <w:tr w14:paraId="668A42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630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646D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7CB9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91D7E">
            <w:pPr>
              <w:jc w:val="center"/>
            </w:pPr>
            <w:r>
              <w:rPr>
                <w:rFonts w:ascii="宋体" w:hAnsi="宋体" w:eastAsia="宋体"/>
                <w:sz w:val="16"/>
              </w:rPr>
              <w:t>提高我州企业及产品知名度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2A8E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E39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96F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6F2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7535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671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44C3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D03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D48D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4D5B0">
            <w:pPr>
              <w:jc w:val="center"/>
            </w:pPr>
          </w:p>
        </w:tc>
      </w:tr>
      <w:tr w14:paraId="04F692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5CF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165BC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3C6A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2512E">
            <w:pPr>
              <w:jc w:val="center"/>
            </w:pPr>
            <w:r>
              <w:rPr>
                <w:rFonts w:ascii="宋体" w:hAnsi="宋体" w:eastAsia="宋体"/>
                <w:sz w:val="16"/>
              </w:rPr>
              <w:t>参与培训人员满意度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9E5C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9CF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61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4B0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8C13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A7C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7D021">
            <w:pPr>
              <w:jc w:val="center"/>
            </w:pPr>
            <w:r>
              <w:rPr>
                <w:rFonts w:ascii="宋体" w:hAnsi="宋体" w:eastAsia="宋体"/>
                <w:sz w:val="16"/>
              </w:rPr>
              <w:t>=99.2%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C48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3C4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F7504">
            <w:pPr>
              <w:jc w:val="center"/>
            </w:pPr>
          </w:p>
        </w:tc>
      </w:tr>
      <w:tr w14:paraId="24FEFA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E13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D5A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BAC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C42DC">
            <w:pPr>
              <w:jc w:val="center"/>
            </w:pPr>
            <w:r>
              <w:rPr>
                <w:rFonts w:ascii="宋体" w:hAnsi="宋体" w:eastAsia="宋体"/>
                <w:sz w:val="16"/>
              </w:rPr>
              <w:t>服务企业满意度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A7D6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5E4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FFC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BC8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A7AB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6AB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96D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7E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DA8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61763">
            <w:pPr>
              <w:jc w:val="center"/>
            </w:pPr>
          </w:p>
        </w:tc>
      </w:tr>
      <w:tr w14:paraId="0805FE2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3CAF6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8D13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A807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30BC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17D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AA8D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FD83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0271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5528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43069">
            <w:pPr>
              <w:jc w:val="center"/>
            </w:pPr>
            <w:r>
              <w:rPr>
                <w:rFonts w:ascii="宋体" w:hAnsi="宋体" w:eastAsia="宋体"/>
                <w:sz w:val="16"/>
              </w:rPr>
              <w:t>97.56分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EDD5A6"/>
        </w:tc>
      </w:tr>
    </w:tbl>
    <w:p w14:paraId="59CD7D7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4A014584">
        <w:tblPrEx>
          <w:tblCellMar>
            <w:top w:w="0" w:type="dxa"/>
            <w:left w:w="108" w:type="dxa"/>
            <w:bottom w:w="0" w:type="dxa"/>
            <w:right w:w="108" w:type="dxa"/>
          </w:tblCellMar>
        </w:tblPrEx>
        <w:tc>
          <w:tcPr>
            <w:tcW w:w="8848" w:type="dxa"/>
            <w:gridSpan w:val="14"/>
            <w:vAlign w:val="center"/>
          </w:tcPr>
          <w:p w14:paraId="35384F1E">
            <w:pPr>
              <w:jc w:val="center"/>
            </w:pPr>
            <w:r>
              <w:rPr>
                <w:rFonts w:ascii="宋体" w:hAnsi="宋体" w:eastAsia="宋体"/>
                <w:sz w:val="24"/>
              </w:rPr>
              <w:t>项目支出绩效自评表</w:t>
            </w:r>
          </w:p>
        </w:tc>
      </w:tr>
      <w:tr w14:paraId="6F4CFA4E">
        <w:tblPrEx>
          <w:tblCellMar>
            <w:top w:w="0" w:type="dxa"/>
            <w:left w:w="108" w:type="dxa"/>
            <w:bottom w:w="0" w:type="dxa"/>
            <w:right w:w="108" w:type="dxa"/>
          </w:tblCellMar>
        </w:tblPrEx>
        <w:tc>
          <w:tcPr>
            <w:tcW w:w="8848" w:type="dxa"/>
            <w:gridSpan w:val="14"/>
            <w:vAlign w:val="center"/>
          </w:tcPr>
          <w:p w14:paraId="6E067AD5">
            <w:pPr>
              <w:jc w:val="center"/>
            </w:pPr>
            <w:r>
              <w:rPr>
                <w:rFonts w:ascii="宋体" w:hAnsi="宋体" w:eastAsia="宋体"/>
                <w:sz w:val="24"/>
              </w:rPr>
              <w:t>(2024年度)</w:t>
            </w:r>
          </w:p>
        </w:tc>
      </w:tr>
      <w:tr w14:paraId="3BD997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D9EA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72DC24">
            <w:pPr>
              <w:jc w:val="center"/>
            </w:pPr>
            <w:r>
              <w:rPr>
                <w:rFonts w:ascii="宋体" w:hAnsi="宋体" w:eastAsia="宋体"/>
                <w:sz w:val="16"/>
              </w:rPr>
              <w:t>2024年柔性人才援疆干部生活工作补助</w:t>
            </w:r>
          </w:p>
        </w:tc>
      </w:tr>
      <w:tr w14:paraId="4AD6B8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D6F1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2F7DCE">
            <w:pPr>
              <w:jc w:val="center"/>
            </w:pPr>
            <w:r>
              <w:rPr>
                <w:rFonts w:ascii="宋体" w:hAnsi="宋体" w:eastAsia="宋体"/>
                <w:sz w:val="16"/>
              </w:rPr>
              <w:t>新疆巴音郭楞蒙古自治州商务局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8504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A4AE1C">
            <w:pPr>
              <w:jc w:val="center"/>
            </w:pPr>
            <w:r>
              <w:rPr>
                <w:rFonts w:ascii="宋体" w:hAnsi="宋体" w:eastAsia="宋体"/>
                <w:sz w:val="16"/>
              </w:rPr>
              <w:t>新疆巴音郭楞蒙古自治州商务局</w:t>
            </w:r>
          </w:p>
        </w:tc>
      </w:tr>
      <w:tr w14:paraId="2E29B3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FB21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9495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7F98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39C9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AB6A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5F40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671F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E0EC6">
            <w:pPr>
              <w:jc w:val="center"/>
            </w:pPr>
            <w:r>
              <w:rPr>
                <w:rFonts w:ascii="宋体" w:hAnsi="宋体" w:eastAsia="宋体"/>
                <w:sz w:val="16"/>
              </w:rPr>
              <w:t>得分</w:t>
            </w:r>
          </w:p>
        </w:tc>
      </w:tr>
      <w:tr w14:paraId="120353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1960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AD89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7A9A9">
            <w:pPr>
              <w:jc w:val="center"/>
            </w:pPr>
            <w:r>
              <w:rPr>
                <w:rFonts w:ascii="宋体" w:hAnsi="宋体" w:eastAsia="宋体"/>
                <w:sz w:val="16"/>
              </w:rPr>
              <w:t>5.46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8C90A">
            <w:pPr>
              <w:jc w:val="center"/>
            </w:pPr>
            <w:r>
              <w:rPr>
                <w:rFonts w:ascii="宋体" w:hAnsi="宋体" w:eastAsia="宋体"/>
                <w:sz w:val="16"/>
              </w:rPr>
              <w:t>5.46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C9F8F">
            <w:pPr>
              <w:jc w:val="center"/>
            </w:pPr>
            <w:r>
              <w:rPr>
                <w:rFonts w:ascii="宋体" w:hAnsi="宋体" w:eastAsia="宋体"/>
                <w:sz w:val="16"/>
              </w:rPr>
              <w:t>5.46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0AE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EDF1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94C93">
            <w:pPr>
              <w:jc w:val="center"/>
            </w:pPr>
            <w:r>
              <w:rPr>
                <w:rFonts w:ascii="宋体" w:hAnsi="宋体" w:eastAsia="宋体"/>
                <w:sz w:val="16"/>
              </w:rPr>
              <w:t>10.00</w:t>
            </w:r>
          </w:p>
        </w:tc>
      </w:tr>
      <w:tr w14:paraId="21286D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53B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AC1E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90B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1FB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7FF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666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4A0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0623B">
            <w:pPr>
              <w:jc w:val="center"/>
            </w:pPr>
            <w:r>
              <w:rPr>
                <w:rFonts w:ascii="宋体" w:hAnsi="宋体" w:eastAsia="宋体"/>
                <w:sz w:val="16"/>
              </w:rPr>
              <w:t>-</w:t>
            </w:r>
          </w:p>
        </w:tc>
      </w:tr>
      <w:tr w14:paraId="4E58DD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5F2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AC98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AC15F">
            <w:pPr>
              <w:jc w:val="center"/>
            </w:pPr>
            <w:r>
              <w:rPr>
                <w:rFonts w:ascii="宋体" w:hAnsi="宋体" w:eastAsia="宋体"/>
                <w:sz w:val="16"/>
              </w:rPr>
              <w:t>5.46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EDCB7">
            <w:pPr>
              <w:jc w:val="center"/>
            </w:pPr>
            <w:r>
              <w:rPr>
                <w:rFonts w:ascii="宋体" w:hAnsi="宋体" w:eastAsia="宋体"/>
                <w:sz w:val="16"/>
              </w:rPr>
              <w:t>5.46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19204">
            <w:pPr>
              <w:jc w:val="center"/>
            </w:pPr>
            <w:r>
              <w:rPr>
                <w:rFonts w:ascii="宋体" w:hAnsi="宋体" w:eastAsia="宋体"/>
                <w:sz w:val="16"/>
              </w:rPr>
              <w:t>5.46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73E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803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9462C">
            <w:pPr>
              <w:jc w:val="center"/>
            </w:pPr>
            <w:r>
              <w:rPr>
                <w:rFonts w:ascii="宋体" w:hAnsi="宋体" w:eastAsia="宋体"/>
                <w:sz w:val="16"/>
              </w:rPr>
              <w:t>-</w:t>
            </w:r>
          </w:p>
        </w:tc>
      </w:tr>
      <w:tr w14:paraId="22EB34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AB5A0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74146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D4DA12">
            <w:pPr>
              <w:jc w:val="center"/>
            </w:pPr>
            <w:r>
              <w:rPr>
                <w:rFonts w:ascii="宋体" w:hAnsi="宋体" w:eastAsia="宋体"/>
                <w:sz w:val="16"/>
              </w:rPr>
              <w:t>总体目标完成情况</w:t>
            </w:r>
          </w:p>
        </w:tc>
      </w:tr>
      <w:tr w14:paraId="0AF60B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31CF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B74877">
            <w:pPr>
              <w:jc w:val="both"/>
            </w:pPr>
            <w:r>
              <w:rPr>
                <w:rFonts w:ascii="宋体" w:hAnsi="宋体" w:eastAsia="宋体"/>
                <w:sz w:val="16"/>
              </w:rPr>
              <w:t>按照巴党组发电</w:t>
            </w:r>
            <w:r>
              <w:rPr>
                <w:rFonts w:hint="eastAsia" w:ascii="宋体" w:hAnsi="宋体"/>
                <w:sz w:val="16"/>
                <w:lang w:eastAsia="zh-CN"/>
              </w:rPr>
              <w:t>〔2022〕12号</w:t>
            </w:r>
            <w:r>
              <w:rPr>
                <w:rFonts w:ascii="宋体" w:hAnsi="宋体" w:eastAsia="宋体"/>
                <w:sz w:val="16"/>
              </w:rPr>
              <w:t>文件精神，巴州商务局发放在柔性援疆人才1人工作期间享受相关待遇，工作补助2800元/月；住房伙食补助1500元/月，交通补助3000元/年，补齐单位重点行业领域人才匮乏的短板，共同助推巴州经济社会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B362EB">
            <w:pPr>
              <w:jc w:val="both"/>
            </w:pPr>
            <w:r>
              <w:rPr>
                <w:rFonts w:ascii="宋体" w:hAnsi="宋体" w:eastAsia="宋体"/>
                <w:sz w:val="16"/>
              </w:rPr>
              <w:t>完成发放柔性援疆人才1人工作补助12次，交通补助2次，共计5.46万元。补齐单位重点行业领域人才匮乏的短板，共同助推巴州经济社会高质量发展。</w:t>
            </w:r>
          </w:p>
        </w:tc>
      </w:tr>
      <w:tr w14:paraId="291AA5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649B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4F48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36BC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B202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0F1B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1D30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C243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AA5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F3EB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A089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3552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7273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B0DA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9F15A">
            <w:pPr>
              <w:jc w:val="center"/>
            </w:pPr>
            <w:r>
              <w:rPr>
                <w:rFonts w:ascii="宋体" w:hAnsi="宋体" w:eastAsia="宋体"/>
                <w:sz w:val="16"/>
              </w:rPr>
              <w:t>偏差原因分析及改进措施</w:t>
            </w:r>
          </w:p>
        </w:tc>
      </w:tr>
      <w:tr w14:paraId="01BFCC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AE09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D62EC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CB0F7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A3E25">
            <w:pPr>
              <w:jc w:val="center"/>
            </w:pPr>
            <w:r>
              <w:rPr>
                <w:rFonts w:ascii="宋体" w:hAnsi="宋体" w:eastAsia="宋体"/>
                <w:sz w:val="16"/>
              </w:rPr>
              <w:t>柔性援疆干部人数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DCC8C">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75E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1FB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C73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EE1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A7605">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0BD3E">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76E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405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602D1">
            <w:pPr>
              <w:jc w:val="center"/>
            </w:pPr>
          </w:p>
        </w:tc>
      </w:tr>
      <w:tr w14:paraId="7E410A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6AF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0C9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3F6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D97DD">
            <w:pPr>
              <w:jc w:val="center"/>
            </w:pPr>
            <w:r>
              <w:rPr>
                <w:rFonts w:ascii="宋体" w:hAnsi="宋体" w:eastAsia="宋体"/>
                <w:sz w:val="16"/>
              </w:rPr>
              <w:t>补助发放次数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2670A">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26F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7A1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1E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809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A5FC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02C7D">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05C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523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4DB53">
            <w:pPr>
              <w:jc w:val="center"/>
            </w:pPr>
          </w:p>
        </w:tc>
      </w:tr>
      <w:tr w14:paraId="56CA2F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219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02B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8561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638CD">
            <w:pPr>
              <w:jc w:val="center"/>
            </w:pPr>
            <w:r>
              <w:rPr>
                <w:rFonts w:ascii="宋体" w:hAnsi="宋体" w:eastAsia="宋体"/>
                <w:sz w:val="16"/>
              </w:rPr>
              <w:t>补助经费支付保障率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7F5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692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D8D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7C3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CC0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289C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359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654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F15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155C0">
            <w:pPr>
              <w:jc w:val="center"/>
            </w:pPr>
          </w:p>
        </w:tc>
      </w:tr>
      <w:tr w14:paraId="362DF4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D3F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901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7AC7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15218">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405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0A3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9BD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5DE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2E0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8AEF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699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986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594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1138">
            <w:pPr>
              <w:jc w:val="center"/>
            </w:pPr>
          </w:p>
        </w:tc>
      </w:tr>
      <w:tr w14:paraId="04B56E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66B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D2F98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C1013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DB5AD">
            <w:pPr>
              <w:jc w:val="center"/>
            </w:pPr>
            <w:r>
              <w:rPr>
                <w:rFonts w:ascii="宋体" w:hAnsi="宋体" w:eastAsia="宋体"/>
                <w:sz w:val="16"/>
              </w:rPr>
              <w:t>工作补助成本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90503">
            <w:pPr>
              <w:jc w:val="center"/>
            </w:pPr>
            <w:r>
              <w:rPr>
                <w:rFonts w:ascii="宋体" w:hAnsi="宋体" w:eastAsia="宋体"/>
                <w:sz w:val="16"/>
              </w:rPr>
              <w:t>&lt;=2800元/月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1EB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ED7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C3F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C97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B81A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9736A">
            <w:pPr>
              <w:jc w:val="center"/>
            </w:pPr>
            <w:r>
              <w:rPr>
                <w:rFonts w:ascii="宋体" w:hAnsi="宋体" w:eastAsia="宋体"/>
                <w:sz w:val="16"/>
              </w:rPr>
              <w:t>=2800元/月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F66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082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45F0A">
            <w:pPr>
              <w:jc w:val="center"/>
            </w:pPr>
          </w:p>
        </w:tc>
      </w:tr>
      <w:tr w14:paraId="415CBD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A7E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350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29F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E115B">
            <w:pPr>
              <w:jc w:val="center"/>
            </w:pPr>
            <w:r>
              <w:rPr>
                <w:rFonts w:ascii="宋体" w:hAnsi="宋体" w:eastAsia="宋体"/>
                <w:sz w:val="16"/>
              </w:rPr>
              <w:t>食宿补助成本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A8C2">
            <w:pPr>
              <w:jc w:val="center"/>
            </w:pPr>
            <w:r>
              <w:rPr>
                <w:rFonts w:ascii="宋体" w:hAnsi="宋体" w:eastAsia="宋体"/>
                <w:sz w:val="16"/>
              </w:rPr>
              <w:t>&lt;=1500元/月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A62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6EC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511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4C5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EDAD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45395">
            <w:pPr>
              <w:jc w:val="center"/>
            </w:pPr>
            <w:r>
              <w:rPr>
                <w:rFonts w:ascii="宋体" w:hAnsi="宋体" w:eastAsia="宋体"/>
                <w:sz w:val="16"/>
              </w:rPr>
              <w:t>=1500元/月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54A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FDF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30B01">
            <w:pPr>
              <w:jc w:val="center"/>
            </w:pPr>
          </w:p>
        </w:tc>
      </w:tr>
      <w:tr w14:paraId="06F757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AFC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386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B4C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6992F">
            <w:pPr>
              <w:jc w:val="center"/>
            </w:pPr>
            <w:r>
              <w:rPr>
                <w:rFonts w:ascii="宋体" w:hAnsi="宋体" w:eastAsia="宋体"/>
                <w:sz w:val="16"/>
              </w:rPr>
              <w:t>交通费成本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B3C48">
            <w:pPr>
              <w:jc w:val="center"/>
            </w:pPr>
            <w:r>
              <w:rPr>
                <w:rFonts w:ascii="宋体" w:hAnsi="宋体" w:eastAsia="宋体"/>
                <w:sz w:val="16"/>
              </w:rPr>
              <w:t>&lt;=3000元/年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9B0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170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FC4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5C3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C5E1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D071B">
            <w:pPr>
              <w:jc w:val="center"/>
            </w:pPr>
            <w:r>
              <w:rPr>
                <w:rFonts w:ascii="宋体" w:hAnsi="宋体" w:eastAsia="宋体"/>
                <w:sz w:val="16"/>
              </w:rPr>
              <w:t>=3000元/年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F99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9E9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BC958">
            <w:pPr>
              <w:jc w:val="center"/>
            </w:pPr>
          </w:p>
        </w:tc>
      </w:tr>
      <w:tr w14:paraId="03DBB0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A86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FC92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6EDE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D6954">
            <w:pPr>
              <w:jc w:val="center"/>
            </w:pPr>
            <w:r>
              <w:rPr>
                <w:rFonts w:ascii="宋体" w:hAnsi="宋体" w:eastAsia="宋体"/>
                <w:sz w:val="16"/>
              </w:rPr>
              <w:t>单位紧缺人才状况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B5BA7">
            <w:pPr>
              <w:jc w:val="center"/>
            </w:pPr>
            <w:r>
              <w:rPr>
                <w:rFonts w:ascii="宋体" w:hAnsi="宋体" w:eastAsia="宋体"/>
                <w:sz w:val="16"/>
              </w:rPr>
              <w:t>有效缓解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BEA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D9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EBC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D1B6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62D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3E55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FC2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52C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1C4DF">
            <w:pPr>
              <w:jc w:val="center"/>
            </w:pPr>
          </w:p>
        </w:tc>
      </w:tr>
      <w:tr w14:paraId="2AF3D5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A18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8DD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AC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C4402">
            <w:pPr>
              <w:jc w:val="center"/>
            </w:pPr>
            <w:r>
              <w:rPr>
                <w:rFonts w:ascii="宋体" w:hAnsi="宋体" w:eastAsia="宋体"/>
                <w:sz w:val="16"/>
              </w:rPr>
              <w:t>柔性人才人员满意度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4A0A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7F2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72F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29A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D523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A8B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693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505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2D6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6F79D">
            <w:pPr>
              <w:jc w:val="center"/>
            </w:pPr>
          </w:p>
        </w:tc>
      </w:tr>
      <w:tr w14:paraId="7EF7722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8C7F6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1D3C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B5D4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2322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1CE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2C07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827F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1FEA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68E6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3DD8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BAC29C"/>
        </w:tc>
      </w:tr>
    </w:tbl>
    <w:p w14:paraId="1DEE7524">
      <w:r>
        <w:br w:type="page"/>
      </w:r>
    </w:p>
    <w:tbl>
      <w:tblPr>
        <w:tblStyle w:val="9"/>
        <w:tblW w:w="0" w:type="auto"/>
        <w:tblInd w:w="0" w:type="dxa"/>
        <w:tblLayout w:type="autofit"/>
        <w:tblCellMar>
          <w:top w:w="0" w:type="dxa"/>
          <w:left w:w="108" w:type="dxa"/>
          <w:bottom w:w="0" w:type="dxa"/>
          <w:right w:w="108" w:type="dxa"/>
        </w:tblCellMar>
      </w:tblPr>
      <w:tblGrid>
        <w:gridCol w:w="629"/>
        <w:gridCol w:w="623"/>
        <w:gridCol w:w="623"/>
        <w:gridCol w:w="623"/>
        <w:gridCol w:w="856"/>
        <w:gridCol w:w="623"/>
        <w:gridCol w:w="623"/>
        <w:gridCol w:w="626"/>
        <w:gridCol w:w="623"/>
        <w:gridCol w:w="623"/>
        <w:gridCol w:w="696"/>
        <w:gridCol w:w="629"/>
        <w:gridCol w:w="631"/>
        <w:gridCol w:w="632"/>
      </w:tblGrid>
      <w:tr w14:paraId="071C35E0">
        <w:tblPrEx>
          <w:tblCellMar>
            <w:top w:w="0" w:type="dxa"/>
            <w:left w:w="108" w:type="dxa"/>
            <w:bottom w:w="0" w:type="dxa"/>
            <w:right w:w="108" w:type="dxa"/>
          </w:tblCellMar>
        </w:tblPrEx>
        <w:tc>
          <w:tcPr>
            <w:tcW w:w="8848" w:type="dxa"/>
            <w:gridSpan w:val="14"/>
            <w:vAlign w:val="center"/>
          </w:tcPr>
          <w:p w14:paraId="5D944219">
            <w:pPr>
              <w:jc w:val="center"/>
            </w:pPr>
            <w:r>
              <w:rPr>
                <w:rFonts w:ascii="宋体" w:hAnsi="宋体" w:eastAsia="宋体"/>
                <w:sz w:val="24"/>
              </w:rPr>
              <w:t>项目支出绩效自评表</w:t>
            </w:r>
          </w:p>
        </w:tc>
      </w:tr>
      <w:tr w14:paraId="0CEC0928">
        <w:tblPrEx>
          <w:tblCellMar>
            <w:top w:w="0" w:type="dxa"/>
            <w:left w:w="108" w:type="dxa"/>
            <w:bottom w:w="0" w:type="dxa"/>
            <w:right w:w="108" w:type="dxa"/>
          </w:tblCellMar>
        </w:tblPrEx>
        <w:tc>
          <w:tcPr>
            <w:tcW w:w="8848" w:type="dxa"/>
            <w:gridSpan w:val="14"/>
            <w:vAlign w:val="center"/>
          </w:tcPr>
          <w:p w14:paraId="400E0331">
            <w:pPr>
              <w:jc w:val="center"/>
            </w:pPr>
            <w:r>
              <w:rPr>
                <w:rFonts w:ascii="宋体" w:hAnsi="宋体" w:eastAsia="宋体"/>
                <w:sz w:val="24"/>
              </w:rPr>
              <w:t>(2024年度)</w:t>
            </w:r>
          </w:p>
        </w:tc>
      </w:tr>
      <w:tr w14:paraId="3604F2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B4A6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283581">
            <w:pPr>
              <w:jc w:val="center"/>
            </w:pPr>
            <w:r>
              <w:rPr>
                <w:rFonts w:ascii="宋体" w:hAnsi="宋体" w:eastAsia="宋体"/>
                <w:sz w:val="16"/>
              </w:rPr>
              <w:t>办公新址装修改造经费</w:t>
            </w:r>
          </w:p>
        </w:tc>
      </w:tr>
      <w:tr w14:paraId="0936E9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4152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8BDE33">
            <w:pPr>
              <w:jc w:val="center"/>
            </w:pPr>
            <w:r>
              <w:rPr>
                <w:rFonts w:ascii="宋体" w:hAnsi="宋体" w:eastAsia="宋体"/>
                <w:sz w:val="16"/>
              </w:rPr>
              <w:t>新疆巴音郭楞蒙古自治州商务局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061B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2F88A0">
            <w:pPr>
              <w:jc w:val="center"/>
            </w:pPr>
            <w:r>
              <w:rPr>
                <w:rFonts w:ascii="宋体" w:hAnsi="宋体" w:eastAsia="宋体"/>
                <w:sz w:val="16"/>
              </w:rPr>
              <w:t>新疆巴音郭楞蒙古自治州商务局</w:t>
            </w:r>
          </w:p>
        </w:tc>
      </w:tr>
      <w:tr w14:paraId="07382F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0B9B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577A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CD23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31E3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4D7F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6375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4D6A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01779">
            <w:pPr>
              <w:jc w:val="center"/>
            </w:pPr>
            <w:r>
              <w:rPr>
                <w:rFonts w:ascii="宋体" w:hAnsi="宋体" w:eastAsia="宋体"/>
                <w:sz w:val="16"/>
              </w:rPr>
              <w:t>得分</w:t>
            </w:r>
          </w:p>
        </w:tc>
      </w:tr>
      <w:tr w14:paraId="1724B9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E87B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51A2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7AEFC">
            <w:pPr>
              <w:jc w:val="center"/>
            </w:pPr>
            <w:r>
              <w:rPr>
                <w:rFonts w:ascii="宋体" w:hAnsi="宋体" w:eastAsia="宋体"/>
                <w:sz w:val="16"/>
              </w:rPr>
              <w:t>23.16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91476">
            <w:pPr>
              <w:jc w:val="center"/>
            </w:pPr>
            <w:r>
              <w:rPr>
                <w:rFonts w:ascii="宋体" w:hAnsi="宋体" w:eastAsia="宋体"/>
                <w:sz w:val="16"/>
              </w:rPr>
              <w:t>23.16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6792C">
            <w:pPr>
              <w:jc w:val="center"/>
            </w:pPr>
            <w:r>
              <w:rPr>
                <w:rFonts w:ascii="宋体" w:hAnsi="宋体" w:eastAsia="宋体"/>
                <w:sz w:val="16"/>
              </w:rPr>
              <w:t>23.16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274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38B1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1FC7C">
            <w:pPr>
              <w:jc w:val="center"/>
            </w:pPr>
            <w:r>
              <w:rPr>
                <w:rFonts w:ascii="宋体" w:hAnsi="宋体" w:eastAsia="宋体"/>
                <w:sz w:val="16"/>
              </w:rPr>
              <w:t>10.00</w:t>
            </w:r>
          </w:p>
        </w:tc>
      </w:tr>
      <w:tr w14:paraId="0C1C42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670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0D28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48990">
            <w:pPr>
              <w:jc w:val="center"/>
            </w:pPr>
            <w:r>
              <w:rPr>
                <w:rFonts w:ascii="宋体" w:hAnsi="宋体" w:eastAsia="宋体"/>
                <w:sz w:val="16"/>
              </w:rPr>
              <w:t>23.16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5B129">
            <w:pPr>
              <w:jc w:val="center"/>
            </w:pPr>
            <w:r>
              <w:rPr>
                <w:rFonts w:ascii="宋体" w:hAnsi="宋体" w:eastAsia="宋体"/>
                <w:sz w:val="16"/>
              </w:rPr>
              <w:t>23.16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55D57">
            <w:pPr>
              <w:jc w:val="center"/>
            </w:pPr>
            <w:r>
              <w:rPr>
                <w:rFonts w:ascii="宋体" w:hAnsi="宋体" w:eastAsia="宋体"/>
                <w:sz w:val="16"/>
              </w:rPr>
              <w:t>23.16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533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322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27AB5">
            <w:pPr>
              <w:jc w:val="center"/>
            </w:pPr>
            <w:r>
              <w:rPr>
                <w:rFonts w:ascii="宋体" w:hAnsi="宋体" w:eastAsia="宋体"/>
                <w:sz w:val="16"/>
              </w:rPr>
              <w:t>-</w:t>
            </w:r>
          </w:p>
        </w:tc>
      </w:tr>
      <w:tr w14:paraId="50C5A2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FA7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BAA2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BB4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B17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949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ECC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59F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B521A">
            <w:pPr>
              <w:jc w:val="center"/>
            </w:pPr>
            <w:r>
              <w:rPr>
                <w:rFonts w:ascii="宋体" w:hAnsi="宋体" w:eastAsia="宋体"/>
                <w:sz w:val="16"/>
              </w:rPr>
              <w:t>-</w:t>
            </w:r>
          </w:p>
        </w:tc>
      </w:tr>
      <w:tr w14:paraId="32EC8E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C771D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EEA5E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F45E61">
            <w:pPr>
              <w:jc w:val="center"/>
            </w:pPr>
            <w:r>
              <w:rPr>
                <w:rFonts w:ascii="宋体" w:hAnsi="宋体" w:eastAsia="宋体"/>
                <w:sz w:val="16"/>
              </w:rPr>
              <w:t>总体目标完成情况</w:t>
            </w:r>
          </w:p>
        </w:tc>
      </w:tr>
      <w:tr w14:paraId="4280B3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8B39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7DAEA5">
            <w:pPr>
              <w:jc w:val="both"/>
            </w:pPr>
            <w:r>
              <w:rPr>
                <w:rFonts w:ascii="宋体" w:hAnsi="宋体" w:eastAsia="宋体"/>
                <w:sz w:val="16"/>
              </w:rPr>
              <w:t>根据《关于申请巴州商务局（招商服务中心）办公新地址施工经费的报告》，巴州商务局为了进一步落实好自治区、自治区党委关于提升招商引资的质效推动经济社会高质量发展的要求，改善是档案馆发展建设的重要任务目标。本着“以人为本”的核心理念，通过合理的空间布局和划分，完成办公新址的装修面积921.90平方米、隔断墙390平方米，粉刷乳胶漆643平方米。改进完善办公基础设施，将会为办公人员提供一个整洁、舒适、美观的工作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85AFA9">
            <w:pPr>
              <w:jc w:val="both"/>
            </w:pPr>
            <w:r>
              <w:rPr>
                <w:rFonts w:ascii="宋体" w:hAnsi="宋体" w:eastAsia="宋体"/>
                <w:sz w:val="16"/>
              </w:rPr>
              <w:t>2024年办公新址装修改造，共完成办公新址的装修面积921.90平方米、隔断墙390平方米，粉刷乳胶漆643平方米。通过装修改造，为办公人员提供了一个更加整洁、舒适、美观的工作环境。</w:t>
            </w:r>
          </w:p>
        </w:tc>
      </w:tr>
      <w:tr w14:paraId="395F17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8D8D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2CF1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824A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B35A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59F3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498C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ECA4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3559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E1A2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E452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DACD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1C5D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A4DE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3BFE0">
            <w:pPr>
              <w:jc w:val="center"/>
            </w:pPr>
            <w:r>
              <w:rPr>
                <w:rFonts w:ascii="宋体" w:hAnsi="宋体" w:eastAsia="宋体"/>
                <w:sz w:val="16"/>
              </w:rPr>
              <w:t>偏差原因分析及改进措施</w:t>
            </w:r>
          </w:p>
        </w:tc>
      </w:tr>
      <w:tr w14:paraId="2D1563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9DA20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5909A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4D29A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C7938">
            <w:pPr>
              <w:jc w:val="center"/>
            </w:pPr>
            <w:r>
              <w:rPr>
                <w:rFonts w:ascii="宋体" w:hAnsi="宋体" w:eastAsia="宋体"/>
                <w:sz w:val="16"/>
              </w:rPr>
              <w:t>档案馆装修面积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C056F">
            <w:pPr>
              <w:jc w:val="center"/>
            </w:pPr>
            <w:r>
              <w:rPr>
                <w:rFonts w:ascii="宋体" w:hAnsi="宋体" w:eastAsia="宋体"/>
                <w:sz w:val="16"/>
              </w:rPr>
              <w:t>&gt;=921.90平方米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CC9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E45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2BD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9AD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46B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870C5">
            <w:pPr>
              <w:jc w:val="center"/>
            </w:pPr>
            <w:r>
              <w:rPr>
                <w:rFonts w:ascii="宋体" w:hAnsi="宋体" w:eastAsia="宋体"/>
                <w:sz w:val="16"/>
              </w:rPr>
              <w:t>=921.9平方米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5B8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875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86972">
            <w:pPr>
              <w:jc w:val="center"/>
            </w:pPr>
          </w:p>
        </w:tc>
      </w:tr>
      <w:tr w14:paraId="589887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551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B94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B50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E827D">
            <w:pPr>
              <w:jc w:val="center"/>
            </w:pPr>
            <w:r>
              <w:rPr>
                <w:rFonts w:ascii="宋体" w:hAnsi="宋体" w:eastAsia="宋体"/>
                <w:sz w:val="16"/>
              </w:rPr>
              <w:t>隔断墙面积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B3939">
            <w:pPr>
              <w:jc w:val="center"/>
            </w:pPr>
            <w:r>
              <w:rPr>
                <w:rFonts w:ascii="宋体" w:hAnsi="宋体" w:eastAsia="宋体"/>
                <w:sz w:val="16"/>
              </w:rPr>
              <w:t>&gt;=390平方米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C1A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83D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70A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168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E61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1D15F">
            <w:pPr>
              <w:jc w:val="center"/>
            </w:pPr>
            <w:r>
              <w:rPr>
                <w:rFonts w:ascii="宋体" w:hAnsi="宋体" w:eastAsia="宋体"/>
                <w:sz w:val="16"/>
              </w:rPr>
              <w:t>=390平方米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D41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F5E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E522F">
            <w:pPr>
              <w:jc w:val="center"/>
            </w:pPr>
          </w:p>
        </w:tc>
      </w:tr>
      <w:tr w14:paraId="2C148D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80C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0F4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683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393B0">
            <w:pPr>
              <w:jc w:val="center"/>
            </w:pPr>
            <w:r>
              <w:rPr>
                <w:rFonts w:ascii="宋体" w:hAnsi="宋体" w:eastAsia="宋体"/>
                <w:sz w:val="16"/>
              </w:rPr>
              <w:t>墙面乳胶漆面积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F83D5">
            <w:pPr>
              <w:jc w:val="center"/>
            </w:pPr>
            <w:r>
              <w:rPr>
                <w:rFonts w:ascii="宋体" w:hAnsi="宋体" w:eastAsia="宋体"/>
                <w:sz w:val="16"/>
              </w:rPr>
              <w:t>&gt;=643平方米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02B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933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80E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DE4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578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97FDB">
            <w:pPr>
              <w:jc w:val="center"/>
            </w:pPr>
            <w:r>
              <w:rPr>
                <w:rFonts w:ascii="宋体" w:hAnsi="宋体" w:eastAsia="宋体"/>
                <w:sz w:val="16"/>
              </w:rPr>
              <w:t>=643平方米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DBF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4D4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83EC2">
            <w:pPr>
              <w:jc w:val="center"/>
            </w:pPr>
          </w:p>
        </w:tc>
      </w:tr>
      <w:tr w14:paraId="5562D3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84F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C46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5C6E0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FD855">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A0E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8B6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A24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0EE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991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C95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D36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0F2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522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55198">
            <w:pPr>
              <w:jc w:val="center"/>
            </w:pPr>
          </w:p>
        </w:tc>
      </w:tr>
      <w:tr w14:paraId="64F98A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B79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E1E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3D3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1D4A5">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35D0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A7B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DE3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515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370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164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753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9C1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384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A0A2E">
            <w:pPr>
              <w:jc w:val="center"/>
            </w:pPr>
          </w:p>
        </w:tc>
      </w:tr>
      <w:tr w14:paraId="18C430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A4A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FA4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43109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746E9">
            <w:pPr>
              <w:jc w:val="center"/>
            </w:pPr>
            <w:r>
              <w:rPr>
                <w:rFonts w:ascii="宋体" w:hAnsi="宋体" w:eastAsia="宋体"/>
                <w:sz w:val="16"/>
              </w:rPr>
              <w:t>项目施工开始时间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7027D">
            <w:pPr>
              <w:jc w:val="center"/>
            </w:pPr>
            <w:r>
              <w:rPr>
                <w:rFonts w:ascii="宋体" w:hAnsi="宋体" w:eastAsia="宋体"/>
                <w:sz w:val="16"/>
              </w:rPr>
              <w:t>2024年7月1日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C47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EF2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B6D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01D9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EC4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5A2A0">
            <w:pPr>
              <w:jc w:val="center"/>
            </w:pPr>
            <w:r>
              <w:rPr>
                <w:rFonts w:ascii="宋体" w:hAnsi="宋体" w:eastAsia="宋体"/>
                <w:sz w:val="16"/>
              </w:rPr>
              <w:t>=2024年7月25日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A76F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659E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8FE6F">
            <w:pPr>
              <w:jc w:val="center"/>
            </w:pPr>
            <w:r>
              <w:rPr>
                <w:rFonts w:ascii="宋体" w:hAnsi="宋体" w:eastAsia="宋体"/>
                <w:sz w:val="16"/>
              </w:rPr>
              <w:t>偏差原因是因为审批流程规范后资金才能到位，改进措施，设置预算目标与实际相结合，力争开工</w:t>
            </w:r>
            <w:r>
              <w:rPr>
                <w:rFonts w:hint="eastAsia" w:ascii="宋体" w:hAnsi="宋体"/>
                <w:sz w:val="16"/>
                <w:lang w:eastAsia="zh-CN"/>
              </w:rPr>
              <w:t>时间</w:t>
            </w:r>
            <w:r>
              <w:rPr>
                <w:rFonts w:ascii="宋体" w:hAnsi="宋体" w:eastAsia="宋体"/>
                <w:sz w:val="16"/>
              </w:rPr>
              <w:t>与计划时间保持一致。</w:t>
            </w:r>
          </w:p>
        </w:tc>
      </w:tr>
      <w:tr w14:paraId="3579EB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87F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46B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E7B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DF66A">
            <w:pPr>
              <w:jc w:val="center"/>
            </w:pPr>
            <w:r>
              <w:rPr>
                <w:rFonts w:ascii="宋体" w:hAnsi="宋体" w:eastAsia="宋体"/>
                <w:sz w:val="16"/>
              </w:rPr>
              <w:t>项目竣工验收时间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E5101">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854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1E2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01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23DF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D1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CB1C1">
            <w:pPr>
              <w:jc w:val="center"/>
            </w:pPr>
            <w:r>
              <w:rPr>
                <w:rFonts w:ascii="宋体" w:hAnsi="宋体" w:eastAsia="宋体"/>
                <w:sz w:val="16"/>
              </w:rPr>
              <w:t>=2024年8月25日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DB1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D36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D2A4D">
            <w:pPr>
              <w:jc w:val="center"/>
            </w:pPr>
          </w:p>
        </w:tc>
      </w:tr>
      <w:tr w14:paraId="6F8788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C7A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3C726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CF275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D3662">
            <w:pPr>
              <w:jc w:val="center"/>
            </w:pPr>
            <w:r>
              <w:rPr>
                <w:rFonts w:ascii="宋体" w:hAnsi="宋体" w:eastAsia="宋体"/>
                <w:sz w:val="16"/>
              </w:rPr>
              <w:t>办公新址装修预付款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6458">
            <w:pPr>
              <w:jc w:val="center"/>
            </w:pPr>
            <w:r>
              <w:rPr>
                <w:rFonts w:ascii="宋体" w:hAnsi="宋体" w:eastAsia="宋体"/>
                <w:sz w:val="16"/>
              </w:rPr>
              <w:t>&lt;=13.90万元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1A2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B27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A6C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5FD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421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ADCF8">
            <w:pPr>
              <w:jc w:val="center"/>
            </w:pPr>
            <w:r>
              <w:rPr>
                <w:rFonts w:ascii="宋体" w:hAnsi="宋体" w:eastAsia="宋体"/>
                <w:sz w:val="16"/>
              </w:rPr>
              <w:t>=13.9万元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ECF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ABD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79433">
            <w:pPr>
              <w:jc w:val="center"/>
            </w:pPr>
          </w:p>
        </w:tc>
      </w:tr>
      <w:tr w14:paraId="51D7CA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31B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ADC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59E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0064A">
            <w:pPr>
              <w:jc w:val="center"/>
            </w:pPr>
            <w:r>
              <w:rPr>
                <w:rFonts w:ascii="宋体" w:hAnsi="宋体" w:eastAsia="宋体"/>
                <w:sz w:val="16"/>
              </w:rPr>
              <w:t>办公新址装修尾款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FE1C5">
            <w:pPr>
              <w:jc w:val="center"/>
            </w:pPr>
            <w:r>
              <w:rPr>
                <w:rFonts w:ascii="宋体" w:hAnsi="宋体" w:eastAsia="宋体"/>
                <w:sz w:val="16"/>
              </w:rPr>
              <w:t>&lt;=9.26万元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B5A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537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59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6E3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41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31BF0">
            <w:pPr>
              <w:jc w:val="center"/>
            </w:pPr>
            <w:r>
              <w:rPr>
                <w:rFonts w:ascii="宋体" w:hAnsi="宋体" w:eastAsia="宋体"/>
                <w:sz w:val="16"/>
              </w:rPr>
              <w:t>=9.26万元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ECB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DF7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12B32">
            <w:pPr>
              <w:jc w:val="center"/>
            </w:pPr>
          </w:p>
        </w:tc>
      </w:tr>
      <w:tr w14:paraId="445CDD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54C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10433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27B64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81A5A">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D94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C48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98C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101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812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F70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7F0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6B0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5EF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D9DAC">
            <w:pPr>
              <w:jc w:val="center"/>
            </w:pPr>
          </w:p>
        </w:tc>
      </w:tr>
      <w:tr w14:paraId="75867C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A28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C8A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6B5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45EF7">
            <w:pPr>
              <w:jc w:val="center"/>
            </w:pPr>
            <w:r>
              <w:rPr>
                <w:rFonts w:ascii="宋体" w:hAnsi="宋体" w:eastAsia="宋体"/>
                <w:sz w:val="16"/>
              </w:rPr>
              <w:t>提升办公环境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55E7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5DF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AD7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234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8CA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43E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E7A0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F15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7D5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3F5A1">
            <w:pPr>
              <w:jc w:val="center"/>
            </w:pPr>
          </w:p>
        </w:tc>
      </w:tr>
      <w:tr w14:paraId="093330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BA0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4CA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2F0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000E6">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347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E33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DAC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13A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BF8B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55B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D26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B55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042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CCF5E">
            <w:pPr>
              <w:jc w:val="center"/>
            </w:pPr>
          </w:p>
        </w:tc>
      </w:tr>
      <w:tr w14:paraId="23FB36B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621E0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ABD3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EF43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0265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41E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3CF6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2D38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CC71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E930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DE85F">
            <w:pPr>
              <w:jc w:val="center"/>
            </w:pPr>
            <w:r>
              <w:rPr>
                <w:rFonts w:ascii="宋体" w:hAnsi="宋体" w:eastAsia="宋体"/>
                <w:sz w:val="16"/>
              </w:rPr>
              <w:t>95.00分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163C88"/>
        </w:tc>
      </w:tr>
    </w:tbl>
    <w:p w14:paraId="48656E8F">
      <w:r>
        <w:br w:type="page"/>
      </w:r>
    </w:p>
    <w:p w14:paraId="38534D7C">
      <w:pPr>
        <w:spacing w:line="640" w:lineRule="exact"/>
        <w:ind w:firstLine="640"/>
        <w:jc w:val="both"/>
        <w:outlineLvl w:val="2"/>
      </w:pPr>
      <w:r>
        <w:rPr>
          <w:rFonts w:ascii="黑体" w:hAnsi="黑体" w:eastAsia="黑体"/>
          <w:sz w:val="32"/>
        </w:rPr>
        <w:t>十二、其他需说明的事项</w:t>
      </w:r>
    </w:p>
    <w:p w14:paraId="4316798A">
      <w:pPr>
        <w:spacing w:line="580" w:lineRule="exact"/>
        <w:ind w:firstLine="640"/>
        <w:jc w:val="both"/>
      </w:pPr>
      <w:r>
        <w:rPr>
          <w:rFonts w:ascii="仿宋_GB2312" w:hAnsi="仿宋_GB2312" w:eastAsia="仿宋_GB2312"/>
          <w:b w:val="0"/>
          <w:sz w:val="32"/>
        </w:rPr>
        <w:t>本部门无其他需说明的事项。</w:t>
      </w:r>
    </w:p>
    <w:p w14:paraId="038F99C9">
      <w:r>
        <w:br w:type="page"/>
      </w:r>
    </w:p>
    <w:p w14:paraId="73CAC9AA">
      <w:pPr>
        <w:spacing w:line="240" w:lineRule="auto"/>
        <w:jc w:val="center"/>
        <w:outlineLvl w:val="1"/>
      </w:pPr>
      <w:r>
        <w:rPr>
          <w:rFonts w:ascii="黑体" w:hAnsi="黑体" w:eastAsia="黑体"/>
          <w:sz w:val="32"/>
        </w:rPr>
        <w:t>第三部分 专业名词解释</w:t>
      </w:r>
    </w:p>
    <w:p w14:paraId="0D44A79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BAE1E6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778F0E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021912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32F059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933DC0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65C95A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E3A629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E00B77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0EC146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3E950E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2745E1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045CE4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206E57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C1DD3D7">
      <w:r>
        <w:br w:type="page"/>
      </w:r>
    </w:p>
    <w:p w14:paraId="210F8387">
      <w:pPr>
        <w:spacing w:line="240" w:lineRule="auto"/>
        <w:jc w:val="center"/>
        <w:outlineLvl w:val="1"/>
      </w:pPr>
      <w:r>
        <w:rPr>
          <w:rFonts w:ascii="黑体" w:hAnsi="黑体" w:eastAsia="黑体"/>
          <w:sz w:val="32"/>
        </w:rPr>
        <w:t>第四部分 部门决算报表（见附表）</w:t>
      </w:r>
    </w:p>
    <w:p w14:paraId="1FDE79FD">
      <w:pPr>
        <w:spacing w:line="240" w:lineRule="auto"/>
        <w:ind w:firstLine="640"/>
        <w:jc w:val="both"/>
      </w:pPr>
      <w:r>
        <w:rPr>
          <w:rFonts w:ascii="仿宋_GB2312" w:hAnsi="仿宋_GB2312" w:eastAsia="仿宋_GB2312"/>
          <w:b w:val="0"/>
          <w:sz w:val="32"/>
        </w:rPr>
        <w:t>一、《收入支出决算总表》</w:t>
      </w:r>
    </w:p>
    <w:p w14:paraId="10513DD1">
      <w:pPr>
        <w:spacing w:line="240" w:lineRule="auto"/>
        <w:ind w:firstLine="640"/>
        <w:jc w:val="both"/>
      </w:pPr>
      <w:r>
        <w:rPr>
          <w:rFonts w:ascii="仿宋_GB2312" w:hAnsi="仿宋_GB2312" w:eastAsia="仿宋_GB2312"/>
          <w:b w:val="0"/>
          <w:sz w:val="32"/>
        </w:rPr>
        <w:t>二、《收入决算表》</w:t>
      </w:r>
    </w:p>
    <w:p w14:paraId="18B7B72B">
      <w:pPr>
        <w:spacing w:line="240" w:lineRule="auto"/>
        <w:ind w:firstLine="640"/>
        <w:jc w:val="both"/>
      </w:pPr>
      <w:r>
        <w:rPr>
          <w:rFonts w:ascii="仿宋_GB2312" w:hAnsi="仿宋_GB2312" w:eastAsia="仿宋_GB2312"/>
          <w:b w:val="0"/>
          <w:sz w:val="32"/>
        </w:rPr>
        <w:t>三、《支出决算表》</w:t>
      </w:r>
    </w:p>
    <w:p w14:paraId="723ED175">
      <w:pPr>
        <w:spacing w:line="240" w:lineRule="auto"/>
        <w:ind w:firstLine="640"/>
        <w:jc w:val="both"/>
      </w:pPr>
      <w:r>
        <w:rPr>
          <w:rFonts w:ascii="仿宋_GB2312" w:hAnsi="仿宋_GB2312" w:eastAsia="仿宋_GB2312"/>
          <w:b w:val="0"/>
          <w:sz w:val="32"/>
        </w:rPr>
        <w:t>四、《财政拨款收入支出决算总表》</w:t>
      </w:r>
    </w:p>
    <w:p w14:paraId="3B3308CB">
      <w:pPr>
        <w:spacing w:line="240" w:lineRule="auto"/>
        <w:ind w:firstLine="640"/>
        <w:jc w:val="both"/>
      </w:pPr>
      <w:r>
        <w:rPr>
          <w:rFonts w:ascii="仿宋_GB2312" w:hAnsi="仿宋_GB2312" w:eastAsia="仿宋_GB2312"/>
          <w:b w:val="0"/>
          <w:sz w:val="32"/>
        </w:rPr>
        <w:t>五、《一般公共预算财政拨款支出决算表》</w:t>
      </w:r>
    </w:p>
    <w:p w14:paraId="64631BF9">
      <w:pPr>
        <w:spacing w:line="240" w:lineRule="auto"/>
        <w:ind w:firstLine="640"/>
        <w:jc w:val="both"/>
      </w:pPr>
      <w:r>
        <w:rPr>
          <w:rFonts w:ascii="仿宋_GB2312" w:hAnsi="仿宋_GB2312" w:eastAsia="仿宋_GB2312"/>
          <w:b w:val="0"/>
          <w:sz w:val="32"/>
        </w:rPr>
        <w:t>六、《一般公共预算财政拨款基本支出决算表》</w:t>
      </w:r>
    </w:p>
    <w:p w14:paraId="5476316D">
      <w:pPr>
        <w:spacing w:line="240" w:lineRule="auto"/>
        <w:ind w:firstLine="640"/>
        <w:jc w:val="both"/>
      </w:pPr>
      <w:r>
        <w:rPr>
          <w:rFonts w:ascii="仿宋_GB2312" w:hAnsi="仿宋_GB2312" w:eastAsia="仿宋_GB2312"/>
          <w:b w:val="0"/>
          <w:sz w:val="32"/>
        </w:rPr>
        <w:t>七、《政府性基金预算财政拨款收入支出决算表》</w:t>
      </w:r>
    </w:p>
    <w:p w14:paraId="3E7A6071">
      <w:pPr>
        <w:spacing w:line="240" w:lineRule="auto"/>
        <w:ind w:firstLine="640"/>
        <w:jc w:val="both"/>
      </w:pPr>
      <w:r>
        <w:rPr>
          <w:rFonts w:ascii="仿宋_GB2312" w:hAnsi="仿宋_GB2312" w:eastAsia="仿宋_GB2312"/>
          <w:b w:val="0"/>
          <w:sz w:val="32"/>
        </w:rPr>
        <w:t>八、《国有资本经营预算财政拨款收入支出决算表》</w:t>
      </w:r>
    </w:p>
    <w:p w14:paraId="6950E343">
      <w:pPr>
        <w:spacing w:line="240" w:lineRule="auto"/>
        <w:ind w:firstLine="640"/>
        <w:jc w:val="both"/>
      </w:pPr>
      <w:r>
        <w:rPr>
          <w:rFonts w:ascii="仿宋_GB2312" w:hAnsi="仿宋_GB2312" w:eastAsia="仿宋_GB2312"/>
          <w:b w:val="0"/>
          <w:sz w:val="32"/>
        </w:rPr>
        <w:t>九、《财政拨款“三公”经费支出决算表》</w:t>
      </w:r>
    </w:p>
    <w:p w14:paraId="7039A5E6">
      <w:pPr>
        <w:spacing w:line="240" w:lineRule="auto"/>
        <w:ind w:firstLine="640"/>
        <w:jc w:val="both"/>
      </w:pPr>
    </w:p>
    <w:p w14:paraId="519C2B28">
      <w:pPr>
        <w:spacing w:line="240" w:lineRule="auto"/>
        <w:ind w:firstLine="640"/>
        <w:jc w:val="both"/>
      </w:pPr>
    </w:p>
    <w:p w14:paraId="19A25927">
      <w:pPr>
        <w:spacing w:line="240" w:lineRule="auto"/>
        <w:ind w:firstLine="640"/>
        <w:jc w:val="both"/>
      </w:pPr>
    </w:p>
    <w:p w14:paraId="4200CCC0">
      <w:pPr>
        <w:spacing w:line="240" w:lineRule="auto"/>
        <w:ind w:firstLine="640"/>
        <w:jc w:val="both"/>
      </w:pPr>
    </w:p>
    <w:p w14:paraId="40D557A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A9458A5"/>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DD83397"/>
    <w:rsid w:val="2FD27414"/>
    <w:rsid w:val="305735CC"/>
    <w:rsid w:val="313F1D52"/>
    <w:rsid w:val="318029AB"/>
    <w:rsid w:val="31C63837"/>
    <w:rsid w:val="31E44391"/>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C7233BF"/>
    <w:rsid w:val="4F3F074E"/>
    <w:rsid w:val="50DB5F45"/>
    <w:rsid w:val="52F92565"/>
    <w:rsid w:val="543D17CB"/>
    <w:rsid w:val="55DA564E"/>
    <w:rsid w:val="56A93273"/>
    <w:rsid w:val="56E07045"/>
    <w:rsid w:val="583059FA"/>
    <w:rsid w:val="587E6212"/>
    <w:rsid w:val="5AFC6609"/>
    <w:rsid w:val="5DEF105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6781</Words>
  <Characters>7913</Characters>
  <Lines>0</Lines>
  <Paragraphs>0</Paragraphs>
  <TotalTime>0</TotalTime>
  <ScaleCrop>false</ScaleCrop>
  <LinksUpToDate>false</LinksUpToDate>
  <CharactersWithSpaces>7921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2025-09-11T11:25:42Z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