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巴音郭楞蒙古自治州油地融合服务中心2024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6AC047C">
      <w:r>
        <w:br w:type="page"/>
      </w:r>
    </w:p>
    <w:p w14:paraId="51A8FFB4">
      <w:pPr>
        <w:spacing w:line="640" w:lineRule="exact"/>
        <w:jc w:val="center"/>
        <w:outlineLvl w:val="1"/>
      </w:pPr>
      <w:r>
        <w:rPr>
          <w:rFonts w:ascii="黑体" w:hAnsi="黑体" w:eastAsia="黑体"/>
          <w:sz w:val="32"/>
        </w:rPr>
        <w:t>第一部分 部门概况</w:t>
      </w:r>
    </w:p>
    <w:p w14:paraId="0914CD8B">
      <w:pPr>
        <w:spacing w:line="640" w:lineRule="exact"/>
        <w:ind w:firstLine="640"/>
        <w:jc w:val="both"/>
        <w:outlineLvl w:val="2"/>
      </w:pPr>
      <w:r>
        <w:rPr>
          <w:rFonts w:ascii="黑体" w:hAnsi="黑体" w:eastAsia="黑体"/>
          <w:sz w:val="32"/>
        </w:rPr>
        <w:t>一、主要职能</w:t>
      </w:r>
    </w:p>
    <w:p w14:paraId="378D1752">
      <w:pPr>
        <w:spacing w:line="580" w:lineRule="exact"/>
        <w:ind w:firstLine="640"/>
        <w:jc w:val="both"/>
      </w:pPr>
      <w:r>
        <w:rPr>
          <w:rFonts w:ascii="仿宋_GB2312" w:hAnsi="仿宋_GB2312" w:eastAsia="仿宋_GB2312"/>
          <w:sz w:val="32"/>
        </w:rPr>
        <w:t>（一）全面贯彻落实国家、自治区、自治州关于油气产业发展相关决策部署和工作要求，参与起草和组织协调有关部门共同起草、修改自治州党委、自治州人民政府油气产业相关文稿。</w:t>
      </w:r>
    </w:p>
    <w:p w14:paraId="143ABF44">
      <w:pPr>
        <w:spacing w:line="580" w:lineRule="exact"/>
        <w:ind w:firstLine="640"/>
        <w:jc w:val="both"/>
      </w:pPr>
      <w:r>
        <w:rPr>
          <w:rFonts w:ascii="仿宋_GB2312" w:hAnsi="仿宋_GB2312" w:eastAsia="仿宋_GB2312"/>
          <w:sz w:val="32"/>
        </w:rPr>
        <w:t>（二）研究全州油气产业发展规划，指导各石油化工园区产业布局及重大石油化工项目协调。</w:t>
      </w:r>
    </w:p>
    <w:p w14:paraId="418F230C">
      <w:pPr>
        <w:spacing w:line="580" w:lineRule="exact"/>
        <w:ind w:firstLine="640"/>
        <w:jc w:val="both"/>
      </w:pPr>
      <w:r>
        <w:rPr>
          <w:rFonts w:ascii="仿宋_GB2312" w:hAnsi="仿宋_GB2312" w:eastAsia="仿宋_GB2312"/>
          <w:sz w:val="32"/>
        </w:rPr>
        <w:t>（三）研究全州油地项目研发年度和长期工作方案，建立油气产业项目储备库和专家库。</w:t>
      </w:r>
    </w:p>
    <w:p w14:paraId="23E846E0">
      <w:pPr>
        <w:spacing w:line="580" w:lineRule="exact"/>
        <w:ind w:firstLine="640"/>
        <w:jc w:val="both"/>
      </w:pPr>
      <w:r>
        <w:rPr>
          <w:rFonts w:ascii="仿宋_GB2312" w:hAnsi="仿宋_GB2312" w:eastAsia="仿宋_GB2312"/>
          <w:sz w:val="32"/>
        </w:rPr>
        <w:t>（四）建立自治州与中石油塔里木油田分公司、中石化西北油田分公司及</w:t>
      </w:r>
      <w:r>
        <w:rPr>
          <w:rFonts w:hint="eastAsia" w:ascii="仿宋_GB2312" w:hAnsi="仿宋_GB2312" w:eastAsia="仿宋_GB2312"/>
          <w:sz w:val="32"/>
          <w:lang w:eastAsia="zh-CN"/>
        </w:rPr>
        <w:t>其他</w:t>
      </w:r>
      <w:r>
        <w:rPr>
          <w:rFonts w:ascii="仿宋_GB2312" w:hAnsi="仿宋_GB2312" w:eastAsia="仿宋_GB2312"/>
          <w:sz w:val="32"/>
        </w:rPr>
        <w:t>油气勘探开发公司协调机制，促进油气项目高效研发与实施。</w:t>
      </w:r>
    </w:p>
    <w:p w14:paraId="1FE67BA2">
      <w:pPr>
        <w:spacing w:line="580" w:lineRule="exact"/>
        <w:ind w:firstLine="640"/>
        <w:jc w:val="both"/>
      </w:pPr>
      <w:r>
        <w:rPr>
          <w:rFonts w:ascii="仿宋_GB2312" w:hAnsi="仿宋_GB2312" w:eastAsia="仿宋_GB2312"/>
          <w:sz w:val="32"/>
        </w:rPr>
        <w:t>（五）以完善和延长油气产业链为重点，加强对油气产业项目</w:t>
      </w:r>
      <w:r>
        <w:rPr>
          <w:rFonts w:hint="eastAsia" w:ascii="仿宋_GB2312" w:hAnsi="仿宋_GB2312" w:eastAsia="仿宋_GB2312"/>
          <w:sz w:val="32"/>
          <w:lang w:eastAsia="zh-CN"/>
        </w:rPr>
        <w:t>招商引资</w:t>
      </w:r>
      <w:r>
        <w:rPr>
          <w:rFonts w:ascii="仿宋_GB2312" w:hAnsi="仿宋_GB2312" w:eastAsia="仿宋_GB2312"/>
          <w:sz w:val="32"/>
        </w:rPr>
        <w:t>工作的引导，制定自治州油气产业</w:t>
      </w:r>
      <w:r>
        <w:rPr>
          <w:rFonts w:hint="eastAsia" w:ascii="仿宋_GB2312" w:hAnsi="仿宋_GB2312" w:eastAsia="仿宋_GB2312"/>
          <w:sz w:val="32"/>
          <w:lang w:eastAsia="zh-CN"/>
        </w:rPr>
        <w:t>招</w:t>
      </w:r>
      <w:r>
        <w:rPr>
          <w:rFonts w:ascii="仿宋_GB2312" w:hAnsi="仿宋_GB2312" w:eastAsia="仿宋_GB2312"/>
          <w:sz w:val="32"/>
        </w:rPr>
        <w:t>商引资年度计划并组织实施。</w:t>
      </w:r>
    </w:p>
    <w:p w14:paraId="5FB32250">
      <w:pPr>
        <w:spacing w:line="580" w:lineRule="exact"/>
        <w:ind w:firstLine="640"/>
        <w:jc w:val="both"/>
      </w:pPr>
      <w:r>
        <w:rPr>
          <w:rFonts w:ascii="仿宋_GB2312" w:hAnsi="仿宋_GB2312" w:eastAsia="仿宋_GB2312"/>
          <w:sz w:val="32"/>
        </w:rPr>
        <w:t>（六）协助管理州域内油气区块相关工作。</w:t>
      </w:r>
    </w:p>
    <w:p w14:paraId="2A245A0A">
      <w:pPr>
        <w:spacing w:line="580" w:lineRule="exact"/>
        <w:ind w:firstLine="640"/>
        <w:jc w:val="both"/>
      </w:pPr>
      <w:r>
        <w:rPr>
          <w:rFonts w:ascii="仿宋_GB2312" w:hAnsi="仿宋_GB2312" w:eastAsia="仿宋_GB2312"/>
          <w:sz w:val="32"/>
        </w:rPr>
        <w:t>（七）指导相关部门、各县（市）及园区涉油气相关工作落实。</w:t>
      </w:r>
    </w:p>
    <w:p w14:paraId="6BC37EB0">
      <w:pPr>
        <w:spacing w:line="580" w:lineRule="exact"/>
        <w:ind w:firstLine="640"/>
        <w:jc w:val="both"/>
      </w:pPr>
      <w:r>
        <w:rPr>
          <w:rFonts w:ascii="仿宋_GB2312" w:hAnsi="仿宋_GB2312" w:eastAsia="仿宋_GB2312"/>
          <w:sz w:val="32"/>
        </w:rPr>
        <w:t>（八）负责自治州油地融合服务中心综合协调及日常管理工作。</w:t>
      </w:r>
    </w:p>
    <w:p w14:paraId="3465C2CB">
      <w:pPr>
        <w:spacing w:line="580" w:lineRule="exact"/>
        <w:ind w:firstLine="640"/>
        <w:jc w:val="both"/>
      </w:pPr>
      <w:r>
        <w:rPr>
          <w:rFonts w:ascii="仿宋_GB2312" w:hAnsi="仿宋_GB2312" w:eastAsia="仿宋_GB2312"/>
          <w:sz w:val="32"/>
        </w:rPr>
        <w:t>（九）完成自治州人民政府交办的其他任务。</w:t>
      </w:r>
    </w:p>
    <w:p w14:paraId="39F4D2A7">
      <w:pPr>
        <w:spacing w:line="640" w:lineRule="exact"/>
        <w:ind w:firstLine="640"/>
        <w:jc w:val="both"/>
        <w:outlineLvl w:val="2"/>
      </w:pPr>
      <w:r>
        <w:rPr>
          <w:rFonts w:ascii="黑体" w:hAnsi="黑体" w:eastAsia="黑体"/>
          <w:sz w:val="32"/>
        </w:rPr>
        <w:t>二、机构设置及人员情况</w:t>
      </w:r>
    </w:p>
    <w:p w14:paraId="46505771">
      <w:pPr>
        <w:spacing w:line="580" w:lineRule="exact"/>
        <w:ind w:firstLine="640"/>
        <w:jc w:val="both"/>
      </w:pPr>
      <w:r>
        <w:rPr>
          <w:rFonts w:ascii="仿宋_GB2312" w:hAnsi="仿宋_GB2312" w:eastAsia="仿宋_GB2312"/>
          <w:sz w:val="32"/>
        </w:rPr>
        <w:t>巴音郭楞蒙古自治州油地融合服务中心2024年度，实有人数2人，其中：在职人员2人，增加0人；离休人员0人，增加0人；退休人员0人,增加0人。</w:t>
      </w:r>
    </w:p>
    <w:p w14:paraId="09BCF033">
      <w:pPr>
        <w:spacing w:line="580" w:lineRule="exact"/>
        <w:ind w:firstLine="640"/>
        <w:jc w:val="both"/>
      </w:pPr>
      <w:r>
        <w:rPr>
          <w:rFonts w:ascii="仿宋_GB2312" w:hAnsi="仿宋_GB2312" w:eastAsia="仿宋_GB2312"/>
          <w:sz w:val="32"/>
        </w:rPr>
        <w:t>巴音郭楞蒙古自治州油地融合服务中心无下属预算单位，下设2个科室，分别是：招商服务科、综合业务科。</w:t>
      </w:r>
    </w:p>
    <w:p w14:paraId="1DC28794">
      <w:r>
        <w:br w:type="page"/>
      </w:r>
    </w:p>
    <w:p w14:paraId="57A10328">
      <w:pPr>
        <w:spacing w:line="240" w:lineRule="auto"/>
        <w:jc w:val="center"/>
        <w:outlineLvl w:val="1"/>
      </w:pPr>
      <w:r>
        <w:rPr>
          <w:rFonts w:ascii="黑体" w:hAnsi="黑体" w:eastAsia="黑体"/>
          <w:sz w:val="32"/>
        </w:rPr>
        <w:t>第二部分 部门决算情况说明</w:t>
      </w:r>
    </w:p>
    <w:p w14:paraId="07E14B90">
      <w:pPr>
        <w:spacing w:line="640" w:lineRule="exact"/>
        <w:ind w:firstLine="640"/>
        <w:jc w:val="both"/>
        <w:outlineLvl w:val="2"/>
      </w:pPr>
      <w:r>
        <w:rPr>
          <w:rFonts w:ascii="黑体" w:hAnsi="黑体" w:eastAsia="黑体"/>
          <w:sz w:val="32"/>
        </w:rPr>
        <w:t>一、收入支出决算总体情况说明</w:t>
      </w:r>
    </w:p>
    <w:p w14:paraId="79A390CE">
      <w:pPr>
        <w:spacing w:line="580" w:lineRule="exact"/>
        <w:ind w:firstLine="640"/>
        <w:jc w:val="both"/>
      </w:pPr>
      <w:r>
        <w:rPr>
          <w:rFonts w:ascii="仿宋_GB2312" w:hAnsi="仿宋_GB2312" w:eastAsia="仿宋_GB2312"/>
          <w:b/>
          <w:sz w:val="32"/>
        </w:rPr>
        <w:t>2024年度收入总计101.78万元，</w:t>
      </w:r>
      <w:r>
        <w:rPr>
          <w:rFonts w:ascii="仿宋_GB2312" w:hAnsi="仿宋_GB2312" w:eastAsia="仿宋_GB2312"/>
          <w:b w:val="0"/>
          <w:sz w:val="32"/>
        </w:rPr>
        <w:t>其中：本年收入合计101.78万元，使用非财政拨款结余（含专用结余）0.00万元，年初结转和结余0.00万元。</w:t>
      </w:r>
    </w:p>
    <w:p w14:paraId="658D5130">
      <w:pPr>
        <w:spacing w:line="580" w:lineRule="exact"/>
        <w:ind w:firstLine="640"/>
        <w:jc w:val="both"/>
      </w:pPr>
      <w:r>
        <w:rPr>
          <w:rFonts w:ascii="仿宋_GB2312" w:hAnsi="仿宋_GB2312" w:eastAsia="仿宋_GB2312"/>
          <w:b/>
          <w:sz w:val="32"/>
        </w:rPr>
        <w:t>2024年度支出总计101.78万元，</w:t>
      </w:r>
      <w:r>
        <w:rPr>
          <w:rFonts w:ascii="仿宋_GB2312" w:hAnsi="仿宋_GB2312" w:eastAsia="仿宋_GB2312"/>
          <w:b w:val="0"/>
          <w:sz w:val="32"/>
        </w:rPr>
        <w:t>其中：本年支出合计101.78万元，结余分配0.00万元，年末结转和结余0.00万元。</w:t>
      </w:r>
    </w:p>
    <w:p w14:paraId="746E77A3">
      <w:pPr>
        <w:spacing w:line="580" w:lineRule="exact"/>
        <w:ind w:firstLine="640"/>
        <w:jc w:val="both"/>
      </w:pPr>
      <w:r>
        <w:rPr>
          <w:rFonts w:ascii="仿宋_GB2312" w:hAnsi="仿宋_GB2312" w:eastAsia="仿宋_GB2312"/>
          <w:b w:val="0"/>
          <w:sz w:val="32"/>
        </w:rPr>
        <w:t>收入支出总体与上年相比，增加24.47万元，增长31.65%，主要原因是：本年在职人员工资调增，社保、公积金基数调增，人员经费增加；本年巴州油地融合服务中心研发项目资金支出较上年增加。</w:t>
      </w:r>
    </w:p>
    <w:p w14:paraId="4FEA5601">
      <w:pPr>
        <w:spacing w:line="640" w:lineRule="exact"/>
        <w:ind w:firstLine="640"/>
        <w:jc w:val="both"/>
        <w:outlineLvl w:val="2"/>
      </w:pPr>
      <w:r>
        <w:rPr>
          <w:rFonts w:ascii="黑体" w:hAnsi="黑体" w:eastAsia="黑体"/>
          <w:sz w:val="32"/>
        </w:rPr>
        <w:t>二、收入决算情况说明</w:t>
      </w:r>
    </w:p>
    <w:p w14:paraId="356D84B1">
      <w:pPr>
        <w:spacing w:line="580" w:lineRule="exact"/>
        <w:ind w:firstLine="640"/>
        <w:jc w:val="both"/>
      </w:pPr>
      <w:r>
        <w:rPr>
          <w:rFonts w:ascii="仿宋_GB2312" w:hAnsi="仿宋_GB2312" w:eastAsia="仿宋_GB2312"/>
          <w:b/>
          <w:sz w:val="32"/>
        </w:rPr>
        <w:t>本年收入101.78万元，</w:t>
      </w:r>
      <w:r>
        <w:rPr>
          <w:rFonts w:ascii="仿宋_GB2312" w:hAnsi="仿宋_GB2312" w:eastAsia="仿宋_GB2312"/>
          <w:b w:val="0"/>
          <w:sz w:val="32"/>
        </w:rPr>
        <w:t>其中：财政拨款收入101.78万元，占100.00%；上级补助收入0.00万元，占0.00%；事业收入0.00万元，占0.00%；经营收入0.00万元，占0.00%；附属单位上缴收入0.00万元，占0.00%；其他收入0.00万元，占0.00%。</w:t>
      </w:r>
    </w:p>
    <w:p w14:paraId="3AD77976">
      <w:pPr>
        <w:spacing w:line="640" w:lineRule="exact"/>
        <w:ind w:firstLine="640"/>
        <w:jc w:val="both"/>
        <w:outlineLvl w:val="2"/>
      </w:pPr>
      <w:r>
        <w:rPr>
          <w:rFonts w:ascii="黑体" w:hAnsi="黑体" w:eastAsia="黑体"/>
          <w:sz w:val="32"/>
        </w:rPr>
        <w:t>三、支出决算情况说明</w:t>
      </w:r>
    </w:p>
    <w:p w14:paraId="30A33314">
      <w:pPr>
        <w:spacing w:line="580" w:lineRule="exact"/>
        <w:ind w:firstLine="640"/>
        <w:jc w:val="both"/>
      </w:pPr>
      <w:r>
        <w:rPr>
          <w:rFonts w:ascii="仿宋_GB2312" w:hAnsi="仿宋_GB2312" w:eastAsia="仿宋_GB2312"/>
          <w:b/>
          <w:sz w:val="32"/>
        </w:rPr>
        <w:t>本年支出101.78万元，</w:t>
      </w:r>
      <w:r>
        <w:rPr>
          <w:rFonts w:ascii="仿宋_GB2312" w:hAnsi="仿宋_GB2312" w:eastAsia="仿宋_GB2312"/>
          <w:b w:val="0"/>
          <w:sz w:val="32"/>
        </w:rPr>
        <w:t>其中：基本支出41.38万元，占40.66%；项目支出60.39万元，占59.33%；上缴上级支出0.00万元，占0.00%；经营支出0.00万元，占0.00%；对附属单位补助支出0.00万元，占0.00%。</w:t>
      </w:r>
    </w:p>
    <w:p w14:paraId="52290818">
      <w:pPr>
        <w:spacing w:line="640" w:lineRule="exact"/>
        <w:ind w:firstLine="640"/>
        <w:jc w:val="both"/>
        <w:outlineLvl w:val="2"/>
      </w:pPr>
      <w:r>
        <w:rPr>
          <w:rFonts w:ascii="黑体" w:hAnsi="黑体" w:eastAsia="黑体"/>
          <w:sz w:val="32"/>
        </w:rPr>
        <w:t>四、财政拨款收入支出决算总体情况说明</w:t>
      </w:r>
    </w:p>
    <w:p w14:paraId="16272326">
      <w:pPr>
        <w:spacing w:line="580" w:lineRule="exact"/>
        <w:ind w:firstLine="640"/>
        <w:jc w:val="both"/>
      </w:pPr>
      <w:r>
        <w:rPr>
          <w:rFonts w:ascii="仿宋_GB2312" w:hAnsi="仿宋_GB2312" w:eastAsia="仿宋_GB2312"/>
          <w:b/>
          <w:sz w:val="32"/>
        </w:rPr>
        <w:t>2024年度财政拨款收入总计101.78万元，</w:t>
      </w:r>
      <w:r>
        <w:rPr>
          <w:rFonts w:ascii="仿宋_GB2312" w:hAnsi="仿宋_GB2312" w:eastAsia="仿宋_GB2312"/>
          <w:b w:val="0"/>
          <w:sz w:val="32"/>
        </w:rPr>
        <w:t>其中：年初财政拨款结转和结余0.00万元，本年财政拨款收入101.78万元。</w:t>
      </w:r>
      <w:r>
        <w:rPr>
          <w:rFonts w:ascii="仿宋_GB2312" w:hAnsi="仿宋_GB2312" w:eastAsia="仿宋_GB2312"/>
          <w:b/>
          <w:sz w:val="32"/>
        </w:rPr>
        <w:t>财政拨款支出总计101.78万元，</w:t>
      </w:r>
      <w:r>
        <w:rPr>
          <w:rFonts w:ascii="仿宋_GB2312" w:hAnsi="仿宋_GB2312" w:eastAsia="仿宋_GB2312"/>
          <w:b w:val="0"/>
          <w:sz w:val="32"/>
        </w:rPr>
        <w:t>其中：年末财政拨款结转和结余0.00万元，本年财政拨款支出101.78万元。</w:t>
      </w:r>
    </w:p>
    <w:p w14:paraId="0E21300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增加24.47万元，增长31.65%，主要原因是：本年在职人员工资调增，社保、公积金基数调增，人员经费增加；本年巴州油地融合服务中心研发项目资金支出较上年增加。</w:t>
      </w:r>
      <w:r>
        <w:rPr>
          <w:rFonts w:ascii="仿宋_GB2312" w:hAnsi="仿宋_GB2312" w:eastAsia="仿宋_GB2312"/>
          <w:b/>
          <w:sz w:val="32"/>
        </w:rPr>
        <w:t>与年初预算相比，</w:t>
      </w:r>
      <w:r>
        <w:rPr>
          <w:rFonts w:ascii="仿宋_GB2312" w:hAnsi="仿宋_GB2312" w:eastAsia="仿宋_GB2312"/>
          <w:b w:val="0"/>
          <w:sz w:val="32"/>
        </w:rPr>
        <w:t>年初预算数144.59万元，决算数101.78万元，预决算差异率-29.61%，主要原因是：年中调减巴州油地融合服务中心研发项目资金，导致预决算存在差异。</w:t>
      </w:r>
    </w:p>
    <w:p w14:paraId="1F809FF6">
      <w:pPr>
        <w:spacing w:line="640" w:lineRule="exact"/>
        <w:ind w:firstLine="640"/>
        <w:jc w:val="both"/>
        <w:outlineLvl w:val="2"/>
      </w:pPr>
      <w:r>
        <w:rPr>
          <w:rFonts w:ascii="黑体" w:hAnsi="黑体" w:eastAsia="黑体"/>
          <w:sz w:val="32"/>
        </w:rPr>
        <w:t>五、一般公共预算财政拨款支出决算情况说明</w:t>
      </w:r>
    </w:p>
    <w:p w14:paraId="221A5A5E">
      <w:pPr>
        <w:spacing w:line="640" w:lineRule="exact"/>
        <w:ind w:firstLine="640"/>
        <w:jc w:val="both"/>
        <w:outlineLvl w:val="3"/>
      </w:pPr>
      <w:r>
        <w:rPr>
          <w:rFonts w:ascii="楷体_GB2312" w:hAnsi="楷体_GB2312" w:eastAsia="楷体_GB2312"/>
          <w:b/>
          <w:sz w:val="32"/>
        </w:rPr>
        <w:t>（一）一般公共预算财政拨款支出决算总体情况</w:t>
      </w:r>
    </w:p>
    <w:p w14:paraId="2223FFA5">
      <w:pPr>
        <w:spacing w:line="580" w:lineRule="exact"/>
        <w:ind w:firstLine="640"/>
        <w:jc w:val="both"/>
      </w:pPr>
      <w:r>
        <w:rPr>
          <w:rFonts w:ascii="仿宋_GB2312" w:hAnsi="仿宋_GB2312" w:eastAsia="仿宋_GB2312"/>
          <w:b/>
          <w:sz w:val="32"/>
        </w:rPr>
        <w:t>2024年度一般公共预算财政拨款支出101.78万元，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增加24.47万元，增长31.65%，主要原因是：本年在职人员工资调增，社保、公积金基数调增，人员经费增加；本年巴州油地融合服务中心研发项目资金支出较上年增加。</w:t>
      </w:r>
      <w:r>
        <w:rPr>
          <w:rFonts w:ascii="仿宋_GB2312" w:hAnsi="仿宋_GB2312" w:eastAsia="仿宋_GB2312"/>
          <w:b/>
          <w:sz w:val="32"/>
        </w:rPr>
        <w:t>与年初预算相比,</w:t>
      </w:r>
      <w:r>
        <w:rPr>
          <w:rFonts w:ascii="仿宋_GB2312" w:hAnsi="仿宋_GB2312" w:eastAsia="仿宋_GB2312"/>
          <w:b w:val="0"/>
          <w:sz w:val="32"/>
        </w:rPr>
        <w:t>年初预算数144.59万元，决算数101.78万元，预决算差异率-29.61%，主要原因是：年中调减巴州油地融合服务中心研发项目资金，导致预决算存在差异。</w:t>
      </w:r>
    </w:p>
    <w:p w14:paraId="5E4A77D9">
      <w:pPr>
        <w:spacing w:line="640" w:lineRule="exact"/>
        <w:ind w:firstLine="640"/>
        <w:jc w:val="both"/>
        <w:outlineLvl w:val="3"/>
      </w:pPr>
      <w:r>
        <w:rPr>
          <w:rFonts w:ascii="楷体_GB2312" w:hAnsi="楷体_GB2312" w:eastAsia="楷体_GB2312"/>
          <w:b/>
          <w:sz w:val="32"/>
        </w:rPr>
        <w:t>（二）一般公共预算财政拨款支出决算结构情况</w:t>
      </w:r>
    </w:p>
    <w:p w14:paraId="19967259">
      <w:pPr>
        <w:spacing w:line="580" w:lineRule="exact"/>
        <w:ind w:firstLine="640"/>
        <w:jc w:val="both"/>
      </w:pPr>
      <w:r>
        <w:rPr>
          <w:rFonts w:ascii="仿宋_GB2312" w:hAnsi="仿宋_GB2312" w:eastAsia="仿宋_GB2312"/>
          <w:b w:val="0"/>
          <w:sz w:val="32"/>
        </w:rPr>
        <w:t>1.一般公共服务支出(类)92.68万元,占91.06%。</w:t>
      </w:r>
    </w:p>
    <w:p w14:paraId="3ED0ADF8">
      <w:pPr>
        <w:spacing w:line="580" w:lineRule="exact"/>
        <w:ind w:firstLine="640"/>
        <w:jc w:val="both"/>
      </w:pPr>
      <w:r>
        <w:rPr>
          <w:rFonts w:ascii="仿宋_GB2312" w:hAnsi="仿宋_GB2312" w:eastAsia="仿宋_GB2312"/>
          <w:b w:val="0"/>
          <w:sz w:val="32"/>
        </w:rPr>
        <w:t>2.社会保障和就业支出(类)4.13万元,占4.06%。</w:t>
      </w:r>
    </w:p>
    <w:p w14:paraId="00EB2D84">
      <w:pPr>
        <w:spacing w:line="580" w:lineRule="exact"/>
        <w:ind w:firstLine="640"/>
        <w:jc w:val="both"/>
      </w:pPr>
      <w:r>
        <w:rPr>
          <w:rFonts w:ascii="仿宋_GB2312" w:hAnsi="仿宋_GB2312" w:eastAsia="仿宋_GB2312"/>
          <w:b w:val="0"/>
          <w:sz w:val="32"/>
        </w:rPr>
        <w:t>3.卫生健康支出(类)1.86万元,占1.83%。</w:t>
      </w:r>
    </w:p>
    <w:p w14:paraId="43C4FC51">
      <w:pPr>
        <w:spacing w:line="580" w:lineRule="exact"/>
        <w:ind w:firstLine="640"/>
        <w:jc w:val="both"/>
      </w:pPr>
      <w:r>
        <w:rPr>
          <w:rFonts w:ascii="仿宋_GB2312" w:hAnsi="仿宋_GB2312" w:eastAsia="仿宋_GB2312"/>
          <w:b w:val="0"/>
          <w:sz w:val="32"/>
        </w:rPr>
        <w:t>4.住房保障支出(类)3.11万元,占3.06%。</w:t>
      </w:r>
    </w:p>
    <w:p w14:paraId="45A1A15C">
      <w:pPr>
        <w:spacing w:line="640" w:lineRule="exact"/>
        <w:ind w:firstLine="640"/>
        <w:jc w:val="both"/>
        <w:outlineLvl w:val="3"/>
      </w:pPr>
      <w:r>
        <w:rPr>
          <w:rFonts w:ascii="楷体_GB2312" w:hAnsi="楷体_GB2312" w:eastAsia="楷体_GB2312"/>
          <w:b/>
          <w:sz w:val="32"/>
        </w:rPr>
        <w:t>（三）一般公共预算财政拨款支出决算具体情况</w:t>
      </w:r>
    </w:p>
    <w:p w14:paraId="778AD3D7">
      <w:pPr>
        <w:spacing w:line="580" w:lineRule="exact"/>
        <w:ind w:firstLine="640"/>
        <w:jc w:val="both"/>
      </w:pPr>
      <w:r>
        <w:rPr>
          <w:rFonts w:ascii="仿宋_GB2312" w:hAnsi="仿宋_GB2312" w:eastAsia="仿宋_GB2312"/>
          <w:b w:val="0"/>
          <w:sz w:val="32"/>
        </w:rPr>
        <w:t>1.一般公共服务支出(类)商贸事务(款)招商引资(项):支出决算数为60.39万元，比上年决算增加4.82万元，增长8.67%,主要原因是：本年巴州油地融合服务中心研发项目资金支出较上年增加。</w:t>
      </w:r>
    </w:p>
    <w:p w14:paraId="10FEFDBC">
      <w:pPr>
        <w:spacing w:line="580" w:lineRule="exact"/>
        <w:ind w:firstLine="640"/>
        <w:jc w:val="both"/>
      </w:pPr>
      <w:r>
        <w:rPr>
          <w:rFonts w:ascii="仿宋_GB2312" w:hAnsi="仿宋_GB2312" w:eastAsia="仿宋_GB2312"/>
          <w:b w:val="0"/>
          <w:sz w:val="32"/>
        </w:rPr>
        <w:t>2.一般公共服务支出(类)商贸事务(款)事业运行(项):支出决算数为32.29万元，比上年决算增加15.35万元，增长90.61%,主要原因是：本年在职人员工资调增，人员经费增加。</w:t>
      </w:r>
    </w:p>
    <w:p w14:paraId="1346317D">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4.13万元，比上年决算增加1.97万元，增长91.20%,主要原因是：本年在职人员工资基数调增，养老缴费基数上涨，相应支出增加。</w:t>
      </w:r>
    </w:p>
    <w:p w14:paraId="433AF864">
      <w:pPr>
        <w:spacing w:line="580" w:lineRule="exact"/>
        <w:ind w:firstLine="640"/>
        <w:jc w:val="both"/>
      </w:pPr>
      <w:r>
        <w:rPr>
          <w:rFonts w:ascii="仿宋_GB2312" w:hAnsi="仿宋_GB2312" w:eastAsia="仿宋_GB2312"/>
          <w:b w:val="0"/>
          <w:sz w:val="32"/>
        </w:rPr>
        <w:t>4.卫生健康支出(类)行政事业单位医疗(款)事业单位医疗(项):支出决算数为1.81万元，比上年决算增加0.87万元，增长92.55%,主要原因是：本年在职人员工资基数调增，医疗缴费基数上涨，相应支出增加。</w:t>
      </w:r>
    </w:p>
    <w:p w14:paraId="526476B1">
      <w:pPr>
        <w:spacing w:line="580" w:lineRule="exact"/>
        <w:ind w:firstLine="640"/>
        <w:jc w:val="both"/>
      </w:pPr>
      <w:r>
        <w:rPr>
          <w:rFonts w:ascii="仿宋_GB2312" w:hAnsi="仿宋_GB2312" w:eastAsia="仿宋_GB2312"/>
          <w:b w:val="0"/>
          <w:sz w:val="32"/>
        </w:rPr>
        <w:t>5.卫生健康支出(类)行政事业单位医疗(款)其他行政事业单位医疗支出(项):支出决算数为0.05万元，比上年决算增加0.02万元，增长66.67%,主要原因是：本年在职人员工资基数调增，其他行政事业单位医疗支出增加。</w:t>
      </w:r>
    </w:p>
    <w:p w14:paraId="4DAB191A">
      <w:pPr>
        <w:spacing w:line="580" w:lineRule="exact"/>
        <w:ind w:firstLine="640"/>
        <w:jc w:val="both"/>
      </w:pPr>
      <w:r>
        <w:rPr>
          <w:rFonts w:ascii="仿宋_GB2312" w:hAnsi="仿宋_GB2312" w:eastAsia="仿宋_GB2312"/>
          <w:b w:val="0"/>
          <w:sz w:val="32"/>
        </w:rPr>
        <w:t>6.住房保障支出(类)住房改革支出(款)住房公积金(项):支出决算数为3.11万元，比上年决算增加1.44万元，增长86.23%,主要原因是：本年在职人员工资基数调增，公积金缴费基数上涨，相应支出增加。</w:t>
      </w:r>
    </w:p>
    <w:p w14:paraId="2FFCD54F">
      <w:pPr>
        <w:spacing w:line="640" w:lineRule="exact"/>
        <w:ind w:firstLine="640"/>
        <w:jc w:val="both"/>
        <w:outlineLvl w:val="2"/>
      </w:pPr>
      <w:r>
        <w:rPr>
          <w:rFonts w:ascii="黑体" w:hAnsi="黑体" w:eastAsia="黑体"/>
          <w:sz w:val="32"/>
        </w:rPr>
        <w:t>六、一般公共预算财政拨款基本支出决算情况说明</w:t>
      </w:r>
    </w:p>
    <w:p w14:paraId="1A16EC91">
      <w:pPr>
        <w:spacing w:line="580" w:lineRule="exact"/>
        <w:ind w:firstLine="640"/>
        <w:jc w:val="both"/>
      </w:pPr>
      <w:r>
        <w:rPr>
          <w:rFonts w:ascii="仿宋_GB2312" w:hAnsi="仿宋_GB2312" w:eastAsia="仿宋_GB2312"/>
          <w:b w:val="0"/>
          <w:sz w:val="32"/>
        </w:rPr>
        <w:t>2024年度一般公共预算财政拨款基本支出41.38万元，其中：</w:t>
      </w:r>
      <w:r>
        <w:rPr>
          <w:rFonts w:ascii="仿宋_GB2312" w:hAnsi="仿宋_GB2312" w:eastAsia="仿宋_GB2312"/>
          <w:b/>
          <w:sz w:val="32"/>
        </w:rPr>
        <w:t>人员经费40.21万元，</w:t>
      </w:r>
      <w:r>
        <w:rPr>
          <w:rFonts w:ascii="仿宋_GB2312" w:hAnsi="仿宋_GB2312" w:eastAsia="仿宋_GB2312"/>
          <w:b w:val="0"/>
          <w:sz w:val="32"/>
        </w:rPr>
        <w:t>包括：基本工资、津贴补贴、奖金、伙食补助费、机关事业单位基本养老保险缴费、职工基本医疗保险缴费、其他社会保障缴费、住房公积金、生活补助。</w:t>
      </w:r>
    </w:p>
    <w:p w14:paraId="32FFBCE0">
      <w:pPr>
        <w:spacing w:line="580" w:lineRule="exact"/>
        <w:ind w:firstLine="640"/>
        <w:jc w:val="both"/>
      </w:pPr>
      <w:r>
        <w:rPr>
          <w:rFonts w:ascii="仿宋_GB2312" w:hAnsi="仿宋_GB2312" w:eastAsia="仿宋_GB2312"/>
          <w:b/>
          <w:sz w:val="32"/>
        </w:rPr>
        <w:t>公用经费1.17万元，</w:t>
      </w:r>
      <w:r>
        <w:rPr>
          <w:rFonts w:ascii="仿宋_GB2312" w:hAnsi="仿宋_GB2312" w:eastAsia="仿宋_GB2312"/>
          <w:b w:val="0"/>
          <w:sz w:val="32"/>
        </w:rPr>
        <w:t>包括：办公费、物业管理费、培训费、福利费。</w:t>
      </w:r>
    </w:p>
    <w:p w14:paraId="530FF781">
      <w:pPr>
        <w:spacing w:line="640" w:lineRule="exact"/>
        <w:ind w:firstLine="640"/>
        <w:jc w:val="both"/>
        <w:outlineLvl w:val="2"/>
      </w:pPr>
      <w:r>
        <w:rPr>
          <w:rFonts w:ascii="黑体" w:hAnsi="黑体" w:eastAsia="黑体"/>
          <w:sz w:val="32"/>
        </w:rPr>
        <w:t>七、政府性基金预算财政拨款收入支出决算情况说明</w:t>
      </w:r>
    </w:p>
    <w:p w14:paraId="113E83EA">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462AD66C">
      <w:pPr>
        <w:spacing w:line="640" w:lineRule="exact"/>
        <w:ind w:firstLine="640"/>
        <w:jc w:val="both"/>
        <w:outlineLvl w:val="2"/>
      </w:pPr>
      <w:r>
        <w:rPr>
          <w:rFonts w:ascii="黑体" w:hAnsi="黑体" w:eastAsia="黑体"/>
          <w:sz w:val="32"/>
        </w:rPr>
        <w:t>八、国有资本经营预算财政拨款收入支出决算情况说明</w:t>
      </w:r>
    </w:p>
    <w:p w14:paraId="7CA23A09">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41F27926">
      <w:pPr>
        <w:spacing w:line="640" w:lineRule="exact"/>
        <w:ind w:firstLine="640"/>
        <w:jc w:val="both"/>
        <w:outlineLvl w:val="2"/>
      </w:pPr>
      <w:r>
        <w:rPr>
          <w:rFonts w:ascii="黑体" w:hAnsi="黑体" w:eastAsia="黑体"/>
          <w:sz w:val="32"/>
        </w:rPr>
        <w:t>九、财政拨款“三公”经费支出决算情况说明</w:t>
      </w:r>
    </w:p>
    <w:p w14:paraId="7E369F50">
      <w:pPr>
        <w:spacing w:line="580" w:lineRule="exact"/>
        <w:ind w:firstLine="640"/>
        <w:jc w:val="both"/>
      </w:pPr>
      <w:r>
        <w:rPr>
          <w:rFonts w:ascii="仿宋_GB2312" w:hAnsi="仿宋_GB2312" w:eastAsia="仿宋_GB2312"/>
          <w:b/>
          <w:sz w:val="32"/>
        </w:rPr>
        <w:t>2024年度财政拨款“三公”经费支出8.23万元，</w:t>
      </w:r>
      <w:r>
        <w:rPr>
          <w:rFonts w:ascii="仿宋_GB2312" w:hAnsi="仿宋_GB2312" w:eastAsia="仿宋_GB2312"/>
          <w:b w:val="0"/>
          <w:sz w:val="32"/>
        </w:rPr>
        <w:t>比上年增加4.56万元，增长123.91%，主要原因是：本年因业务需求，增加公务接待工作，用车次数增加，燃油费增加，维修维护成本增加，导致公务接待费、公务用车运行维护费较上年增加。其中：因公出国（境）费支出0.00万元，占0.00%，比上年增加0.00万元，增长0.00%，主要原因是：2023年与2024年均未安排因公出国（境）费支出。公务用车购置及运行维护费支出1.59万元，占19.32%，比上年增加1.59万元，增长100.00%，主要原因是：本年因业务需求，用车次数增加，燃油费增加，维修维护成本增加，导致公务用车运行维护费较上年增加。公务接待费支出6.65万元，占80.80%，比上年增加2.97万元，增长80.71%，主要原因是：本年因业务需求，增加公务接待工作，导致公务接待费较上年增加。</w:t>
      </w:r>
    </w:p>
    <w:p w14:paraId="2C47A14F">
      <w:pPr>
        <w:spacing w:line="580" w:lineRule="exact"/>
        <w:ind w:firstLine="640"/>
        <w:jc w:val="both"/>
      </w:pPr>
      <w:r>
        <w:rPr>
          <w:rFonts w:ascii="仿宋_GB2312" w:hAnsi="仿宋_GB2312" w:eastAsia="仿宋_GB2312"/>
          <w:b/>
          <w:sz w:val="32"/>
        </w:rPr>
        <w:t>具体情况如下：</w:t>
      </w:r>
    </w:p>
    <w:p w14:paraId="6A84EAD2">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2D9762C4">
      <w:pPr>
        <w:spacing w:line="580" w:lineRule="exact"/>
        <w:ind w:firstLine="640"/>
        <w:jc w:val="both"/>
      </w:pPr>
      <w:r>
        <w:rPr>
          <w:rFonts w:ascii="仿宋_GB2312" w:hAnsi="仿宋_GB2312" w:eastAsia="仿宋_GB2312"/>
          <w:b w:val="0"/>
          <w:sz w:val="32"/>
        </w:rPr>
        <w:t>公务用车购置及运行维护费1.59万元，其中：公务用车购置费0.00万元，公务用车运行维护费1.59万元。公务用车运行维护费开支内容包括燃油费、维修费。公务用车购置数0辆，公务用车保有量1辆。国有资产占用情况中固定资产车辆1辆，与公务用车保有量差异原因是：本部门固定资产车辆与公务用车保有量一致无差异。</w:t>
      </w:r>
    </w:p>
    <w:p w14:paraId="6A2A3614">
      <w:pPr>
        <w:spacing w:line="580" w:lineRule="exact"/>
        <w:ind w:firstLine="640"/>
        <w:jc w:val="both"/>
      </w:pPr>
      <w:r>
        <w:rPr>
          <w:rFonts w:ascii="仿宋_GB2312" w:hAnsi="仿宋_GB2312" w:eastAsia="仿宋_GB2312"/>
          <w:b w:val="0"/>
          <w:sz w:val="32"/>
        </w:rPr>
        <w:t>公务接待费6.65万元，开支内容包括因招</w:t>
      </w:r>
      <w:r>
        <w:rPr>
          <w:rFonts w:hint="eastAsia" w:ascii="仿宋_GB2312" w:hAnsi="仿宋_GB2312" w:eastAsia="仿宋_GB2312"/>
          <w:b w:val="0"/>
          <w:sz w:val="32"/>
          <w:lang w:eastAsia="zh-CN"/>
        </w:rPr>
        <w:t>商引资</w:t>
      </w:r>
      <w:r>
        <w:rPr>
          <w:rFonts w:ascii="仿宋_GB2312" w:hAnsi="仿宋_GB2312" w:eastAsia="仿宋_GB2312"/>
          <w:b w:val="0"/>
          <w:sz w:val="32"/>
        </w:rPr>
        <w:t>项目开展，接待考察公司产生的就餐费。部门全年安排的国内公务接待58批次，657人次。</w:t>
      </w:r>
    </w:p>
    <w:p w14:paraId="1AA4665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8.23万元，决算数8.23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1.59万元，决算数1.59万元，预决算差异率0.00%，主要原因是：严格按照预算执行，预决算无差异。公务接待费全年预算数6.65万元，决算数6.65万元，预决算差异率0.00%，主要原因是：严格按照预算执行，预决算无差异。</w:t>
      </w:r>
    </w:p>
    <w:p w14:paraId="4CC87A2F">
      <w:pPr>
        <w:spacing w:line="640" w:lineRule="exact"/>
        <w:ind w:firstLine="640"/>
        <w:jc w:val="both"/>
        <w:outlineLvl w:val="2"/>
      </w:pPr>
      <w:r>
        <w:rPr>
          <w:rFonts w:ascii="黑体" w:hAnsi="黑体" w:eastAsia="黑体"/>
          <w:sz w:val="32"/>
        </w:rPr>
        <w:t>十、其他重要事项的情况说明</w:t>
      </w:r>
    </w:p>
    <w:p w14:paraId="30FBE4D4">
      <w:pPr>
        <w:spacing w:line="640" w:lineRule="exact"/>
        <w:ind w:firstLine="640"/>
        <w:jc w:val="both"/>
        <w:outlineLvl w:val="3"/>
      </w:pPr>
      <w:r>
        <w:rPr>
          <w:rFonts w:ascii="楷体_GB2312" w:hAnsi="楷体_GB2312" w:eastAsia="楷体_GB2312"/>
          <w:b/>
          <w:sz w:val="32"/>
        </w:rPr>
        <w:t>（一）机关运行经费及公用经费支出情况</w:t>
      </w:r>
    </w:p>
    <w:p w14:paraId="04E8AB40">
      <w:pPr>
        <w:spacing w:line="580" w:lineRule="exact"/>
        <w:ind w:firstLine="640"/>
        <w:jc w:val="both"/>
      </w:pPr>
      <w:r>
        <w:rPr>
          <w:rFonts w:ascii="仿宋_GB2312" w:hAnsi="仿宋_GB2312" w:eastAsia="仿宋_GB2312"/>
          <w:b w:val="0"/>
          <w:sz w:val="32"/>
        </w:rPr>
        <w:t>2024年度巴音郭楞蒙古自治州油地融合服务中心（事业单位）公用经费支出1.17万元，比上年增加1.17万元，增长100.00%，主要原因是：本年更新、维护补充办公用品，导致公用经费较上年增加。</w:t>
      </w:r>
    </w:p>
    <w:p w14:paraId="12E75ED2">
      <w:pPr>
        <w:spacing w:line="640" w:lineRule="exact"/>
        <w:ind w:firstLine="640"/>
        <w:jc w:val="both"/>
        <w:outlineLvl w:val="3"/>
      </w:pPr>
      <w:r>
        <w:rPr>
          <w:rFonts w:ascii="楷体_GB2312" w:hAnsi="楷体_GB2312" w:eastAsia="楷体_GB2312"/>
          <w:b/>
          <w:sz w:val="32"/>
        </w:rPr>
        <w:t>（二）政府采购情况</w:t>
      </w:r>
    </w:p>
    <w:p w14:paraId="179B02D2">
      <w:pPr>
        <w:spacing w:line="580" w:lineRule="exact"/>
        <w:ind w:firstLine="640"/>
        <w:jc w:val="both"/>
      </w:pPr>
      <w:r>
        <w:rPr>
          <w:rFonts w:ascii="仿宋_GB2312" w:hAnsi="仿宋_GB2312" w:eastAsia="仿宋_GB2312"/>
          <w:b w:val="0"/>
          <w:sz w:val="32"/>
        </w:rPr>
        <w:t>2024年度政府采购支出总额15.38万元，其中：政府采购货物支出14.61万元、政府采购工程支出0.00万元、政府采购服务支出0.77万元。</w:t>
      </w:r>
    </w:p>
    <w:p w14:paraId="140A00D7">
      <w:pPr>
        <w:spacing w:line="580" w:lineRule="exact"/>
        <w:ind w:firstLine="640"/>
        <w:jc w:val="both"/>
      </w:pPr>
      <w:r>
        <w:rPr>
          <w:rFonts w:ascii="仿宋_GB2312" w:hAnsi="仿宋_GB2312" w:eastAsia="仿宋_GB2312"/>
          <w:b w:val="0"/>
          <w:sz w:val="32"/>
        </w:rPr>
        <w:t>授予中小企业合同金额15.38万元，占政府采购支出总额的100.00%，其中：授予小微企业合同金额15.38万元，占政府采购支出总额的100.00%。</w:t>
      </w:r>
    </w:p>
    <w:p w14:paraId="6F6E5057">
      <w:pPr>
        <w:spacing w:line="640" w:lineRule="exact"/>
        <w:ind w:firstLine="640"/>
        <w:jc w:val="both"/>
        <w:outlineLvl w:val="3"/>
      </w:pPr>
      <w:r>
        <w:rPr>
          <w:rFonts w:ascii="楷体_GB2312" w:hAnsi="楷体_GB2312" w:eastAsia="楷体_GB2312"/>
          <w:b/>
          <w:sz w:val="32"/>
        </w:rPr>
        <w:t>（三）国有资产占用情况说明</w:t>
      </w:r>
    </w:p>
    <w:p w14:paraId="5152A951">
      <w:pPr>
        <w:spacing w:line="580" w:lineRule="exact"/>
        <w:ind w:firstLine="640"/>
        <w:jc w:val="both"/>
      </w:pPr>
      <w:r>
        <w:rPr>
          <w:rFonts w:ascii="仿宋_GB2312" w:hAnsi="仿宋_GB2312" w:eastAsia="仿宋_GB2312"/>
          <w:b w:val="0"/>
          <w:sz w:val="32"/>
        </w:rPr>
        <w:t>截至2024年12月31日，房屋0.00平方米，价值0.00万元。车辆1辆，价值18.45万元，其中：副部（省）级及以上领导用车0辆、主要负责人用车0辆、机要通信用车0辆、应急保障用车0辆、执法执勤用车0辆、特种专业技术用车0辆、离退休干部服务用车0辆、其他用车1辆，其他用车主要是：日常办公用车。单价100万元（含）以上设备（不含车辆）0台（套）。</w:t>
      </w:r>
    </w:p>
    <w:p w14:paraId="6B0245C8">
      <w:pPr>
        <w:spacing w:line="640" w:lineRule="exact"/>
        <w:ind w:firstLine="640"/>
        <w:jc w:val="both"/>
        <w:outlineLvl w:val="2"/>
      </w:pPr>
      <w:r>
        <w:rPr>
          <w:rFonts w:ascii="黑体" w:hAnsi="黑体" w:eastAsia="黑体"/>
          <w:sz w:val="32"/>
        </w:rPr>
        <w:t>十一、预算绩效的情况说明</w:t>
      </w:r>
    </w:p>
    <w:p w14:paraId="3A8BDB95">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101.78万元，实际执行总额101.78万元；预算绩效评价项目1个，全年预算数99.20万元，全年执行数60.39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部门整体支出绩效自评表，项目支出绩效自评表和部门评价报告。</w:t>
      </w:r>
    </w:p>
    <w:p w14:paraId="0BFFAC4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EADC4F1">
        <w:tblPrEx>
          <w:tblCellMar>
            <w:top w:w="0" w:type="dxa"/>
            <w:left w:w="108" w:type="dxa"/>
            <w:bottom w:w="0" w:type="dxa"/>
            <w:right w:w="108" w:type="dxa"/>
          </w:tblCellMar>
        </w:tblPrEx>
        <w:tc>
          <w:tcPr>
            <w:tcW w:w="8840" w:type="dxa"/>
            <w:gridSpan w:val="8"/>
            <w:vAlign w:val="center"/>
          </w:tcPr>
          <w:p w14:paraId="6E4E18EC">
            <w:pPr>
              <w:jc w:val="center"/>
            </w:pPr>
            <w:r>
              <w:rPr>
                <w:rFonts w:ascii="宋体" w:hAnsi="宋体" w:eastAsia="宋体"/>
                <w:sz w:val="24"/>
              </w:rPr>
              <w:t>部门整体支出绩效自评表</w:t>
            </w:r>
          </w:p>
        </w:tc>
      </w:tr>
      <w:tr w14:paraId="4FC92C25">
        <w:tblPrEx>
          <w:tblCellMar>
            <w:top w:w="0" w:type="dxa"/>
            <w:left w:w="108" w:type="dxa"/>
            <w:bottom w:w="0" w:type="dxa"/>
            <w:right w:w="108" w:type="dxa"/>
          </w:tblCellMar>
        </w:tblPrEx>
        <w:tc>
          <w:tcPr>
            <w:tcW w:w="8840" w:type="dxa"/>
            <w:gridSpan w:val="8"/>
            <w:vAlign w:val="center"/>
          </w:tcPr>
          <w:p w14:paraId="4BA076EB">
            <w:pPr>
              <w:jc w:val="center"/>
            </w:pPr>
            <w:r>
              <w:rPr>
                <w:rFonts w:ascii="宋体" w:hAnsi="宋体" w:eastAsia="宋体"/>
                <w:sz w:val="24"/>
              </w:rPr>
              <w:t>（2024年度）</w:t>
            </w:r>
          </w:p>
        </w:tc>
      </w:tr>
      <w:tr w14:paraId="255641B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8713DE">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21E62C">
            <w:pPr>
              <w:jc w:val="center"/>
            </w:pPr>
            <w:r>
              <w:rPr>
                <w:rFonts w:ascii="宋体" w:hAnsi="宋体" w:eastAsia="宋体"/>
                <w:sz w:val="16"/>
              </w:rPr>
              <w:t>巴音郭楞蒙古自治州油地融合服务中心</w:t>
            </w:r>
          </w:p>
        </w:tc>
      </w:tr>
      <w:tr w14:paraId="4030887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23286">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6CFD0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F7B8F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10A7AE">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960699">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E26DB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4AC9C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CA4514">
            <w:pPr>
              <w:jc w:val="center"/>
            </w:pPr>
            <w:r>
              <w:rPr>
                <w:rFonts w:ascii="宋体" w:hAnsi="宋体" w:eastAsia="宋体"/>
                <w:sz w:val="16"/>
              </w:rPr>
              <w:t>得分</w:t>
            </w:r>
          </w:p>
        </w:tc>
      </w:tr>
      <w:tr w14:paraId="7A89AC3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0CE96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4DF353">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F7D3AB">
            <w:pPr>
              <w:jc w:val="center"/>
            </w:pPr>
            <w:r>
              <w:rPr>
                <w:rFonts w:ascii="宋体" w:hAnsi="宋体" w:eastAsia="宋体"/>
                <w:sz w:val="16"/>
              </w:rPr>
              <w:t>144.59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A0B2FE">
            <w:pPr>
              <w:jc w:val="center"/>
            </w:pPr>
            <w:r>
              <w:rPr>
                <w:rFonts w:ascii="宋体" w:hAnsi="宋体" w:eastAsia="宋体"/>
                <w:sz w:val="16"/>
              </w:rPr>
              <w:t>101.78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7954AC">
            <w:pPr>
              <w:jc w:val="center"/>
            </w:pPr>
            <w:r>
              <w:rPr>
                <w:rFonts w:ascii="宋体" w:hAnsi="宋体" w:eastAsia="宋体"/>
                <w:sz w:val="16"/>
              </w:rPr>
              <w:t>101.78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35EF6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4B0BA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B7F9D9">
            <w:pPr>
              <w:jc w:val="center"/>
            </w:pPr>
            <w:r>
              <w:rPr>
                <w:rFonts w:ascii="宋体" w:hAnsi="宋体" w:eastAsia="宋体"/>
                <w:sz w:val="16"/>
              </w:rPr>
              <w:t>10</w:t>
            </w:r>
          </w:p>
        </w:tc>
      </w:tr>
      <w:tr w14:paraId="2637F58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85298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9620A7">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07C34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57FCA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30B32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4D959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9D552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6FA262">
            <w:pPr>
              <w:jc w:val="center"/>
            </w:pPr>
            <w:r>
              <w:rPr>
                <w:rFonts w:ascii="宋体" w:hAnsi="宋体" w:eastAsia="宋体"/>
                <w:sz w:val="16"/>
              </w:rPr>
              <w:t>-</w:t>
            </w:r>
          </w:p>
        </w:tc>
      </w:tr>
      <w:tr w14:paraId="4B668A8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7BFB3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617F6F">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BFFC3E">
            <w:pPr>
              <w:jc w:val="center"/>
            </w:pPr>
            <w:r>
              <w:rPr>
                <w:rFonts w:ascii="宋体" w:hAnsi="宋体" w:eastAsia="宋体"/>
                <w:sz w:val="16"/>
              </w:rPr>
              <w:t>144.59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28B6C0">
            <w:pPr>
              <w:jc w:val="center"/>
            </w:pPr>
            <w:r>
              <w:rPr>
                <w:rFonts w:ascii="宋体" w:hAnsi="宋体" w:eastAsia="宋体"/>
                <w:sz w:val="16"/>
              </w:rPr>
              <w:t>101.78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441743">
            <w:pPr>
              <w:jc w:val="center"/>
            </w:pPr>
            <w:r>
              <w:rPr>
                <w:rFonts w:ascii="宋体" w:hAnsi="宋体" w:eastAsia="宋体"/>
                <w:sz w:val="16"/>
              </w:rPr>
              <w:t>101.78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1CF39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653B1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53A977">
            <w:pPr>
              <w:jc w:val="center"/>
            </w:pPr>
            <w:r>
              <w:rPr>
                <w:rFonts w:ascii="宋体" w:hAnsi="宋体" w:eastAsia="宋体"/>
                <w:sz w:val="16"/>
              </w:rPr>
              <w:t>-</w:t>
            </w:r>
          </w:p>
        </w:tc>
      </w:tr>
      <w:tr w14:paraId="266FCC7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79B16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ECCAB3">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572CD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F68A2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B0775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090D1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0688C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B77C6E">
            <w:pPr>
              <w:jc w:val="center"/>
            </w:pPr>
            <w:r>
              <w:rPr>
                <w:rFonts w:ascii="宋体" w:hAnsi="宋体" w:eastAsia="宋体"/>
                <w:sz w:val="16"/>
              </w:rPr>
              <w:t>-</w:t>
            </w:r>
          </w:p>
        </w:tc>
      </w:tr>
      <w:tr w14:paraId="5373049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B2911">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3AAC85">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6246F2">
            <w:pPr>
              <w:jc w:val="center"/>
            </w:pPr>
            <w:r>
              <w:rPr>
                <w:rFonts w:ascii="宋体" w:hAnsi="宋体" w:eastAsia="宋体"/>
                <w:sz w:val="16"/>
              </w:rPr>
              <w:t>实际完成情况</w:t>
            </w:r>
          </w:p>
        </w:tc>
      </w:tr>
      <w:tr w14:paraId="35475D1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E82E68D"/>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889782">
            <w:pPr>
              <w:jc w:val="both"/>
            </w:pPr>
            <w:r>
              <w:rPr>
                <w:rFonts w:ascii="宋体" w:hAnsi="宋体" w:eastAsia="宋体"/>
                <w:sz w:val="16"/>
              </w:rPr>
              <w:t>按照巴州党委、人民政府印发《</w:t>
            </w:r>
            <w:r>
              <w:rPr>
                <w:rFonts w:hint="eastAsia" w:ascii="宋体" w:hAnsi="宋体"/>
                <w:sz w:val="16"/>
                <w:lang w:eastAsia="zh-CN"/>
              </w:rPr>
              <w:t>巴音郭楞蒙古自治州</w:t>
            </w:r>
            <w:bookmarkStart w:id="0" w:name="_GoBack"/>
            <w:bookmarkEnd w:id="0"/>
            <w:r>
              <w:rPr>
                <w:rFonts w:ascii="宋体" w:hAnsi="宋体" w:eastAsia="宋体"/>
                <w:sz w:val="16"/>
              </w:rPr>
              <w:t>油地融合服务中心职能配置、内设机构人员编制规定》要求，中心将持续研究全州油气产业发展规划，指导各石油化工产业园区化工布局及重大石油化工项目协调。研究全州油地项目研发</w:t>
            </w:r>
            <w:r>
              <w:rPr>
                <w:rFonts w:hint="eastAsia" w:ascii="宋体" w:hAnsi="宋体"/>
                <w:sz w:val="16"/>
                <w:lang w:eastAsia="zh-CN"/>
              </w:rPr>
              <w:t>年度</w:t>
            </w:r>
            <w:r>
              <w:rPr>
                <w:rFonts w:ascii="宋体" w:hAnsi="宋体" w:eastAsia="宋体"/>
                <w:sz w:val="16"/>
              </w:rPr>
              <w:t>和长期工作方案，做好州域内各石油化工园区产业布局及重大石油化工项目协调的指导工作。努力协调中石油、中石化将更多的油气资源留在我州就地加工转化，更大</w:t>
            </w:r>
            <w:r>
              <w:rPr>
                <w:rFonts w:hint="eastAsia" w:ascii="宋体" w:hAnsi="宋体"/>
                <w:sz w:val="16"/>
                <w:lang w:eastAsia="zh-CN"/>
              </w:rPr>
              <w:t>地</w:t>
            </w:r>
            <w:r>
              <w:rPr>
                <w:rFonts w:ascii="宋体" w:hAnsi="宋体" w:eastAsia="宋体"/>
                <w:sz w:val="16"/>
              </w:rPr>
              <w:t>提升全州经济发展动力。</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39A3B1">
            <w:pPr>
              <w:jc w:val="both"/>
            </w:pPr>
            <w:r>
              <w:rPr>
                <w:rFonts w:ascii="宋体" w:hAnsi="宋体" w:eastAsia="宋体"/>
                <w:sz w:val="16"/>
              </w:rPr>
              <w:t>推动油气产业6个项目落地建设，有效打造若干符合国家战略、特色优势显著、具有核心竞争力的产业基地。完成4个产业链规划，</w:t>
            </w:r>
            <w:r>
              <w:rPr>
                <w:rFonts w:hint="eastAsia" w:ascii="宋体" w:hAnsi="宋体"/>
                <w:sz w:val="16"/>
                <w:lang w:eastAsia="zh-CN"/>
              </w:rPr>
              <w:t>为</w:t>
            </w:r>
            <w:r>
              <w:rPr>
                <w:rFonts w:ascii="宋体" w:hAnsi="宋体" w:eastAsia="宋体"/>
                <w:sz w:val="16"/>
              </w:rPr>
              <w:t>稳步推进重点产业发展有效具有核心竞争力的产业基地。促进更多的油气资源留在我州就地加工转化，更大</w:t>
            </w:r>
            <w:r>
              <w:rPr>
                <w:rFonts w:hint="eastAsia" w:ascii="宋体" w:hAnsi="宋体"/>
                <w:sz w:val="16"/>
                <w:lang w:eastAsia="zh-CN"/>
              </w:rPr>
              <w:t>地</w:t>
            </w:r>
            <w:r>
              <w:rPr>
                <w:rFonts w:ascii="宋体" w:hAnsi="宋体" w:eastAsia="宋体"/>
                <w:sz w:val="16"/>
              </w:rPr>
              <w:t>提升全州经济发展动力。</w:t>
            </w:r>
          </w:p>
        </w:tc>
      </w:tr>
      <w:tr w14:paraId="3E7524C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1833CC">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8AD05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73D352">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8E9A8A">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7BD129">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B5AA2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A111EE">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C2BC19">
            <w:pPr>
              <w:jc w:val="center"/>
            </w:pPr>
            <w:r>
              <w:rPr>
                <w:rFonts w:ascii="宋体" w:hAnsi="宋体" w:eastAsia="宋体"/>
                <w:sz w:val="16"/>
              </w:rPr>
              <w:t>得分</w:t>
            </w:r>
          </w:p>
        </w:tc>
      </w:tr>
      <w:tr w14:paraId="66A97F2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CDBA76">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00A59">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79317D">
            <w:pPr>
              <w:jc w:val="center"/>
            </w:pPr>
            <w:r>
              <w:rPr>
                <w:rFonts w:ascii="宋体" w:hAnsi="宋体" w:eastAsia="宋体"/>
                <w:sz w:val="16"/>
              </w:rPr>
              <w:t>建立油气产业专家库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AF97E0">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9F3323">
            <w:pPr>
              <w:jc w:val="center"/>
            </w:pPr>
            <w:r>
              <w:rPr>
                <w:rFonts w:ascii="宋体" w:hAnsi="宋体" w:eastAsia="宋体"/>
                <w:sz w:val="16"/>
              </w:rPr>
              <w:t>巴州油地融合服务中心2024年工作计划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67136A">
            <w:pPr>
              <w:jc w:val="center"/>
            </w:pPr>
            <w:r>
              <w:rPr>
                <w:rFonts w:ascii="宋体" w:hAnsi="宋体" w:eastAsia="宋体"/>
                <w:sz w:val="16"/>
              </w:rPr>
              <w:t>26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0B8085">
            <w:pPr>
              <w:jc w:val="center"/>
            </w:pPr>
            <w:r>
              <w:rPr>
                <w:rFonts w:ascii="宋体" w:hAnsi="宋体" w:eastAsia="宋体"/>
                <w:sz w:val="16"/>
              </w:rPr>
              <w:t>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764B7A">
            <w:pPr>
              <w:jc w:val="center"/>
            </w:pPr>
            <w:r>
              <w:rPr>
                <w:rFonts w:ascii="宋体" w:hAnsi="宋体" w:eastAsia="宋体"/>
                <w:sz w:val="16"/>
              </w:rPr>
              <w:t>0</w:t>
            </w:r>
          </w:p>
        </w:tc>
      </w:tr>
      <w:tr w14:paraId="4AA40C8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8BAF1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B791FB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138D77">
            <w:pPr>
              <w:jc w:val="center"/>
            </w:pPr>
            <w:r>
              <w:rPr>
                <w:rFonts w:ascii="宋体" w:hAnsi="宋体" w:eastAsia="宋体"/>
                <w:sz w:val="16"/>
              </w:rPr>
              <w:t>推动油气产业项目落地建设</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9A59F2">
            <w:pPr>
              <w:jc w:val="center"/>
            </w:pPr>
            <w:r>
              <w:rPr>
                <w:rFonts w:ascii="宋体" w:hAnsi="宋体" w:eastAsia="宋体"/>
                <w:sz w:val="16"/>
              </w:rPr>
              <w:t>&gt;=6个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7337FE">
            <w:pPr>
              <w:jc w:val="center"/>
            </w:pPr>
            <w:r>
              <w:rPr>
                <w:rFonts w:ascii="宋体" w:hAnsi="宋体" w:eastAsia="宋体"/>
                <w:sz w:val="16"/>
              </w:rPr>
              <w:t>巴州油地融合服务中心2024年工作计划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8D9105">
            <w:pPr>
              <w:jc w:val="center"/>
            </w:pPr>
            <w:r>
              <w:rPr>
                <w:rFonts w:ascii="宋体" w:hAnsi="宋体" w:eastAsia="宋体"/>
                <w:sz w:val="16"/>
              </w:rPr>
              <w:t>26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C249A1">
            <w:pPr>
              <w:jc w:val="center"/>
            </w:pPr>
            <w:r>
              <w:rPr>
                <w:rFonts w:ascii="宋体" w:hAnsi="宋体" w:eastAsia="宋体"/>
                <w:sz w:val="16"/>
              </w:rPr>
              <w:t>6个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411602">
            <w:pPr>
              <w:jc w:val="center"/>
            </w:pPr>
            <w:r>
              <w:rPr>
                <w:rFonts w:ascii="宋体" w:hAnsi="宋体" w:eastAsia="宋体"/>
                <w:sz w:val="16"/>
              </w:rPr>
              <w:t>26</w:t>
            </w:r>
          </w:p>
        </w:tc>
      </w:tr>
      <w:tr w14:paraId="3FE7ECB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260F0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59ADC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F12879">
            <w:pPr>
              <w:jc w:val="center"/>
            </w:pPr>
            <w:r>
              <w:rPr>
                <w:rFonts w:ascii="宋体" w:hAnsi="宋体" w:eastAsia="宋体"/>
                <w:sz w:val="16"/>
              </w:rPr>
              <w:t>制定产业链规划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1E860D">
            <w:pPr>
              <w:jc w:val="center"/>
            </w:pPr>
            <w:r>
              <w:rPr>
                <w:rFonts w:ascii="宋体" w:hAnsi="宋体" w:eastAsia="宋体"/>
                <w:sz w:val="16"/>
              </w:rPr>
              <w:t>=4个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F90269">
            <w:pPr>
              <w:jc w:val="center"/>
            </w:pPr>
            <w:r>
              <w:rPr>
                <w:rFonts w:ascii="宋体" w:hAnsi="宋体" w:eastAsia="宋体"/>
                <w:sz w:val="16"/>
              </w:rPr>
              <w:t>单位三定方案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3E39AE">
            <w:pPr>
              <w:jc w:val="center"/>
            </w:pPr>
            <w:r>
              <w:rPr>
                <w:rFonts w:ascii="宋体" w:hAnsi="宋体" w:eastAsia="宋体"/>
                <w:sz w:val="16"/>
              </w:rPr>
              <w:t>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96D86B">
            <w:pPr>
              <w:jc w:val="center"/>
            </w:pPr>
            <w:r>
              <w:rPr>
                <w:rFonts w:ascii="宋体" w:hAnsi="宋体" w:eastAsia="宋体"/>
                <w:sz w:val="16"/>
              </w:rPr>
              <w:t>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C62514">
            <w:pPr>
              <w:jc w:val="center"/>
            </w:pPr>
            <w:r>
              <w:rPr>
                <w:rFonts w:ascii="宋体" w:hAnsi="宋体" w:eastAsia="宋体"/>
                <w:sz w:val="16"/>
              </w:rPr>
              <w:t>28</w:t>
            </w:r>
          </w:p>
        </w:tc>
      </w:tr>
      <w:tr w14:paraId="010C4FE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15EA13">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D553FB">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159259">
            <w:pPr>
              <w:jc w:val="center"/>
            </w:pPr>
            <w:r>
              <w:rPr>
                <w:rFonts w:ascii="宋体" w:hAnsi="宋体" w:eastAsia="宋体"/>
                <w:sz w:val="16"/>
              </w:rPr>
              <w:t>油气产业相关企业满意度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E402C0">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2FC50A">
            <w:pPr>
              <w:jc w:val="center"/>
            </w:pPr>
            <w:r>
              <w:rPr>
                <w:rFonts w:ascii="宋体" w:hAnsi="宋体" w:eastAsia="宋体"/>
                <w:sz w:val="16"/>
              </w:rPr>
              <w:t>巴州油地融合服务中心2024年工作计划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283F5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897DC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6E7E78">
            <w:pPr>
              <w:jc w:val="center"/>
            </w:pPr>
            <w:r>
              <w:rPr>
                <w:rFonts w:ascii="宋体" w:hAnsi="宋体" w:eastAsia="宋体"/>
                <w:sz w:val="16"/>
              </w:rPr>
              <w:t>10</w:t>
            </w:r>
          </w:p>
        </w:tc>
      </w:tr>
    </w:tbl>
    <w:p w14:paraId="22FF8EBD">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5"/>
        <w:gridCol w:w="615"/>
        <w:gridCol w:w="620"/>
        <w:gridCol w:w="615"/>
        <w:gridCol w:w="620"/>
        <w:gridCol w:w="776"/>
        <w:gridCol w:w="696"/>
        <w:gridCol w:w="631"/>
        <w:gridCol w:w="626"/>
      </w:tblGrid>
      <w:tr w14:paraId="141FABCA">
        <w:tblPrEx>
          <w:tblCellMar>
            <w:top w:w="0" w:type="dxa"/>
            <w:left w:w="108" w:type="dxa"/>
            <w:bottom w:w="0" w:type="dxa"/>
            <w:right w:w="108" w:type="dxa"/>
          </w:tblCellMar>
        </w:tblPrEx>
        <w:tc>
          <w:tcPr>
            <w:tcW w:w="8848" w:type="dxa"/>
            <w:gridSpan w:val="14"/>
            <w:vAlign w:val="center"/>
          </w:tcPr>
          <w:p w14:paraId="13C6F096">
            <w:pPr>
              <w:jc w:val="center"/>
            </w:pPr>
            <w:r>
              <w:rPr>
                <w:rFonts w:ascii="宋体" w:hAnsi="宋体" w:eastAsia="宋体"/>
                <w:sz w:val="24"/>
              </w:rPr>
              <w:t>项目支出绩效自评表</w:t>
            </w:r>
          </w:p>
        </w:tc>
      </w:tr>
      <w:tr w14:paraId="7E17B29B">
        <w:tblPrEx>
          <w:tblCellMar>
            <w:top w:w="0" w:type="dxa"/>
            <w:left w:w="108" w:type="dxa"/>
            <w:bottom w:w="0" w:type="dxa"/>
            <w:right w:w="108" w:type="dxa"/>
          </w:tblCellMar>
        </w:tblPrEx>
        <w:tc>
          <w:tcPr>
            <w:tcW w:w="8848" w:type="dxa"/>
            <w:gridSpan w:val="14"/>
            <w:vAlign w:val="center"/>
          </w:tcPr>
          <w:p w14:paraId="25E990B5">
            <w:pPr>
              <w:jc w:val="center"/>
            </w:pPr>
            <w:r>
              <w:rPr>
                <w:rFonts w:ascii="宋体" w:hAnsi="宋体" w:eastAsia="宋体"/>
                <w:sz w:val="24"/>
              </w:rPr>
              <w:t>(2024年度)</w:t>
            </w:r>
          </w:p>
        </w:tc>
      </w:tr>
      <w:tr w14:paraId="7D25AA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077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ACA89D">
            <w:pPr>
              <w:jc w:val="center"/>
            </w:pPr>
            <w:r>
              <w:rPr>
                <w:rFonts w:ascii="宋体" w:hAnsi="宋体" w:eastAsia="宋体"/>
                <w:sz w:val="16"/>
              </w:rPr>
              <w:t>2024年巴州油地融合服务中心研发项目</w:t>
            </w:r>
          </w:p>
        </w:tc>
      </w:tr>
      <w:tr w14:paraId="6CA158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FC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5B36CC">
            <w:pPr>
              <w:jc w:val="center"/>
            </w:pPr>
            <w:r>
              <w:rPr>
                <w:rFonts w:ascii="宋体" w:hAnsi="宋体" w:eastAsia="宋体"/>
                <w:sz w:val="16"/>
              </w:rPr>
              <w:t>巴音郭楞蒙古自治州油地融合服务中心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D647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C9587B">
            <w:pPr>
              <w:jc w:val="center"/>
            </w:pPr>
            <w:r>
              <w:rPr>
                <w:rFonts w:ascii="宋体" w:hAnsi="宋体" w:eastAsia="宋体"/>
                <w:sz w:val="16"/>
              </w:rPr>
              <w:t>巴音郭楞蒙古自治州油地融合服务中心</w:t>
            </w:r>
          </w:p>
        </w:tc>
      </w:tr>
      <w:tr w14:paraId="641423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C3CE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2D45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E18B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EB0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EFA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7EE3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731D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E7D9">
            <w:pPr>
              <w:jc w:val="center"/>
            </w:pPr>
            <w:r>
              <w:rPr>
                <w:rFonts w:ascii="宋体" w:hAnsi="宋体" w:eastAsia="宋体"/>
                <w:sz w:val="16"/>
              </w:rPr>
              <w:t>得分</w:t>
            </w:r>
          </w:p>
        </w:tc>
      </w:tr>
      <w:tr w14:paraId="53FB46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685B6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A31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EBC6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999D0">
            <w:pPr>
              <w:jc w:val="center"/>
            </w:pPr>
            <w:r>
              <w:rPr>
                <w:rFonts w:ascii="宋体" w:hAnsi="宋体" w:eastAsia="宋体"/>
                <w:sz w:val="16"/>
              </w:rPr>
              <w:t>99.20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E251F">
            <w:pPr>
              <w:jc w:val="center"/>
            </w:pPr>
            <w:r>
              <w:rPr>
                <w:rFonts w:ascii="宋体" w:hAnsi="宋体" w:eastAsia="宋体"/>
                <w:sz w:val="16"/>
              </w:rPr>
              <w:t>60.39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FAA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2CA63">
            <w:pPr>
              <w:jc w:val="center"/>
            </w:pPr>
            <w:r>
              <w:rPr>
                <w:rFonts w:ascii="宋体" w:hAnsi="宋体" w:eastAsia="宋体"/>
                <w:sz w:val="16"/>
              </w:rPr>
              <w:t>60.88%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3960">
            <w:pPr>
              <w:jc w:val="center"/>
            </w:pPr>
            <w:r>
              <w:rPr>
                <w:rFonts w:ascii="宋体" w:hAnsi="宋体" w:eastAsia="宋体"/>
                <w:sz w:val="16"/>
              </w:rPr>
              <w:t>0.22</w:t>
            </w:r>
          </w:p>
        </w:tc>
      </w:tr>
      <w:tr w14:paraId="0BDE2C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985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2E07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4C002">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CBBC0">
            <w:pPr>
              <w:jc w:val="center"/>
            </w:pPr>
            <w:r>
              <w:rPr>
                <w:rFonts w:ascii="宋体" w:hAnsi="宋体" w:eastAsia="宋体"/>
                <w:sz w:val="16"/>
              </w:rPr>
              <w:t>99.20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5071A">
            <w:pPr>
              <w:jc w:val="center"/>
            </w:pPr>
            <w:r>
              <w:rPr>
                <w:rFonts w:ascii="宋体" w:hAnsi="宋体" w:eastAsia="宋体"/>
                <w:sz w:val="16"/>
              </w:rPr>
              <w:t>60.39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843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EF9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0857">
            <w:pPr>
              <w:jc w:val="center"/>
            </w:pPr>
            <w:r>
              <w:rPr>
                <w:rFonts w:ascii="宋体" w:hAnsi="宋体" w:eastAsia="宋体"/>
                <w:sz w:val="16"/>
              </w:rPr>
              <w:t>-</w:t>
            </w:r>
          </w:p>
        </w:tc>
      </w:tr>
      <w:tr w14:paraId="35A61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BC2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81A2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523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01D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A70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CA8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9A2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98F4">
            <w:pPr>
              <w:jc w:val="center"/>
            </w:pPr>
            <w:r>
              <w:rPr>
                <w:rFonts w:ascii="宋体" w:hAnsi="宋体" w:eastAsia="宋体"/>
                <w:sz w:val="16"/>
              </w:rPr>
              <w:t>-</w:t>
            </w:r>
          </w:p>
        </w:tc>
      </w:tr>
      <w:tr w14:paraId="251592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F553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920B8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2193A9">
            <w:pPr>
              <w:jc w:val="center"/>
            </w:pPr>
            <w:r>
              <w:rPr>
                <w:rFonts w:ascii="宋体" w:hAnsi="宋体" w:eastAsia="宋体"/>
                <w:sz w:val="16"/>
              </w:rPr>
              <w:t>总体目标完成情况</w:t>
            </w:r>
          </w:p>
        </w:tc>
      </w:tr>
      <w:tr w14:paraId="0DBF9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CC94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E7EED3">
            <w:pPr>
              <w:jc w:val="both"/>
            </w:pPr>
            <w:r>
              <w:rPr>
                <w:rFonts w:ascii="宋体" w:hAnsi="宋体" w:eastAsia="宋体"/>
                <w:sz w:val="16"/>
              </w:rPr>
              <w:t>发放3名业务专家和1名临聘人员劳务费用，研究全州油气产业发展规划，推动巴州高质量发展；办公费用，为保障单位人员做好本职工作，推动巴州油气产业正常发展；差旅费，全年计划开展12次招商引资活动，完成招商引资计划和助推油气产业发展，增加区外到位资金，助推巴州经济高质量发展；公务接待费，全年计划接待客商667人，通过接待客商，了解投资意向，推动项目落地；委托业务费，保障单位正常运转，提高单位信息储备，委托代理机构2次；采购设备费，由于单位新成立，办公设备缺失，保障单位工作人员正常办公，计划采购设备212套；采购办公耗材费，保障单位工作人员正常办公，全年计划采购办公耗材4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B642E3">
            <w:pPr>
              <w:jc w:val="both"/>
            </w:pPr>
            <w:r>
              <w:rPr>
                <w:rFonts w:ascii="宋体" w:hAnsi="宋体" w:eastAsia="宋体"/>
                <w:sz w:val="16"/>
              </w:rPr>
              <w:t>开展12次招商引资活动，完成招商引资计划和助推油气产业发展，增加区外到位资金，助推巴州经济高质量发展；全年接待客商864人，通过接待客商，了解投资意向，推动项目落地；保障单位正常运转，提高单位信息储备，委托代理机构2次；由于单位新成立，办公设备缺失，保障单位工作人员正常办公，采购设备215套；保障单位工作人员正常办公，全年采购办公耗材6次。发放1名临聘人员劳务费用，研究全州油气产业发展规划，推动巴州高质量发展；保障单位人员做好本职工作，推动巴州油气产业正常发展</w:t>
            </w:r>
          </w:p>
        </w:tc>
      </w:tr>
      <w:tr w14:paraId="4AF62F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88D6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F97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73CB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C2A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48D4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8061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4F89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8BC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E8D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FA42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CE72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DAB5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F43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AF25">
            <w:pPr>
              <w:jc w:val="center"/>
            </w:pPr>
            <w:r>
              <w:rPr>
                <w:rFonts w:ascii="宋体" w:hAnsi="宋体" w:eastAsia="宋体"/>
                <w:sz w:val="16"/>
              </w:rPr>
              <w:t>偏差原因分析及改进措施</w:t>
            </w:r>
          </w:p>
        </w:tc>
      </w:tr>
      <w:tr w14:paraId="7F22A1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2B34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BAC6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BA84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05A4">
            <w:pPr>
              <w:jc w:val="center"/>
            </w:pPr>
            <w:r>
              <w:rPr>
                <w:rFonts w:ascii="宋体" w:hAnsi="宋体" w:eastAsia="宋体"/>
                <w:sz w:val="16"/>
              </w:rPr>
              <w:t>聘请专家数量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F1F33">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A8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C6C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992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05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344C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AA89">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F1B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14ED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976F">
            <w:pPr>
              <w:jc w:val="center"/>
            </w:pPr>
            <w:r>
              <w:rPr>
                <w:rFonts w:ascii="宋体" w:hAnsi="宋体" w:eastAsia="宋体"/>
                <w:sz w:val="16"/>
              </w:rPr>
              <w:t>偏差原因：聘用专家前期手续开展顺利，后因专家个人原因未能达成合作，故导致偏差。改进措施：</w:t>
            </w:r>
            <w:r>
              <w:rPr>
                <w:rFonts w:hint="eastAsia" w:ascii="宋体" w:hAnsi="宋体"/>
                <w:sz w:val="16"/>
                <w:lang w:eastAsia="zh-CN"/>
              </w:rPr>
              <w:t>本部门</w:t>
            </w:r>
            <w:r>
              <w:rPr>
                <w:rFonts w:ascii="宋体" w:hAnsi="宋体" w:eastAsia="宋体"/>
                <w:sz w:val="16"/>
              </w:rPr>
              <w:t>项目实施人后期会认真落实项目实施方案，精准设施绩效目标表。</w:t>
            </w:r>
          </w:p>
        </w:tc>
      </w:tr>
      <w:tr w14:paraId="5487F5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406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90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AFA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A0BD6">
            <w:pPr>
              <w:jc w:val="center"/>
            </w:pPr>
            <w:r>
              <w:rPr>
                <w:rFonts w:ascii="宋体" w:hAnsi="宋体" w:eastAsia="宋体"/>
                <w:sz w:val="16"/>
              </w:rPr>
              <w:t>外出招商引资次数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8B37">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19F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281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3B3D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56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28FE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7284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319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5626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120F">
            <w:pPr>
              <w:jc w:val="center"/>
            </w:pPr>
          </w:p>
        </w:tc>
      </w:tr>
      <w:tr w14:paraId="41477D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F72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0E3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4E1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E4B0">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E60CF">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D0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B16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8FC9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AF7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E3B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C5F3D">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C66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1641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6296">
            <w:pPr>
              <w:jc w:val="center"/>
            </w:pPr>
          </w:p>
        </w:tc>
      </w:tr>
      <w:tr w14:paraId="64160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2C3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7DA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801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26D72">
            <w:pPr>
              <w:jc w:val="center"/>
            </w:pPr>
            <w:r>
              <w:rPr>
                <w:rFonts w:ascii="宋体" w:hAnsi="宋体" w:eastAsia="宋体"/>
                <w:sz w:val="16"/>
              </w:rPr>
              <w:t>公务接待人数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E143">
            <w:pPr>
              <w:jc w:val="center"/>
            </w:pPr>
            <w:r>
              <w:rPr>
                <w:rFonts w:ascii="宋体" w:hAnsi="宋体" w:eastAsia="宋体"/>
                <w:sz w:val="16"/>
              </w:rPr>
              <w:t>=864人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E29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02E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15E8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DA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522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CDA3">
            <w:pPr>
              <w:jc w:val="center"/>
            </w:pPr>
            <w:r>
              <w:rPr>
                <w:rFonts w:ascii="宋体" w:hAnsi="宋体" w:eastAsia="宋体"/>
                <w:sz w:val="16"/>
              </w:rPr>
              <w:t>=864人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4DA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F0AA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C045">
            <w:pPr>
              <w:jc w:val="center"/>
            </w:pPr>
          </w:p>
        </w:tc>
      </w:tr>
      <w:tr w14:paraId="5C3C27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659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2C0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81C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B713B">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1735B">
            <w:pPr>
              <w:jc w:val="center"/>
            </w:pPr>
            <w:r>
              <w:rPr>
                <w:rFonts w:ascii="宋体" w:hAnsi="宋体" w:eastAsia="宋体"/>
                <w:sz w:val="16"/>
              </w:rPr>
              <w:t>&gt;=215套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083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EE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78E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0B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EF6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2B61D">
            <w:pPr>
              <w:jc w:val="center"/>
            </w:pPr>
            <w:r>
              <w:rPr>
                <w:rFonts w:ascii="宋体" w:hAnsi="宋体" w:eastAsia="宋体"/>
                <w:sz w:val="16"/>
              </w:rPr>
              <w:t>=215套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EE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69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DD14">
            <w:pPr>
              <w:jc w:val="center"/>
            </w:pPr>
          </w:p>
        </w:tc>
      </w:tr>
      <w:tr w14:paraId="1837B2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C7F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AD5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ABB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A4904">
            <w:pPr>
              <w:jc w:val="center"/>
            </w:pPr>
            <w:r>
              <w:rPr>
                <w:rFonts w:ascii="宋体" w:hAnsi="宋体" w:eastAsia="宋体"/>
                <w:sz w:val="16"/>
              </w:rPr>
              <w:t>采购办公耗材次数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BA1A4">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264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4EA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8946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49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0761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B00F">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74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33E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641F">
            <w:pPr>
              <w:jc w:val="center"/>
            </w:pPr>
          </w:p>
        </w:tc>
      </w:tr>
      <w:tr w14:paraId="5AB1C1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DD6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24C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FD0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EB996">
            <w:pPr>
              <w:jc w:val="center"/>
            </w:pPr>
            <w:r>
              <w:rPr>
                <w:rFonts w:ascii="宋体" w:hAnsi="宋体" w:eastAsia="宋体"/>
                <w:sz w:val="16"/>
              </w:rPr>
              <w:t>发放临聘人员劳务费人数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37B1">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227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47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FDE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028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394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3AEAE">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52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EAD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3F905">
            <w:pPr>
              <w:jc w:val="center"/>
            </w:pPr>
          </w:p>
        </w:tc>
      </w:tr>
      <w:tr w14:paraId="39811B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8A8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7D3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A4B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EE75">
            <w:pPr>
              <w:jc w:val="center"/>
            </w:pPr>
            <w:r>
              <w:rPr>
                <w:rFonts w:ascii="宋体" w:hAnsi="宋体" w:eastAsia="宋体"/>
                <w:sz w:val="16"/>
              </w:rPr>
              <w:t>委托业务次数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B96C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883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35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0700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F8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6D8B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E864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DF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4755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FB96">
            <w:pPr>
              <w:jc w:val="center"/>
            </w:pPr>
          </w:p>
        </w:tc>
      </w:tr>
      <w:tr w14:paraId="7BE01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144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4DC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4F7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BDAA">
            <w:pPr>
              <w:jc w:val="center"/>
            </w:pPr>
            <w:r>
              <w:rPr>
                <w:rFonts w:ascii="宋体" w:hAnsi="宋体" w:eastAsia="宋体"/>
                <w:sz w:val="16"/>
              </w:rPr>
              <w:t>公务用车数量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7230B">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29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DF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AC2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B3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D0C5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10C17">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E4E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2693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84086">
            <w:pPr>
              <w:jc w:val="center"/>
            </w:pPr>
          </w:p>
        </w:tc>
      </w:tr>
      <w:tr w14:paraId="4426F3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C69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3D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279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12E8">
            <w:pPr>
              <w:jc w:val="center"/>
            </w:pPr>
            <w:r>
              <w:rPr>
                <w:rFonts w:ascii="宋体" w:hAnsi="宋体" w:eastAsia="宋体"/>
                <w:sz w:val="16"/>
              </w:rPr>
              <w:t>临聘人员发放次数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7F7FC">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CD8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ED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CA8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7A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061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4B1D">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9ADE">
            <w:pPr>
              <w:jc w:val="center"/>
            </w:pPr>
            <w:r>
              <w:rPr>
                <w:rFonts w:ascii="宋体" w:hAnsi="宋体" w:eastAsia="宋体"/>
                <w:sz w:val="16"/>
              </w:rPr>
              <w:t>41.67%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D5F3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5E37">
            <w:pPr>
              <w:jc w:val="center"/>
            </w:pPr>
            <w:r>
              <w:rPr>
                <w:rFonts w:ascii="宋体" w:hAnsi="宋体" w:eastAsia="宋体"/>
                <w:sz w:val="16"/>
              </w:rPr>
              <w:t>偏差原因：临聘人员于5月辞职，后期未招聘成功，故导致偏差。改进措施：</w:t>
            </w:r>
            <w:r>
              <w:rPr>
                <w:rFonts w:hint="eastAsia" w:ascii="宋体" w:hAnsi="宋体"/>
                <w:sz w:val="16"/>
                <w:lang w:eastAsia="zh-CN"/>
              </w:rPr>
              <w:t>本部门</w:t>
            </w:r>
            <w:r>
              <w:rPr>
                <w:rFonts w:ascii="宋体" w:hAnsi="宋体" w:eastAsia="宋体"/>
                <w:sz w:val="16"/>
              </w:rPr>
              <w:t>项目实施人后期会认真落实项目实施方案，精准设施绩效目标表。</w:t>
            </w:r>
          </w:p>
        </w:tc>
      </w:tr>
      <w:tr w14:paraId="2DAC68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64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F76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73F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AECF">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A07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911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875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68C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75F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E06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B1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9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956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3ECDA">
            <w:pPr>
              <w:jc w:val="center"/>
            </w:pPr>
          </w:p>
        </w:tc>
      </w:tr>
      <w:tr w14:paraId="387E94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451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5EB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6EE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8B070">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A2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676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886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587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111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BEF0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E83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09F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44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163CA">
            <w:pPr>
              <w:jc w:val="center"/>
            </w:pPr>
          </w:p>
        </w:tc>
      </w:tr>
      <w:tr w14:paraId="08432C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EBB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618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3B1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0489">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C0D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2A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92A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B09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93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550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F16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5A0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5602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1E69">
            <w:pPr>
              <w:jc w:val="center"/>
            </w:pPr>
          </w:p>
        </w:tc>
      </w:tr>
      <w:tr w14:paraId="614FC0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6CE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74C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FB1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A3EA">
            <w:pPr>
              <w:jc w:val="center"/>
            </w:pPr>
            <w:r>
              <w:rPr>
                <w:rFonts w:ascii="宋体" w:hAnsi="宋体" w:eastAsia="宋体"/>
                <w:sz w:val="16"/>
              </w:rPr>
              <w:t>办公耗材政府采购率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FB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C9C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3B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803D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1D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813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2DC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D4D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DECF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B39E3">
            <w:pPr>
              <w:jc w:val="center"/>
            </w:pPr>
          </w:p>
        </w:tc>
      </w:tr>
      <w:tr w14:paraId="3ACDD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3C2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0BA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A322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5AEA">
            <w:pPr>
              <w:jc w:val="center"/>
            </w:pPr>
            <w:r>
              <w:rPr>
                <w:rFonts w:ascii="宋体" w:hAnsi="宋体" w:eastAsia="宋体"/>
                <w:sz w:val="16"/>
              </w:rPr>
              <w:t>发放临聘人员劳务费发放及时率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B52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4F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2D3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710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45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F36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94141">
            <w:pPr>
              <w:jc w:val="center"/>
            </w:pPr>
            <w:r>
              <w:rPr>
                <w:rFonts w:ascii="宋体" w:hAnsi="宋体" w:eastAsia="宋体"/>
                <w:sz w:val="16"/>
              </w:rPr>
              <w:t>=41.67%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A5FAD">
            <w:pPr>
              <w:jc w:val="center"/>
            </w:pPr>
            <w:r>
              <w:rPr>
                <w:rFonts w:ascii="宋体" w:hAnsi="宋体" w:eastAsia="宋体"/>
                <w:sz w:val="16"/>
              </w:rPr>
              <w:t>41.67%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B37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862FD">
            <w:pPr>
              <w:jc w:val="center"/>
            </w:pPr>
            <w:r>
              <w:rPr>
                <w:rFonts w:ascii="宋体" w:hAnsi="宋体" w:eastAsia="宋体"/>
                <w:sz w:val="16"/>
              </w:rPr>
              <w:t>偏差原因：临聘人员于5月辞职，后期未招聘成功，故导致偏差。改进措施：</w:t>
            </w:r>
            <w:r>
              <w:rPr>
                <w:rFonts w:hint="eastAsia" w:ascii="宋体" w:hAnsi="宋体"/>
                <w:sz w:val="16"/>
                <w:lang w:eastAsia="zh-CN"/>
              </w:rPr>
              <w:t>本部门</w:t>
            </w:r>
            <w:r>
              <w:rPr>
                <w:rFonts w:ascii="宋体" w:hAnsi="宋体" w:eastAsia="宋体"/>
                <w:sz w:val="16"/>
              </w:rPr>
              <w:t>项目实施人后期会认真落实项目实施方案，精准设施绩效目标表。</w:t>
            </w:r>
          </w:p>
        </w:tc>
      </w:tr>
      <w:tr w14:paraId="6B670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137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8FC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48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AA59">
            <w:pPr>
              <w:jc w:val="center"/>
            </w:pPr>
            <w:r>
              <w:rPr>
                <w:rFonts w:ascii="宋体" w:hAnsi="宋体" w:eastAsia="宋体"/>
                <w:sz w:val="16"/>
              </w:rPr>
              <w:t>外出招商引资差旅费用报销及时率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9B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EAC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14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988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50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854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51A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4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0B1E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A0DE4">
            <w:pPr>
              <w:jc w:val="center"/>
            </w:pPr>
          </w:p>
        </w:tc>
      </w:tr>
      <w:tr w14:paraId="7B0705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390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5C5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988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CC797">
            <w:pPr>
              <w:jc w:val="center"/>
            </w:pPr>
            <w:r>
              <w:rPr>
                <w:rFonts w:ascii="宋体" w:hAnsi="宋体" w:eastAsia="宋体"/>
                <w:sz w:val="16"/>
              </w:rPr>
              <w:t>办公经费支付及时率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3D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79B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C4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28E9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28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61A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EA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79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CD11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3C58">
            <w:pPr>
              <w:jc w:val="center"/>
            </w:pPr>
          </w:p>
        </w:tc>
      </w:tr>
      <w:tr w14:paraId="3B63BC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41B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922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D78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CA3CD">
            <w:pPr>
              <w:jc w:val="center"/>
            </w:pPr>
            <w:r>
              <w:rPr>
                <w:rFonts w:ascii="宋体" w:hAnsi="宋体" w:eastAsia="宋体"/>
                <w:sz w:val="16"/>
              </w:rPr>
              <w:t>公务接待经费支付及时率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5DA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80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276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6DE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B6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E3EA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81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CE8E">
            <w:pPr>
              <w:jc w:val="center"/>
            </w:pPr>
            <w:r>
              <w:rPr>
                <w:rFonts w:ascii="宋体" w:hAnsi="宋体" w:eastAsia="宋体"/>
                <w:sz w:val="16"/>
              </w:rPr>
              <w:t>83.04%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D83A3">
            <w:pPr>
              <w:jc w:val="center"/>
            </w:pPr>
            <w:r>
              <w:rPr>
                <w:rFonts w:ascii="宋体" w:hAnsi="宋体" w:eastAsia="宋体"/>
                <w:sz w:val="16"/>
              </w:rPr>
              <w:t>1.15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38AC">
            <w:pPr>
              <w:jc w:val="center"/>
            </w:pPr>
            <w:r>
              <w:rPr>
                <w:rFonts w:ascii="宋体" w:hAnsi="宋体" w:eastAsia="宋体"/>
                <w:sz w:val="16"/>
              </w:rPr>
              <w:t>偏差原因：</w:t>
            </w:r>
            <w:r>
              <w:rPr>
                <w:rFonts w:hint="eastAsia" w:ascii="宋体" w:hAnsi="宋体"/>
                <w:sz w:val="16"/>
                <w:lang w:eastAsia="zh-CN"/>
              </w:rPr>
              <w:t>本部门</w:t>
            </w:r>
            <w:r>
              <w:rPr>
                <w:rFonts w:ascii="宋体" w:hAnsi="宋体" w:eastAsia="宋体"/>
                <w:sz w:val="16"/>
              </w:rPr>
              <w:t>节约开支故公务接待人均支出减少，公务接待费未使用完，故导致偏差。改进措施：</w:t>
            </w:r>
            <w:r>
              <w:rPr>
                <w:rFonts w:hint="eastAsia" w:ascii="宋体" w:hAnsi="宋体"/>
                <w:sz w:val="16"/>
                <w:lang w:eastAsia="zh-CN"/>
              </w:rPr>
              <w:t>本部门</w:t>
            </w:r>
            <w:r>
              <w:rPr>
                <w:rFonts w:ascii="宋体" w:hAnsi="宋体" w:eastAsia="宋体"/>
                <w:sz w:val="16"/>
              </w:rPr>
              <w:t>项目实施人后期会认真落实项目实施方案，精准设施绩效目标表。</w:t>
            </w:r>
          </w:p>
        </w:tc>
      </w:tr>
      <w:tr w14:paraId="63EBA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CA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68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670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C9A92">
            <w:pPr>
              <w:jc w:val="center"/>
            </w:pPr>
            <w:r>
              <w:rPr>
                <w:rFonts w:ascii="宋体" w:hAnsi="宋体" w:eastAsia="宋体"/>
                <w:sz w:val="16"/>
              </w:rPr>
              <w:t>委托业务经费支付及时率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B3E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E01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11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0AE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63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E0BE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97F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5F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1FF8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A220">
            <w:pPr>
              <w:jc w:val="center"/>
            </w:pPr>
          </w:p>
        </w:tc>
      </w:tr>
      <w:tr w14:paraId="49BAD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6F2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4F0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777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B043B">
            <w:pPr>
              <w:jc w:val="center"/>
            </w:pPr>
            <w:r>
              <w:rPr>
                <w:rFonts w:ascii="宋体" w:hAnsi="宋体" w:eastAsia="宋体"/>
                <w:sz w:val="16"/>
              </w:rPr>
              <w:t>设备采购按时完成率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B7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7F1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C58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5A2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061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375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AC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10C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3D15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8875">
            <w:pPr>
              <w:jc w:val="center"/>
            </w:pPr>
          </w:p>
        </w:tc>
      </w:tr>
      <w:tr w14:paraId="73603F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FC6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2BA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9C5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CE04">
            <w:pPr>
              <w:jc w:val="center"/>
            </w:pPr>
            <w:r>
              <w:rPr>
                <w:rFonts w:ascii="宋体" w:hAnsi="宋体" w:eastAsia="宋体"/>
                <w:sz w:val="16"/>
              </w:rPr>
              <w:t>采购办公耗材按时完成率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1C4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90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35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453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769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4ECF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EF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DDC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800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91A27">
            <w:pPr>
              <w:jc w:val="center"/>
            </w:pPr>
          </w:p>
        </w:tc>
      </w:tr>
      <w:tr w14:paraId="4781E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4F9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E22E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922E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98CB">
            <w:pPr>
              <w:jc w:val="center"/>
            </w:pPr>
            <w:r>
              <w:rPr>
                <w:rFonts w:ascii="宋体" w:hAnsi="宋体" w:eastAsia="宋体"/>
                <w:sz w:val="16"/>
              </w:rPr>
              <w:t>发放聘用专家劳务费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5C43">
            <w:pPr>
              <w:jc w:val="center"/>
            </w:pPr>
            <w:r>
              <w:rPr>
                <w:rFonts w:ascii="宋体" w:hAnsi="宋体" w:eastAsia="宋体"/>
                <w:sz w:val="16"/>
              </w:rPr>
              <w:t>&lt;=19.2万元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807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2D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B3C6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09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3C1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00B9B">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BC0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2DB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08BE">
            <w:pPr>
              <w:jc w:val="center"/>
            </w:pPr>
            <w:r>
              <w:rPr>
                <w:rFonts w:ascii="宋体" w:hAnsi="宋体" w:eastAsia="宋体"/>
                <w:sz w:val="16"/>
              </w:rPr>
              <w:t>偏差原因：聘用专家前期手续开展顺利，后因专家个人原因未能达成合作，故导致偏差。改进措施：</w:t>
            </w:r>
            <w:r>
              <w:rPr>
                <w:rFonts w:hint="eastAsia" w:ascii="宋体" w:hAnsi="宋体"/>
                <w:sz w:val="16"/>
                <w:lang w:eastAsia="zh-CN"/>
              </w:rPr>
              <w:t>本部门</w:t>
            </w:r>
            <w:r>
              <w:rPr>
                <w:rFonts w:ascii="宋体" w:hAnsi="宋体" w:eastAsia="宋体"/>
                <w:sz w:val="16"/>
              </w:rPr>
              <w:t>项目实施人后期会认真落实项目实施方案，精准设施绩效目标表。</w:t>
            </w:r>
          </w:p>
        </w:tc>
      </w:tr>
      <w:tr w14:paraId="04CD9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B7D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F6B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E69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7B691">
            <w:pPr>
              <w:jc w:val="center"/>
            </w:pPr>
            <w:r>
              <w:rPr>
                <w:rFonts w:ascii="宋体" w:hAnsi="宋体" w:eastAsia="宋体"/>
                <w:sz w:val="16"/>
              </w:rPr>
              <w:t>外出招商引资差旅经费数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C8783">
            <w:pPr>
              <w:jc w:val="center"/>
            </w:pPr>
            <w:r>
              <w:rPr>
                <w:rFonts w:ascii="宋体" w:hAnsi="宋体" w:eastAsia="宋体"/>
                <w:sz w:val="16"/>
              </w:rPr>
              <w:t>&lt;=30.24万元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8F7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B1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80E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F4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667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A158">
            <w:pPr>
              <w:jc w:val="center"/>
            </w:pPr>
            <w:r>
              <w:rPr>
                <w:rFonts w:ascii="宋体" w:hAnsi="宋体" w:eastAsia="宋体"/>
                <w:sz w:val="16"/>
              </w:rPr>
              <w:t>=25.68万元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BD86">
            <w:pPr>
              <w:jc w:val="center"/>
            </w:pPr>
            <w:r>
              <w:rPr>
                <w:rFonts w:ascii="宋体" w:hAnsi="宋体" w:eastAsia="宋体"/>
                <w:sz w:val="16"/>
              </w:rPr>
              <w:t>84.92%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C291">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20FF">
            <w:pPr>
              <w:jc w:val="center"/>
            </w:pPr>
            <w:r>
              <w:rPr>
                <w:rFonts w:ascii="宋体" w:hAnsi="宋体" w:eastAsia="宋体"/>
                <w:sz w:val="16"/>
              </w:rPr>
              <w:t>偏差原因：</w:t>
            </w:r>
            <w:r>
              <w:rPr>
                <w:rFonts w:hint="eastAsia" w:ascii="宋体" w:hAnsi="宋体"/>
                <w:sz w:val="16"/>
                <w:lang w:eastAsia="zh-CN"/>
              </w:rPr>
              <w:t>本部门</w:t>
            </w:r>
            <w:r>
              <w:rPr>
                <w:rFonts w:ascii="宋体" w:hAnsi="宋体" w:eastAsia="宋体"/>
                <w:sz w:val="16"/>
              </w:rPr>
              <w:t>节约开支故差旅经费未使用完，导致偏差。改进措施：</w:t>
            </w:r>
            <w:r>
              <w:rPr>
                <w:rFonts w:hint="eastAsia" w:ascii="宋体" w:hAnsi="宋体"/>
                <w:sz w:val="16"/>
                <w:lang w:eastAsia="zh-CN"/>
              </w:rPr>
              <w:t>本部门</w:t>
            </w:r>
            <w:r>
              <w:rPr>
                <w:rFonts w:ascii="宋体" w:hAnsi="宋体" w:eastAsia="宋体"/>
                <w:sz w:val="16"/>
              </w:rPr>
              <w:t>项目实施人后期会认真落实项目实施方案，精准设施绩效目标表。</w:t>
            </w:r>
          </w:p>
        </w:tc>
      </w:tr>
      <w:tr w14:paraId="4C400D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1ED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632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369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B1481">
            <w:pPr>
              <w:jc w:val="center"/>
            </w:pPr>
            <w:r>
              <w:rPr>
                <w:rFonts w:ascii="宋体" w:hAnsi="宋体" w:eastAsia="宋体"/>
                <w:sz w:val="16"/>
              </w:rPr>
              <w:t>人均办公经费数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9355C">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C7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7D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3C1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017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DFF2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8B63">
            <w:pPr>
              <w:jc w:val="center"/>
            </w:pPr>
            <w:r>
              <w:rPr>
                <w:rFonts w:ascii="宋体" w:hAnsi="宋体" w:eastAsia="宋体"/>
                <w:sz w:val="16"/>
              </w:rPr>
              <w:t>=0.61万元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7BFCD">
            <w:pPr>
              <w:jc w:val="center"/>
            </w:pPr>
            <w:r>
              <w:rPr>
                <w:rFonts w:ascii="宋体" w:hAnsi="宋体" w:eastAsia="宋体"/>
                <w:sz w:val="16"/>
              </w:rPr>
              <w:t>50.83%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3BA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FF4F0">
            <w:pPr>
              <w:jc w:val="center"/>
            </w:pPr>
            <w:r>
              <w:rPr>
                <w:rFonts w:ascii="宋体" w:hAnsi="宋体" w:eastAsia="宋体"/>
                <w:sz w:val="16"/>
              </w:rPr>
              <w:t>偏差原因：原计划新增人员尚未到位，办公经费支出未到达预期。改进措施：</w:t>
            </w:r>
            <w:r>
              <w:rPr>
                <w:rFonts w:hint="eastAsia" w:ascii="宋体" w:hAnsi="宋体"/>
                <w:sz w:val="16"/>
                <w:lang w:eastAsia="zh-CN"/>
              </w:rPr>
              <w:t>本部门</w:t>
            </w:r>
            <w:r>
              <w:rPr>
                <w:rFonts w:ascii="宋体" w:hAnsi="宋体" w:eastAsia="宋体"/>
                <w:sz w:val="16"/>
              </w:rPr>
              <w:t>项目实施人后期会认真落实项目实施方案，精准设施绩效目标表。</w:t>
            </w:r>
          </w:p>
        </w:tc>
      </w:tr>
      <w:tr w14:paraId="58C0DB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7F2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407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DC0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BD4E">
            <w:pPr>
              <w:jc w:val="center"/>
            </w:pPr>
            <w:r>
              <w:rPr>
                <w:rFonts w:ascii="宋体" w:hAnsi="宋体" w:eastAsia="宋体"/>
                <w:sz w:val="16"/>
              </w:rPr>
              <w:t>公务接待人均经费数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5B6A">
            <w:pPr>
              <w:jc w:val="center"/>
            </w:pPr>
            <w:r>
              <w:rPr>
                <w:rFonts w:ascii="宋体" w:hAnsi="宋体" w:eastAsia="宋体"/>
                <w:sz w:val="16"/>
              </w:rPr>
              <w:t>&lt;=92.63元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772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37A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815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D14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B60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795A5">
            <w:pPr>
              <w:jc w:val="center"/>
            </w:pPr>
            <w:r>
              <w:rPr>
                <w:rFonts w:ascii="宋体" w:hAnsi="宋体" w:eastAsia="宋体"/>
                <w:sz w:val="16"/>
              </w:rPr>
              <w:t>=76.92元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5F6B">
            <w:pPr>
              <w:jc w:val="center"/>
            </w:pPr>
            <w:r>
              <w:rPr>
                <w:rFonts w:ascii="宋体" w:hAnsi="宋体" w:eastAsia="宋体"/>
                <w:sz w:val="16"/>
              </w:rPr>
              <w:t>83.04%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86469">
            <w:pPr>
              <w:jc w:val="center"/>
            </w:pPr>
            <w:r>
              <w:rPr>
                <w:rFonts w:ascii="宋体" w:hAnsi="宋体" w:eastAsia="宋体"/>
                <w:sz w:val="16"/>
              </w:rPr>
              <w:t>1.15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A241">
            <w:pPr>
              <w:jc w:val="center"/>
            </w:pPr>
            <w:r>
              <w:rPr>
                <w:rFonts w:ascii="宋体" w:hAnsi="宋体" w:eastAsia="宋体"/>
                <w:sz w:val="16"/>
              </w:rPr>
              <w:t>偏差原因：</w:t>
            </w:r>
            <w:r>
              <w:rPr>
                <w:rFonts w:hint="eastAsia" w:ascii="宋体" w:hAnsi="宋体"/>
                <w:sz w:val="16"/>
                <w:lang w:eastAsia="zh-CN"/>
              </w:rPr>
              <w:t>本部门</w:t>
            </w:r>
            <w:r>
              <w:rPr>
                <w:rFonts w:ascii="宋体" w:hAnsi="宋体" w:eastAsia="宋体"/>
                <w:sz w:val="16"/>
              </w:rPr>
              <w:t>节约开支故公务接待人均支出减少，公务接待费未使用完，故导致偏差。改进措施：</w:t>
            </w:r>
            <w:r>
              <w:rPr>
                <w:rFonts w:hint="eastAsia" w:ascii="宋体" w:hAnsi="宋体"/>
                <w:sz w:val="16"/>
                <w:lang w:eastAsia="zh-CN"/>
              </w:rPr>
              <w:t>本部门</w:t>
            </w:r>
            <w:r>
              <w:rPr>
                <w:rFonts w:ascii="宋体" w:hAnsi="宋体" w:eastAsia="宋体"/>
                <w:sz w:val="16"/>
              </w:rPr>
              <w:t>项目实施人后期会认真落实项目实施方案，精准设施绩效目标表。</w:t>
            </w:r>
          </w:p>
        </w:tc>
      </w:tr>
      <w:tr w14:paraId="73CB9F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9AC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69C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1F1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4C7A">
            <w:pPr>
              <w:jc w:val="center"/>
            </w:pPr>
            <w:r>
              <w:rPr>
                <w:rFonts w:ascii="宋体" w:hAnsi="宋体" w:eastAsia="宋体"/>
                <w:sz w:val="16"/>
              </w:rPr>
              <w:t>委托业务经费数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34FA">
            <w:pPr>
              <w:jc w:val="center"/>
            </w:pPr>
            <w:r>
              <w:rPr>
                <w:rFonts w:ascii="宋体" w:hAnsi="宋体" w:eastAsia="宋体"/>
                <w:sz w:val="16"/>
              </w:rPr>
              <w:t>&lt;=4.20万元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E1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C3C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595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AEC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800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4F021">
            <w:pPr>
              <w:jc w:val="center"/>
            </w:pPr>
            <w:r>
              <w:rPr>
                <w:rFonts w:ascii="宋体" w:hAnsi="宋体" w:eastAsia="宋体"/>
                <w:sz w:val="16"/>
              </w:rPr>
              <w:t>=4.2万元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9F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CB0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0E34E">
            <w:pPr>
              <w:jc w:val="center"/>
            </w:pPr>
          </w:p>
        </w:tc>
      </w:tr>
      <w:tr w14:paraId="5E2F3C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C49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A17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7F7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C8EDF">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59D30">
            <w:pPr>
              <w:jc w:val="center"/>
            </w:pPr>
            <w:r>
              <w:rPr>
                <w:rFonts w:ascii="宋体" w:hAnsi="宋体" w:eastAsia="宋体"/>
                <w:sz w:val="16"/>
              </w:rPr>
              <w:t>&lt;=19.13万元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6E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F3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43D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CE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60EA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18EA5">
            <w:pPr>
              <w:jc w:val="center"/>
            </w:pPr>
            <w:r>
              <w:rPr>
                <w:rFonts w:ascii="宋体" w:hAnsi="宋体" w:eastAsia="宋体"/>
                <w:sz w:val="16"/>
              </w:rPr>
              <w:t>=14.2万元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3860">
            <w:pPr>
              <w:jc w:val="center"/>
            </w:pPr>
            <w:r>
              <w:rPr>
                <w:rFonts w:ascii="宋体" w:hAnsi="宋体" w:eastAsia="宋体"/>
                <w:sz w:val="16"/>
              </w:rPr>
              <w:t>74.23%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7E1C2">
            <w:pPr>
              <w:jc w:val="center"/>
            </w:pPr>
            <w:r>
              <w:rPr>
                <w:rFonts w:ascii="宋体" w:hAnsi="宋体" w:eastAsia="宋体"/>
                <w:sz w:val="16"/>
              </w:rPr>
              <w:t>1.42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DFFA8">
            <w:pPr>
              <w:jc w:val="center"/>
            </w:pPr>
            <w:r>
              <w:rPr>
                <w:rFonts w:ascii="宋体" w:hAnsi="宋体" w:eastAsia="宋体"/>
                <w:sz w:val="16"/>
              </w:rPr>
              <w:t>偏差原因：根据采购中心要求，控制设备采购</w:t>
            </w:r>
            <w:r>
              <w:rPr>
                <w:rFonts w:hint="eastAsia" w:ascii="宋体" w:hAnsi="宋体"/>
                <w:sz w:val="16"/>
                <w:lang w:eastAsia="zh-CN"/>
              </w:rPr>
              <w:t>成本</w:t>
            </w:r>
            <w:r>
              <w:rPr>
                <w:rFonts w:ascii="宋体" w:hAnsi="宋体" w:eastAsia="宋体"/>
                <w:sz w:val="16"/>
              </w:rPr>
              <w:t>，故导致偏差。改进措施：</w:t>
            </w:r>
            <w:r>
              <w:rPr>
                <w:rFonts w:hint="eastAsia" w:ascii="宋体" w:hAnsi="宋体"/>
                <w:sz w:val="16"/>
                <w:lang w:eastAsia="zh-CN"/>
              </w:rPr>
              <w:t>本部门</w:t>
            </w:r>
            <w:r>
              <w:rPr>
                <w:rFonts w:ascii="宋体" w:hAnsi="宋体" w:eastAsia="宋体"/>
                <w:sz w:val="16"/>
              </w:rPr>
              <w:t>项目实施人后期会认真落实项目实施方案，精准设施绩效目标表。</w:t>
            </w:r>
          </w:p>
        </w:tc>
      </w:tr>
      <w:tr w14:paraId="54883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0CB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1E8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837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CE41">
            <w:pPr>
              <w:jc w:val="center"/>
            </w:pPr>
            <w:r>
              <w:rPr>
                <w:rFonts w:ascii="宋体" w:hAnsi="宋体" w:eastAsia="宋体"/>
                <w:sz w:val="16"/>
              </w:rPr>
              <w:t>办公耗材采购成本控制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1D5D1">
            <w:pPr>
              <w:jc w:val="center"/>
            </w:pPr>
            <w:r>
              <w:rPr>
                <w:rFonts w:ascii="宋体" w:hAnsi="宋体" w:eastAsia="宋体"/>
                <w:sz w:val="16"/>
              </w:rPr>
              <w:t>&lt;=4.80万元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59F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96F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C485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50B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846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90D86">
            <w:pPr>
              <w:jc w:val="center"/>
            </w:pPr>
            <w:r>
              <w:rPr>
                <w:rFonts w:ascii="宋体" w:hAnsi="宋体" w:eastAsia="宋体"/>
                <w:sz w:val="16"/>
              </w:rPr>
              <w:t>=3.15万元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86DB">
            <w:pPr>
              <w:jc w:val="center"/>
            </w:pPr>
            <w:r>
              <w:rPr>
                <w:rFonts w:ascii="宋体" w:hAnsi="宋体" w:eastAsia="宋体"/>
                <w:sz w:val="16"/>
              </w:rPr>
              <w:t>65.62%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5F21">
            <w:pPr>
              <w:jc w:val="center"/>
            </w:pPr>
            <w:r>
              <w:rPr>
                <w:rFonts w:ascii="宋体" w:hAnsi="宋体" w:eastAsia="宋体"/>
                <w:sz w:val="16"/>
              </w:rPr>
              <w:t>0.28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C8331">
            <w:pPr>
              <w:jc w:val="center"/>
            </w:pPr>
            <w:r>
              <w:rPr>
                <w:rFonts w:ascii="宋体" w:hAnsi="宋体" w:eastAsia="宋体"/>
                <w:sz w:val="16"/>
              </w:rPr>
              <w:t>偏差原因：</w:t>
            </w:r>
            <w:r>
              <w:rPr>
                <w:rFonts w:hint="eastAsia" w:ascii="宋体" w:hAnsi="宋体"/>
                <w:sz w:val="16"/>
                <w:lang w:eastAsia="zh-CN"/>
              </w:rPr>
              <w:t>本部门</w:t>
            </w:r>
            <w:r>
              <w:rPr>
                <w:rFonts w:ascii="宋体" w:hAnsi="宋体" w:eastAsia="宋体"/>
                <w:sz w:val="16"/>
              </w:rPr>
              <w:t>节约开支故办公耗材支出减少，故导致偏差。改进措施：</w:t>
            </w:r>
            <w:r>
              <w:rPr>
                <w:rFonts w:hint="eastAsia" w:ascii="宋体" w:hAnsi="宋体"/>
                <w:sz w:val="16"/>
                <w:lang w:eastAsia="zh-CN"/>
              </w:rPr>
              <w:t>本部门</w:t>
            </w:r>
            <w:r>
              <w:rPr>
                <w:rFonts w:ascii="宋体" w:hAnsi="宋体" w:eastAsia="宋体"/>
                <w:sz w:val="16"/>
              </w:rPr>
              <w:t>项目实施人后期会认真落实项目实施方案，精准设施绩效目标表。</w:t>
            </w:r>
          </w:p>
        </w:tc>
      </w:tr>
      <w:tr w14:paraId="2DE8DC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97D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516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712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A826C">
            <w:pPr>
              <w:jc w:val="center"/>
            </w:pPr>
            <w:r>
              <w:rPr>
                <w:rFonts w:ascii="宋体" w:hAnsi="宋体" w:eastAsia="宋体"/>
                <w:sz w:val="16"/>
              </w:rPr>
              <w:t>每次发放临聘人员劳务费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D44AD">
            <w:pPr>
              <w:jc w:val="center"/>
            </w:pPr>
            <w:r>
              <w:rPr>
                <w:rFonts w:ascii="宋体" w:hAnsi="宋体" w:eastAsia="宋体"/>
                <w:sz w:val="16"/>
              </w:rPr>
              <w:t>=3300元/人/次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B8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952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1A7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32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1C9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14432">
            <w:pPr>
              <w:jc w:val="center"/>
            </w:pPr>
            <w:r>
              <w:rPr>
                <w:rFonts w:ascii="宋体" w:hAnsi="宋体" w:eastAsia="宋体"/>
                <w:sz w:val="16"/>
              </w:rPr>
              <w:t>=3300元/人/次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42D72">
            <w:pPr>
              <w:jc w:val="center"/>
            </w:pPr>
            <w:r>
              <w:rPr>
                <w:rFonts w:ascii="宋体" w:hAnsi="宋体" w:eastAsia="宋体"/>
                <w:sz w:val="16"/>
              </w:rPr>
              <w:t>41.67%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3E78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B5F69">
            <w:pPr>
              <w:jc w:val="center"/>
            </w:pPr>
            <w:r>
              <w:rPr>
                <w:rFonts w:ascii="宋体" w:hAnsi="宋体" w:eastAsia="宋体"/>
                <w:sz w:val="16"/>
              </w:rPr>
              <w:t>偏差原因：临聘人员于5月辞职，后期未招聘成功，故导致偏差。改进措施：</w:t>
            </w:r>
            <w:r>
              <w:rPr>
                <w:rFonts w:hint="eastAsia" w:ascii="宋体" w:hAnsi="宋体"/>
                <w:sz w:val="16"/>
                <w:lang w:eastAsia="zh-CN"/>
              </w:rPr>
              <w:t>本部门</w:t>
            </w:r>
            <w:r>
              <w:rPr>
                <w:rFonts w:ascii="宋体" w:hAnsi="宋体" w:eastAsia="宋体"/>
                <w:sz w:val="16"/>
              </w:rPr>
              <w:t>项目实施人后期会认真落实项目实施方案，精准设施绩效目标表。</w:t>
            </w:r>
          </w:p>
        </w:tc>
      </w:tr>
      <w:tr w14:paraId="5A523A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E06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5C7EA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A598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83FED">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81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99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1F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9A3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35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D7A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5B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9B3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8481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9C87">
            <w:pPr>
              <w:jc w:val="center"/>
            </w:pPr>
          </w:p>
        </w:tc>
      </w:tr>
      <w:tr w14:paraId="595ABF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0D2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D07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802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B6EC">
            <w:pPr>
              <w:jc w:val="center"/>
            </w:pPr>
            <w:r>
              <w:rPr>
                <w:rFonts w:ascii="宋体" w:hAnsi="宋体" w:eastAsia="宋体"/>
                <w:sz w:val="16"/>
              </w:rPr>
              <w:t>协助做好巴州石油石化产业链发展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F0ED">
            <w:pPr>
              <w:jc w:val="center"/>
            </w:pPr>
            <w:r>
              <w:rPr>
                <w:rFonts w:ascii="宋体" w:hAnsi="宋体" w:eastAsia="宋体"/>
                <w:sz w:val="16"/>
              </w:rPr>
              <w:t>有效协助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300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D9A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41F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EE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F7B3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0087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BC7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370D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47DC1">
            <w:pPr>
              <w:jc w:val="center"/>
            </w:pPr>
          </w:p>
        </w:tc>
      </w:tr>
      <w:tr w14:paraId="682F3D4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7ECCB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1B23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84D2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A269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01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B011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E568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8D63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6055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6035">
            <w:pPr>
              <w:jc w:val="center"/>
            </w:pPr>
            <w:r>
              <w:rPr>
                <w:rFonts w:ascii="宋体" w:hAnsi="宋体" w:eastAsia="宋体"/>
                <w:sz w:val="16"/>
              </w:rPr>
              <w:t>71.47分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C2825C"/>
        </w:tc>
      </w:tr>
    </w:tbl>
    <w:p w14:paraId="53A1E510">
      <w:r>
        <w:br w:type="page"/>
      </w:r>
    </w:p>
    <w:p w14:paraId="3E7213AB">
      <w:pPr>
        <w:spacing w:line="640" w:lineRule="exact"/>
        <w:ind w:firstLine="640"/>
        <w:jc w:val="both"/>
        <w:outlineLvl w:val="2"/>
      </w:pPr>
      <w:r>
        <w:rPr>
          <w:rFonts w:ascii="黑体" w:hAnsi="黑体" w:eastAsia="黑体"/>
          <w:sz w:val="32"/>
        </w:rPr>
        <w:t>十二、其他需说明的事项</w:t>
      </w:r>
    </w:p>
    <w:p w14:paraId="3D7656BB">
      <w:pPr>
        <w:spacing w:line="580" w:lineRule="exact"/>
        <w:ind w:firstLine="640"/>
        <w:jc w:val="both"/>
      </w:pPr>
      <w:r>
        <w:rPr>
          <w:rFonts w:ascii="仿宋_GB2312" w:hAnsi="仿宋_GB2312" w:eastAsia="仿宋_GB2312"/>
          <w:b w:val="0"/>
          <w:sz w:val="32"/>
        </w:rPr>
        <w:t>本部门无其他需说明的事项。</w:t>
      </w:r>
    </w:p>
    <w:p w14:paraId="4D1F62B2">
      <w:r>
        <w:br w:type="page"/>
      </w:r>
    </w:p>
    <w:p w14:paraId="2D176905">
      <w:pPr>
        <w:spacing w:line="240" w:lineRule="auto"/>
        <w:jc w:val="center"/>
        <w:outlineLvl w:val="1"/>
      </w:pPr>
      <w:r>
        <w:rPr>
          <w:rFonts w:ascii="黑体" w:hAnsi="黑体" w:eastAsia="黑体"/>
          <w:sz w:val="32"/>
        </w:rPr>
        <w:t>第三部分 专业名词解释</w:t>
      </w:r>
    </w:p>
    <w:p w14:paraId="7873737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48DA2F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0E0643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6DB64A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06A1B2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C4FBBA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1686FC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A9F46E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01795F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4468CA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46154D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9CD270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09F09F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9CAB26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43B7AB6">
      <w:r>
        <w:br w:type="page"/>
      </w:r>
    </w:p>
    <w:p w14:paraId="71B6D0F6">
      <w:pPr>
        <w:spacing w:line="240" w:lineRule="auto"/>
        <w:jc w:val="center"/>
        <w:outlineLvl w:val="1"/>
      </w:pPr>
      <w:r>
        <w:rPr>
          <w:rFonts w:ascii="黑体" w:hAnsi="黑体" w:eastAsia="黑体"/>
          <w:sz w:val="32"/>
        </w:rPr>
        <w:t>第四部分 部门决算报表（见附表）</w:t>
      </w:r>
    </w:p>
    <w:p w14:paraId="79D00D32">
      <w:pPr>
        <w:spacing w:line="240" w:lineRule="auto"/>
        <w:ind w:firstLine="640"/>
        <w:jc w:val="both"/>
      </w:pPr>
      <w:r>
        <w:rPr>
          <w:rFonts w:ascii="仿宋_GB2312" w:hAnsi="仿宋_GB2312" w:eastAsia="仿宋_GB2312"/>
          <w:b w:val="0"/>
          <w:sz w:val="32"/>
        </w:rPr>
        <w:t>一、《收入支出决算总表》</w:t>
      </w:r>
    </w:p>
    <w:p w14:paraId="6539EAF3">
      <w:pPr>
        <w:spacing w:line="240" w:lineRule="auto"/>
        <w:ind w:firstLine="640"/>
        <w:jc w:val="both"/>
      </w:pPr>
      <w:r>
        <w:rPr>
          <w:rFonts w:ascii="仿宋_GB2312" w:hAnsi="仿宋_GB2312" w:eastAsia="仿宋_GB2312"/>
          <w:b w:val="0"/>
          <w:sz w:val="32"/>
        </w:rPr>
        <w:t>二、《收入决算表》</w:t>
      </w:r>
    </w:p>
    <w:p w14:paraId="2266D7F3">
      <w:pPr>
        <w:spacing w:line="240" w:lineRule="auto"/>
        <w:ind w:firstLine="640"/>
        <w:jc w:val="both"/>
      </w:pPr>
      <w:r>
        <w:rPr>
          <w:rFonts w:ascii="仿宋_GB2312" w:hAnsi="仿宋_GB2312" w:eastAsia="仿宋_GB2312"/>
          <w:b w:val="0"/>
          <w:sz w:val="32"/>
        </w:rPr>
        <w:t>三、《支出决算表》</w:t>
      </w:r>
    </w:p>
    <w:p w14:paraId="025B7752">
      <w:pPr>
        <w:spacing w:line="240" w:lineRule="auto"/>
        <w:ind w:firstLine="640"/>
        <w:jc w:val="both"/>
      </w:pPr>
      <w:r>
        <w:rPr>
          <w:rFonts w:ascii="仿宋_GB2312" w:hAnsi="仿宋_GB2312" w:eastAsia="仿宋_GB2312"/>
          <w:b w:val="0"/>
          <w:sz w:val="32"/>
        </w:rPr>
        <w:t>四、《财政拨款收入支出决算总表》</w:t>
      </w:r>
    </w:p>
    <w:p w14:paraId="66236A6E">
      <w:pPr>
        <w:spacing w:line="240" w:lineRule="auto"/>
        <w:ind w:firstLine="640"/>
        <w:jc w:val="both"/>
      </w:pPr>
      <w:r>
        <w:rPr>
          <w:rFonts w:ascii="仿宋_GB2312" w:hAnsi="仿宋_GB2312" w:eastAsia="仿宋_GB2312"/>
          <w:b w:val="0"/>
          <w:sz w:val="32"/>
        </w:rPr>
        <w:t>五、《一般公共预算财政拨款支出决算表》</w:t>
      </w:r>
    </w:p>
    <w:p w14:paraId="054D26B2">
      <w:pPr>
        <w:spacing w:line="240" w:lineRule="auto"/>
        <w:ind w:firstLine="640"/>
        <w:jc w:val="both"/>
      </w:pPr>
      <w:r>
        <w:rPr>
          <w:rFonts w:ascii="仿宋_GB2312" w:hAnsi="仿宋_GB2312" w:eastAsia="仿宋_GB2312"/>
          <w:b w:val="0"/>
          <w:sz w:val="32"/>
        </w:rPr>
        <w:t>六、《一般公共预算财政拨款基本支出决算表》</w:t>
      </w:r>
    </w:p>
    <w:p w14:paraId="0D0ABE6A">
      <w:pPr>
        <w:spacing w:line="240" w:lineRule="auto"/>
        <w:ind w:firstLine="640"/>
        <w:jc w:val="both"/>
      </w:pPr>
      <w:r>
        <w:rPr>
          <w:rFonts w:ascii="仿宋_GB2312" w:hAnsi="仿宋_GB2312" w:eastAsia="仿宋_GB2312"/>
          <w:b w:val="0"/>
          <w:sz w:val="32"/>
        </w:rPr>
        <w:t>七、《政府性基金预算财政拨款收入支出决算表》</w:t>
      </w:r>
    </w:p>
    <w:p w14:paraId="6A6FE88A">
      <w:pPr>
        <w:spacing w:line="240" w:lineRule="auto"/>
        <w:ind w:firstLine="640"/>
        <w:jc w:val="both"/>
      </w:pPr>
      <w:r>
        <w:rPr>
          <w:rFonts w:ascii="仿宋_GB2312" w:hAnsi="仿宋_GB2312" w:eastAsia="仿宋_GB2312"/>
          <w:b w:val="0"/>
          <w:sz w:val="32"/>
        </w:rPr>
        <w:t>八、《国有资本经营预算财政拨款收入支出决算表》</w:t>
      </w:r>
    </w:p>
    <w:p w14:paraId="17A72398">
      <w:pPr>
        <w:spacing w:line="240" w:lineRule="auto"/>
        <w:ind w:firstLine="640"/>
        <w:jc w:val="both"/>
      </w:pPr>
      <w:r>
        <w:rPr>
          <w:rFonts w:ascii="仿宋_GB2312" w:hAnsi="仿宋_GB2312" w:eastAsia="仿宋_GB2312"/>
          <w:b w:val="0"/>
          <w:sz w:val="32"/>
        </w:rPr>
        <w:t>九、《财政拨款“三公”经费支出决算表》</w:t>
      </w:r>
    </w:p>
    <w:p w14:paraId="28CAE460">
      <w:pPr>
        <w:spacing w:line="240" w:lineRule="auto"/>
        <w:ind w:firstLine="640"/>
        <w:jc w:val="both"/>
      </w:pPr>
    </w:p>
    <w:p w14:paraId="333FC131">
      <w:pPr>
        <w:spacing w:line="240" w:lineRule="auto"/>
        <w:ind w:firstLine="640"/>
        <w:jc w:val="both"/>
      </w:pPr>
    </w:p>
    <w:p w14:paraId="7BC96A40">
      <w:pPr>
        <w:spacing w:line="240" w:lineRule="auto"/>
        <w:ind w:firstLine="640"/>
        <w:jc w:val="both"/>
      </w:pPr>
    </w:p>
    <w:p w14:paraId="3F370972">
      <w:pPr>
        <w:spacing w:line="240" w:lineRule="auto"/>
        <w:ind w:firstLine="640"/>
        <w:jc w:val="both"/>
      </w:pPr>
    </w:p>
    <w:p w14:paraId="5993387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CDA7245-77E6-425D-8283-E07C43902D0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01C3670-E5EB-43DE-ABB8-A14B2BAADA09}"/>
  </w:font>
  <w:font w:name="仿宋_GB2312">
    <w:altName w:val="仿宋"/>
    <w:panose1 w:val="02010609030101010101"/>
    <w:charset w:val="86"/>
    <w:family w:val="modern"/>
    <w:pitch w:val="default"/>
    <w:sig w:usb0="00000000" w:usb1="00000000" w:usb2="00000000" w:usb3="00000000" w:csb0="00040000" w:csb1="00000000"/>
    <w:embedRegular r:id="rId3" w:fontKey="{E6FEA04B-C889-4521-A84E-6C2896433E80}"/>
  </w:font>
  <w:font w:name="楷体_GB2312">
    <w:altName w:val="楷体"/>
    <w:panose1 w:val="02010609030101010101"/>
    <w:charset w:val="86"/>
    <w:family w:val="auto"/>
    <w:pitch w:val="default"/>
    <w:sig w:usb0="00000000" w:usb1="00000000" w:usb2="00000000" w:usb3="00000000" w:csb0="00040000" w:csb1="00000000"/>
    <w:embedRegular r:id="rId4" w:fontKey="{682FD9D6-E8B6-4F93-BBF7-7AAFD04A62AD}"/>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BDD5258"/>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70D2DA8"/>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0DC1DC9"/>
    <w:rsid w:val="52F92565"/>
    <w:rsid w:val="543D17CB"/>
    <w:rsid w:val="55DA564E"/>
    <w:rsid w:val="56E07045"/>
    <w:rsid w:val="5826053D"/>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5477</Words>
  <Characters>6169</Characters>
  <Lines>0</Lines>
  <Paragraphs>0</Paragraphs>
  <TotalTime>4</TotalTime>
  <ScaleCrop>false</ScaleCrop>
  <LinksUpToDate>false</LinksUpToDate>
  <CharactersWithSpaces>6177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Qxb</cp:lastModifiedBy>
  <cp:lastPrinted>2024-07-22T11:58:00Z</cp:lastPrinted>
  <dcterms:modified xsi:type="dcterms:W3CDTF">2025-09-22T03:08:16Z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eyJoZGlkIjoiNjhiMzgzMWJiNDVmMjc4YmZhYzYxZmZlMGEwZTI0MDIiLCJ1c2VySWQiOiIxMDczMzg0NjQwIn0=</vt:lpwstr>
  </property>
</Properties>
</file>