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巴音郭楞蒙古自治州退役军人事务局2024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10D134">
      <w:r>
        <w:br w:type="page"/>
      </w:r>
    </w:p>
    <w:p w14:paraId="035892D2">
      <w:pPr>
        <w:spacing w:line="640" w:lineRule="exact"/>
        <w:jc w:val="center"/>
        <w:outlineLvl w:val="1"/>
      </w:pPr>
      <w:r>
        <w:rPr>
          <w:rFonts w:ascii="黑体" w:hAnsi="黑体" w:eastAsia="黑体"/>
          <w:sz w:val="32"/>
        </w:rPr>
        <w:t>第一部分 部门概况</w:t>
      </w:r>
    </w:p>
    <w:p w14:paraId="189358C5">
      <w:pPr>
        <w:spacing w:line="640" w:lineRule="exact"/>
        <w:ind w:firstLine="640"/>
        <w:jc w:val="both"/>
        <w:outlineLvl w:val="2"/>
      </w:pPr>
      <w:r>
        <w:rPr>
          <w:rFonts w:ascii="黑体" w:hAnsi="黑体" w:eastAsia="黑体"/>
          <w:sz w:val="32"/>
        </w:rPr>
        <w:t>一、主要职能</w:t>
      </w:r>
    </w:p>
    <w:p w14:paraId="10BD9E63">
      <w:pPr>
        <w:spacing w:line="580" w:lineRule="exact"/>
        <w:ind w:firstLine="640"/>
        <w:jc w:val="both"/>
      </w:pPr>
      <w:r>
        <w:rPr>
          <w:rFonts w:ascii="仿宋_GB2312" w:hAnsi="仿宋_GB2312" w:eastAsia="仿宋_GB2312"/>
          <w:sz w:val="32"/>
        </w:rPr>
        <w:t>（1）组织实施退役军人思想政治、管理保障和安置优抚等工作政策法规，褒扬彰显退役军人为党、国家和人民牺牲奉献的精神风范和价值导向，发挥退役军人在新疆总目标中的作用。</w:t>
      </w:r>
    </w:p>
    <w:p w14:paraId="033008C6">
      <w:pPr>
        <w:spacing w:line="580" w:lineRule="exact"/>
        <w:ind w:firstLine="640"/>
        <w:jc w:val="both"/>
      </w:pPr>
      <w:r>
        <w:rPr>
          <w:rFonts w:ascii="仿宋_GB2312" w:hAnsi="仿宋_GB2312" w:eastAsia="仿宋_GB2312"/>
          <w:sz w:val="32"/>
        </w:rPr>
        <w:t>（2）负责军队转业干部、复员干部、离休退休干部、退役士兵和无军籍退休退职职工的移交安置工作和自主择业、就业退役军人服务管理工作；组织实施退役军人留巴州安置优惠优待政策；促进退役军人留在巴州，奉献基层；配合做好招录退役士兵充实南疆乡镇工作。</w:t>
      </w:r>
    </w:p>
    <w:p w14:paraId="16B2330B">
      <w:pPr>
        <w:spacing w:line="580" w:lineRule="exact"/>
        <w:ind w:firstLine="640"/>
        <w:jc w:val="both"/>
      </w:pPr>
      <w:r>
        <w:rPr>
          <w:rFonts w:ascii="仿宋_GB2312" w:hAnsi="仿宋_GB2312" w:eastAsia="仿宋_GB2312"/>
          <w:sz w:val="32"/>
        </w:rPr>
        <w:t>（3）组织指导开展退役军人教育培训工作；协调扶持退役军人和随军随调家属就业创业。</w:t>
      </w:r>
    </w:p>
    <w:p w14:paraId="0EEBA707">
      <w:pPr>
        <w:spacing w:line="580" w:lineRule="exact"/>
        <w:ind w:firstLine="640"/>
        <w:jc w:val="both"/>
      </w:pPr>
      <w:r>
        <w:rPr>
          <w:rFonts w:ascii="仿宋_GB2312" w:hAnsi="仿宋_GB2312" w:eastAsia="仿宋_GB2312"/>
          <w:sz w:val="32"/>
        </w:rPr>
        <w:t>（4）会同有关部门拟订退役军人特殊保障政策并组织落实。</w:t>
      </w:r>
    </w:p>
    <w:p w14:paraId="7E0AE263">
      <w:pPr>
        <w:spacing w:line="580" w:lineRule="exact"/>
        <w:ind w:firstLine="640"/>
        <w:jc w:val="both"/>
      </w:pPr>
      <w:r>
        <w:rPr>
          <w:rFonts w:ascii="仿宋_GB2312" w:hAnsi="仿宋_GB2312" w:eastAsia="仿宋_GB2312"/>
          <w:sz w:val="32"/>
        </w:rPr>
        <w:t>（5）组织落实移交地方的离休退休军人、符合条件的其他退役军人和无军籍退休退职职工的住房保障，以及退役军人医疗保障、社会保险等待遇保障工作。</w:t>
      </w:r>
    </w:p>
    <w:p w14:paraId="351BA780">
      <w:pPr>
        <w:spacing w:line="580" w:lineRule="exact"/>
        <w:ind w:firstLine="640"/>
        <w:jc w:val="both"/>
      </w:pPr>
      <w:r>
        <w:rPr>
          <w:rFonts w:ascii="仿宋_GB2312" w:hAnsi="仿宋_GB2312" w:eastAsia="仿宋_GB2312"/>
          <w:sz w:val="32"/>
        </w:rPr>
        <w:t>（6）组织指导伤病残退役军人服务管理和抚恤工作，指导并落实有关退役军人医疗、疗养、养老等机构的规划政策；承担不适宜继续服役的伤病残军人相关工作；指导军供服务保障工作。</w:t>
      </w:r>
    </w:p>
    <w:p w14:paraId="4D2C0F5C">
      <w:pPr>
        <w:spacing w:line="580" w:lineRule="exact"/>
        <w:ind w:firstLine="640"/>
        <w:jc w:val="both"/>
      </w:pPr>
      <w:r>
        <w:rPr>
          <w:rFonts w:ascii="仿宋_GB2312" w:hAnsi="仿宋_GB2312" w:eastAsia="仿宋_GB2312"/>
          <w:sz w:val="32"/>
        </w:rPr>
        <w:t>（7）组织指导拥军优属工作。负责现役军人、退役军人、军队文职人员和军属优待、抚恤等工作，落实国民党抗战老兵等有关人员优待政策并指导实施。</w:t>
      </w:r>
    </w:p>
    <w:p w14:paraId="5AFA3BA2">
      <w:pPr>
        <w:spacing w:line="580" w:lineRule="exact"/>
        <w:ind w:firstLine="640"/>
        <w:jc w:val="both"/>
      </w:pPr>
      <w:r>
        <w:rPr>
          <w:rFonts w:ascii="仿宋_GB2312" w:hAnsi="仿宋_GB2312" w:eastAsia="仿宋_GB2312"/>
          <w:sz w:val="32"/>
        </w:rPr>
        <w:t>（8）负责烈士及退役军人荣誉奖励、军人公墓规划建设、管理维护、纪念活动等工作；依法承担英雄烈士保护相关工作；审核拟列入全国和自治区重点保护单位的烈士纪念建筑物名录；总结表彰和宣扬退役军人、退役军人工作单位先进典型事迹。</w:t>
      </w:r>
    </w:p>
    <w:p w14:paraId="58336811">
      <w:pPr>
        <w:spacing w:line="580" w:lineRule="exact"/>
        <w:ind w:firstLine="640"/>
        <w:jc w:val="both"/>
      </w:pPr>
      <w:r>
        <w:rPr>
          <w:rFonts w:ascii="仿宋_GB2312" w:hAnsi="仿宋_GB2312" w:eastAsia="仿宋_GB2312"/>
          <w:sz w:val="32"/>
        </w:rPr>
        <w:t>（9）指导并监督检查退役军人相关法律法规和政策措施的落实；组织指导退役军人权益维护和有关人员的帮扶援助工作。</w:t>
      </w:r>
    </w:p>
    <w:p w14:paraId="117FA6D9">
      <w:pPr>
        <w:spacing w:line="580" w:lineRule="exact"/>
        <w:ind w:firstLine="640"/>
        <w:jc w:val="both"/>
      </w:pPr>
      <w:r>
        <w:rPr>
          <w:rFonts w:ascii="仿宋_GB2312" w:hAnsi="仿宋_GB2312" w:eastAsia="仿宋_GB2312"/>
          <w:sz w:val="32"/>
        </w:rPr>
        <w:t>（10）承担本部门党的建设、党风廉政建设和反腐败工作；精神文明创建、综合治理、安全生产工作；维护稳定、“</w:t>
      </w:r>
      <w:r>
        <w:rPr>
          <w:rFonts w:hint="eastAsia" w:ascii="仿宋_GB2312" w:hAnsi="仿宋_GB2312" w:eastAsia="仿宋_GB2312"/>
          <w:sz w:val="32"/>
          <w:lang w:eastAsia="zh-CN"/>
        </w:rPr>
        <w:t>为民办实事</w:t>
      </w:r>
      <w:r>
        <w:rPr>
          <w:rFonts w:ascii="仿宋_GB2312" w:hAnsi="仿宋_GB2312" w:eastAsia="仿宋_GB2312"/>
          <w:sz w:val="32"/>
        </w:rPr>
        <w:t>”、民族团结、“两个全覆盖”、脱贫攻坚工作。</w:t>
      </w:r>
    </w:p>
    <w:p w14:paraId="7D0C61D1">
      <w:pPr>
        <w:spacing w:line="580" w:lineRule="exact"/>
        <w:ind w:firstLine="640"/>
        <w:jc w:val="both"/>
      </w:pPr>
      <w:r>
        <w:rPr>
          <w:rFonts w:ascii="仿宋_GB2312" w:hAnsi="仿宋_GB2312" w:eastAsia="仿宋_GB2312"/>
          <w:sz w:val="32"/>
        </w:rPr>
        <w:t>（11）负责南北疆部队及西藏阿里等地边防部队过往人员的食宿接待、中转、演习等保障服务任务。</w:t>
      </w:r>
    </w:p>
    <w:p w14:paraId="3C8D5522">
      <w:pPr>
        <w:spacing w:line="580" w:lineRule="exact"/>
        <w:ind w:firstLine="640"/>
        <w:jc w:val="both"/>
      </w:pPr>
      <w:r>
        <w:rPr>
          <w:rFonts w:ascii="仿宋_GB2312" w:hAnsi="仿宋_GB2312" w:eastAsia="仿宋_GB2312"/>
          <w:sz w:val="32"/>
        </w:rPr>
        <w:t>（12）承办自治州党委、自治州人民政府交办的其他事项。</w:t>
      </w:r>
    </w:p>
    <w:p w14:paraId="68EAB930">
      <w:pPr>
        <w:spacing w:line="640" w:lineRule="exact"/>
        <w:ind w:firstLine="640"/>
        <w:jc w:val="both"/>
        <w:outlineLvl w:val="2"/>
      </w:pPr>
      <w:r>
        <w:rPr>
          <w:rFonts w:ascii="黑体" w:hAnsi="黑体" w:eastAsia="黑体"/>
          <w:sz w:val="32"/>
        </w:rPr>
        <w:t>二、机构设置及人员情况</w:t>
      </w:r>
    </w:p>
    <w:p w14:paraId="27706AA8">
      <w:pPr>
        <w:spacing w:line="580" w:lineRule="exact"/>
        <w:ind w:firstLine="640"/>
        <w:jc w:val="both"/>
      </w:pPr>
      <w:r>
        <w:rPr>
          <w:rFonts w:ascii="仿宋_GB2312" w:hAnsi="仿宋_GB2312" w:eastAsia="仿宋_GB2312"/>
          <w:sz w:val="32"/>
        </w:rPr>
        <w:t>巴音郭楞蒙古自治州退役军人事务局2024年度，实有人数29人，其中：在职人员26人，增加8人；离休人员0人，增加0人；退休人员3人,增加3人。</w:t>
      </w:r>
    </w:p>
    <w:p w14:paraId="60047DEB">
      <w:pPr>
        <w:spacing w:line="580" w:lineRule="exact"/>
        <w:ind w:firstLine="640"/>
        <w:jc w:val="both"/>
      </w:pPr>
      <w:r>
        <w:rPr>
          <w:rFonts w:ascii="仿宋_GB2312" w:hAnsi="仿宋_GB2312" w:eastAsia="仿宋_GB2312"/>
          <w:sz w:val="32"/>
        </w:rPr>
        <w:t>巴音郭楞蒙古自治州退役军人事务局无下属预算单位，下设</w:t>
      </w:r>
      <w:r>
        <w:rPr>
          <w:rFonts w:hint="eastAsia" w:ascii="仿宋_GB2312" w:hAnsi="仿宋_GB2312" w:eastAsia="仿宋_GB2312"/>
          <w:sz w:val="32"/>
          <w:lang w:val="en-US" w:eastAsia="zh-CN"/>
        </w:rPr>
        <w:t>6</w:t>
      </w:r>
      <w:r>
        <w:rPr>
          <w:rFonts w:ascii="仿宋_GB2312" w:hAnsi="仿宋_GB2312" w:eastAsia="仿宋_GB2312"/>
          <w:sz w:val="32"/>
        </w:rPr>
        <w:t>个科室，分别是：办公室、思想政治和权益维护科、就业创业和退役安置科、拥军优抚科、巴州退役军人服务中心</w:t>
      </w:r>
      <w:r>
        <w:rPr>
          <w:rFonts w:hint="eastAsia" w:ascii="仿宋_GB2312" w:hAnsi="仿宋_GB2312" w:eastAsia="仿宋_GB2312"/>
          <w:sz w:val="32"/>
          <w:lang w:eastAsia="zh-CN"/>
        </w:rPr>
        <w:t>、</w:t>
      </w:r>
      <w:r>
        <w:rPr>
          <w:rFonts w:ascii="仿宋_GB2312" w:hAnsi="仿宋_GB2312" w:eastAsia="仿宋_GB2312"/>
          <w:sz w:val="32"/>
        </w:rPr>
        <w:t>巴州库尔勒军事供应站。</w:t>
      </w:r>
    </w:p>
    <w:p w14:paraId="0DF4EC66">
      <w:r>
        <w:br w:type="page"/>
      </w:r>
    </w:p>
    <w:p w14:paraId="31A4F72F">
      <w:pPr>
        <w:spacing w:line="240" w:lineRule="auto"/>
        <w:jc w:val="center"/>
        <w:outlineLvl w:val="1"/>
      </w:pPr>
      <w:r>
        <w:rPr>
          <w:rFonts w:ascii="黑体" w:hAnsi="黑体" w:eastAsia="黑体"/>
          <w:sz w:val="32"/>
        </w:rPr>
        <w:t>第二部分 部门决算情况说明</w:t>
      </w:r>
    </w:p>
    <w:p w14:paraId="753224BF">
      <w:pPr>
        <w:spacing w:line="640" w:lineRule="exact"/>
        <w:ind w:firstLine="640"/>
        <w:jc w:val="both"/>
        <w:outlineLvl w:val="2"/>
      </w:pPr>
      <w:r>
        <w:rPr>
          <w:rFonts w:ascii="黑体" w:hAnsi="黑体" w:eastAsia="黑体"/>
          <w:sz w:val="32"/>
        </w:rPr>
        <w:t>一、收入支出决算总体情况说明</w:t>
      </w:r>
    </w:p>
    <w:p w14:paraId="5E577CF3">
      <w:pPr>
        <w:spacing w:line="580" w:lineRule="exact"/>
        <w:ind w:firstLine="640"/>
        <w:jc w:val="both"/>
      </w:pPr>
      <w:r>
        <w:rPr>
          <w:rFonts w:ascii="仿宋_GB2312" w:hAnsi="仿宋_GB2312" w:eastAsia="仿宋_GB2312"/>
          <w:b/>
          <w:sz w:val="32"/>
        </w:rPr>
        <w:t>2024年度收入总计1,135.31万元，</w:t>
      </w:r>
      <w:r>
        <w:rPr>
          <w:rFonts w:ascii="仿宋_GB2312" w:hAnsi="仿宋_GB2312" w:eastAsia="仿宋_GB2312"/>
          <w:b w:val="0"/>
          <w:sz w:val="32"/>
        </w:rPr>
        <w:t>其中：本年收入合计1,135.31万元，使用非财政拨款结余（含专用结余）0.00万元，年初结转和结余0.00万元。</w:t>
      </w:r>
    </w:p>
    <w:p w14:paraId="2858696D">
      <w:pPr>
        <w:spacing w:line="580" w:lineRule="exact"/>
        <w:ind w:firstLine="640"/>
        <w:jc w:val="both"/>
      </w:pPr>
      <w:r>
        <w:rPr>
          <w:rFonts w:ascii="仿宋_GB2312" w:hAnsi="仿宋_GB2312" w:eastAsia="仿宋_GB2312"/>
          <w:b/>
          <w:sz w:val="32"/>
        </w:rPr>
        <w:t>2024年度支出总计1,135.31万元，</w:t>
      </w:r>
      <w:r>
        <w:rPr>
          <w:rFonts w:ascii="仿宋_GB2312" w:hAnsi="仿宋_GB2312" w:eastAsia="仿宋_GB2312"/>
          <w:b w:val="0"/>
          <w:sz w:val="32"/>
        </w:rPr>
        <w:t>其中：本年支出合计1,133.16万元，结余分配0.00万元，年末结转和结余2.16万元。</w:t>
      </w:r>
    </w:p>
    <w:p w14:paraId="46A65218">
      <w:pPr>
        <w:spacing w:line="580" w:lineRule="exact"/>
        <w:ind w:firstLine="640"/>
        <w:jc w:val="both"/>
      </w:pPr>
      <w:r>
        <w:rPr>
          <w:rFonts w:ascii="仿宋_GB2312" w:hAnsi="仿宋_GB2312" w:eastAsia="仿宋_GB2312"/>
          <w:b w:val="0"/>
          <w:sz w:val="32"/>
        </w:rPr>
        <w:t>收入支出总体与上年相比，增加605.66万元，增长114.35%，主要原因是：本年增加</w:t>
      </w:r>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工作经费项目、库尔勒军供站建设项目；本年在职人员增加，相关人员经费支出增加，导致经费较上年增加。</w:t>
      </w:r>
    </w:p>
    <w:p w14:paraId="024EF1BF">
      <w:pPr>
        <w:spacing w:line="640" w:lineRule="exact"/>
        <w:ind w:firstLine="640"/>
        <w:jc w:val="both"/>
        <w:outlineLvl w:val="2"/>
      </w:pPr>
      <w:r>
        <w:rPr>
          <w:rFonts w:ascii="黑体" w:hAnsi="黑体" w:eastAsia="黑体"/>
          <w:sz w:val="32"/>
        </w:rPr>
        <w:t>二、收入决算情况说明</w:t>
      </w:r>
    </w:p>
    <w:p w14:paraId="712D6394">
      <w:pPr>
        <w:spacing w:line="580" w:lineRule="exact"/>
        <w:ind w:firstLine="640"/>
        <w:jc w:val="both"/>
      </w:pPr>
      <w:r>
        <w:rPr>
          <w:rFonts w:ascii="仿宋_GB2312" w:hAnsi="仿宋_GB2312" w:eastAsia="仿宋_GB2312"/>
          <w:b/>
          <w:sz w:val="32"/>
        </w:rPr>
        <w:t>本年收入1,135.31万元，</w:t>
      </w:r>
      <w:r>
        <w:rPr>
          <w:rFonts w:ascii="仿宋_GB2312" w:hAnsi="仿宋_GB2312" w:eastAsia="仿宋_GB2312"/>
          <w:b w:val="0"/>
          <w:sz w:val="32"/>
        </w:rPr>
        <w:t>其中：财政拨款收入1,115.14万元，占98.22%；上级补助收入0.00万元，占0.00%；事业收入0.00万元，占0.00%；经营收入0.00万元，占0.00%；附属单位上缴收入0.00万元，占0.00%；其他收入20.18万元，占1.78%。</w:t>
      </w:r>
    </w:p>
    <w:p w14:paraId="2D171CCE">
      <w:pPr>
        <w:spacing w:line="640" w:lineRule="exact"/>
        <w:ind w:firstLine="640"/>
        <w:jc w:val="both"/>
        <w:outlineLvl w:val="2"/>
      </w:pPr>
      <w:r>
        <w:rPr>
          <w:rFonts w:ascii="黑体" w:hAnsi="黑体" w:eastAsia="黑体"/>
          <w:sz w:val="32"/>
        </w:rPr>
        <w:t>三、支出决算情况说明</w:t>
      </w:r>
    </w:p>
    <w:p w14:paraId="46D77B60">
      <w:pPr>
        <w:spacing w:line="580" w:lineRule="exact"/>
        <w:ind w:firstLine="640"/>
        <w:jc w:val="both"/>
      </w:pPr>
      <w:r>
        <w:rPr>
          <w:rFonts w:ascii="仿宋_GB2312" w:hAnsi="仿宋_GB2312" w:eastAsia="仿宋_GB2312"/>
          <w:b/>
          <w:sz w:val="32"/>
        </w:rPr>
        <w:t>本年支出1,133.16万元，</w:t>
      </w:r>
      <w:r>
        <w:rPr>
          <w:rFonts w:ascii="仿宋_GB2312" w:hAnsi="仿宋_GB2312" w:eastAsia="仿宋_GB2312"/>
          <w:b w:val="0"/>
          <w:sz w:val="32"/>
        </w:rPr>
        <w:t>其中：基本支出556.19万元，占49.08%；项目支出576.97万元，占50.92%；上缴上级支出0.00万元，占0.00%；经营支出0.00万元，占0.00%；对附属单位补助支出0.00万元，占0.00%。</w:t>
      </w:r>
    </w:p>
    <w:p w14:paraId="1C657B1C">
      <w:pPr>
        <w:spacing w:line="640" w:lineRule="exact"/>
        <w:ind w:firstLine="640"/>
        <w:jc w:val="both"/>
        <w:outlineLvl w:val="2"/>
      </w:pPr>
      <w:r>
        <w:rPr>
          <w:rFonts w:ascii="黑体" w:hAnsi="黑体" w:eastAsia="黑体"/>
          <w:sz w:val="32"/>
        </w:rPr>
        <w:t>四、财政拨款收入支出决算总体情况说明</w:t>
      </w:r>
    </w:p>
    <w:p w14:paraId="38696CDD">
      <w:pPr>
        <w:spacing w:line="580" w:lineRule="exact"/>
        <w:ind w:firstLine="640"/>
        <w:jc w:val="both"/>
      </w:pPr>
      <w:r>
        <w:rPr>
          <w:rFonts w:ascii="仿宋_GB2312" w:hAnsi="仿宋_GB2312" w:eastAsia="仿宋_GB2312"/>
          <w:b/>
          <w:sz w:val="32"/>
        </w:rPr>
        <w:t>2024年度财政拨款收入总计1,115.14万元，</w:t>
      </w:r>
      <w:r>
        <w:rPr>
          <w:rFonts w:ascii="仿宋_GB2312" w:hAnsi="仿宋_GB2312" w:eastAsia="仿宋_GB2312"/>
          <w:b w:val="0"/>
          <w:sz w:val="32"/>
        </w:rPr>
        <w:t>其中：年初财政拨款结转和结余0.00万元，本年财政拨款收入1,115.14万元。</w:t>
      </w:r>
      <w:r>
        <w:rPr>
          <w:rFonts w:ascii="仿宋_GB2312" w:hAnsi="仿宋_GB2312" w:eastAsia="仿宋_GB2312"/>
          <w:b/>
          <w:sz w:val="32"/>
        </w:rPr>
        <w:t>财政拨款支出总计1,115.14万元，</w:t>
      </w:r>
      <w:r>
        <w:rPr>
          <w:rFonts w:ascii="仿宋_GB2312" w:hAnsi="仿宋_GB2312" w:eastAsia="仿宋_GB2312"/>
          <w:b w:val="0"/>
          <w:sz w:val="32"/>
        </w:rPr>
        <w:t>其中：年末财政拨款结转和结余0.00万元，本年财政拨款支出1,115.14万元。</w:t>
      </w:r>
    </w:p>
    <w:p w14:paraId="2E83000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增加606.77万元，增长119.36%，主要原因是：本年增加</w:t>
      </w:r>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工作经费项目、库尔勒军供站建设项目；本年在职人员增加，相关人员经费支出增加，导致经费较上年增加。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年初预算数1,095.06万元，决算数1,115.14万元，预决算差异率1.83%，主要原因是：年中追加“八一”慰问项目、</w:t>
      </w:r>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工作经费，导致预决算存在差异。</w:t>
      </w:r>
    </w:p>
    <w:p w14:paraId="1E138DC1">
      <w:pPr>
        <w:spacing w:line="640" w:lineRule="exact"/>
        <w:ind w:firstLine="640"/>
        <w:jc w:val="both"/>
        <w:outlineLvl w:val="2"/>
      </w:pPr>
      <w:r>
        <w:rPr>
          <w:rFonts w:ascii="黑体" w:hAnsi="黑体" w:eastAsia="黑体"/>
          <w:sz w:val="32"/>
        </w:rPr>
        <w:t>五、一般公共预算财政拨款支出决算情况说明</w:t>
      </w:r>
    </w:p>
    <w:p w14:paraId="62F6E8B9">
      <w:pPr>
        <w:spacing w:line="640" w:lineRule="exact"/>
        <w:ind w:firstLine="640"/>
        <w:jc w:val="both"/>
        <w:outlineLvl w:val="3"/>
      </w:pPr>
      <w:r>
        <w:rPr>
          <w:rFonts w:ascii="楷体_GB2312" w:hAnsi="楷体_GB2312" w:eastAsia="楷体_GB2312"/>
          <w:b/>
          <w:sz w:val="32"/>
        </w:rPr>
        <w:t>（一）一般公共预算财政拨款支出决算总体情况</w:t>
      </w:r>
    </w:p>
    <w:p w14:paraId="0D7B43F2">
      <w:pPr>
        <w:spacing w:line="580" w:lineRule="exact"/>
        <w:ind w:firstLine="640"/>
        <w:jc w:val="both"/>
      </w:pPr>
      <w:r>
        <w:rPr>
          <w:rFonts w:ascii="仿宋_GB2312" w:hAnsi="仿宋_GB2312" w:eastAsia="仿宋_GB2312"/>
          <w:b/>
          <w:sz w:val="32"/>
        </w:rPr>
        <w:t>2024年度一般公共预算财政拨款支出1,115.14万元，</w:t>
      </w:r>
      <w:r>
        <w:rPr>
          <w:rFonts w:ascii="仿宋_GB2312" w:hAnsi="仿宋_GB2312" w:eastAsia="仿宋_GB2312"/>
          <w:b w:val="0"/>
          <w:sz w:val="32"/>
        </w:rPr>
        <w:t>占本年支出合计的98.41%。</w:t>
      </w:r>
      <w:r>
        <w:rPr>
          <w:rFonts w:ascii="仿宋_GB2312" w:hAnsi="仿宋_GB2312" w:eastAsia="仿宋_GB2312"/>
          <w:b/>
          <w:sz w:val="32"/>
        </w:rPr>
        <w:t>与上年相比，</w:t>
      </w:r>
      <w:r>
        <w:rPr>
          <w:rFonts w:ascii="仿宋_GB2312" w:hAnsi="仿宋_GB2312" w:eastAsia="仿宋_GB2312"/>
          <w:b w:val="0"/>
          <w:sz w:val="32"/>
        </w:rPr>
        <w:t>增加606.77万元，增长119.36%，主要原因是：本年增加</w:t>
      </w:r>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工作经费项目、库尔勒军供站建设项目；本年在职人员增加，相关人员经费支出增加，导致经费较上年增加。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年初预算数1,095.06万元，决算数1,115.14万元，预决算差异率1.83%，主要原因是：年中追加“八一”慰问项目、</w:t>
      </w:r>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工作经费，导致预决算存在差异。</w:t>
      </w:r>
    </w:p>
    <w:p w14:paraId="356412DC">
      <w:pPr>
        <w:spacing w:line="640" w:lineRule="exact"/>
        <w:ind w:firstLine="640"/>
        <w:jc w:val="both"/>
        <w:outlineLvl w:val="3"/>
      </w:pPr>
      <w:r>
        <w:rPr>
          <w:rFonts w:ascii="楷体_GB2312" w:hAnsi="楷体_GB2312" w:eastAsia="楷体_GB2312"/>
          <w:b/>
          <w:sz w:val="32"/>
        </w:rPr>
        <w:t>（二）一般公共预算财政拨款支出决算结构情况</w:t>
      </w:r>
    </w:p>
    <w:p w14:paraId="41032950">
      <w:pPr>
        <w:spacing w:line="580" w:lineRule="exact"/>
        <w:ind w:firstLine="640"/>
        <w:jc w:val="both"/>
      </w:pPr>
      <w:r>
        <w:rPr>
          <w:rFonts w:ascii="仿宋_GB2312" w:hAnsi="仿宋_GB2312" w:eastAsia="仿宋_GB2312"/>
          <w:b w:val="0"/>
          <w:sz w:val="32"/>
        </w:rPr>
        <w:t>1.教育支出(类)1.63万元,占0.15%。</w:t>
      </w:r>
    </w:p>
    <w:p w14:paraId="3CFD1A88">
      <w:pPr>
        <w:spacing w:line="580" w:lineRule="exact"/>
        <w:ind w:firstLine="640"/>
        <w:jc w:val="both"/>
      </w:pPr>
      <w:r>
        <w:rPr>
          <w:rFonts w:ascii="仿宋_GB2312" w:hAnsi="仿宋_GB2312" w:eastAsia="仿宋_GB2312"/>
          <w:b w:val="0"/>
          <w:sz w:val="32"/>
        </w:rPr>
        <w:t>2.社会保障和就业支出(类)1,045.87万元,占93.79%。</w:t>
      </w:r>
    </w:p>
    <w:p w14:paraId="044559D2">
      <w:pPr>
        <w:spacing w:line="580" w:lineRule="exact"/>
        <w:ind w:firstLine="640"/>
        <w:jc w:val="both"/>
      </w:pPr>
      <w:r>
        <w:rPr>
          <w:rFonts w:ascii="仿宋_GB2312" w:hAnsi="仿宋_GB2312" w:eastAsia="仿宋_GB2312"/>
          <w:b w:val="0"/>
          <w:sz w:val="32"/>
        </w:rPr>
        <w:t>3.卫生健康支出(类)29.28万元,占2.63%。</w:t>
      </w:r>
    </w:p>
    <w:p w14:paraId="07B0BA1B">
      <w:pPr>
        <w:spacing w:line="580" w:lineRule="exact"/>
        <w:ind w:firstLine="640"/>
        <w:jc w:val="both"/>
      </w:pPr>
      <w:r>
        <w:rPr>
          <w:rFonts w:ascii="仿宋_GB2312" w:hAnsi="仿宋_GB2312" w:eastAsia="仿宋_GB2312"/>
          <w:b w:val="0"/>
          <w:sz w:val="32"/>
        </w:rPr>
        <w:t>4.住房保障支出(类)38.35万元,占3.44%。</w:t>
      </w:r>
    </w:p>
    <w:p w14:paraId="2ECDD1B9">
      <w:pPr>
        <w:spacing w:line="640" w:lineRule="exact"/>
        <w:ind w:firstLine="640"/>
        <w:jc w:val="both"/>
        <w:outlineLvl w:val="3"/>
      </w:pPr>
      <w:r>
        <w:rPr>
          <w:rFonts w:ascii="楷体_GB2312" w:hAnsi="楷体_GB2312" w:eastAsia="楷体_GB2312"/>
          <w:b/>
          <w:sz w:val="32"/>
        </w:rPr>
        <w:t>（三）一般公共预算财政拨款支出决算具体情况</w:t>
      </w:r>
    </w:p>
    <w:p w14:paraId="5DB885F1">
      <w:pPr>
        <w:spacing w:line="580" w:lineRule="exact"/>
        <w:ind w:firstLine="640"/>
        <w:jc w:val="both"/>
      </w:pPr>
      <w:r>
        <w:rPr>
          <w:rFonts w:ascii="仿宋_GB2312" w:hAnsi="仿宋_GB2312" w:eastAsia="仿宋_GB2312"/>
          <w:b w:val="0"/>
          <w:sz w:val="32"/>
        </w:rPr>
        <w:t>1.教育支出(类)进修及培训(款)培训支出(项):支出决算数为1.63万元，比上年决算增加0.66万元，增长68.04%,主要原因是：本年外出培训次数增加，相应支出增加。</w:t>
      </w:r>
    </w:p>
    <w:p w14:paraId="274BAFDD">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2.社会保障和就业支出(类)行政事业单位养老支出(款)行政单位离退休(项):支出决算数为7.26万元，比上年决算增加7.26万元，增长100.00%,主要原因是：本年退休人员增加，退休费支出增加。</w:t>
      </w:r>
    </w:p>
    <w:p w14:paraId="56A9FE4B">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48.06万元，比上年决算增加19.88万元，增长70.55%,主要原因是：人员工资基数调增，养老缴费基数上涨，相应支出增加。</w:t>
      </w:r>
    </w:p>
    <w:p w14:paraId="75C5D6A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14.58万元，比上年决算增加14.58万元，增长100.00%,主要原因是：本年新增退休人员，导致机关事业单位职业年金缴费支出增加。</w:t>
      </w:r>
    </w:p>
    <w:p w14:paraId="760A50A9">
      <w:pPr>
        <w:spacing w:line="580" w:lineRule="exact"/>
        <w:ind w:firstLine="640"/>
        <w:jc w:val="both"/>
      </w:pPr>
      <w:r>
        <w:rPr>
          <w:rFonts w:ascii="仿宋_GB2312" w:hAnsi="仿宋_GB2312" w:eastAsia="仿宋_GB2312"/>
          <w:b w:val="0"/>
          <w:sz w:val="32"/>
        </w:rPr>
        <w:t>5.社会保障和就业支出(类)退役安置(款)退役士兵安置(项):支出决算数为0.00万元，比上年决算减少4.94万元，下降100.00%,主要原因是：本年未安排安置的退役士兵进行社保接续的支出，相关支出减少。</w:t>
      </w:r>
    </w:p>
    <w:p w14:paraId="20E98FA2">
      <w:pPr>
        <w:spacing w:line="580" w:lineRule="exact"/>
        <w:ind w:firstLine="640"/>
        <w:jc w:val="both"/>
      </w:pPr>
      <w:r>
        <w:rPr>
          <w:rFonts w:ascii="仿宋_GB2312" w:hAnsi="仿宋_GB2312" w:eastAsia="仿宋_GB2312"/>
          <w:b w:val="0"/>
          <w:sz w:val="32"/>
        </w:rPr>
        <w:t>6.社会保障和就业支出(类)退役安置(款)军队移交政府离退休干部管理机构(项):支出决算数为12.59万元，比上年决算减少9.71万元，下降43.54%,主要原因是：本年减少中央安排退役安置补助项目军体机构经费。</w:t>
      </w:r>
    </w:p>
    <w:p w14:paraId="70CAB965">
      <w:pPr>
        <w:spacing w:line="580" w:lineRule="exact"/>
        <w:ind w:firstLine="640"/>
        <w:jc w:val="both"/>
      </w:pPr>
      <w:r>
        <w:rPr>
          <w:rFonts w:ascii="仿宋_GB2312" w:hAnsi="仿宋_GB2312" w:eastAsia="仿宋_GB2312"/>
          <w:b w:val="0"/>
          <w:sz w:val="32"/>
        </w:rPr>
        <w:t>7.社会保障和就业支出(类)退役安置(款)退役士兵管理教育(项):支出决算数为10.69万元，比上年决算增加10.69万元，增长100.00%,主要原因是：本年增加退役安置补助经费（退役士兵教育培训费）项目。</w:t>
      </w:r>
    </w:p>
    <w:p w14:paraId="0C5C5D80">
      <w:pPr>
        <w:spacing w:line="580" w:lineRule="exact"/>
        <w:ind w:firstLine="640"/>
        <w:jc w:val="both"/>
      </w:pPr>
      <w:r>
        <w:rPr>
          <w:rFonts w:ascii="仿宋_GB2312" w:hAnsi="仿宋_GB2312" w:eastAsia="仿宋_GB2312"/>
          <w:b w:val="0"/>
          <w:sz w:val="32"/>
        </w:rPr>
        <w:t>8.社会保障和就业支出(类)退役安置(款)军队转业干部安置(项):支出决算数为2.04万元，比上年决算减少67.27万元，下降97.06%,主要原因是：本年减少自治区安排自主择业军转干部管理服务项目创业孵化经费，导致相应支出减少。</w:t>
      </w:r>
    </w:p>
    <w:p w14:paraId="5E3A2136">
      <w:pPr>
        <w:spacing w:line="580" w:lineRule="exact"/>
        <w:ind w:firstLine="640"/>
        <w:jc w:val="both"/>
      </w:pPr>
      <w:r>
        <w:rPr>
          <w:rFonts w:ascii="仿宋_GB2312" w:hAnsi="仿宋_GB2312" w:eastAsia="仿宋_GB2312"/>
          <w:b w:val="0"/>
          <w:sz w:val="32"/>
        </w:rPr>
        <w:t>9.社会保障和就业支出(类)退役安置(款)其他退役安置支出(项):支出决算数为19.98万元，比上年决算增加4.78万元，增长31.45%,主要原因是：本年增加中央财政军队转业干部补助经费项目，导致相应支出增加。</w:t>
      </w:r>
    </w:p>
    <w:p w14:paraId="286A5754">
      <w:pPr>
        <w:spacing w:line="580" w:lineRule="exact"/>
        <w:ind w:firstLine="640"/>
        <w:jc w:val="both"/>
      </w:pPr>
      <w:r>
        <w:rPr>
          <w:rFonts w:ascii="仿宋_GB2312" w:hAnsi="仿宋_GB2312" w:eastAsia="仿宋_GB2312"/>
          <w:b w:val="0"/>
          <w:sz w:val="32"/>
        </w:rPr>
        <w:t>10.社会保障和就业支出(类)退役军人管理事务(款)行政运行(项):支出决算数为342.98万元，比上年决算增加161.71万元，增长89.21%,主要原因是：本年新增在职人员，人员经费增加，导致经费较上年有所增加。</w:t>
      </w:r>
    </w:p>
    <w:p w14:paraId="361269E7">
      <w:pPr>
        <w:spacing w:line="580" w:lineRule="exact"/>
        <w:ind w:firstLine="640"/>
        <w:jc w:val="both"/>
      </w:pPr>
      <w:r>
        <w:rPr>
          <w:rFonts w:ascii="仿宋_GB2312" w:hAnsi="仿宋_GB2312" w:eastAsia="仿宋_GB2312"/>
          <w:b w:val="0"/>
          <w:sz w:val="32"/>
        </w:rPr>
        <w:t>11.社会保障和就业支出(类)退役军人管理事务(款)一般行政管理事务(项):支出决算数为39.47万元，比上年决算增加39.47万元，增长100.00%,主要原因是：本年增加</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工作队经费，春节慰问经费项目由拥军优属科目调整至本科目列支，相应支出增加。</w:t>
      </w:r>
    </w:p>
    <w:p w14:paraId="0595DA25">
      <w:pPr>
        <w:spacing w:line="580" w:lineRule="exact"/>
        <w:ind w:firstLine="640"/>
        <w:jc w:val="both"/>
      </w:pPr>
      <w:r>
        <w:rPr>
          <w:rFonts w:ascii="仿宋_GB2312" w:hAnsi="仿宋_GB2312" w:eastAsia="仿宋_GB2312"/>
          <w:b w:val="0"/>
          <w:sz w:val="32"/>
        </w:rPr>
        <w:t>12.社会保障和就业支出(类)退役军人管理事务(款)机关服务(项):支出决算数为56.02万元，比上年决算增加4.30万元，增长8.31%,主要原因是：本年在职人员工资调增，津贴补贴经费增加。</w:t>
      </w:r>
    </w:p>
    <w:p w14:paraId="30B0843F">
      <w:pPr>
        <w:spacing w:line="580" w:lineRule="exact"/>
        <w:ind w:firstLine="640"/>
        <w:jc w:val="both"/>
      </w:pPr>
      <w:r>
        <w:rPr>
          <w:rFonts w:ascii="仿宋_GB2312" w:hAnsi="仿宋_GB2312" w:eastAsia="仿宋_GB2312"/>
          <w:b w:val="0"/>
          <w:sz w:val="32"/>
        </w:rPr>
        <w:t>13.社会保障和就业支出(类)退役军人管理事务(款)拥军优属(项):支出决算数为32.00万元，比上年决算减少65.50万元，下降67.18%,主要原因是：本年减少“双拥创建”项目；功能科目调整，春节慰问经费项目上年在拥军优属科目列支，本年在一般行政管理事务科目列支，相应经费减少。</w:t>
      </w:r>
    </w:p>
    <w:p w14:paraId="5AF0CCB8">
      <w:pPr>
        <w:spacing w:line="580" w:lineRule="exact"/>
        <w:ind w:firstLine="640"/>
        <w:jc w:val="both"/>
      </w:pPr>
      <w:r>
        <w:rPr>
          <w:rFonts w:ascii="仿宋_GB2312" w:hAnsi="仿宋_GB2312" w:eastAsia="仿宋_GB2312"/>
          <w:b w:val="0"/>
          <w:sz w:val="32"/>
        </w:rPr>
        <w:t>14.社会保障和就业支出(类)退役军人管理事务(款)军供保障(项):支出决算数为460.20万元，比上年决算增加460.20万元，增长100.00%,主要原因是：本年新增库尔勒军供站建设项目，导致相应支出增加。</w:t>
      </w:r>
    </w:p>
    <w:p w14:paraId="1F136B4A">
      <w:pPr>
        <w:spacing w:line="580" w:lineRule="exact"/>
        <w:ind w:firstLine="640"/>
        <w:jc w:val="both"/>
      </w:pPr>
      <w:r>
        <w:rPr>
          <w:rFonts w:ascii="仿宋_GB2312" w:hAnsi="仿宋_GB2312" w:eastAsia="仿宋_GB2312"/>
          <w:b w:val="0"/>
          <w:sz w:val="32"/>
        </w:rPr>
        <w:t>15.卫生健康支出(类)行政事业单位医疗(款)行政单位医疗(项):支出决算数为17.65万元，比上年决算增加8.24万元，增长87.57%,主要原因是：本年在职人员增加，行政单位医疗支出较上年增加。</w:t>
      </w:r>
    </w:p>
    <w:p w14:paraId="02ADC3C3">
      <w:pPr>
        <w:spacing w:line="580" w:lineRule="exact"/>
        <w:ind w:firstLine="640"/>
        <w:jc w:val="both"/>
      </w:pPr>
      <w:r>
        <w:rPr>
          <w:rFonts w:ascii="仿宋_GB2312" w:hAnsi="仿宋_GB2312" w:eastAsia="仿宋_GB2312"/>
          <w:b w:val="0"/>
          <w:sz w:val="32"/>
        </w:rPr>
        <w:t>16.卫生健康支出(类)行政事业单位医疗(款)事业单位医疗(项):支出决算数为3.38万元，比上年决算增加0.76万元，增长29.01%,主要原因是：本年在职人员增加，事业单位医疗支出较上年增加。</w:t>
      </w:r>
    </w:p>
    <w:p w14:paraId="44A1DF1D">
      <w:pPr>
        <w:spacing w:line="580" w:lineRule="exact"/>
        <w:ind w:firstLine="640"/>
        <w:jc w:val="both"/>
      </w:pPr>
      <w:r>
        <w:rPr>
          <w:rFonts w:ascii="仿宋_GB2312" w:hAnsi="仿宋_GB2312" w:eastAsia="仿宋_GB2312"/>
          <w:b w:val="0"/>
          <w:sz w:val="32"/>
        </w:rPr>
        <w:t>17.卫生健康支出(类)行政事业单位医疗(款)公务员医疗补助(项):支出决算数为7.57万元，比上年决算增加3.69万元，增长95.10%,主要原因是：本年在职人员增加，公务员医疗补助较上年增加。</w:t>
      </w:r>
    </w:p>
    <w:p w14:paraId="6CFA8F71">
      <w:pPr>
        <w:spacing w:line="580" w:lineRule="exact"/>
        <w:ind w:firstLine="640"/>
        <w:jc w:val="both"/>
      </w:pPr>
      <w:r>
        <w:rPr>
          <w:rFonts w:ascii="仿宋_GB2312" w:hAnsi="仿宋_GB2312" w:eastAsia="仿宋_GB2312"/>
          <w:b w:val="0"/>
          <w:sz w:val="32"/>
        </w:rPr>
        <w:t>18.卫生健康支出(类)行政事业单位医疗(款)其他行政事业单位医疗支出(项):支出决算数为0.69万元，比上年决算增加0.30万元，增长76.92%,主要原因是：本年在职人员增加，其他行政事业单位医疗支出较上年增加。</w:t>
      </w:r>
    </w:p>
    <w:p w14:paraId="43EBC22F">
      <w:pPr>
        <w:spacing w:line="580" w:lineRule="exact"/>
        <w:ind w:firstLine="640"/>
        <w:jc w:val="both"/>
      </w:pPr>
      <w:r>
        <w:rPr>
          <w:rFonts w:ascii="仿宋_GB2312" w:hAnsi="仿宋_GB2312" w:eastAsia="仿宋_GB2312"/>
          <w:b w:val="0"/>
          <w:sz w:val="32"/>
        </w:rPr>
        <w:t>19.住房保障支出(类)住房改革支出(款)住房公积金(项):支出决算数为38.35万元，比上年决算增加17.68万元，增长85.53%,主要原因是：本年在职人员增加，住房公积金缴费增加。</w:t>
      </w:r>
    </w:p>
    <w:p w14:paraId="622C19E6">
      <w:pPr>
        <w:spacing w:line="640" w:lineRule="exact"/>
        <w:ind w:firstLine="640"/>
        <w:jc w:val="both"/>
        <w:outlineLvl w:val="2"/>
      </w:pPr>
      <w:r>
        <w:rPr>
          <w:rFonts w:ascii="黑体" w:hAnsi="黑体" w:eastAsia="黑体"/>
          <w:sz w:val="32"/>
        </w:rPr>
        <w:t>六、一般公共预算财政拨款基本支出决算情况说明</w:t>
      </w:r>
    </w:p>
    <w:p w14:paraId="30D35D53">
      <w:pPr>
        <w:spacing w:line="580" w:lineRule="exact"/>
        <w:ind w:firstLine="640"/>
        <w:jc w:val="both"/>
      </w:pPr>
      <w:r>
        <w:rPr>
          <w:rFonts w:ascii="仿宋_GB2312" w:hAnsi="仿宋_GB2312" w:eastAsia="仿宋_GB2312"/>
          <w:b w:val="0"/>
          <w:sz w:val="32"/>
        </w:rPr>
        <w:t>2024年度一般公共预算财政拨款基本支出538.17万元，其中：</w:t>
      </w:r>
      <w:r>
        <w:rPr>
          <w:rFonts w:ascii="仿宋_GB2312" w:hAnsi="仿宋_GB2312" w:eastAsia="仿宋_GB2312"/>
          <w:b/>
          <w:sz w:val="32"/>
        </w:rPr>
        <w:t>人员经费498.90万元，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413B772F">
      <w:pPr>
        <w:spacing w:line="580" w:lineRule="exact"/>
        <w:ind w:firstLine="640"/>
        <w:jc w:val="both"/>
      </w:pPr>
      <w:r>
        <w:rPr>
          <w:rFonts w:ascii="仿宋_GB2312" w:hAnsi="仿宋_GB2312" w:eastAsia="仿宋_GB2312"/>
          <w:b/>
          <w:sz w:val="32"/>
        </w:rPr>
        <w:t>公用经费39.27万元，</w:t>
      </w:r>
      <w:r>
        <w:rPr>
          <w:rFonts w:ascii="仿宋_GB2312" w:hAnsi="仿宋_GB2312" w:eastAsia="仿宋_GB2312"/>
          <w:b w:val="0"/>
          <w:sz w:val="32"/>
        </w:rPr>
        <w:t>包括：办公费、水费、电费、邮电费、取暖费、差旅费、维修（护）费、培训费、劳务费、工会经费、福利费、公务用车运行维护费、其他商品和服务支出。</w:t>
      </w:r>
    </w:p>
    <w:p w14:paraId="32A923C7">
      <w:pPr>
        <w:spacing w:line="640" w:lineRule="exact"/>
        <w:ind w:firstLine="640"/>
        <w:jc w:val="both"/>
        <w:outlineLvl w:val="2"/>
      </w:pPr>
      <w:r>
        <w:rPr>
          <w:rFonts w:ascii="黑体" w:hAnsi="黑体" w:eastAsia="黑体"/>
          <w:sz w:val="32"/>
        </w:rPr>
        <w:t>七、政府性基金预算财政拨款收入支出决算情况说明</w:t>
      </w:r>
    </w:p>
    <w:p w14:paraId="52D38C14">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2F5BF24">
      <w:pPr>
        <w:spacing w:line="640" w:lineRule="exact"/>
        <w:ind w:firstLine="640"/>
        <w:jc w:val="both"/>
        <w:outlineLvl w:val="2"/>
      </w:pPr>
      <w:r>
        <w:rPr>
          <w:rFonts w:ascii="黑体" w:hAnsi="黑体" w:eastAsia="黑体"/>
          <w:sz w:val="32"/>
        </w:rPr>
        <w:t>八、国有资本经营预算财政拨款收入支出决算情况说明</w:t>
      </w:r>
    </w:p>
    <w:p w14:paraId="13492157">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FEBABD0">
      <w:pPr>
        <w:spacing w:line="640" w:lineRule="exact"/>
        <w:ind w:firstLine="640"/>
        <w:jc w:val="both"/>
        <w:outlineLvl w:val="2"/>
      </w:pPr>
      <w:r>
        <w:rPr>
          <w:rFonts w:ascii="黑体" w:hAnsi="黑体" w:eastAsia="黑体"/>
          <w:sz w:val="32"/>
        </w:rPr>
        <w:t>九、财政拨款“三公”经费支出决算情况说明</w:t>
      </w:r>
    </w:p>
    <w:p w14:paraId="380AB5BF">
      <w:pPr>
        <w:spacing w:line="580" w:lineRule="exact"/>
        <w:ind w:firstLine="640"/>
        <w:jc w:val="both"/>
      </w:pPr>
      <w:r>
        <w:rPr>
          <w:rFonts w:ascii="仿宋_GB2312" w:hAnsi="仿宋_GB2312" w:eastAsia="仿宋_GB2312"/>
          <w:b/>
          <w:sz w:val="32"/>
        </w:rPr>
        <w:t>2024年度财政拨款“三公”经费支出8.80万元，</w:t>
      </w:r>
      <w:r>
        <w:rPr>
          <w:rFonts w:ascii="仿宋_GB2312" w:hAnsi="仿宋_GB2312" w:eastAsia="仿宋_GB2312"/>
          <w:b w:val="0"/>
          <w:sz w:val="32"/>
        </w:rPr>
        <w:t>比上年增加5.80万元，增长193.33%，主要原因是：本年度因资源整合，与巴州库尔勒军事供应站合并，增加2辆车，导致公务用车运行维护费较上年增加。其中：因公出国（境）费支出0.00万元，占0.00%，比上年增加0.00万元，增长0.00%，主要原因是：2023年与2024年均未安排因公出国（境）费支出。公务用车购置及运行维护费支出8.80万元，占100.00%，比上年增加5.80万元，增长193.33%，主要原因是：本年度因资源整合，与巴州库尔勒军事供应站合并，增加2辆车，导致公务用车运行维护费较上年增加。公务接待费支出0.00万元，占0.00%，比上年增加0.00万元，增长0.00%，主要原因是：2023年与2024年均未安排公务接待费支出。</w:t>
      </w:r>
    </w:p>
    <w:p w14:paraId="7893DD7C">
      <w:pPr>
        <w:spacing w:line="580" w:lineRule="exact"/>
        <w:ind w:firstLine="640"/>
        <w:jc w:val="both"/>
      </w:pPr>
      <w:r>
        <w:rPr>
          <w:rFonts w:ascii="仿宋_GB2312" w:hAnsi="仿宋_GB2312" w:eastAsia="仿宋_GB2312"/>
          <w:b/>
          <w:sz w:val="32"/>
        </w:rPr>
        <w:t>具体情况如下：</w:t>
      </w:r>
    </w:p>
    <w:p w14:paraId="03395BCB">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215BE18B">
      <w:pPr>
        <w:spacing w:line="580" w:lineRule="exact"/>
        <w:ind w:firstLine="640"/>
        <w:jc w:val="both"/>
      </w:pPr>
      <w:r>
        <w:rPr>
          <w:rFonts w:ascii="仿宋_GB2312" w:hAnsi="仿宋_GB2312" w:eastAsia="仿宋_GB2312"/>
          <w:b w:val="0"/>
          <w:sz w:val="32"/>
        </w:rPr>
        <w:t>公务用车购置及运行维护费8.80万元，其中：公务用车购置费0.00万元，公务用车运行维护费8.80万元。公务用车运行维护费开支内容包括车辆加油费、保险费、过路费、维修费。公务用车购置数0辆，公务用车保有量2辆。国有资产占用情况中固定资产车辆5辆，与公务用车保有量差异原因是：差异车辆为业务用车，待报废状态未投入使用。</w:t>
      </w:r>
    </w:p>
    <w:p w14:paraId="549F35DA">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495353F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8.80万元，决算数8.80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8.80万元，决算数8.80万元，预决算差异率0.00%，主要原因是：严格按照预算执行，预决算无差异。公务接待费全年预算数0.00万元，决算数0.00万元，预决算差异率0.00%，主要原因是：本部门无公务接待费。</w:t>
      </w:r>
    </w:p>
    <w:p w14:paraId="13EAAF4F">
      <w:pPr>
        <w:spacing w:line="640" w:lineRule="exact"/>
        <w:ind w:firstLine="640"/>
        <w:jc w:val="both"/>
        <w:outlineLvl w:val="2"/>
      </w:pPr>
      <w:r>
        <w:rPr>
          <w:rFonts w:ascii="黑体" w:hAnsi="黑体" w:eastAsia="黑体"/>
          <w:sz w:val="32"/>
        </w:rPr>
        <w:t>十、其他重要事项的情况说明</w:t>
      </w:r>
    </w:p>
    <w:p w14:paraId="6818910B">
      <w:pPr>
        <w:spacing w:line="640" w:lineRule="exact"/>
        <w:ind w:firstLine="640"/>
        <w:jc w:val="both"/>
        <w:outlineLvl w:val="3"/>
      </w:pPr>
      <w:r>
        <w:rPr>
          <w:rFonts w:ascii="楷体_GB2312" w:hAnsi="楷体_GB2312" w:eastAsia="楷体_GB2312"/>
          <w:b/>
          <w:sz w:val="32"/>
        </w:rPr>
        <w:t>（一）机关运行经费及公用经费支出情况</w:t>
      </w:r>
    </w:p>
    <w:p w14:paraId="79D51F06">
      <w:pPr>
        <w:spacing w:line="580" w:lineRule="exact"/>
        <w:ind w:firstLine="640"/>
        <w:jc w:val="both"/>
      </w:pPr>
      <w:r>
        <w:rPr>
          <w:rFonts w:ascii="仿宋_GB2312" w:hAnsi="仿宋_GB2312" w:eastAsia="仿宋_GB2312"/>
          <w:b w:val="0"/>
          <w:sz w:val="32"/>
        </w:rPr>
        <w:t>2024年度巴音郭楞蒙古自治州退役军人事务局（行政单位和参照公务员法管理事业单位）机关运行经费支出39.27万元，比上年增加25.39万元，增长182.93%，主要原因是：本年增加办公费、电费、差旅费，导致相应的机关运行经费较上年增加。</w:t>
      </w:r>
    </w:p>
    <w:p w14:paraId="648C6D20">
      <w:pPr>
        <w:spacing w:line="640" w:lineRule="exact"/>
        <w:ind w:firstLine="640"/>
        <w:jc w:val="both"/>
        <w:outlineLvl w:val="3"/>
      </w:pPr>
      <w:r>
        <w:rPr>
          <w:rFonts w:ascii="楷体_GB2312" w:hAnsi="楷体_GB2312" w:eastAsia="楷体_GB2312"/>
          <w:b/>
          <w:sz w:val="32"/>
        </w:rPr>
        <w:t>（二）政府采购情况</w:t>
      </w:r>
    </w:p>
    <w:p w14:paraId="12EA564D">
      <w:pPr>
        <w:spacing w:line="580" w:lineRule="exact"/>
        <w:ind w:firstLine="640"/>
        <w:jc w:val="both"/>
      </w:pPr>
      <w:r>
        <w:rPr>
          <w:rFonts w:ascii="仿宋_GB2312" w:hAnsi="仿宋_GB2312" w:eastAsia="仿宋_GB2312"/>
          <w:b w:val="0"/>
          <w:sz w:val="32"/>
        </w:rPr>
        <w:t>2024年度政府采购支出总额16.10万元，其中：政府采购货物支出1.36万元、政府采购工程支出10.34万元、政府采购服务支出4.40万元。</w:t>
      </w:r>
    </w:p>
    <w:p w14:paraId="56660173">
      <w:pPr>
        <w:spacing w:line="580" w:lineRule="exact"/>
        <w:ind w:firstLine="640"/>
        <w:jc w:val="both"/>
      </w:pPr>
      <w:r>
        <w:rPr>
          <w:rFonts w:ascii="仿宋_GB2312" w:hAnsi="仿宋_GB2312" w:eastAsia="仿宋_GB2312"/>
          <w:b w:val="0"/>
          <w:sz w:val="32"/>
        </w:rPr>
        <w:t>授予中小企业合同金额15.03万元，占政府采购支出总额的93.35%，其中：授予小微企业合同金额13.74万元，占政府采购支出总额的85.34%。</w:t>
      </w:r>
    </w:p>
    <w:p w14:paraId="49FC08B7">
      <w:pPr>
        <w:spacing w:line="640" w:lineRule="exact"/>
        <w:ind w:firstLine="640"/>
        <w:jc w:val="both"/>
        <w:outlineLvl w:val="3"/>
      </w:pPr>
      <w:r>
        <w:rPr>
          <w:rFonts w:ascii="楷体_GB2312" w:hAnsi="楷体_GB2312" w:eastAsia="楷体_GB2312"/>
          <w:b/>
          <w:sz w:val="32"/>
        </w:rPr>
        <w:t>（三）国有资产占用情况说明</w:t>
      </w:r>
    </w:p>
    <w:p w14:paraId="42DCD1FF">
      <w:pPr>
        <w:spacing w:line="580" w:lineRule="exact"/>
        <w:ind w:firstLine="640"/>
        <w:jc w:val="both"/>
      </w:pPr>
      <w:r>
        <w:rPr>
          <w:rFonts w:ascii="仿宋_GB2312" w:hAnsi="仿宋_GB2312" w:eastAsia="仿宋_GB2312"/>
          <w:b w:val="0"/>
          <w:sz w:val="32"/>
        </w:rPr>
        <w:t>截至2024年12月31日，房屋5,751.74平方米，价值637.54万元。车辆5辆，价值80.77万元，其中：副部（省）级及以上领导用车0辆、主要负责人用车0辆、机要通信用车0辆、应急保障用车0辆、执法执勤用车0辆、特种专业技术用车1辆、离退休干部服务用车0辆、其他用车4辆，其他用车主要是：一般公务用车和单位业务用车。单价100万元（含）以上设备（不含车辆）0台（套）。</w:t>
      </w:r>
    </w:p>
    <w:p w14:paraId="35F6CE32">
      <w:pPr>
        <w:spacing w:line="640" w:lineRule="exact"/>
        <w:ind w:firstLine="640"/>
        <w:jc w:val="both"/>
        <w:outlineLvl w:val="2"/>
      </w:pPr>
      <w:r>
        <w:rPr>
          <w:rFonts w:ascii="黑体" w:hAnsi="黑体" w:eastAsia="黑体"/>
          <w:sz w:val="32"/>
        </w:rPr>
        <w:t>十一、预算绩效的情况说明</w:t>
      </w:r>
    </w:p>
    <w:p w14:paraId="120EABB7">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根据预算绩效管理要求，本部门2024年度预算绩效管理形成整体支出绩效自评表1个，全年预算总额1,135.31万元，实际执行总额1,133.16万元；预算绩效评价项目</w:t>
      </w:r>
      <w:r>
        <w:rPr>
          <w:rFonts w:hint="eastAsia" w:ascii="仿宋_GB2312" w:hAnsi="仿宋_GB2312" w:eastAsia="仿宋_GB2312"/>
          <w:b w:val="0"/>
          <w:sz w:val="32"/>
          <w:lang w:val="en-US" w:eastAsia="zh-CN"/>
        </w:rPr>
        <w:t>12</w:t>
      </w:r>
      <w:r>
        <w:rPr>
          <w:rFonts w:ascii="仿宋_GB2312" w:hAnsi="仿宋_GB2312" w:eastAsia="仿宋_GB2312"/>
          <w:b w:val="0"/>
          <w:sz w:val="32"/>
        </w:rPr>
        <w:t>个，全年预算数</w:t>
      </w:r>
      <w:r>
        <w:rPr>
          <w:rFonts w:hint="eastAsia" w:ascii="仿宋_GB2312" w:hAnsi="仿宋_GB2312" w:eastAsia="仿宋_GB2312"/>
          <w:b w:val="0"/>
          <w:sz w:val="32"/>
        </w:rPr>
        <w:t>625.05</w:t>
      </w:r>
      <w:r>
        <w:rPr>
          <w:rFonts w:ascii="仿宋_GB2312" w:hAnsi="仿宋_GB2312" w:eastAsia="仿宋_GB2312"/>
          <w:b w:val="0"/>
          <w:sz w:val="32"/>
        </w:rPr>
        <w:t>万元，全年执行数</w:t>
      </w:r>
      <w:r>
        <w:rPr>
          <w:rFonts w:hint="eastAsia" w:ascii="仿宋_GB2312" w:hAnsi="仿宋_GB2312" w:eastAsia="仿宋_GB2312"/>
          <w:b w:val="0"/>
          <w:sz w:val="32"/>
        </w:rPr>
        <w:t>576.96</w:t>
      </w:r>
      <w:r>
        <w:rPr>
          <w:rFonts w:ascii="仿宋_GB2312" w:hAnsi="仿宋_GB2312" w:eastAsia="仿宋_GB2312"/>
          <w:b w:val="0"/>
          <w:sz w:val="32"/>
        </w:rPr>
        <w:t>万元。预算绩效管理取得的成效：一是本部门持续以绩效目标为核心导向，在现有制度基础上优化管理细节，进一步提升预算执行的精准性与规范性，确保整体支出全额高效执行，预算绩效管理效能稳步提升。二是经过前期绩效管理实践的深化，本部门对项目资金的使用范围、审批流程及效益目标有了更精准的把控，“绩效优先”理念深度融入资金管理各环节，有效降低了经费使用风险，同时推动单位管理水平与资金使用效益协同提升，为绩效管理工作的持续深化筑牢基础。发现的问题及原因：一是部分项目执行额低于预算，绩效管理精细化不足；二是工作人员绩效管理专业能力需提升。下一步改进措施：一是全面推进预算绩效目标编制全覆盖，建立项目执行进度定期跟踪与预警机制，推进全过程绩效管理，提升预算编制的科学性与前瞻性；二是加强预算绩效管理政策宣传与培训，深入解读《中华人民共和国预算法》等相关要求，强化全员绩效观念，推动预算绩效管理与法治型、服务型、节约型政府建设深度融合。具体附部门整体支出绩效自评表，项目支出绩效自评表和部门评价报告。</w:t>
      </w:r>
    </w:p>
    <w:p w14:paraId="37F5A80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A4C8DE6">
        <w:tblPrEx>
          <w:tblCellMar>
            <w:top w:w="0" w:type="dxa"/>
            <w:left w:w="108" w:type="dxa"/>
            <w:bottom w:w="0" w:type="dxa"/>
            <w:right w:w="108" w:type="dxa"/>
          </w:tblCellMar>
        </w:tblPrEx>
        <w:tc>
          <w:tcPr>
            <w:tcW w:w="8840" w:type="dxa"/>
            <w:gridSpan w:val="8"/>
            <w:vAlign w:val="center"/>
          </w:tcPr>
          <w:p w14:paraId="67312973">
            <w:pPr>
              <w:jc w:val="center"/>
            </w:pPr>
            <w:r>
              <w:rPr>
                <w:rFonts w:ascii="宋体" w:hAnsi="宋体" w:eastAsia="宋体"/>
                <w:sz w:val="24"/>
              </w:rPr>
              <w:t>部门整体支出绩效自评表</w:t>
            </w:r>
          </w:p>
        </w:tc>
      </w:tr>
      <w:tr w14:paraId="6CCA4013">
        <w:tblPrEx>
          <w:tblCellMar>
            <w:top w:w="0" w:type="dxa"/>
            <w:left w:w="108" w:type="dxa"/>
            <w:bottom w:w="0" w:type="dxa"/>
            <w:right w:w="108" w:type="dxa"/>
          </w:tblCellMar>
        </w:tblPrEx>
        <w:tc>
          <w:tcPr>
            <w:tcW w:w="8840" w:type="dxa"/>
            <w:gridSpan w:val="8"/>
            <w:vAlign w:val="center"/>
          </w:tcPr>
          <w:p w14:paraId="254AD57B">
            <w:pPr>
              <w:jc w:val="center"/>
            </w:pPr>
            <w:r>
              <w:rPr>
                <w:rFonts w:ascii="宋体" w:hAnsi="宋体" w:eastAsia="宋体"/>
                <w:sz w:val="24"/>
              </w:rPr>
              <w:t>（2024年度）</w:t>
            </w:r>
          </w:p>
        </w:tc>
      </w:tr>
      <w:tr w14:paraId="71C8181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91D62">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D2D36">
            <w:pPr>
              <w:jc w:val="center"/>
            </w:pPr>
            <w:r>
              <w:rPr>
                <w:rFonts w:ascii="宋体" w:hAnsi="宋体" w:eastAsia="宋体"/>
                <w:sz w:val="16"/>
              </w:rPr>
              <w:t>巴音郭楞蒙古自治州退役军人事务局</w:t>
            </w:r>
          </w:p>
        </w:tc>
      </w:tr>
      <w:tr w14:paraId="395A780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37FE1">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2737D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4929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6AB9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71DB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ADC5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1BF6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23D93">
            <w:pPr>
              <w:jc w:val="center"/>
            </w:pPr>
            <w:r>
              <w:rPr>
                <w:rFonts w:ascii="宋体" w:hAnsi="宋体" w:eastAsia="宋体"/>
                <w:sz w:val="16"/>
              </w:rPr>
              <w:t>得分</w:t>
            </w:r>
          </w:p>
        </w:tc>
      </w:tr>
      <w:tr w14:paraId="00FC8A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030A3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509E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968EC6">
            <w:pPr>
              <w:jc w:val="center"/>
            </w:pPr>
            <w:r>
              <w:rPr>
                <w:rFonts w:ascii="宋体" w:hAnsi="宋体" w:eastAsia="宋体"/>
                <w:sz w:val="16"/>
              </w:rPr>
              <w:t>1,095.06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156E7">
            <w:pPr>
              <w:jc w:val="center"/>
            </w:pPr>
            <w:r>
              <w:rPr>
                <w:rFonts w:ascii="宋体" w:hAnsi="宋体" w:eastAsia="宋体"/>
                <w:sz w:val="16"/>
              </w:rPr>
              <w:t>1,135.31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F6A8A">
            <w:pPr>
              <w:jc w:val="center"/>
            </w:pPr>
            <w:r>
              <w:rPr>
                <w:rFonts w:ascii="宋体" w:hAnsi="宋体" w:eastAsia="宋体"/>
                <w:sz w:val="16"/>
              </w:rPr>
              <w:t>1,133.16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9BB83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4D94A">
            <w:pPr>
              <w:jc w:val="center"/>
            </w:pPr>
            <w:r>
              <w:rPr>
                <w:rFonts w:ascii="宋体" w:hAnsi="宋体" w:eastAsia="宋体"/>
                <w:sz w:val="16"/>
              </w:rPr>
              <w:t>99.81%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2BCCAC">
            <w:pPr>
              <w:jc w:val="center"/>
            </w:pPr>
            <w:r>
              <w:rPr>
                <w:rFonts w:ascii="宋体" w:hAnsi="宋体" w:eastAsia="宋体"/>
                <w:sz w:val="16"/>
              </w:rPr>
              <w:t>9.98</w:t>
            </w:r>
          </w:p>
        </w:tc>
      </w:tr>
      <w:tr w14:paraId="33DABF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8919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1B20C">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E26C56">
            <w:pPr>
              <w:jc w:val="center"/>
            </w:pPr>
            <w:r>
              <w:rPr>
                <w:rFonts w:ascii="宋体" w:hAnsi="宋体" w:eastAsia="宋体"/>
                <w:sz w:val="16"/>
              </w:rPr>
              <w:t>543.52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AA4FCC">
            <w:pPr>
              <w:jc w:val="center"/>
            </w:pPr>
            <w:r>
              <w:rPr>
                <w:rFonts w:ascii="宋体" w:hAnsi="宋体" w:eastAsia="宋体"/>
                <w:sz w:val="16"/>
              </w:rPr>
              <w:t>497.50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BE7C7">
            <w:pPr>
              <w:jc w:val="center"/>
            </w:pPr>
            <w:r>
              <w:rPr>
                <w:rFonts w:ascii="宋体" w:hAnsi="宋体" w:eastAsia="宋体"/>
                <w:sz w:val="16"/>
              </w:rPr>
              <w:t>497.50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66F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AE64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9CF88">
            <w:pPr>
              <w:jc w:val="center"/>
            </w:pPr>
            <w:r>
              <w:rPr>
                <w:rFonts w:ascii="宋体" w:hAnsi="宋体" w:eastAsia="宋体"/>
                <w:sz w:val="16"/>
              </w:rPr>
              <w:t>-</w:t>
            </w:r>
          </w:p>
        </w:tc>
      </w:tr>
      <w:tr w14:paraId="39BC9D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37C78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B46E2">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EB08F8">
            <w:pPr>
              <w:jc w:val="center"/>
            </w:pPr>
            <w:r>
              <w:rPr>
                <w:rFonts w:ascii="宋体" w:hAnsi="宋体" w:eastAsia="宋体"/>
                <w:sz w:val="16"/>
              </w:rPr>
              <w:t>551.54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894B46">
            <w:pPr>
              <w:jc w:val="center"/>
            </w:pPr>
            <w:r>
              <w:rPr>
                <w:rFonts w:ascii="宋体" w:hAnsi="宋体" w:eastAsia="宋体"/>
                <w:sz w:val="16"/>
              </w:rPr>
              <w:t>637.81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AEFCF">
            <w:pPr>
              <w:jc w:val="center"/>
            </w:pPr>
            <w:r>
              <w:rPr>
                <w:rFonts w:ascii="宋体" w:hAnsi="宋体" w:eastAsia="宋体"/>
                <w:sz w:val="16"/>
              </w:rPr>
              <w:t>635.66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608F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4C5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40E206">
            <w:pPr>
              <w:jc w:val="center"/>
            </w:pPr>
            <w:r>
              <w:rPr>
                <w:rFonts w:ascii="宋体" w:hAnsi="宋体" w:eastAsia="宋体"/>
                <w:sz w:val="16"/>
              </w:rPr>
              <w:t>-</w:t>
            </w:r>
          </w:p>
        </w:tc>
      </w:tr>
      <w:tr w14:paraId="71B27D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D271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2928B">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20C4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6571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5637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0BA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DA94B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E1703">
            <w:pPr>
              <w:jc w:val="center"/>
            </w:pPr>
            <w:r>
              <w:rPr>
                <w:rFonts w:ascii="宋体" w:hAnsi="宋体" w:eastAsia="宋体"/>
                <w:sz w:val="16"/>
              </w:rPr>
              <w:t>-</w:t>
            </w:r>
          </w:p>
        </w:tc>
      </w:tr>
      <w:tr w14:paraId="098D341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551A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61A76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4751F9">
            <w:pPr>
              <w:jc w:val="center"/>
            </w:pPr>
            <w:r>
              <w:rPr>
                <w:rFonts w:ascii="宋体" w:hAnsi="宋体" w:eastAsia="宋体"/>
                <w:sz w:val="16"/>
              </w:rPr>
              <w:t>实际完成情况</w:t>
            </w:r>
          </w:p>
        </w:tc>
      </w:tr>
      <w:tr w14:paraId="0CC0A9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28A38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C4F543">
            <w:pPr>
              <w:jc w:val="both"/>
            </w:pPr>
            <w:r>
              <w:rPr>
                <w:rFonts w:ascii="宋体" w:hAnsi="宋体" w:eastAsia="宋体"/>
                <w:sz w:val="16"/>
              </w:rPr>
              <w:t>坚持以习近平新时代中国特色社会主义思想为指导，深入贯彻落实</w:t>
            </w:r>
            <w:r>
              <w:rPr>
                <w:rFonts w:hint="eastAsia" w:ascii="宋体" w:hAnsi="宋体"/>
                <w:sz w:val="16"/>
                <w:lang w:eastAsia="zh-CN"/>
              </w:rPr>
              <w:t>习近平总书记关于退役军人工作的重要论述</w:t>
            </w:r>
            <w:r>
              <w:rPr>
                <w:rFonts w:ascii="宋体" w:hAnsi="宋体" w:eastAsia="宋体"/>
                <w:sz w:val="16"/>
              </w:rPr>
              <w:t>精神，坚决贯彻落实党中央、国务院决策部署和自治区党委、政府工作要求，夯实基层基础、完善制度机制、规范机构运行，用心用力做好退役军人就业安置、优待褒扬、权益维护、服务管理等重点工作，推动新时代退役军人工作迈上新台阶，为实现社会稳定和长治久安总目标提供保障。主要内容：一是用于支付职工薪酬、津补贴等，保障单位办公等支出；二是深入推进拥军优抚工作，改善优抚对象生活水平，服务国防和军队建设；三是保障退役军人就业安置、褒扬纪念、权益维护、服务管理等重点工作有序开展，推动退役军人获得感成色更足；四是聚焦思想政治引领，依法保障退役军人合法权益，持续浓厚社会尊崇氛围。</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CDCD60">
            <w:pPr>
              <w:jc w:val="both"/>
            </w:pPr>
            <w:r>
              <w:rPr>
                <w:rFonts w:ascii="宋体" w:hAnsi="宋体" w:eastAsia="宋体"/>
                <w:sz w:val="16"/>
              </w:rPr>
              <w:t>2024年度，退役军人思想政治、管理保障和安置优抚等工作正常开展。军队转业干部、复员离退休干部、退役士兵和无军籍退休退职职工的移交安置工作和自主择业、就业退役军人服务管理工作有序推进，完成自主择业军转干部和逐月领取退役金退役军人管理服务工作192人；完成1场自主择业军转干部教育培训；春节走访慰问、八一开展拥军优属慰问活动两期，领导带队，分组对八县一市进行走访慰问30次；加强库尔勒军供站基础设施建设，提升军供站保障能力，推动军供站管理服务科学化、规范化，更好</w:t>
            </w:r>
            <w:r>
              <w:rPr>
                <w:rFonts w:hint="eastAsia" w:ascii="宋体" w:hAnsi="宋体"/>
                <w:sz w:val="16"/>
                <w:lang w:eastAsia="zh-CN"/>
              </w:rPr>
              <w:t>地</w:t>
            </w:r>
            <w:r>
              <w:rPr>
                <w:rFonts w:ascii="宋体" w:hAnsi="宋体" w:eastAsia="宋体"/>
                <w:sz w:val="16"/>
              </w:rPr>
              <w:t>支持国防和军队建设，服务军队练兵备战；通过扎实推进各项任务，有效提升了退役军人的获得感、幸福感和荣誉感。下一步将持续优化服务机制，强化资源整合，为退役军人提供更优质、更精准的保障服务。</w:t>
            </w:r>
          </w:p>
        </w:tc>
      </w:tr>
      <w:tr w14:paraId="2987EBA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C9DA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7690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DEEC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B9CB8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C9F3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2EFD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B626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6348A">
            <w:pPr>
              <w:jc w:val="center"/>
            </w:pPr>
            <w:r>
              <w:rPr>
                <w:rFonts w:ascii="宋体" w:hAnsi="宋体" w:eastAsia="宋体"/>
                <w:sz w:val="16"/>
              </w:rPr>
              <w:t>得分</w:t>
            </w:r>
          </w:p>
        </w:tc>
      </w:tr>
      <w:tr w14:paraId="0C3FD29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167B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4845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261932">
            <w:pPr>
              <w:jc w:val="center"/>
            </w:pPr>
            <w:r>
              <w:rPr>
                <w:rFonts w:ascii="宋体" w:hAnsi="宋体" w:eastAsia="宋体"/>
                <w:sz w:val="16"/>
              </w:rPr>
              <w:t>完成自主择业军转干部和逐月领取退役金退役军人管理服务工作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489EC">
            <w:pPr>
              <w:jc w:val="center"/>
            </w:pPr>
            <w:r>
              <w:rPr>
                <w:rFonts w:ascii="宋体" w:hAnsi="宋体" w:eastAsia="宋体"/>
                <w:sz w:val="16"/>
              </w:rPr>
              <w:t>=192人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3BCB09">
            <w:pPr>
              <w:jc w:val="center"/>
            </w:pPr>
            <w:r>
              <w:rPr>
                <w:rFonts w:ascii="宋体" w:hAnsi="宋体" w:eastAsia="宋体"/>
                <w:sz w:val="16"/>
              </w:rPr>
              <w:t>巴州退役军人事务局2024年工作要点及分工方案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A347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4D1CD">
            <w:pPr>
              <w:jc w:val="center"/>
            </w:pPr>
            <w:r>
              <w:rPr>
                <w:rFonts w:ascii="宋体" w:hAnsi="宋体" w:eastAsia="宋体"/>
                <w:sz w:val="16"/>
              </w:rPr>
              <w:t>192人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5F72D1">
            <w:pPr>
              <w:jc w:val="center"/>
            </w:pPr>
            <w:r>
              <w:rPr>
                <w:rFonts w:ascii="宋体" w:hAnsi="宋体" w:eastAsia="宋体"/>
                <w:sz w:val="16"/>
              </w:rPr>
              <w:t>20</w:t>
            </w:r>
          </w:p>
        </w:tc>
      </w:tr>
      <w:tr w14:paraId="01B6E0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88BA6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9757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38375">
            <w:pPr>
              <w:jc w:val="center"/>
            </w:pPr>
            <w:r>
              <w:rPr>
                <w:rFonts w:ascii="宋体" w:hAnsi="宋体" w:eastAsia="宋体"/>
                <w:sz w:val="16"/>
              </w:rPr>
              <w:t>常态化拥军优属活动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53E84">
            <w:pPr>
              <w:jc w:val="center"/>
            </w:pPr>
            <w:r>
              <w:rPr>
                <w:rFonts w:ascii="宋体" w:hAnsi="宋体" w:eastAsia="宋体"/>
                <w:sz w:val="16"/>
              </w:rPr>
              <w: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FA097">
            <w:pPr>
              <w:jc w:val="center"/>
            </w:pPr>
            <w:r>
              <w:rPr>
                <w:rFonts w:ascii="宋体" w:hAnsi="宋体" w:eastAsia="宋体"/>
                <w:sz w:val="16"/>
              </w:rPr>
              <w:t>巴州退役军人事务局2024年工作要点及分工方案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60B1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BECB9">
            <w:pPr>
              <w:jc w:val="center"/>
            </w:pPr>
            <w:r>
              <w:rPr>
                <w:rFonts w:ascii="宋体" w:hAnsi="宋体" w:eastAsia="宋体"/>
                <w:sz w:val="16"/>
              </w:rPr>
              <w: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4F15D4">
            <w:pPr>
              <w:jc w:val="center"/>
            </w:pPr>
            <w:r>
              <w:rPr>
                <w:rFonts w:ascii="宋体" w:hAnsi="宋体" w:eastAsia="宋体"/>
                <w:sz w:val="16"/>
              </w:rPr>
              <w:t>20</w:t>
            </w:r>
          </w:p>
        </w:tc>
      </w:tr>
      <w:tr w14:paraId="1E2226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C4922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312AD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0B38E">
            <w:pPr>
              <w:jc w:val="center"/>
            </w:pPr>
            <w:r>
              <w:rPr>
                <w:rFonts w:ascii="宋体" w:hAnsi="宋体" w:eastAsia="宋体"/>
                <w:sz w:val="16"/>
              </w:rPr>
              <w:t>开展高质量教育培训活动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10258">
            <w:pPr>
              <w:jc w:val="center"/>
            </w:pPr>
            <w:r>
              <w:rPr>
                <w:rFonts w:ascii="宋体" w:hAnsi="宋体" w:eastAsia="宋体"/>
                <w:sz w:val="16"/>
              </w:rPr>
              <w:t>=1场次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3F91E">
            <w:pPr>
              <w:jc w:val="center"/>
            </w:pPr>
            <w:r>
              <w:rPr>
                <w:rFonts w:ascii="宋体" w:hAnsi="宋体" w:eastAsia="宋体"/>
                <w:sz w:val="16"/>
              </w:rPr>
              <w:t>巴州退役军人事务局2024年工作要点及分工方案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0A2BA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827FE">
            <w:pPr>
              <w:jc w:val="center"/>
            </w:pPr>
            <w:r>
              <w:rPr>
                <w:rFonts w:ascii="宋体" w:hAnsi="宋体" w:eastAsia="宋体"/>
                <w:sz w:val="16"/>
              </w:rPr>
              <w:t>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40201">
            <w:pPr>
              <w:jc w:val="center"/>
            </w:pPr>
            <w:r>
              <w:rPr>
                <w:rFonts w:ascii="宋体" w:hAnsi="宋体" w:eastAsia="宋体"/>
                <w:sz w:val="16"/>
              </w:rPr>
              <w:t>30</w:t>
            </w:r>
          </w:p>
        </w:tc>
      </w:tr>
      <w:tr w14:paraId="00EC0D9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32ACB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772A7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EB6D04">
            <w:pPr>
              <w:jc w:val="center"/>
            </w:pPr>
            <w:r>
              <w:rPr>
                <w:rFonts w:ascii="宋体" w:hAnsi="宋体" w:eastAsia="宋体"/>
                <w:sz w:val="16"/>
              </w:rPr>
              <w:t>指导完善军供站基础信息化建设和相关配套设施建设等保障工作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E2D51">
            <w:pPr>
              <w:jc w:val="center"/>
            </w:pPr>
            <w:r>
              <w:rPr>
                <w:rFonts w:ascii="宋体" w:hAnsi="宋体" w:eastAsia="宋体"/>
                <w:sz w:val="16"/>
              </w:rPr>
              <w:t>=1项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E1808">
            <w:pPr>
              <w:jc w:val="center"/>
            </w:pPr>
            <w:r>
              <w:rPr>
                <w:rFonts w:ascii="宋体" w:hAnsi="宋体" w:eastAsia="宋体"/>
                <w:sz w:val="16"/>
              </w:rPr>
              <w:t>巴州退役军人事务局2024年工作要点及分工方案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87E00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FFF16">
            <w:pPr>
              <w:jc w:val="center"/>
            </w:pPr>
            <w:r>
              <w:rPr>
                <w:rFonts w:ascii="宋体" w:hAnsi="宋体" w:eastAsia="宋体"/>
                <w:sz w:val="16"/>
              </w:rPr>
              <w:t>1项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D45294">
            <w:pPr>
              <w:jc w:val="center"/>
            </w:pPr>
            <w:r>
              <w:rPr>
                <w:rFonts w:ascii="宋体" w:hAnsi="宋体" w:eastAsia="宋体"/>
                <w:sz w:val="16"/>
              </w:rPr>
              <w:t>20</w:t>
            </w:r>
          </w:p>
        </w:tc>
      </w:tr>
    </w:tbl>
    <w:p w14:paraId="154100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BF90F6E">
        <w:tblPrEx>
          <w:tblCellMar>
            <w:top w:w="0" w:type="dxa"/>
            <w:left w:w="108" w:type="dxa"/>
            <w:bottom w:w="0" w:type="dxa"/>
            <w:right w:w="108" w:type="dxa"/>
          </w:tblCellMar>
        </w:tblPrEx>
        <w:tc>
          <w:tcPr>
            <w:tcW w:w="8848" w:type="dxa"/>
            <w:gridSpan w:val="14"/>
            <w:vAlign w:val="center"/>
          </w:tcPr>
          <w:p w14:paraId="7FCC450F">
            <w:pPr>
              <w:jc w:val="center"/>
            </w:pPr>
            <w:r>
              <w:rPr>
                <w:rFonts w:ascii="宋体" w:hAnsi="宋体" w:eastAsia="宋体"/>
                <w:sz w:val="24"/>
              </w:rPr>
              <w:t>项目支出绩效自评表</w:t>
            </w:r>
          </w:p>
        </w:tc>
      </w:tr>
      <w:tr w14:paraId="3B0EDF4E">
        <w:tblPrEx>
          <w:tblCellMar>
            <w:top w:w="0" w:type="dxa"/>
            <w:left w:w="108" w:type="dxa"/>
            <w:bottom w:w="0" w:type="dxa"/>
            <w:right w:w="108" w:type="dxa"/>
          </w:tblCellMar>
        </w:tblPrEx>
        <w:tc>
          <w:tcPr>
            <w:tcW w:w="8848" w:type="dxa"/>
            <w:gridSpan w:val="14"/>
            <w:vAlign w:val="center"/>
          </w:tcPr>
          <w:p w14:paraId="1A915B94">
            <w:pPr>
              <w:jc w:val="center"/>
            </w:pPr>
            <w:r>
              <w:rPr>
                <w:rFonts w:ascii="宋体" w:hAnsi="宋体" w:eastAsia="宋体"/>
                <w:sz w:val="24"/>
              </w:rPr>
              <w:t>(2024年度)</w:t>
            </w:r>
          </w:p>
        </w:tc>
      </w:tr>
      <w:tr w14:paraId="1AE9F2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28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77FCA1">
            <w:pPr>
              <w:jc w:val="center"/>
            </w:pPr>
            <w:r>
              <w:rPr>
                <w:rFonts w:ascii="宋体" w:hAnsi="宋体" w:eastAsia="宋体"/>
                <w:sz w:val="16"/>
              </w:rPr>
              <w:t>2024年退役局春节慰问活动经费</w:t>
            </w:r>
          </w:p>
        </w:tc>
      </w:tr>
      <w:tr w14:paraId="0BE60E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4B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2FA7B">
            <w:pPr>
              <w:jc w:val="center"/>
            </w:pPr>
            <w:r>
              <w:rPr>
                <w:rFonts w:ascii="宋体" w:hAnsi="宋体" w:eastAsia="宋体"/>
                <w:sz w:val="16"/>
              </w:rPr>
              <w:t>巴音郭楞蒙古自治州退役军人事务局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5D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8EDA7F">
            <w:pPr>
              <w:jc w:val="center"/>
            </w:pPr>
            <w:r>
              <w:rPr>
                <w:rFonts w:ascii="宋体" w:hAnsi="宋体" w:eastAsia="宋体"/>
                <w:sz w:val="16"/>
              </w:rPr>
              <w:t>巴音郭楞蒙古自治州退役军人事务局</w:t>
            </w:r>
          </w:p>
        </w:tc>
      </w:tr>
      <w:tr w14:paraId="10D1D0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2911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0C1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91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9EF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793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1627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E5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3D9B">
            <w:pPr>
              <w:jc w:val="center"/>
            </w:pPr>
            <w:r>
              <w:rPr>
                <w:rFonts w:ascii="宋体" w:hAnsi="宋体" w:eastAsia="宋体"/>
                <w:sz w:val="16"/>
              </w:rPr>
              <w:t>得分</w:t>
            </w:r>
          </w:p>
        </w:tc>
      </w:tr>
      <w:tr w14:paraId="122B1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678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5F1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A71D2">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0855D">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0E064">
            <w:pPr>
              <w:jc w:val="center"/>
            </w:pPr>
            <w:r>
              <w:rPr>
                <w:rFonts w:ascii="宋体" w:hAnsi="宋体" w:eastAsia="宋体"/>
                <w:sz w:val="16"/>
              </w:rPr>
              <w:t>12.59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A04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32FF">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D12E">
            <w:pPr>
              <w:jc w:val="center"/>
            </w:pPr>
            <w:r>
              <w:rPr>
                <w:rFonts w:ascii="宋体" w:hAnsi="宋体" w:eastAsia="宋体"/>
                <w:sz w:val="16"/>
              </w:rPr>
              <w:t>10.00</w:t>
            </w:r>
          </w:p>
        </w:tc>
      </w:tr>
      <w:tr w14:paraId="596B4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2F2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25E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4430D">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25BE1">
            <w:pPr>
              <w:jc w:val="center"/>
            </w:pPr>
            <w:r>
              <w:rPr>
                <w:rFonts w:ascii="宋体" w:hAnsi="宋体" w:eastAsia="宋体"/>
                <w:sz w:val="16"/>
              </w:rPr>
              <w:t>12.60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1EAF">
            <w:pPr>
              <w:jc w:val="center"/>
            </w:pPr>
            <w:r>
              <w:rPr>
                <w:rFonts w:ascii="宋体" w:hAnsi="宋体" w:eastAsia="宋体"/>
                <w:sz w:val="16"/>
              </w:rPr>
              <w:t>12.59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C2B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DD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60AD">
            <w:pPr>
              <w:jc w:val="center"/>
            </w:pPr>
            <w:r>
              <w:rPr>
                <w:rFonts w:ascii="宋体" w:hAnsi="宋体" w:eastAsia="宋体"/>
                <w:sz w:val="16"/>
              </w:rPr>
              <w:t>-</w:t>
            </w:r>
          </w:p>
        </w:tc>
      </w:tr>
      <w:tr w14:paraId="2F482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AD1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1228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F2D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50A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A1A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E99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D1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36B7">
            <w:pPr>
              <w:jc w:val="center"/>
            </w:pPr>
            <w:r>
              <w:rPr>
                <w:rFonts w:ascii="宋体" w:hAnsi="宋体" w:eastAsia="宋体"/>
                <w:sz w:val="16"/>
              </w:rPr>
              <w:t>-</w:t>
            </w:r>
          </w:p>
        </w:tc>
      </w:tr>
      <w:tr w14:paraId="6A9982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34A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056C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0CF88B">
            <w:pPr>
              <w:jc w:val="center"/>
            </w:pPr>
            <w:r>
              <w:rPr>
                <w:rFonts w:ascii="宋体" w:hAnsi="宋体" w:eastAsia="宋体"/>
                <w:sz w:val="16"/>
              </w:rPr>
              <w:t>总体目标完成情况</w:t>
            </w:r>
          </w:p>
        </w:tc>
      </w:tr>
      <w:tr w14:paraId="00D1C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238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274D9">
            <w:pPr>
              <w:jc w:val="both"/>
            </w:pPr>
            <w:r>
              <w:rPr>
                <w:rFonts w:ascii="宋体" w:hAnsi="宋体" w:eastAsia="宋体"/>
                <w:sz w:val="16"/>
              </w:rPr>
              <w:t>根据巴党办发电</w:t>
            </w:r>
            <w:r>
              <w:rPr>
                <w:rFonts w:hint="eastAsia" w:ascii="宋体" w:hAnsi="宋体"/>
                <w:sz w:val="16"/>
                <w:lang w:eastAsia="zh-CN"/>
              </w:rPr>
              <w:t>〔2024〕4号</w:t>
            </w:r>
            <w:r>
              <w:rPr>
                <w:rFonts w:ascii="宋体" w:hAnsi="宋体" w:eastAsia="宋体"/>
                <w:sz w:val="16"/>
              </w:rPr>
              <w:t>、巴财预追</w:t>
            </w:r>
            <w:r>
              <w:rPr>
                <w:rFonts w:hint="eastAsia" w:ascii="宋体" w:hAnsi="宋体"/>
                <w:sz w:val="16"/>
                <w:lang w:eastAsia="zh-CN"/>
              </w:rPr>
              <w:t>〔2024〕6号</w:t>
            </w:r>
            <w:r>
              <w:rPr>
                <w:rFonts w:ascii="宋体" w:hAnsi="宋体" w:eastAsia="宋体"/>
                <w:sz w:val="16"/>
              </w:rPr>
              <w:t>开展春节慰问活动，完成13个驻州部队、2个涉军单位的春节慰问，促进兵地融合。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0B6703">
            <w:pPr>
              <w:jc w:val="both"/>
            </w:pPr>
            <w:r>
              <w:rPr>
                <w:rFonts w:ascii="宋体" w:hAnsi="宋体" w:eastAsia="宋体"/>
                <w:sz w:val="16"/>
              </w:rPr>
              <w:t>本年度完成13个驻州部队，2个涉军单位的春节走访慰问，促进了双拥工作的开展营造浓厚的拥军优属拥军爱民的氛围，提高拥军优抚工作质量达成目标，巩固发展新型军民关系，促进兵地融合。</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02393F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49B4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38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D1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99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176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E7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387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A37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B29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07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80D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18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10B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3FA8">
            <w:pPr>
              <w:jc w:val="center"/>
            </w:pPr>
            <w:r>
              <w:rPr>
                <w:rFonts w:ascii="宋体" w:hAnsi="宋体" w:eastAsia="宋体"/>
                <w:sz w:val="16"/>
              </w:rPr>
              <w:t>偏差原因分析及改进措施</w:t>
            </w:r>
          </w:p>
        </w:tc>
      </w:tr>
      <w:tr w14:paraId="21ADB4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C19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61B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8C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F3A1">
            <w:pPr>
              <w:jc w:val="center"/>
            </w:pPr>
            <w:r>
              <w:rPr>
                <w:rFonts w:ascii="宋体" w:hAnsi="宋体" w:eastAsia="宋体"/>
                <w:sz w:val="16"/>
              </w:rPr>
              <w:t>慰问单位数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C5E7">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2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94D9">
            <w:pPr>
              <w:jc w:val="center"/>
            </w:pPr>
            <w:r>
              <w:rPr>
                <w:rFonts w:ascii="宋体" w:hAnsi="宋体" w:eastAsia="宋体"/>
                <w:sz w:val="16"/>
              </w:rPr>
              <w:t>14个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664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B4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B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0617">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6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57C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7C11">
            <w:pPr>
              <w:jc w:val="center"/>
            </w:pPr>
          </w:p>
        </w:tc>
      </w:tr>
      <w:tr w14:paraId="1BFDC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14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D7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4D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B855">
            <w:pPr>
              <w:jc w:val="center"/>
            </w:pPr>
            <w:r>
              <w:rPr>
                <w:rFonts w:ascii="宋体" w:hAnsi="宋体" w:eastAsia="宋体"/>
                <w:sz w:val="16"/>
              </w:rPr>
              <w:t>慰问品质量合格率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2A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CAC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80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62A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2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B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6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12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98C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AAAF">
            <w:pPr>
              <w:jc w:val="center"/>
            </w:pPr>
          </w:p>
        </w:tc>
      </w:tr>
      <w:tr w14:paraId="69A83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94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41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6C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BF79">
            <w:pPr>
              <w:jc w:val="center"/>
            </w:pPr>
            <w:r>
              <w:rPr>
                <w:rFonts w:ascii="宋体" w:hAnsi="宋体" w:eastAsia="宋体"/>
                <w:sz w:val="16"/>
              </w:rPr>
              <w:t>慰问品送达及时率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DB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5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E5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4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1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9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F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C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1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65F6">
            <w:pPr>
              <w:jc w:val="center"/>
            </w:pPr>
          </w:p>
        </w:tc>
      </w:tr>
      <w:tr w14:paraId="6B255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4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F70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B8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F6A3">
            <w:pPr>
              <w:jc w:val="center"/>
            </w:pPr>
            <w:r>
              <w:rPr>
                <w:rFonts w:ascii="宋体" w:hAnsi="宋体" w:eastAsia="宋体"/>
                <w:sz w:val="16"/>
              </w:rPr>
              <w:t>慰问平均标准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F5FC">
            <w:pPr>
              <w:jc w:val="center"/>
            </w:pPr>
            <w:r>
              <w:rPr>
                <w:rFonts w:ascii="宋体" w:hAnsi="宋体" w:eastAsia="宋体"/>
                <w:sz w:val="16"/>
              </w:rPr>
              <w:t>&lt;=0.84万元/个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5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78DF">
            <w:pPr>
              <w:jc w:val="center"/>
            </w:pPr>
            <w:r>
              <w:rPr>
                <w:rFonts w:ascii="宋体" w:hAnsi="宋体" w:eastAsia="宋体"/>
                <w:sz w:val="16"/>
              </w:rPr>
              <w:t>2.08万元/个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4B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2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71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D437">
            <w:pPr>
              <w:jc w:val="center"/>
            </w:pPr>
            <w:r>
              <w:rPr>
                <w:rFonts w:ascii="宋体" w:hAnsi="宋体" w:eastAsia="宋体"/>
                <w:sz w:val="16"/>
              </w:rPr>
              <w:t>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6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00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EF7B">
            <w:pPr>
              <w:jc w:val="center"/>
            </w:pPr>
          </w:p>
        </w:tc>
      </w:tr>
      <w:tr w14:paraId="27037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C68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290D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A65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C405">
            <w:pPr>
              <w:jc w:val="center"/>
            </w:pPr>
            <w:r>
              <w:rPr>
                <w:rFonts w:ascii="宋体" w:hAnsi="宋体" w:eastAsia="宋体"/>
                <w:sz w:val="16"/>
              </w:rPr>
              <w:t>拥军优抚工作向好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19C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0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341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8C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76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2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0BA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BB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36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0FCF">
            <w:pPr>
              <w:jc w:val="center"/>
            </w:pPr>
          </w:p>
        </w:tc>
      </w:tr>
      <w:tr w14:paraId="28B40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E9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A6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16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9EEB">
            <w:pPr>
              <w:jc w:val="center"/>
            </w:pPr>
            <w:r>
              <w:rPr>
                <w:rFonts w:ascii="宋体" w:hAnsi="宋体" w:eastAsia="宋体"/>
                <w:sz w:val="16"/>
              </w:rPr>
              <w:t>巩固发展新型军民关系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433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86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9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DF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CF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C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688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0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C1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27E3">
            <w:pPr>
              <w:jc w:val="center"/>
            </w:pPr>
          </w:p>
        </w:tc>
      </w:tr>
      <w:tr w14:paraId="1F3EE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9E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95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A0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3326">
            <w:pPr>
              <w:jc w:val="center"/>
            </w:pPr>
            <w:r>
              <w:rPr>
                <w:rFonts w:ascii="宋体" w:hAnsi="宋体" w:eastAsia="宋体"/>
                <w:sz w:val="16"/>
              </w:rPr>
              <w:t>慰问单位满意度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32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1E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E6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1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67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9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9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7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B7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ADAD">
            <w:pPr>
              <w:jc w:val="center"/>
            </w:pPr>
          </w:p>
        </w:tc>
      </w:tr>
      <w:tr w14:paraId="30F551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2ACA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DB17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E02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A4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7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C4D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460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8E4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150F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594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666973"/>
        </w:tc>
      </w:tr>
    </w:tbl>
    <w:p w14:paraId="0F85E8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62EE755">
        <w:tblPrEx>
          <w:tblCellMar>
            <w:top w:w="0" w:type="dxa"/>
            <w:left w:w="108" w:type="dxa"/>
            <w:bottom w:w="0" w:type="dxa"/>
            <w:right w:w="108" w:type="dxa"/>
          </w:tblCellMar>
        </w:tblPrEx>
        <w:tc>
          <w:tcPr>
            <w:tcW w:w="8848" w:type="dxa"/>
            <w:gridSpan w:val="14"/>
            <w:vAlign w:val="center"/>
          </w:tcPr>
          <w:p w14:paraId="7F3C3F02">
            <w:pPr>
              <w:jc w:val="center"/>
            </w:pPr>
            <w:r>
              <w:rPr>
                <w:rFonts w:ascii="宋体" w:hAnsi="宋体" w:eastAsia="宋体"/>
                <w:sz w:val="24"/>
              </w:rPr>
              <w:t>项目支出绩效自评表</w:t>
            </w:r>
          </w:p>
        </w:tc>
      </w:tr>
      <w:tr w14:paraId="7E9962DE">
        <w:tblPrEx>
          <w:tblCellMar>
            <w:top w:w="0" w:type="dxa"/>
            <w:left w:w="108" w:type="dxa"/>
            <w:bottom w:w="0" w:type="dxa"/>
            <w:right w:w="108" w:type="dxa"/>
          </w:tblCellMar>
        </w:tblPrEx>
        <w:tc>
          <w:tcPr>
            <w:tcW w:w="8848" w:type="dxa"/>
            <w:gridSpan w:val="14"/>
            <w:vAlign w:val="center"/>
          </w:tcPr>
          <w:p w14:paraId="57871FA7">
            <w:pPr>
              <w:jc w:val="center"/>
            </w:pPr>
            <w:r>
              <w:rPr>
                <w:rFonts w:ascii="宋体" w:hAnsi="宋体" w:eastAsia="宋体"/>
                <w:sz w:val="24"/>
              </w:rPr>
              <w:t>(2024年度)</w:t>
            </w:r>
          </w:p>
        </w:tc>
      </w:tr>
      <w:tr w14:paraId="1573F7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63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7D5CFB">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16033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9D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AB454">
            <w:pPr>
              <w:jc w:val="center"/>
            </w:pPr>
            <w:r>
              <w:rPr>
                <w:rFonts w:ascii="宋体" w:hAnsi="宋体" w:eastAsia="宋体"/>
                <w:sz w:val="16"/>
              </w:rPr>
              <w:t>巴音郭楞蒙古自治州退役军人事务局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D6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C999B4">
            <w:pPr>
              <w:jc w:val="center"/>
            </w:pPr>
            <w:r>
              <w:rPr>
                <w:rFonts w:ascii="宋体" w:hAnsi="宋体" w:eastAsia="宋体"/>
                <w:sz w:val="16"/>
              </w:rPr>
              <w:t>巴音郭楞蒙古自治州退役军人事务局</w:t>
            </w:r>
          </w:p>
        </w:tc>
      </w:tr>
      <w:tr w14:paraId="6ECA6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54CC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6E5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E3C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7DB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FD8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0D2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2B2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9DB1">
            <w:pPr>
              <w:jc w:val="center"/>
            </w:pPr>
            <w:r>
              <w:rPr>
                <w:rFonts w:ascii="宋体" w:hAnsi="宋体" w:eastAsia="宋体"/>
                <w:sz w:val="16"/>
              </w:rPr>
              <w:t>得分</w:t>
            </w:r>
          </w:p>
        </w:tc>
      </w:tr>
      <w:tr w14:paraId="01D5EB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BA60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942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D5D17">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E90D">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BBDCE">
            <w:pPr>
              <w:jc w:val="center"/>
            </w:pPr>
            <w:r>
              <w:rPr>
                <w:rFonts w:ascii="宋体" w:hAnsi="宋体" w:eastAsia="宋体"/>
                <w:sz w:val="16"/>
              </w:rPr>
              <w:t>26.88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D9F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3CCDF">
            <w:pPr>
              <w:jc w:val="center"/>
            </w:pPr>
            <w:r>
              <w:rPr>
                <w:rFonts w:ascii="宋体" w:hAnsi="宋体" w:eastAsia="宋体"/>
                <w:sz w:val="16"/>
              </w:rPr>
              <w:t>99.56%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CD78">
            <w:pPr>
              <w:jc w:val="center"/>
            </w:pPr>
            <w:r>
              <w:rPr>
                <w:rFonts w:ascii="宋体" w:hAnsi="宋体" w:eastAsia="宋体"/>
                <w:sz w:val="16"/>
              </w:rPr>
              <w:t>9.89</w:t>
            </w:r>
          </w:p>
        </w:tc>
      </w:tr>
      <w:tr w14:paraId="4FD48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54C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C3E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AC45A">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5117A">
            <w:pPr>
              <w:jc w:val="center"/>
            </w:pPr>
            <w:r>
              <w:rPr>
                <w:rFonts w:ascii="宋体" w:hAnsi="宋体" w:eastAsia="宋体"/>
                <w:sz w:val="16"/>
              </w:rPr>
              <w:t>27.00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9920D">
            <w:pPr>
              <w:jc w:val="center"/>
            </w:pPr>
            <w:r>
              <w:rPr>
                <w:rFonts w:ascii="宋体" w:hAnsi="宋体" w:eastAsia="宋体"/>
                <w:sz w:val="16"/>
              </w:rPr>
              <w:t>26.88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1A3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3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3CBC">
            <w:pPr>
              <w:jc w:val="center"/>
            </w:pPr>
            <w:r>
              <w:rPr>
                <w:rFonts w:ascii="宋体" w:hAnsi="宋体" w:eastAsia="宋体"/>
                <w:sz w:val="16"/>
              </w:rPr>
              <w:t>-</w:t>
            </w:r>
          </w:p>
        </w:tc>
      </w:tr>
      <w:tr w14:paraId="1C35A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2C7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29D1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719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D3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57A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C2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8C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076F">
            <w:pPr>
              <w:jc w:val="center"/>
            </w:pPr>
            <w:r>
              <w:rPr>
                <w:rFonts w:ascii="宋体" w:hAnsi="宋体" w:eastAsia="宋体"/>
                <w:sz w:val="16"/>
              </w:rPr>
              <w:t>-</w:t>
            </w:r>
          </w:p>
        </w:tc>
      </w:tr>
      <w:tr w14:paraId="136D6C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8146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904B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E3394D">
            <w:pPr>
              <w:jc w:val="center"/>
            </w:pPr>
            <w:r>
              <w:rPr>
                <w:rFonts w:ascii="宋体" w:hAnsi="宋体" w:eastAsia="宋体"/>
                <w:sz w:val="16"/>
              </w:rPr>
              <w:t>总体目标完成情况</w:t>
            </w:r>
          </w:p>
        </w:tc>
      </w:tr>
      <w:tr w14:paraId="39F0A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B09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D764A">
            <w:pPr>
              <w:jc w:val="both"/>
            </w:pPr>
            <w:r>
              <w:rPr>
                <w:rFonts w:ascii="宋体" w:hAnsi="宋体" w:eastAsia="宋体"/>
                <w:sz w:val="16"/>
              </w:rPr>
              <w:t>巴州退役军人事务局派驻库尔勒市恰尔巴格乡恰尔巴格村工作队和金梦社区工作队，工作队员2名，工作经费27万元，将用到“建强基层组织、推进强村富民、提升治理水平、为民办事服务”等方面，主要用于开展群众公共服务设施维修维护、民族团结一家亲联谊活动、群众文体活动用品购置、节日慰问、老年人关爱、青少年教育、中（高）考学生奖励和救助、宣传教育资料印制等，发挥最大的社会效益，凝聚民心，提升群众村级事务参与度，共享村级发展成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2D312">
            <w:pPr>
              <w:jc w:val="both"/>
            </w:pPr>
            <w:r>
              <w:rPr>
                <w:rFonts w:ascii="宋体" w:hAnsi="宋体" w:eastAsia="宋体"/>
                <w:sz w:val="16"/>
              </w:rPr>
              <w:t>按照自治州</w:t>
            </w:r>
            <w:r>
              <w:rPr>
                <w:rFonts w:hint="eastAsia" w:ascii="宋体" w:hAnsi="宋体"/>
                <w:sz w:val="16"/>
                <w:lang w:eastAsia="zh-CN"/>
              </w:rPr>
              <w:t>为民办实事</w:t>
            </w:r>
            <w:r>
              <w:rPr>
                <w:rFonts w:ascii="宋体" w:hAnsi="宋体" w:eastAsia="宋体"/>
                <w:sz w:val="16"/>
              </w:rPr>
              <w:t>办要求，指导工作队制定为民办实事经费使用计划，经局党组会充分研究后，多次与金梦社区、恰尔巴格</w:t>
            </w:r>
            <w:r>
              <w:rPr>
                <w:rFonts w:hint="eastAsia" w:ascii="宋体" w:hAnsi="宋体"/>
                <w:sz w:val="16"/>
                <w:lang w:eastAsia="zh-CN"/>
              </w:rPr>
              <w:t>村“两委”</w:t>
            </w:r>
            <w:r>
              <w:rPr>
                <w:rFonts w:ascii="宋体" w:hAnsi="宋体" w:eastAsia="宋体"/>
                <w:sz w:val="16"/>
              </w:rPr>
              <w:t>实地察看、多方比较、充分沟通，规范使用金梦社区15万元、恰尔巴格村12万元为民办实事经费，开展各类活动，支援农户发展生产、为群众送信息、送服务、送温暖，如期按计划实施了各项计划。投资5.4万余元，帮助5户困难群众和村集体1户空置场地做屋顶防水、围墙修缮，并帮助其联系出租使之长期收益，两户房屋和空置场地已出租，分别为两户群众每年增收4000元和6000元，为村集体增收7000元；投资3万余元修复村民巷道70盏太阳能路灯，方便村民夜晚安全出行；访贫问苦送温暖，给低保户、“四老人员”等70户村民发放近0.7万元米面油肉慰问品；投资1万元，给村上5个路口竖立安装宣传指示牌，既吸引了文旅消费，又宣传了本村；花费1.7万余元，支持村上组织开展各类群众性文体活动购买文体用品及积分超市兑换商品。</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2CCC96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BDE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4C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9C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2A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35E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7A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A38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885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D2C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24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1BD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B4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C99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5188">
            <w:pPr>
              <w:jc w:val="center"/>
            </w:pPr>
            <w:r>
              <w:rPr>
                <w:rFonts w:ascii="宋体" w:hAnsi="宋体" w:eastAsia="宋体"/>
                <w:sz w:val="16"/>
              </w:rPr>
              <w:t>偏差原因分析及改进措施</w:t>
            </w:r>
          </w:p>
        </w:tc>
      </w:tr>
      <w:tr w14:paraId="7912AC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90C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258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DF4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41D4">
            <w:pPr>
              <w:jc w:val="center"/>
            </w:pPr>
            <w:r>
              <w:rPr>
                <w:rFonts w:hint="eastAsia" w:ascii="宋体" w:hAnsi="宋体"/>
                <w:sz w:val="16"/>
                <w:lang w:eastAsia="zh-CN"/>
              </w:rPr>
              <w:t>为民办实事</w:t>
            </w:r>
            <w:r>
              <w:rPr>
                <w:rFonts w:ascii="宋体" w:hAnsi="宋体" w:eastAsia="宋体"/>
                <w:sz w:val="16"/>
              </w:rPr>
              <w:t>工作点位数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E3A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7C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0D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8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7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B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28C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9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D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8D84">
            <w:pPr>
              <w:jc w:val="center"/>
            </w:pPr>
          </w:p>
        </w:tc>
      </w:tr>
      <w:tr w14:paraId="42F1F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5D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916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70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FD81">
            <w:pPr>
              <w:jc w:val="center"/>
            </w:pPr>
            <w:r>
              <w:rPr>
                <w:rFonts w:ascii="宋体" w:hAnsi="宋体" w:eastAsia="宋体"/>
                <w:sz w:val="16"/>
              </w:rPr>
              <w:t>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1BDB">
            <w:pPr>
              <w:jc w:val="center"/>
            </w:pPr>
            <w:r>
              <w:rPr>
                <w:rFonts w:ascii="宋体" w:hAnsi="宋体" w:eastAsia="宋体"/>
                <w:sz w:val="16"/>
              </w:rPr>
              <w:t>&gt;=6件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5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4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4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9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1B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865E">
            <w:pPr>
              <w:jc w:val="center"/>
            </w:pPr>
            <w:r>
              <w:rPr>
                <w:rFonts w:ascii="宋体" w:hAnsi="宋体" w:eastAsia="宋体"/>
                <w:sz w:val="16"/>
              </w:rPr>
              <w: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B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60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DD63">
            <w:pPr>
              <w:jc w:val="center"/>
            </w:pPr>
          </w:p>
        </w:tc>
      </w:tr>
      <w:tr w14:paraId="6288A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4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94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F1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CA5D">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3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2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4B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C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1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FD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0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A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67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39FD">
            <w:pPr>
              <w:jc w:val="center"/>
            </w:pPr>
          </w:p>
        </w:tc>
      </w:tr>
      <w:tr w14:paraId="4C216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BF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03B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90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39B3">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4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0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8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36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5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1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B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1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C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D4A0">
            <w:pPr>
              <w:jc w:val="center"/>
            </w:pPr>
          </w:p>
        </w:tc>
      </w:tr>
      <w:tr w14:paraId="75BEE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98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222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D4B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8EC8">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C754">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35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8D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70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8E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661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A9D8">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1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D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8803">
            <w:pPr>
              <w:jc w:val="center"/>
            </w:pPr>
          </w:p>
        </w:tc>
      </w:tr>
      <w:tr w14:paraId="12B67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85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52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A9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0192">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84CE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5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E7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C2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A7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64F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3949">
            <w:pPr>
              <w:jc w:val="center"/>
            </w:pPr>
            <w:r>
              <w:rPr>
                <w:rFonts w:ascii="宋体" w:hAnsi="宋体" w:eastAsia="宋体"/>
                <w:sz w:val="16"/>
              </w:rPr>
              <w: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5721">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ED0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D2E7">
            <w:pPr>
              <w:jc w:val="center"/>
            </w:pPr>
            <w:r>
              <w:rPr>
                <w:rFonts w:ascii="宋体" w:hAnsi="宋体" w:eastAsia="宋体"/>
                <w:sz w:val="16"/>
              </w:rPr>
              <w:t>执行过程中，部分采购成本降低，工程完工实际费用比预算减少，使得该项目支出比预算减少0.12万元，在今后项目中，总结经验，提高预算编制的精准度</w:t>
            </w:r>
          </w:p>
        </w:tc>
      </w:tr>
      <w:tr w14:paraId="76C80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D7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76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68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31F0">
            <w:pPr>
              <w:jc w:val="center"/>
            </w:pPr>
            <w:r>
              <w:rPr>
                <w:rFonts w:ascii="宋体" w:hAnsi="宋体" w:eastAsia="宋体"/>
                <w:sz w:val="16"/>
              </w:rPr>
              <w:t>巩固发展新型后盾单位纽带作用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3FFD">
            <w:pPr>
              <w:jc w:val="center"/>
            </w:pPr>
            <w:r>
              <w:rPr>
                <w:rFonts w:ascii="宋体" w:hAnsi="宋体" w:eastAsia="宋体"/>
                <w:sz w:val="16"/>
              </w:rPr>
              <w:t>成效显著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A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4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15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D3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C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2188">
            <w:pPr>
              <w:jc w:val="center"/>
            </w:pPr>
            <w:r>
              <w:rPr>
                <w:rFonts w:ascii="宋体" w:hAnsi="宋体" w:eastAsia="宋体"/>
                <w:sz w:val="16"/>
              </w:rPr>
              <w:t>成效显著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F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BF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76F0">
            <w:pPr>
              <w:jc w:val="center"/>
            </w:pPr>
          </w:p>
        </w:tc>
      </w:tr>
      <w:tr w14:paraId="5679A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B8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1B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0A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ABBC">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1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F9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E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D7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20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5C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E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F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9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EA92">
            <w:pPr>
              <w:jc w:val="center"/>
            </w:pPr>
          </w:p>
        </w:tc>
      </w:tr>
      <w:tr w14:paraId="60B0A7B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5FC0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A66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3AE4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DA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D6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A81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7CA0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39C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93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9F06">
            <w:pPr>
              <w:jc w:val="center"/>
            </w:pPr>
            <w:r>
              <w:rPr>
                <w:rFonts w:ascii="宋体" w:hAnsi="宋体" w:eastAsia="宋体"/>
                <w:sz w:val="16"/>
              </w:rPr>
              <w:t>98.39分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8F6924"/>
        </w:tc>
      </w:tr>
    </w:tbl>
    <w:p w14:paraId="27FCD58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75CF5FF4">
        <w:tblPrEx>
          <w:tblCellMar>
            <w:top w:w="0" w:type="dxa"/>
            <w:left w:w="108" w:type="dxa"/>
            <w:bottom w:w="0" w:type="dxa"/>
            <w:right w:w="108" w:type="dxa"/>
          </w:tblCellMar>
        </w:tblPrEx>
        <w:tc>
          <w:tcPr>
            <w:tcW w:w="8848" w:type="dxa"/>
            <w:gridSpan w:val="14"/>
            <w:vAlign w:val="center"/>
          </w:tcPr>
          <w:p w14:paraId="6F6A825F">
            <w:pPr>
              <w:jc w:val="center"/>
            </w:pPr>
            <w:r>
              <w:rPr>
                <w:rFonts w:ascii="宋体" w:hAnsi="宋体" w:eastAsia="宋体"/>
                <w:sz w:val="24"/>
              </w:rPr>
              <w:t>项目支出绩效自评表</w:t>
            </w:r>
          </w:p>
        </w:tc>
      </w:tr>
      <w:tr w14:paraId="428B86A6">
        <w:tblPrEx>
          <w:tblCellMar>
            <w:top w:w="0" w:type="dxa"/>
            <w:left w:w="108" w:type="dxa"/>
            <w:bottom w:w="0" w:type="dxa"/>
            <w:right w:w="108" w:type="dxa"/>
          </w:tblCellMar>
        </w:tblPrEx>
        <w:tc>
          <w:tcPr>
            <w:tcW w:w="8848" w:type="dxa"/>
            <w:gridSpan w:val="14"/>
            <w:vAlign w:val="center"/>
          </w:tcPr>
          <w:p w14:paraId="39921E93">
            <w:pPr>
              <w:jc w:val="center"/>
            </w:pPr>
            <w:r>
              <w:rPr>
                <w:rFonts w:ascii="宋体" w:hAnsi="宋体" w:eastAsia="宋体"/>
                <w:sz w:val="24"/>
              </w:rPr>
              <w:t>(2024年度)</w:t>
            </w:r>
          </w:p>
        </w:tc>
      </w:tr>
      <w:tr w14:paraId="0C2D42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CF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51A8C2">
            <w:pPr>
              <w:jc w:val="center"/>
            </w:pPr>
            <w:r>
              <w:rPr>
                <w:rFonts w:ascii="宋体" w:hAnsi="宋体" w:eastAsia="宋体"/>
                <w:sz w:val="16"/>
              </w:rPr>
              <w:t>库尔勒军供站建设项目（上年结转）</w:t>
            </w:r>
          </w:p>
        </w:tc>
      </w:tr>
      <w:tr w14:paraId="446AAF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41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71D27">
            <w:pPr>
              <w:jc w:val="center"/>
            </w:pPr>
            <w:r>
              <w:rPr>
                <w:rFonts w:ascii="宋体" w:hAnsi="宋体" w:eastAsia="宋体"/>
                <w:sz w:val="16"/>
              </w:rPr>
              <w:t>巴音郭楞蒙古自治州退役军人事务局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DE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EDD252">
            <w:pPr>
              <w:jc w:val="center"/>
            </w:pPr>
            <w:r>
              <w:rPr>
                <w:rFonts w:ascii="宋体" w:hAnsi="宋体" w:eastAsia="宋体"/>
                <w:sz w:val="16"/>
              </w:rPr>
              <w:t>巴音郭楞蒙古自治州退役军人事务局</w:t>
            </w:r>
          </w:p>
        </w:tc>
      </w:tr>
      <w:tr w14:paraId="4492CA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9896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537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A91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7E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E5C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7104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D4D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86A6">
            <w:pPr>
              <w:jc w:val="center"/>
            </w:pPr>
            <w:r>
              <w:rPr>
                <w:rFonts w:ascii="宋体" w:hAnsi="宋体" w:eastAsia="宋体"/>
                <w:sz w:val="16"/>
              </w:rPr>
              <w:t>得分</w:t>
            </w:r>
          </w:p>
        </w:tc>
      </w:tr>
      <w:tr w14:paraId="0DFC1F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623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BB0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7FF61">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D6CA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AE4AF">
            <w:pPr>
              <w:jc w:val="center"/>
            </w:pPr>
            <w:r>
              <w:rPr>
                <w:rFonts w:ascii="宋体" w:hAnsi="宋体" w:eastAsia="宋体"/>
                <w:sz w:val="16"/>
              </w:rPr>
              <w:t>452.20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893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56E33">
            <w:pPr>
              <w:jc w:val="center"/>
            </w:pPr>
            <w:r>
              <w:rPr>
                <w:rFonts w:ascii="宋体" w:hAnsi="宋体" w:eastAsia="宋体"/>
                <w:sz w:val="16"/>
              </w:rPr>
              <w:t>90.44%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93D6">
            <w:pPr>
              <w:jc w:val="center"/>
            </w:pPr>
            <w:r>
              <w:rPr>
                <w:rFonts w:ascii="宋体" w:hAnsi="宋体" w:eastAsia="宋体"/>
                <w:sz w:val="16"/>
              </w:rPr>
              <w:t>7.61</w:t>
            </w:r>
          </w:p>
        </w:tc>
      </w:tr>
      <w:tr w14:paraId="4472E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C6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27D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1E16">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8CC65">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E0BDE">
            <w:pPr>
              <w:jc w:val="center"/>
            </w:pPr>
            <w:r>
              <w:rPr>
                <w:rFonts w:ascii="宋体" w:hAnsi="宋体" w:eastAsia="宋体"/>
                <w:sz w:val="16"/>
              </w:rPr>
              <w:t>452.20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404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D89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4042">
            <w:pPr>
              <w:jc w:val="center"/>
            </w:pPr>
            <w:r>
              <w:rPr>
                <w:rFonts w:ascii="宋体" w:hAnsi="宋体" w:eastAsia="宋体"/>
                <w:sz w:val="16"/>
              </w:rPr>
              <w:t>-</w:t>
            </w:r>
          </w:p>
        </w:tc>
      </w:tr>
      <w:tr w14:paraId="34C8B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3E0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6FED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CF3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65B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8EB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6C4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32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BCF4">
            <w:pPr>
              <w:jc w:val="center"/>
            </w:pPr>
            <w:r>
              <w:rPr>
                <w:rFonts w:ascii="宋体" w:hAnsi="宋体" w:eastAsia="宋体"/>
                <w:sz w:val="16"/>
              </w:rPr>
              <w:t>-</w:t>
            </w:r>
          </w:p>
        </w:tc>
      </w:tr>
      <w:tr w14:paraId="6114D3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BFA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BC39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C2E5A8">
            <w:pPr>
              <w:jc w:val="center"/>
            </w:pPr>
            <w:r>
              <w:rPr>
                <w:rFonts w:ascii="宋体" w:hAnsi="宋体" w:eastAsia="宋体"/>
                <w:sz w:val="16"/>
              </w:rPr>
              <w:t>总体目标完成情况</w:t>
            </w:r>
          </w:p>
        </w:tc>
      </w:tr>
      <w:tr w14:paraId="49D9D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1C5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21E9FD">
            <w:pPr>
              <w:jc w:val="both"/>
            </w:pPr>
            <w:r>
              <w:rPr>
                <w:rFonts w:ascii="宋体" w:hAnsi="宋体" w:eastAsia="宋体"/>
                <w:sz w:val="16"/>
              </w:rPr>
              <w:t>根据《关于下达中央优抚事业单位补助资金的通知》（新财社</w:t>
            </w:r>
            <w:r>
              <w:rPr>
                <w:rFonts w:hint="eastAsia" w:ascii="宋体" w:hAnsi="宋体"/>
                <w:sz w:val="16"/>
                <w:lang w:eastAsia="zh-CN"/>
              </w:rPr>
              <w:t>〔2023〕30号</w:t>
            </w:r>
            <w:r>
              <w:rPr>
                <w:rFonts w:ascii="宋体" w:hAnsi="宋体" w:eastAsia="宋体"/>
                <w:sz w:val="16"/>
              </w:rPr>
              <w:t>）文件精神，为支持各地做好优抚事业单位保障工作，下达补助资金用于支持重点军供站基础信息化建设和相关配套设施建设、烈士纪念设施建设及新疆荣军医院建设等方面，其中向巴州库尔勒军事供应站下达补助资金500万元。为适应新时代军供保障工作需要，通过军供保障楼装修3500㎡，综合食堂楼顶防水处理1200㎡、军供站政治文化、绿化、美化、亮化建设，加快站内基础设施改造提升，</w:t>
            </w:r>
            <w:bookmarkStart w:id="0" w:name="_GoBack"/>
            <w:r>
              <w:rPr>
                <w:rFonts w:hint="eastAsia" w:ascii="宋体" w:hAnsi="宋体"/>
                <w:sz w:val="16"/>
                <w:lang w:eastAsia="zh-CN"/>
              </w:rPr>
              <w:t>更好地服务</w:t>
            </w:r>
            <w:bookmarkEnd w:id="0"/>
            <w:r>
              <w:rPr>
                <w:rFonts w:ascii="宋体" w:hAnsi="宋体" w:eastAsia="宋体"/>
                <w:sz w:val="16"/>
              </w:rPr>
              <w:t>部队备战打仗。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30205B">
            <w:pPr>
              <w:jc w:val="both"/>
            </w:pPr>
            <w:r>
              <w:rPr>
                <w:rFonts w:ascii="宋体" w:hAnsi="宋体" w:eastAsia="宋体"/>
                <w:sz w:val="16"/>
              </w:rPr>
              <w:t>巴州库尔勒军事供应站军供保障楼装修（3500㎡）、综合食堂楼顶防水处理（2300㎡）防水和绿化美化亮化等工程已完成竣工验收和审计工作，项目资金均按照合同约定和工程进度进行支付，质保金待期满后予以支付。2024年11月起，已为2批次过往部队提供食宿服务，提升过往部队官兵的舒适度，有效提升军供站服务部队的保障能力。</w:t>
            </w:r>
          </w:p>
        </w:tc>
      </w:tr>
      <w:tr w14:paraId="584D0F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EB9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77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28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EA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BEB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28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97B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FD4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224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B7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D3B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CAC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A09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879C">
            <w:pPr>
              <w:jc w:val="center"/>
            </w:pPr>
            <w:r>
              <w:rPr>
                <w:rFonts w:ascii="宋体" w:hAnsi="宋体" w:eastAsia="宋体"/>
                <w:sz w:val="16"/>
              </w:rPr>
              <w:t>偏差原因分析及改进措施</w:t>
            </w:r>
          </w:p>
        </w:tc>
      </w:tr>
      <w:tr w14:paraId="19AEB5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75A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47A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2DE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6222">
            <w:pPr>
              <w:jc w:val="center"/>
            </w:pPr>
            <w:r>
              <w:rPr>
                <w:rFonts w:ascii="宋体" w:hAnsi="宋体" w:eastAsia="宋体"/>
                <w:sz w:val="16"/>
              </w:rPr>
              <w:t>军供保障楼装修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36C8">
            <w:pPr>
              <w:jc w:val="center"/>
            </w:pPr>
            <w:r>
              <w:rPr>
                <w:rFonts w:ascii="宋体" w:hAnsi="宋体" w:eastAsia="宋体"/>
                <w:sz w:val="16"/>
              </w:rPr>
              <w:t>&gt;=3500平方米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E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54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00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2E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1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A470">
            <w:pPr>
              <w:jc w:val="center"/>
            </w:pPr>
            <w:r>
              <w:rPr>
                <w:rFonts w:ascii="宋体" w:hAnsi="宋体" w:eastAsia="宋体"/>
                <w:sz w:val="16"/>
              </w:rPr>
              <w:t>=3500平方米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2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6B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8D1F">
            <w:pPr>
              <w:jc w:val="center"/>
            </w:pPr>
          </w:p>
        </w:tc>
      </w:tr>
      <w:tr w14:paraId="29373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7F0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87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70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2BC7">
            <w:pPr>
              <w:jc w:val="center"/>
            </w:pPr>
            <w:r>
              <w:rPr>
                <w:rFonts w:ascii="宋体" w:hAnsi="宋体" w:eastAsia="宋体"/>
                <w:sz w:val="16"/>
              </w:rPr>
              <w:t>综合食堂楼顶防水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E7B8">
            <w:pPr>
              <w:jc w:val="center"/>
            </w:pPr>
            <w:r>
              <w:rPr>
                <w:rFonts w:ascii="宋体" w:hAnsi="宋体" w:eastAsia="宋体"/>
                <w:sz w:val="16"/>
              </w:rPr>
              <w:t>&gt;=1200平方米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2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5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01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6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11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AF3E">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6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C3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0558">
            <w:pPr>
              <w:jc w:val="center"/>
            </w:pPr>
          </w:p>
        </w:tc>
      </w:tr>
      <w:tr w14:paraId="17B58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D5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0F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31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7813">
            <w:pPr>
              <w:jc w:val="center"/>
            </w:pPr>
            <w:r>
              <w:rPr>
                <w:rFonts w:ascii="宋体" w:hAnsi="宋体" w:eastAsia="宋体"/>
                <w:sz w:val="16"/>
              </w:rPr>
              <w:t>绿化、美化、亮化项目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5003">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E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4E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C8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F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D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F6E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9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5A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6CC3">
            <w:pPr>
              <w:jc w:val="center"/>
            </w:pPr>
          </w:p>
        </w:tc>
      </w:tr>
      <w:tr w14:paraId="05A03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08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08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D36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589B">
            <w:pPr>
              <w:jc w:val="center"/>
            </w:pPr>
            <w:r>
              <w:rPr>
                <w:rFonts w:ascii="宋体" w:hAnsi="宋体" w:eastAsia="宋体"/>
                <w:sz w:val="16"/>
              </w:rPr>
              <w:t>军供保障楼装修工程竣工验收合格率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61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6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7C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F8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B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9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6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9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CC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4AA6">
            <w:pPr>
              <w:jc w:val="center"/>
            </w:pPr>
          </w:p>
        </w:tc>
      </w:tr>
      <w:tr w14:paraId="32CD2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07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07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CA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B65C">
            <w:pPr>
              <w:jc w:val="center"/>
            </w:pPr>
            <w:r>
              <w:rPr>
                <w:rFonts w:ascii="宋体" w:hAnsi="宋体" w:eastAsia="宋体"/>
                <w:sz w:val="16"/>
              </w:rPr>
              <w:t>综合食堂楼顶防水工程竣工验收合格率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4B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C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C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6A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9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CD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F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1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A9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BFBA">
            <w:pPr>
              <w:jc w:val="center"/>
            </w:pPr>
          </w:p>
        </w:tc>
      </w:tr>
      <w:tr w14:paraId="4D169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E8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C5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40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325B">
            <w:pPr>
              <w:jc w:val="center"/>
            </w:pPr>
            <w:r>
              <w:rPr>
                <w:rFonts w:ascii="宋体" w:hAnsi="宋体" w:eastAsia="宋体"/>
                <w:sz w:val="16"/>
              </w:rPr>
              <w:t>绿化、美化、亮化工程竣工验收合格率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E2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AA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3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3A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B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B0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37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A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3B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F698">
            <w:pPr>
              <w:jc w:val="center"/>
            </w:pPr>
          </w:p>
        </w:tc>
      </w:tr>
      <w:tr w14:paraId="547EF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02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C92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A4B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72FA">
            <w:pPr>
              <w:jc w:val="center"/>
            </w:pPr>
            <w:r>
              <w:rPr>
                <w:rFonts w:ascii="宋体" w:hAnsi="宋体" w:eastAsia="宋体"/>
                <w:sz w:val="16"/>
              </w:rPr>
              <w:t>军供保障楼装修工程按时完工时间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AB5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F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BC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00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C8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21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30C9">
            <w:pPr>
              <w:jc w:val="center"/>
            </w:pPr>
            <w:r>
              <w:rPr>
                <w:rFonts w:ascii="宋体" w:hAnsi="宋体" w:eastAsia="宋体"/>
                <w:sz w:val="16"/>
              </w:rPr>
              <w:t>2024年9月14日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D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F9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74A6">
            <w:pPr>
              <w:jc w:val="center"/>
            </w:pPr>
          </w:p>
        </w:tc>
      </w:tr>
      <w:tr w14:paraId="71EE5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A4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AA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10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2544">
            <w:pPr>
              <w:jc w:val="center"/>
            </w:pPr>
            <w:r>
              <w:rPr>
                <w:rFonts w:ascii="宋体" w:hAnsi="宋体" w:eastAsia="宋体"/>
                <w:sz w:val="16"/>
              </w:rPr>
              <w:t>综合食堂楼顶防水工程按时完工时间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EBB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D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7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E3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481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7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73EB">
            <w:pPr>
              <w:jc w:val="center"/>
            </w:pPr>
            <w:r>
              <w:rPr>
                <w:rFonts w:ascii="宋体" w:hAnsi="宋体" w:eastAsia="宋体"/>
                <w:sz w:val="16"/>
              </w:rPr>
              <w:t>2024年9月14日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A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BD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03B1">
            <w:pPr>
              <w:jc w:val="center"/>
            </w:pPr>
          </w:p>
        </w:tc>
      </w:tr>
      <w:tr w14:paraId="32751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627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CF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68D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AC60">
            <w:pPr>
              <w:jc w:val="center"/>
            </w:pPr>
            <w:r>
              <w:rPr>
                <w:rFonts w:ascii="宋体" w:hAnsi="宋体" w:eastAsia="宋体"/>
                <w:sz w:val="16"/>
              </w:rPr>
              <w:t>绿化、美化、亮化项目按时完工时间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6A6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F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2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39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344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E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F813">
            <w:pPr>
              <w:jc w:val="center"/>
            </w:pPr>
            <w:r>
              <w:rPr>
                <w:rFonts w:ascii="宋体" w:hAnsi="宋体" w:eastAsia="宋体"/>
                <w:sz w:val="16"/>
              </w:rPr>
              <w:t>2024年9月14日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9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FA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9858">
            <w:pPr>
              <w:jc w:val="center"/>
            </w:pPr>
          </w:p>
        </w:tc>
      </w:tr>
      <w:tr w14:paraId="039B0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AC9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A40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97E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98EA">
            <w:pPr>
              <w:jc w:val="center"/>
            </w:pPr>
            <w:r>
              <w:rPr>
                <w:rFonts w:ascii="宋体" w:hAnsi="宋体" w:eastAsia="宋体"/>
                <w:sz w:val="16"/>
              </w:rPr>
              <w:t>军供保障楼装修工程成本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6E35">
            <w:pPr>
              <w:jc w:val="center"/>
            </w:pPr>
            <w:r>
              <w:rPr>
                <w:rFonts w:ascii="宋体" w:hAnsi="宋体" w:eastAsia="宋体"/>
                <w:sz w:val="16"/>
              </w:rPr>
              <w:t>&lt;=410万元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5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A1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03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C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C1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BE26">
            <w:pPr>
              <w:jc w:val="center"/>
            </w:pPr>
            <w:r>
              <w:rPr>
                <w:rFonts w:ascii="宋体" w:hAnsi="宋体" w:eastAsia="宋体"/>
                <w:sz w:val="16"/>
              </w:rPr>
              <w:t>=371.1万元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A40E">
            <w:pPr>
              <w:jc w:val="center"/>
            </w:pPr>
            <w:r>
              <w:rPr>
                <w:rFonts w:ascii="宋体" w:hAnsi="宋体" w:eastAsia="宋体"/>
                <w:sz w:val="16"/>
              </w:rPr>
              <w:t>90.51%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7020">
            <w:pPr>
              <w:jc w:val="center"/>
            </w:pPr>
            <w:r>
              <w:rPr>
                <w:rFonts w:ascii="宋体" w:hAnsi="宋体" w:eastAsia="宋体"/>
                <w:sz w:val="16"/>
              </w:rPr>
              <w:t>5.34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9A71">
            <w:pPr>
              <w:jc w:val="center"/>
            </w:pPr>
            <w:r>
              <w:rPr>
                <w:rFonts w:ascii="宋体" w:hAnsi="宋体" w:eastAsia="宋体"/>
                <w:sz w:val="16"/>
              </w:rPr>
              <w:t>部分材料采购价格降低和部分业务流程优化节省开支</w:t>
            </w:r>
          </w:p>
        </w:tc>
      </w:tr>
      <w:tr w14:paraId="134BD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1C3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75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42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1186">
            <w:pPr>
              <w:jc w:val="center"/>
            </w:pPr>
            <w:r>
              <w:rPr>
                <w:rFonts w:ascii="宋体" w:hAnsi="宋体" w:eastAsia="宋体"/>
                <w:sz w:val="16"/>
              </w:rPr>
              <w:t>综合食堂楼顶防水工程成本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F3D6">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8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E1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11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E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83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C7D2">
            <w:pPr>
              <w:jc w:val="center"/>
            </w:pPr>
            <w:r>
              <w:rPr>
                <w:rFonts w:ascii="宋体" w:hAnsi="宋体" w:eastAsia="宋体"/>
                <w:sz w:val="16"/>
              </w:rPr>
              <w:t>=55.8万元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ABAA">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682F">
            <w:pPr>
              <w:jc w:val="center"/>
            </w:pPr>
            <w:r>
              <w:rPr>
                <w:rFonts w:ascii="宋体" w:hAnsi="宋体" w:eastAsia="宋体"/>
                <w:sz w:val="16"/>
              </w:rPr>
              <w:t>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7FF1">
            <w:pPr>
              <w:jc w:val="center"/>
            </w:pPr>
            <w:r>
              <w:rPr>
                <w:rFonts w:ascii="宋体" w:hAnsi="宋体" w:eastAsia="宋体"/>
                <w:sz w:val="16"/>
              </w:rPr>
              <w:t>部分材料采购价格降低和部分业务流程优化节省开支</w:t>
            </w:r>
          </w:p>
        </w:tc>
      </w:tr>
      <w:tr w14:paraId="1F999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1E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503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FC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C3C0">
            <w:pPr>
              <w:jc w:val="center"/>
            </w:pPr>
            <w:r>
              <w:rPr>
                <w:rFonts w:ascii="宋体" w:hAnsi="宋体" w:eastAsia="宋体"/>
                <w:sz w:val="16"/>
              </w:rPr>
              <w:t>绿化、美化、亮化项目成本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A542">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9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7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09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0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5A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9C19">
            <w:pPr>
              <w:jc w:val="center"/>
            </w:pPr>
            <w:r>
              <w:rPr>
                <w:rFonts w:ascii="宋体" w:hAnsi="宋体" w:eastAsia="宋体"/>
                <w:sz w:val="16"/>
              </w:rPr>
              <w:t>=25.3万元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1462">
            <w:pPr>
              <w:jc w:val="center"/>
            </w:pPr>
            <w:r>
              <w:rPr>
                <w:rFonts w:ascii="宋体" w:hAnsi="宋体" w:eastAsia="宋体"/>
                <w:sz w:val="16"/>
              </w:rPr>
              <w:t>84.3%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AC84">
            <w:pPr>
              <w:jc w:val="center"/>
            </w:pPr>
            <w:r>
              <w:rPr>
                <w:rFonts w:ascii="宋体" w:hAnsi="宋体" w:eastAsia="宋体"/>
                <w:sz w:val="16"/>
              </w:rPr>
              <w:t>3.64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92E6">
            <w:pPr>
              <w:jc w:val="center"/>
            </w:pPr>
            <w:r>
              <w:rPr>
                <w:rFonts w:ascii="宋体" w:hAnsi="宋体" w:eastAsia="宋体"/>
                <w:sz w:val="16"/>
              </w:rPr>
              <w:t>部分材料采购价格降低和部分业务流程优化节省开支</w:t>
            </w:r>
          </w:p>
        </w:tc>
      </w:tr>
      <w:tr w14:paraId="4A3D1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F9B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E408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38F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A80C">
            <w:pPr>
              <w:jc w:val="center"/>
            </w:pPr>
            <w:r>
              <w:rPr>
                <w:rFonts w:ascii="宋体" w:hAnsi="宋体" w:eastAsia="宋体"/>
                <w:sz w:val="16"/>
              </w:rPr>
              <w:t>军供保障设施正常运转率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591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3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2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75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9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6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C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2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52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D2D6">
            <w:pPr>
              <w:jc w:val="center"/>
            </w:pPr>
          </w:p>
        </w:tc>
      </w:tr>
      <w:tr w14:paraId="01052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80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70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B9C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1330">
            <w:pPr>
              <w:jc w:val="center"/>
            </w:pPr>
            <w:r>
              <w:rPr>
                <w:rFonts w:ascii="宋体" w:hAnsi="宋体" w:eastAsia="宋体"/>
                <w:sz w:val="16"/>
              </w:rPr>
              <w:t>发挥军供站作用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8727">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3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D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3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15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6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533E">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8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7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DE64">
            <w:pPr>
              <w:jc w:val="center"/>
            </w:pPr>
          </w:p>
        </w:tc>
      </w:tr>
      <w:tr w14:paraId="3BFFE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29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B1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66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24EE">
            <w:pPr>
              <w:jc w:val="center"/>
            </w:pPr>
            <w:r>
              <w:rPr>
                <w:rFonts w:ascii="宋体" w:hAnsi="宋体" w:eastAsia="宋体"/>
                <w:sz w:val="16"/>
              </w:rPr>
              <w:t>过往部队官兵满意度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BF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0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0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6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DD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1C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9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E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5F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527E">
            <w:pPr>
              <w:jc w:val="center"/>
            </w:pPr>
          </w:p>
        </w:tc>
      </w:tr>
      <w:tr w14:paraId="402A28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6DF3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0C3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29E7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F7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8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048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9B9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F379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CA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C86A">
            <w:pPr>
              <w:jc w:val="center"/>
            </w:pPr>
            <w:r>
              <w:rPr>
                <w:rFonts w:ascii="宋体" w:hAnsi="宋体" w:eastAsia="宋体"/>
                <w:sz w:val="16"/>
              </w:rPr>
              <w:t>92.36分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25098"/>
        </w:tc>
      </w:tr>
    </w:tbl>
    <w:p w14:paraId="1FBCDFC8">
      <w:r>
        <w:br w:type="page"/>
      </w:r>
    </w:p>
    <w:p w14:paraId="2FB35D48">
      <w:pPr>
        <w:spacing w:line="640" w:lineRule="exact"/>
        <w:ind w:firstLine="640"/>
        <w:jc w:val="both"/>
        <w:outlineLvl w:val="2"/>
      </w:pPr>
      <w:r>
        <w:rPr>
          <w:rFonts w:ascii="黑体" w:hAnsi="黑体" w:eastAsia="黑体"/>
          <w:sz w:val="32"/>
        </w:rPr>
        <w:t>十二、其他需说明的事项</w:t>
      </w:r>
    </w:p>
    <w:p w14:paraId="55FEF966">
      <w:pPr>
        <w:spacing w:line="580" w:lineRule="exact"/>
        <w:ind w:firstLine="640"/>
        <w:jc w:val="both"/>
      </w:pPr>
      <w:r>
        <w:rPr>
          <w:rFonts w:ascii="仿宋_GB2312" w:hAnsi="仿宋_GB2312" w:eastAsia="仿宋_GB2312"/>
          <w:b w:val="0"/>
          <w:sz w:val="32"/>
        </w:rPr>
        <w:t>本年本部门SM项目8个，全年预算数85.45万元，全年执行数85.29万元。</w:t>
      </w:r>
    </w:p>
    <w:p w14:paraId="24A55F2F">
      <w:r>
        <w:br w:type="page"/>
      </w:r>
    </w:p>
    <w:p w14:paraId="1CB8EE01">
      <w:pPr>
        <w:spacing w:line="240" w:lineRule="auto"/>
        <w:jc w:val="center"/>
        <w:outlineLvl w:val="1"/>
      </w:pPr>
      <w:r>
        <w:rPr>
          <w:rFonts w:ascii="黑体" w:hAnsi="黑体" w:eastAsia="黑体"/>
          <w:sz w:val="32"/>
        </w:rPr>
        <w:t>第三部分 专业名词解释</w:t>
      </w:r>
    </w:p>
    <w:p w14:paraId="55C692B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956339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00966F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E9B43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3A8911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C9D39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D8303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FE5469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5B062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F209D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144F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67F70F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8C72B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ADBE7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DE66F9">
      <w:r>
        <w:br w:type="page"/>
      </w:r>
    </w:p>
    <w:p w14:paraId="63A7FC48">
      <w:pPr>
        <w:spacing w:line="240" w:lineRule="auto"/>
        <w:jc w:val="center"/>
        <w:outlineLvl w:val="1"/>
      </w:pPr>
      <w:r>
        <w:rPr>
          <w:rFonts w:ascii="黑体" w:hAnsi="黑体" w:eastAsia="黑体"/>
          <w:sz w:val="32"/>
        </w:rPr>
        <w:t>第四部分 部门决算报表（见附表）</w:t>
      </w:r>
    </w:p>
    <w:p w14:paraId="2B9D80FD">
      <w:pPr>
        <w:spacing w:line="240" w:lineRule="auto"/>
        <w:ind w:firstLine="640"/>
        <w:jc w:val="both"/>
      </w:pPr>
      <w:r>
        <w:rPr>
          <w:rFonts w:ascii="仿宋_GB2312" w:hAnsi="仿宋_GB2312" w:eastAsia="仿宋_GB2312"/>
          <w:b w:val="0"/>
          <w:sz w:val="32"/>
        </w:rPr>
        <w:t>一、《收入支出决算总表》</w:t>
      </w:r>
    </w:p>
    <w:p w14:paraId="3FC43CBD">
      <w:pPr>
        <w:spacing w:line="240" w:lineRule="auto"/>
        <w:ind w:firstLine="640"/>
        <w:jc w:val="both"/>
      </w:pPr>
      <w:r>
        <w:rPr>
          <w:rFonts w:ascii="仿宋_GB2312" w:hAnsi="仿宋_GB2312" w:eastAsia="仿宋_GB2312"/>
          <w:b w:val="0"/>
          <w:sz w:val="32"/>
        </w:rPr>
        <w:t>二、《收入决算表》</w:t>
      </w:r>
    </w:p>
    <w:p w14:paraId="6DDA9428">
      <w:pPr>
        <w:spacing w:line="240" w:lineRule="auto"/>
        <w:ind w:firstLine="640"/>
        <w:jc w:val="both"/>
      </w:pPr>
      <w:r>
        <w:rPr>
          <w:rFonts w:ascii="仿宋_GB2312" w:hAnsi="仿宋_GB2312" w:eastAsia="仿宋_GB2312"/>
          <w:b w:val="0"/>
          <w:sz w:val="32"/>
        </w:rPr>
        <w:t>三、《支出决算表》</w:t>
      </w:r>
    </w:p>
    <w:p w14:paraId="4A7D3F53">
      <w:pPr>
        <w:spacing w:line="240" w:lineRule="auto"/>
        <w:ind w:firstLine="640"/>
        <w:jc w:val="both"/>
      </w:pPr>
      <w:r>
        <w:rPr>
          <w:rFonts w:ascii="仿宋_GB2312" w:hAnsi="仿宋_GB2312" w:eastAsia="仿宋_GB2312"/>
          <w:b w:val="0"/>
          <w:sz w:val="32"/>
        </w:rPr>
        <w:t>四、《财政拨款收入支出决算总表》</w:t>
      </w:r>
    </w:p>
    <w:p w14:paraId="7546A3C1">
      <w:pPr>
        <w:spacing w:line="240" w:lineRule="auto"/>
        <w:ind w:firstLine="640"/>
        <w:jc w:val="both"/>
      </w:pPr>
      <w:r>
        <w:rPr>
          <w:rFonts w:ascii="仿宋_GB2312" w:hAnsi="仿宋_GB2312" w:eastAsia="仿宋_GB2312"/>
          <w:b w:val="0"/>
          <w:sz w:val="32"/>
        </w:rPr>
        <w:t>五、《一般公共预算财政拨款支出决算表》</w:t>
      </w:r>
    </w:p>
    <w:p w14:paraId="16BF00AA">
      <w:pPr>
        <w:spacing w:line="240" w:lineRule="auto"/>
        <w:ind w:firstLine="640"/>
        <w:jc w:val="both"/>
      </w:pPr>
      <w:r>
        <w:rPr>
          <w:rFonts w:ascii="仿宋_GB2312" w:hAnsi="仿宋_GB2312" w:eastAsia="仿宋_GB2312"/>
          <w:b w:val="0"/>
          <w:sz w:val="32"/>
        </w:rPr>
        <w:t>六、《一般公共预算财政拨款基本支出决算表》</w:t>
      </w:r>
    </w:p>
    <w:p w14:paraId="081AB419">
      <w:pPr>
        <w:spacing w:line="240" w:lineRule="auto"/>
        <w:ind w:firstLine="640"/>
        <w:jc w:val="both"/>
      </w:pPr>
      <w:r>
        <w:rPr>
          <w:rFonts w:ascii="仿宋_GB2312" w:hAnsi="仿宋_GB2312" w:eastAsia="仿宋_GB2312"/>
          <w:b w:val="0"/>
          <w:sz w:val="32"/>
        </w:rPr>
        <w:t>七、《政府性基金预算财政拨款收入支出决算表》</w:t>
      </w:r>
    </w:p>
    <w:p w14:paraId="28EB0331">
      <w:pPr>
        <w:spacing w:line="240" w:lineRule="auto"/>
        <w:ind w:firstLine="640"/>
        <w:jc w:val="both"/>
      </w:pPr>
      <w:r>
        <w:rPr>
          <w:rFonts w:ascii="仿宋_GB2312" w:hAnsi="仿宋_GB2312" w:eastAsia="仿宋_GB2312"/>
          <w:b w:val="0"/>
          <w:sz w:val="32"/>
        </w:rPr>
        <w:t>八、《国有资本经营预算财政拨款收入支出决算表》</w:t>
      </w:r>
    </w:p>
    <w:p w14:paraId="5364C22C">
      <w:pPr>
        <w:spacing w:line="240" w:lineRule="auto"/>
        <w:ind w:firstLine="640"/>
        <w:jc w:val="both"/>
      </w:pPr>
      <w:r>
        <w:rPr>
          <w:rFonts w:ascii="仿宋_GB2312" w:hAnsi="仿宋_GB2312" w:eastAsia="仿宋_GB2312"/>
          <w:b w:val="0"/>
          <w:sz w:val="32"/>
        </w:rPr>
        <w:t>九、《财政拨款“三公”经费支出决算表》</w:t>
      </w:r>
    </w:p>
    <w:p w14:paraId="5F34C546">
      <w:pPr>
        <w:spacing w:line="240" w:lineRule="auto"/>
        <w:ind w:firstLine="640"/>
        <w:jc w:val="both"/>
      </w:pPr>
    </w:p>
    <w:p w14:paraId="0EA9DE01">
      <w:pPr>
        <w:spacing w:line="240" w:lineRule="auto"/>
        <w:ind w:firstLine="640"/>
        <w:jc w:val="both"/>
      </w:pPr>
    </w:p>
    <w:p w14:paraId="012B91C0">
      <w:pPr>
        <w:spacing w:line="240" w:lineRule="auto"/>
        <w:ind w:firstLine="640"/>
        <w:jc w:val="both"/>
      </w:pPr>
    </w:p>
    <w:p w14:paraId="40C8E31E">
      <w:pPr>
        <w:spacing w:line="240" w:lineRule="auto"/>
        <w:ind w:firstLine="640"/>
        <w:jc w:val="both"/>
      </w:pPr>
    </w:p>
    <w:p w14:paraId="07A1B73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B72004"/>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6388</Words>
  <Characters>7278</Characters>
  <Lines>0</Lines>
  <Paragraphs>0</Paragraphs>
  <TotalTime>2</TotalTime>
  <ScaleCrop>false</ScaleCrop>
  <LinksUpToDate>false</LinksUpToDate>
  <CharactersWithSpaces>7286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2025-09-11T05:03:07Z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