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1E8C6F"/>
    <w:p w14:paraId="448D4B43">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65DBD16">
      <w:pPr>
        <w:spacing w:line="540" w:lineRule="exact"/>
        <w:jc w:val="center"/>
        <w:rPr>
          <w:rFonts w:ascii="华文中宋" w:hAnsi="华文中宋" w:eastAsia="华文中宋" w:cs="宋体"/>
          <w:b/>
          <w:kern w:val="0"/>
          <w:sz w:val="52"/>
          <w:szCs w:val="52"/>
        </w:rPr>
      </w:pPr>
    </w:p>
    <w:p w14:paraId="2B34BD16">
      <w:pPr>
        <w:spacing w:line="540" w:lineRule="exact"/>
        <w:jc w:val="center"/>
        <w:rPr>
          <w:rFonts w:ascii="华文中宋" w:hAnsi="华文中宋" w:eastAsia="华文中宋" w:cs="宋体"/>
          <w:b/>
          <w:kern w:val="0"/>
          <w:sz w:val="52"/>
          <w:szCs w:val="52"/>
        </w:rPr>
      </w:pPr>
    </w:p>
    <w:p w14:paraId="7227E779">
      <w:pPr>
        <w:spacing w:line="540" w:lineRule="exact"/>
        <w:jc w:val="center"/>
        <w:rPr>
          <w:rFonts w:ascii="华文中宋" w:hAnsi="华文中宋" w:eastAsia="华文中宋" w:cs="宋体"/>
          <w:b/>
          <w:kern w:val="0"/>
          <w:sz w:val="52"/>
          <w:szCs w:val="52"/>
        </w:rPr>
      </w:pPr>
    </w:p>
    <w:p w14:paraId="22FAA76B">
      <w:pPr>
        <w:spacing w:line="540" w:lineRule="exact"/>
        <w:jc w:val="center"/>
        <w:rPr>
          <w:rFonts w:ascii="华文中宋" w:hAnsi="华文中宋" w:eastAsia="华文中宋" w:cs="宋体"/>
          <w:b/>
          <w:kern w:val="0"/>
          <w:sz w:val="52"/>
          <w:szCs w:val="52"/>
        </w:rPr>
      </w:pPr>
    </w:p>
    <w:p w14:paraId="11D40022">
      <w:pPr>
        <w:spacing w:line="540" w:lineRule="exact"/>
        <w:jc w:val="center"/>
        <w:rPr>
          <w:rFonts w:ascii="华文中宋" w:hAnsi="华文中宋" w:eastAsia="华文中宋" w:cs="宋体"/>
          <w:b/>
          <w:kern w:val="0"/>
          <w:sz w:val="52"/>
          <w:szCs w:val="52"/>
        </w:rPr>
      </w:pPr>
    </w:p>
    <w:p w14:paraId="0E93D194">
      <w:pPr>
        <w:spacing w:line="540" w:lineRule="exact"/>
        <w:jc w:val="center"/>
        <w:rPr>
          <w:rFonts w:ascii="华文中宋" w:hAnsi="华文中宋" w:eastAsia="华文中宋" w:cs="宋体"/>
          <w:b/>
          <w:kern w:val="0"/>
          <w:sz w:val="52"/>
          <w:szCs w:val="52"/>
        </w:rPr>
      </w:pPr>
    </w:p>
    <w:p w14:paraId="4FAFE888">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2014C136">
      <w:pPr>
        <w:spacing w:line="540" w:lineRule="exact"/>
        <w:jc w:val="center"/>
        <w:rPr>
          <w:rFonts w:ascii="华文中宋" w:hAnsi="华文中宋" w:eastAsia="华文中宋" w:cs="宋体"/>
          <w:b/>
          <w:kern w:val="0"/>
          <w:sz w:val="52"/>
          <w:szCs w:val="52"/>
        </w:rPr>
      </w:pPr>
    </w:p>
    <w:p w14:paraId="3511C907">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465B4B34">
      <w:pPr>
        <w:spacing w:line="540" w:lineRule="exact"/>
        <w:jc w:val="center"/>
        <w:rPr>
          <w:rFonts w:hAnsi="宋体" w:eastAsia="仿宋_GB2312" w:cs="宋体"/>
          <w:kern w:val="0"/>
          <w:sz w:val="30"/>
          <w:szCs w:val="30"/>
        </w:rPr>
      </w:pPr>
    </w:p>
    <w:p w14:paraId="5F69C4BF">
      <w:pPr>
        <w:spacing w:line="540" w:lineRule="exact"/>
        <w:jc w:val="center"/>
        <w:rPr>
          <w:rFonts w:hAnsi="宋体" w:eastAsia="仿宋_GB2312" w:cs="宋体"/>
          <w:kern w:val="0"/>
          <w:sz w:val="30"/>
          <w:szCs w:val="30"/>
        </w:rPr>
      </w:pPr>
    </w:p>
    <w:p w14:paraId="47B85612">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037D7875">
      <w:pPr>
        <w:spacing w:line="540" w:lineRule="exact"/>
        <w:jc w:val="center"/>
        <w:rPr>
          <w:rFonts w:hAnsi="宋体" w:eastAsia="仿宋_GB2312" w:cs="宋体"/>
          <w:kern w:val="0"/>
          <w:sz w:val="30"/>
          <w:szCs w:val="30"/>
        </w:rPr>
      </w:pPr>
    </w:p>
    <w:p w14:paraId="531D7700">
      <w:pPr>
        <w:spacing w:line="540" w:lineRule="exact"/>
        <w:jc w:val="center"/>
        <w:rPr>
          <w:rFonts w:hAnsi="宋体" w:eastAsia="仿宋_GB2312" w:cs="宋体"/>
          <w:kern w:val="0"/>
          <w:sz w:val="30"/>
          <w:szCs w:val="30"/>
        </w:rPr>
      </w:pPr>
    </w:p>
    <w:p w14:paraId="7A1A631F">
      <w:pPr>
        <w:spacing w:line="540" w:lineRule="exact"/>
        <w:jc w:val="center"/>
        <w:rPr>
          <w:rFonts w:hAnsi="宋体" w:eastAsia="仿宋_GB2312" w:cs="宋体"/>
          <w:kern w:val="0"/>
          <w:sz w:val="30"/>
          <w:szCs w:val="30"/>
        </w:rPr>
      </w:pPr>
    </w:p>
    <w:p w14:paraId="004E2A0C">
      <w:pPr>
        <w:spacing w:line="540" w:lineRule="exact"/>
        <w:rPr>
          <w:rFonts w:hAnsi="宋体" w:eastAsia="仿宋_GB2312" w:cs="宋体"/>
          <w:kern w:val="0"/>
          <w:sz w:val="30"/>
          <w:szCs w:val="30"/>
        </w:rPr>
      </w:pPr>
    </w:p>
    <w:p w14:paraId="7C2A7914">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6C491A5">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2023年自治区药品抽检经费项目（上年结转）</w:t>
      </w:r>
    </w:p>
    <w:p w14:paraId="4F3132BE">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r>
        <w:rPr>
          <w:rStyle w:val="19"/>
          <w:rFonts w:hint="eastAsia" w:ascii="楷体" w:hAnsi="楷体" w:eastAsia="楷体"/>
          <w:spacing w:val="-4"/>
          <w:sz w:val="28"/>
          <w:szCs w:val="28"/>
        </w:rPr>
        <w:t>市场监督管理局</w:t>
      </w:r>
    </w:p>
    <w:p w14:paraId="74EDF1F1">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巴音郭楞蒙古自治州市场监督管理局</w:t>
      </w:r>
    </w:p>
    <w:p w14:paraId="27AAA1DB">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张龙</w:t>
      </w:r>
    </w:p>
    <w:p w14:paraId="131778F7">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2025年03月27日</w:t>
      </w:r>
    </w:p>
    <w:p w14:paraId="1CAFEE7E">
      <w:pPr>
        <w:spacing w:line="700" w:lineRule="exact"/>
        <w:ind w:firstLine="708" w:firstLineChars="236"/>
        <w:jc w:val="left"/>
        <w:rPr>
          <w:rFonts w:hAnsi="宋体" w:eastAsia="仿宋_GB2312" w:cs="宋体"/>
          <w:kern w:val="0"/>
          <w:sz w:val="30"/>
          <w:szCs w:val="30"/>
        </w:rPr>
      </w:pPr>
    </w:p>
    <w:p w14:paraId="30F93A0B">
      <w:pPr>
        <w:spacing w:line="540" w:lineRule="exact"/>
        <w:rPr>
          <w:rStyle w:val="19"/>
          <w:rFonts w:ascii="黑体" w:hAnsi="黑体" w:eastAsia="黑体"/>
          <w:b w:val="0"/>
          <w:spacing w:val="-4"/>
          <w:sz w:val="32"/>
          <w:szCs w:val="32"/>
        </w:rPr>
      </w:pPr>
    </w:p>
    <w:p w14:paraId="28E4A86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00D4F78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1FBC840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进一步加强全州药品、医疗器械、化妆品日常监管，全面推进质量风险防控，不断完善药械化监管长效机制，确保我州药械化质量安全，增强药品质量安全保障能力，保障全州药品监管工作顺利开展而设立此项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以发现安全问题为导向，及时发现苗头性、系统性、区域性安全风险和问题，本年完成举办业务培训，参加药品安全知识竞赛，药品抽检，交叉检查，增强药品质量安全保障能力，保障全区药品监管工作顺利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截至2024年12月31日已完成药品生产流通环节（含医院制剂）抽检33批次，中药饮片生产流通环节抽检12批次，医疗器械监督抽样7批次，化妆品监督抽样2批次，不断完善和加强“两品一械”安全抽样检验工作,加强“两品一械”企业监管力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该项目年初预算数10万元，全年预算数10万元，该项目资金已全部落实到位，资金来源为财政拨款。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10万元，全年预算数10万元，全年执行数10万元，预算执行率为100%，主要用于：药品生产流通环节（含医院制剂）抽检6.11万元，中药饮片生产流通环节抽检2.22万元，医疗器械监督抽样1.3万元，化妆品监督抽样0.37万元。</w:t>
      </w:r>
    </w:p>
    <w:p w14:paraId="00A5E0D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07B47BA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中华人民共和国药品管理法》、《医疗器械监督管理条例》和《化妆品监督管理条例》，紧紧围绕社会稳定和长治久安总目标，认真贯彻自治区药品监督管理局药品监管重点工作安排，通过对药品生产流通环节（含医院制剂）抽检33批次，中药饮片生产流通环节抽检12批次，医疗器械监督抽样7批次，化妆品监督抽样2批次。有效发挥抽检工作的风险防控和技术支撑作用，努力提高监管能力和监管水平，以“四个最严”的要求保障药品安全，坚决守住全州不发生重大药品安全事故底线，提升“两品一械”监管服务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上半年计划完成药品生产流通环节（含医院制剂）抽检15批次，中药饮片生产流通环节抽检7批次，医疗器械监督抽样2批次，化妆品监督抽样1批次，不断完善和加强“两品一械”安全抽样检验工作，2024年下半年计划完成药品生产流通环节（含医院制剂）抽检18批次，中药饮片生产流通环节抽检5批次，医疗器械监督抽样5批次，化妆品监督抽样1批次，加强两品一械”安全监管，增强“两品一械”质量安全保障能力。</w:t>
      </w:r>
    </w:p>
    <w:p w14:paraId="36BB5F0A">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11628B69">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18B6B04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2023年自治区药品抽检经费项目（上年结转）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社会效益指标，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自治区药品抽检经费项目（上年结转）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2023年自治区药品抽检经费项目（上年结转）预算执行情况及各项绩效目标达成程度的系统性分析，全面、客观地评估项目在预定周期内的实施效果，包括社会效益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2023年自治区药品抽检经费项目（上年结转）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2023年自治区药品抽检经费项目（上年结转）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为2023年自治区药品抽检经费项目（上年结转）主管单位巴</w:t>
      </w:r>
      <w:r>
        <w:rPr>
          <w:rStyle w:val="19"/>
          <w:rFonts w:hint="eastAsia" w:ascii="楷体" w:hAnsi="楷体" w:eastAsia="楷体"/>
          <w:spacing w:val="-4"/>
          <w:sz w:val="32"/>
          <w:szCs w:val="32"/>
          <w:lang w:eastAsia="zh-CN"/>
        </w:rPr>
        <w:t>州市场监督管理局</w:t>
      </w:r>
      <w:bookmarkStart w:id="0" w:name="_GoBack"/>
      <w:bookmarkEnd w:id="0"/>
      <w:r>
        <w:rPr>
          <w:rStyle w:val="19"/>
          <w:rFonts w:hint="eastAsia" w:ascii="楷体" w:hAnsi="楷体" w:eastAsia="楷体"/>
          <w:spacing w:val="-4"/>
          <w:sz w:val="32"/>
          <w:szCs w:val="32"/>
        </w:rPr>
        <w:t>、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自治区药品抽检经费项目（上年结转）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2023年自治区药品抽检经费项目（上年结转）及其预算执行情况。该项目由巴音州市场监督管理局负责实施，旨在努力提高监管能力和监管水平，以“四个最严”的要求保障药品安全，坚决守住全州不发生重大药品安全事故底线，提升“两品一械”监管服务水平。项目预算涵盖从2024年1月1日至2024年12月31日的全部资金投入与支出，涉及资金总额为10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2023年自治区药品抽检经费项目（上年结转）预算绩效评价报告的评价范围广泛而全面，涵盖了从项目立项至评价时点期间的所有关键预算活动和财务流程。具体而言，评价范围包括但不限于以下几个方面：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（1）项目预算编制与执行：全面审视2023年自治区药品抽检经费项目（上年结转）预算的编制依据、合理性、科学性以及实际执行情况，包括预算调整的原因和效果。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（2）资金管理：深入分析2023年自治区药品抽检经费项目（上年结转）资金的分配、使用和监管情况，确保资金使用的合规性、高效性和透明度。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（3）项目实施进度与产出：评估2023年自治区药品抽检经费项目（上年结转）是否按照既定计划顺利推进，各项任务是否按时完成，以及项目产出的数量、质量和时效性是否符合预期。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（4）社会、生态等影响：考察2023年自治区药品抽检经费项目（上年结转）对社会方面的综合影响。</w:t>
      </w:r>
    </w:p>
    <w:p w14:paraId="6A0B50B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7BA1838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巴州市场监督管理局开展2023年自治区药品抽检经费项目（上年结转）项目绩效评价遵循以下基本原则：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运用科学合理的方法，按照规范的程序，对项目绩效进行客观、公正的反映。巴州市场监督管理局在2023年自治区药品抽检经费项目（上年结转）评价中根据相关政策、部门职责及年初预算资金分配测算依据等当面分析可得项目设立合理，实施过程规范、评价过程科学合理、公平公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职责明确，各有侧重，相互衔接。单位自评应由项目单位自主实施，即“谁支出、谁自评”。巴州市场监督管理局在实施2023年自治区药品抽检经费项目（上年结转）过程中，明确资金管理科室、资金使用方向，对项目实施情况进行单位自评，职责明确，相互衔接。在项目评价初期进行广泛深入地调查摸底，全面掌握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与预算安排、政策调整、改进管理实质性挂钩，体现奖优罚劣和激励相容导向，有效要安排、低效要压减、无效要问责。2023年自治区药品抽检经费项目（上年结转）相关科室从项目实施方案、项目预算、项目成本等环节，全过程对项目进行监管，明确分工，各司其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抓好工作目标任务的落实完成，并向单位主要领导报告，年中要求各部门按照年初预算对绩效工作进行监控，存在问题及时整改，确保绩效目标如期实现，不断提高财政资金配置和使用效益。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（4）公开透明。巴州市场监督管理局将本项目绩效评价结果在巴州人民政府网站依法依规公开，并自觉接受社会监督。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市场监督管理局通过对绩效目标与实施情况、历史与当期完成情况，综合分析绩效目标实现程度，对项目最终验收情况与年度绩效目标对比、预算资金执行情况等相关因素进行比较。2023年自治区药品抽检经费项目（上年结转）支出绩效自评采用比较法。原因是：比较法对历史与当期完成情况更好的反应项目情况，更为明确清晰的判断本次项目开展情况的等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绩效评价标准通常包括计划标准、行业标准、历史标准等，用于对绩效指标完成情况进行比较、分析、评价。本次评价主要采用了计划标准，原因是：2023年自治区药品抽检经费项目（上年结转）设置年初绩效目标表时，预先制定工作计划，并根据根据该项目的年度计划确定三级指标。采用计划标准可提高预算编制和预算额度测算准确率,使评价结果更加科学真实。 </w:t>
      </w:r>
    </w:p>
    <w:p w14:paraId="54DB5842">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327CB93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市场监督管理局成立了项目预算绩效管理领导小组,小组成员由财务人员、项目管理人员组成。在2023年自治区药品抽检经费项目（上年结转）绩效评价工作要求严格按照财政绩效评价审核要求开展，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2023年自治区药品抽检经费项目（上年结转）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2023年自治区药品抽检经费项目（上年结转）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2023年自治区药品抽检经费项目（上年结转）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2023年自治区药品抽检经费项目（上年结转）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37393647">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2FA638F4">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2023年自治区药品抽检经费项目（上年结转）在药品生产流通环节（含医院制剂）抽检，中药饮片生产流通环节抽检，医疗器械监督抽样，化妆品监督抽样等方面表现出色，达到了预期的标准与要求。同时，项目也在具体领域或环节“两品一械”监管取得了显著的成效，如提高监管能力和监管水平，以“四个最严”的要求保障药品安全，坚决守住全州不发生重大药品安全事故底线，提升“两品一械”监管服务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在项目管理方面，巴州市场监督管理局通过有效的规划、组织与协调，项目得以顺利实施，并在预算与时间上保持了良好的控制。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从项目效益的角度来看，本项目不仅实现了预期的社会效益方面产生了积极的影响。具体而言，“两品一械”监管服务水平等方面的提升，为项目的利益相关者带来了实实在在的利益。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综上所述，2023年自治区药品抽检经费项目（上年结转）在绩效评价中表现出色，达到了项目的预期目标，并在多个方面取得了显著的成效。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 20分，得分率为 100%。项目过程类指标权重为20分，得分为20分，得分率为 100%。项目产出类指标权重为40分，得分为40分，得分率为 100%。项目效益类指标权重为20分，得分为20分，得分率为100%。具体打分情况详见：附件1综合评分表。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7C5295FF">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378CFA4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5EC2C0C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自治区药品抽检经费项目（上年结转）依据《中华人民共和国药品管理法》、《医疗器械监督管理条例》和《化妆品监督管理条例》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自治区药品抽检经费项目（上年结转）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自治区药品抽检经费项目（上年结转）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2023年自治区药品抽检经费项目（上年结转）设置了明确的预期产出效益和效果，将绩效目标细化分解为具体的绩效指标，绩效目标与项目目标任务数相对应，绩效目标设定的绩效指标清晰、细化、可衡量。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自治区药品抽检经费项目（上年结转）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自治区药品抽检经费项目（上年结转）的资金分配遵循了公平、公正、透明的原则，确保了项目资源的合理配置与高效利用。在资金分配过程中，巴州市场监督管理局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巴州市场监督管理局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2023年自治区药品抽检经费项目（上年结转）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40C1FA6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2543543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2023年自治区药品抽检经费项目（上年结转）总投资10万元，财政资金及时足额到位，到位率100%，预算资金按计划进度执行。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预算编制较为详细，2023年自治区药品抽检经费项目（上年结转）资金支出总体能够按照预算执行，预算资金支出10万元，预算执行率为100%。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自治区药品抽检经费项目（上年结转）的资金使用严格遵循了国家相关法律法规与财务制度，确保了资金的合规性与安全性。在资金使用过程中，巴州市场监督管理局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巴州市场监督管理局在资金使用坚持了专款专用的原则，确保了项目资金不被挪用或截留。同时，巴州市场监督管理局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2023年自治区药品抽检经费项目（上年结转）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自治区药品抽检经费项目（上年结转）拥有一套完善、健全的管理制度体系，制定了《巴州市场监督管理局财务管理办法》和《巴州市场监督管理局预算绩效目标管理办法》等相关管理办法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在制度设计上，巴州市场监督管理局注重了制度的科学性与可操作性，确保制度能够切实指导项目的执行与管理。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巴州市场监督管理局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2023年自治区药品抽检经费项目（上年结转）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年自治区药品抽检经费项目（上年结转）在执行过程中，管理制度得到了全面、有效的落实，为确保项目的顺利实施与目标实现提供了坚实的保障。巴州市场监督管理局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在具体执行过程中，项目执行科室严格按照制度要求进行操作。同时，还建立了有效的沟通机制与反馈机制，确保项目信息的及时传递与问题的及时解决，进一步提高了制度执行的效率与效果。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综上所述，2023年自治区药品抽检经费项目（上年结转）的管理制度在执行过程中表现出了高度的有效性，既确保了项目的顺利进行，又实现了项目目标的有效达成。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3474FB9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2058A1E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项目产出类指标包括产出数量、产出质量、产出时效、产出成本四方面的内容，由10个三级指标构成，权重分为40分，实际得分40分，得分率为100%。具体产出指标完成情况如下：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指标1：药品生产流通环节（含医院制剂）抽检批次，指标值：&gt;=33批次，实际完成值：33批次，指标完成率100%；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指标2：中药饮片生产流通环节抽检批次，指标值：&gt;=12批次，实际完成值：12批次，指标完成率100%；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指标3：医疗器械监督抽样任务，指标值：&gt;=7批次，实际完成值：7批次，指标完成率100%；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指标4：化妆品监督抽样任务，指标值：&gt;=2批次，实际完成值：2批次，指标完成率100%；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指标1：“两品一械”抽检覆盖率，指标值：&gt;=90%，实际完成值：100%，指标完成率100%；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指标1：抽样检验任务按期完成率，指标值：&gt;=95%，实际完成值：100%，指标完成率100%；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指标1：药品生产流通环节（含医院制剂）抽检成本，指标值：&lt;=6.11万元，实际完成值：6.11万元，指标完成率100%；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指标2：中药饮片生产流通环节抽检成本，指标值：&lt;=2.22万元，实际完成值：2.22万元，指标完成率100%；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指标3：医疗器械监督抽样成本，指标值：&lt;=1.3万元，实际完成值：1.3%，指标完成率100%；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指标4：化妆品监督抽样成本，指标值：&lt;=0.37万元，实际完成值：0.37万元，指标完成率100%；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679E513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64D881B7">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指标1：提升“两品一械”监管服务水平，指标值：有效提升，实际完成值：达成目标，指标完成率100%；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32D1E01E">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指标1：公众对药品安全的满意度，指标值：&gt;=90%，实际完成值：98.9%，指标完成率100%。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6E9E1939">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6F7BAB77">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保障项目顺利推进，巴州市场监督管理局提前精心规划项目，对拟定计划进行多轮严格审核。项目实施期间，建立常态化监督检查机制，严格遵循项目管理规范开展工作。在项目资金使用上，秉持严谨态度，依照资金使用范围，仔细做好每一笔资金的审核，确保资金使用落到实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全流程，巴州市场监督管理局严格执行“先实施、后验收、再拨付”原则，有效杜绝资金被挤占、挪用的情况。同时，构建多部门协同监管机制，财政、纪检、监察等职能部门深度参与专项资金的事前规划、事中执行和事后评估，实现全过程监管。在监督方式上，主动前移监督关口，从传统的事后监督，转变为事前审核、事中监督、事后稽核相结合的模式，形成覆盖多环节的全过程监督管理体系，及时发现并解决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财务审计科同时承担会计核算与内部审计双重职能，形成“既当运动员又当裁判员”的局面，导致审计独立性受限。纪检监察与党建工作由同一部门兼任，人员力量分散且专业背景单一，难以对预算执行开展深度监督。</w:t>
      </w:r>
    </w:p>
    <w:p w14:paraId="12600FD2">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2F4AB135">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专门设定对绩效工作人员定职、定岗、定责等相关制度措施，进一步提升我单位绩效管理工作业务水平，鼓励财务审计科干部积极考取相关证书，扎实做好绩效管理工作。</w:t>
      </w:r>
    </w:p>
    <w:p w14:paraId="4A2BE8CA">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09947518">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65EF5A59">
      <w:pPr>
        <w:spacing w:line="540" w:lineRule="exact"/>
        <w:ind w:firstLine="567"/>
        <w:rPr>
          <w:rStyle w:val="19"/>
          <w:rFonts w:ascii="仿宋" w:hAnsi="仿宋" w:eastAsia="仿宋"/>
          <w:b w:val="0"/>
          <w:spacing w:val="-4"/>
          <w:sz w:val="32"/>
          <w:szCs w:val="32"/>
        </w:rPr>
      </w:pPr>
    </w:p>
    <w:p w14:paraId="64A64EC2">
      <w:pPr>
        <w:spacing w:line="540" w:lineRule="exact"/>
        <w:ind w:firstLine="567"/>
        <w:rPr>
          <w:rStyle w:val="19"/>
          <w:rFonts w:ascii="仿宋" w:hAnsi="仿宋" w:eastAsia="仿宋"/>
          <w:b w:val="0"/>
          <w:spacing w:val="-4"/>
          <w:sz w:val="32"/>
          <w:szCs w:val="32"/>
        </w:rPr>
      </w:pPr>
    </w:p>
    <w:p w14:paraId="5DD58FA4">
      <w:pPr>
        <w:spacing w:line="540" w:lineRule="exact"/>
        <w:ind w:firstLine="567"/>
        <w:rPr>
          <w:rStyle w:val="19"/>
          <w:rFonts w:ascii="仿宋" w:hAnsi="仿宋" w:eastAsia="仿宋"/>
          <w:b w:val="0"/>
          <w:spacing w:val="-4"/>
          <w:sz w:val="32"/>
          <w:szCs w:val="32"/>
        </w:rPr>
      </w:pPr>
    </w:p>
    <w:p w14:paraId="1409002B">
      <w:pPr>
        <w:spacing w:line="540" w:lineRule="exact"/>
        <w:ind w:firstLine="567"/>
        <w:rPr>
          <w:rStyle w:val="19"/>
          <w:rFonts w:ascii="仿宋" w:hAnsi="仿宋" w:eastAsia="仿宋"/>
          <w:b w:val="0"/>
          <w:spacing w:val="-4"/>
          <w:sz w:val="32"/>
          <w:szCs w:val="32"/>
        </w:rPr>
      </w:pPr>
    </w:p>
    <w:p w14:paraId="57288AE7">
      <w:pPr>
        <w:spacing w:line="540" w:lineRule="exact"/>
        <w:ind w:firstLine="567"/>
        <w:rPr>
          <w:rStyle w:val="19"/>
          <w:rFonts w:ascii="仿宋" w:hAnsi="仿宋" w:eastAsia="仿宋"/>
          <w:b w:val="0"/>
          <w:spacing w:val="-4"/>
          <w:sz w:val="32"/>
          <w:szCs w:val="32"/>
        </w:rPr>
      </w:pPr>
    </w:p>
    <w:p w14:paraId="1084B0CF">
      <w:pPr>
        <w:spacing w:line="540" w:lineRule="exact"/>
        <w:ind w:firstLine="567"/>
        <w:rPr>
          <w:rStyle w:val="19"/>
          <w:rFonts w:ascii="仿宋" w:hAnsi="仿宋" w:eastAsia="仿宋"/>
          <w:b w:val="0"/>
          <w:spacing w:val="-4"/>
          <w:sz w:val="32"/>
          <w:szCs w:val="32"/>
        </w:rPr>
      </w:pPr>
    </w:p>
    <w:p w14:paraId="4B5595E1">
      <w:pPr>
        <w:spacing w:line="540" w:lineRule="exact"/>
        <w:ind w:firstLine="567"/>
        <w:rPr>
          <w:rStyle w:val="19"/>
          <w:rFonts w:ascii="仿宋" w:hAnsi="仿宋" w:eastAsia="仿宋"/>
          <w:b w:val="0"/>
          <w:spacing w:val="-4"/>
          <w:sz w:val="32"/>
          <w:szCs w:val="32"/>
        </w:rPr>
      </w:pPr>
    </w:p>
    <w:p w14:paraId="557175F6">
      <w:pPr>
        <w:spacing w:line="540" w:lineRule="exact"/>
        <w:ind w:firstLine="567"/>
        <w:rPr>
          <w:rStyle w:val="19"/>
          <w:rFonts w:ascii="仿宋" w:hAnsi="仿宋" w:eastAsia="仿宋"/>
          <w:b w:val="0"/>
          <w:spacing w:val="-4"/>
          <w:sz w:val="32"/>
          <w:szCs w:val="32"/>
        </w:rPr>
      </w:pPr>
    </w:p>
    <w:p w14:paraId="024DB04B">
      <w:pPr>
        <w:spacing w:line="540" w:lineRule="exact"/>
        <w:ind w:firstLine="567"/>
        <w:rPr>
          <w:rStyle w:val="19"/>
          <w:rFonts w:ascii="仿宋" w:hAnsi="仿宋" w:eastAsia="仿宋"/>
          <w:b w:val="0"/>
          <w:spacing w:val="-4"/>
          <w:sz w:val="32"/>
          <w:szCs w:val="32"/>
        </w:rPr>
      </w:pPr>
    </w:p>
    <w:p w14:paraId="1B7E3850">
      <w:pPr>
        <w:spacing w:line="540" w:lineRule="exact"/>
        <w:ind w:firstLine="567"/>
        <w:rPr>
          <w:rStyle w:val="19"/>
          <w:rFonts w:ascii="仿宋" w:hAnsi="仿宋" w:eastAsia="仿宋"/>
          <w:b w:val="0"/>
          <w:spacing w:val="-4"/>
          <w:sz w:val="32"/>
          <w:szCs w:val="32"/>
        </w:rPr>
      </w:pPr>
    </w:p>
    <w:p w14:paraId="528D32B6">
      <w:pPr>
        <w:spacing w:line="540" w:lineRule="exact"/>
        <w:ind w:firstLine="567"/>
        <w:rPr>
          <w:rStyle w:val="19"/>
          <w:rFonts w:ascii="仿宋" w:hAnsi="仿宋" w:eastAsia="仿宋"/>
          <w:b w:val="0"/>
          <w:spacing w:val="-4"/>
          <w:sz w:val="32"/>
          <w:szCs w:val="32"/>
        </w:rPr>
      </w:pPr>
    </w:p>
    <w:p w14:paraId="2F47C924">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2AA75D1-4814-4E09-825B-CDC254A4DD6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78622699-06EF-45FD-849A-4DA01A1AD8EE}"/>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77EB0CAF-73FB-43F1-B205-D2E2AB32CA27}"/>
  </w:font>
  <w:font w:name="华文中宋">
    <w:panose1 w:val="02010600040101010101"/>
    <w:charset w:val="86"/>
    <w:family w:val="auto"/>
    <w:pitch w:val="default"/>
    <w:sig w:usb0="00000287" w:usb1="080F0000" w:usb2="00000000" w:usb3="00000000" w:csb0="0004009F" w:csb1="DFD70000"/>
    <w:embedRegular r:id="rId4" w:fontKey="{4DED47DD-2B6F-46FE-B7A0-0391B2ABBDF5}"/>
  </w:font>
  <w:font w:name="方正小标宋_GBK">
    <w:panose1 w:val="02000000000000000000"/>
    <w:charset w:val="86"/>
    <w:family w:val="script"/>
    <w:pitch w:val="default"/>
    <w:sig w:usb0="A00002BF" w:usb1="38CF7CFA" w:usb2="00082016" w:usb3="00000000" w:csb0="00040001" w:csb1="00000000"/>
    <w:embedRegular r:id="rId5" w:fontKey="{B2E3A1DB-FD50-4511-96CC-674914659145}"/>
  </w:font>
  <w:font w:name="仿宋_GB2312">
    <w:altName w:val="仿宋"/>
    <w:panose1 w:val="02010609030101010101"/>
    <w:charset w:val="86"/>
    <w:family w:val="modern"/>
    <w:pitch w:val="default"/>
    <w:sig w:usb0="00000000" w:usb1="00000000" w:usb2="00000000" w:usb3="00000000" w:csb0="00040000" w:csb1="00000000"/>
    <w:embedRegular r:id="rId6" w:fontKey="{7F63A2CF-3EE1-4669-8878-FE49937DF564}"/>
  </w:font>
  <w:font w:name="楷体">
    <w:panose1 w:val="02010609060101010101"/>
    <w:charset w:val="86"/>
    <w:family w:val="modern"/>
    <w:pitch w:val="default"/>
    <w:sig w:usb0="800002BF" w:usb1="38CF7CFA" w:usb2="00000016" w:usb3="00000000" w:csb0="00040001" w:csb1="00000000"/>
    <w:embedRegular r:id="rId7" w:fontKey="{8524FBBA-A87E-4667-BDC1-B17C6C75FFE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635979C5">
        <w:pPr>
          <w:pStyle w:val="12"/>
          <w:jc w:val="center"/>
        </w:pPr>
        <w:r>
          <w:fldChar w:fldCharType="begin"/>
        </w:r>
        <w:r>
          <w:instrText xml:space="preserve">PAGE   \* MERGEFORMAT</w:instrText>
        </w:r>
        <w:r>
          <w:fldChar w:fldCharType="separate"/>
        </w:r>
        <w:r>
          <w:rPr>
            <w:lang w:val="zh-CN"/>
          </w:rPr>
          <w:t>1</w:t>
        </w:r>
        <w:r>
          <w:fldChar w:fldCharType="end"/>
        </w:r>
      </w:p>
    </w:sdtContent>
  </w:sdt>
  <w:p w14:paraId="63D8D98C">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AC77926"/>
    <w:rsid w:val="7E29769B"/>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4d97e446-687a-4b25-9cee-32cac3abcb01}">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10374</Words>
  <Characters>10768</Characters>
  <Lines>5</Lines>
  <Paragraphs>1</Paragraphs>
  <TotalTime>0</TotalTime>
  <ScaleCrop>false</ScaleCrop>
  <LinksUpToDate>false</LinksUpToDate>
  <CharactersWithSpaces>10799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2025-09-22T10:00:58Z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