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991DC3"/>
    <w:p w14:paraId="5F0CD3F7">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C05CB1C">
      <w:pPr>
        <w:spacing w:line="540" w:lineRule="exact"/>
        <w:jc w:val="center"/>
        <w:rPr>
          <w:rFonts w:ascii="华文中宋" w:hAnsi="华文中宋" w:eastAsia="华文中宋" w:cs="宋体"/>
          <w:b/>
          <w:kern w:val="0"/>
          <w:sz w:val="52"/>
          <w:szCs w:val="52"/>
        </w:rPr>
      </w:pPr>
    </w:p>
    <w:p w14:paraId="6B83FFB0">
      <w:pPr>
        <w:spacing w:line="540" w:lineRule="exact"/>
        <w:jc w:val="center"/>
        <w:rPr>
          <w:rFonts w:ascii="华文中宋" w:hAnsi="华文中宋" w:eastAsia="华文中宋" w:cs="宋体"/>
          <w:b/>
          <w:kern w:val="0"/>
          <w:sz w:val="52"/>
          <w:szCs w:val="52"/>
        </w:rPr>
      </w:pPr>
    </w:p>
    <w:p w14:paraId="2B2D208A">
      <w:pPr>
        <w:spacing w:line="540" w:lineRule="exact"/>
        <w:jc w:val="center"/>
        <w:rPr>
          <w:rFonts w:ascii="华文中宋" w:hAnsi="华文中宋" w:eastAsia="华文中宋" w:cs="宋体"/>
          <w:b/>
          <w:kern w:val="0"/>
          <w:sz w:val="52"/>
          <w:szCs w:val="52"/>
        </w:rPr>
      </w:pPr>
    </w:p>
    <w:p w14:paraId="4F60ED38">
      <w:pPr>
        <w:spacing w:line="540" w:lineRule="exact"/>
        <w:jc w:val="center"/>
        <w:rPr>
          <w:rFonts w:ascii="华文中宋" w:hAnsi="华文中宋" w:eastAsia="华文中宋" w:cs="宋体"/>
          <w:b/>
          <w:kern w:val="0"/>
          <w:sz w:val="52"/>
          <w:szCs w:val="52"/>
        </w:rPr>
      </w:pPr>
    </w:p>
    <w:p w14:paraId="2242B0F8">
      <w:pPr>
        <w:spacing w:line="540" w:lineRule="exact"/>
        <w:jc w:val="center"/>
        <w:rPr>
          <w:rFonts w:ascii="华文中宋" w:hAnsi="华文中宋" w:eastAsia="华文中宋" w:cs="宋体"/>
          <w:b/>
          <w:kern w:val="0"/>
          <w:sz w:val="52"/>
          <w:szCs w:val="52"/>
        </w:rPr>
      </w:pPr>
    </w:p>
    <w:p w14:paraId="29588290">
      <w:pPr>
        <w:spacing w:line="540" w:lineRule="exact"/>
        <w:jc w:val="center"/>
        <w:rPr>
          <w:rFonts w:ascii="华文中宋" w:hAnsi="华文中宋" w:eastAsia="华文中宋" w:cs="宋体"/>
          <w:b/>
          <w:kern w:val="0"/>
          <w:sz w:val="52"/>
          <w:szCs w:val="52"/>
        </w:rPr>
      </w:pPr>
    </w:p>
    <w:p w14:paraId="1EDDF98A">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6D2CB5B2">
      <w:pPr>
        <w:spacing w:line="540" w:lineRule="exact"/>
        <w:jc w:val="center"/>
        <w:rPr>
          <w:rFonts w:ascii="华文中宋" w:hAnsi="华文中宋" w:eastAsia="华文中宋" w:cs="宋体"/>
          <w:b/>
          <w:kern w:val="0"/>
          <w:sz w:val="52"/>
          <w:szCs w:val="52"/>
        </w:rPr>
      </w:pPr>
    </w:p>
    <w:p w14:paraId="5B5D3CCC">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4B59879B">
      <w:pPr>
        <w:spacing w:line="540" w:lineRule="exact"/>
        <w:jc w:val="center"/>
        <w:rPr>
          <w:rFonts w:hAnsi="宋体" w:eastAsia="仿宋_GB2312" w:cs="宋体"/>
          <w:kern w:val="0"/>
          <w:sz w:val="30"/>
          <w:szCs w:val="30"/>
        </w:rPr>
      </w:pPr>
    </w:p>
    <w:p w14:paraId="1A55CA45">
      <w:pPr>
        <w:spacing w:line="540" w:lineRule="exact"/>
        <w:jc w:val="center"/>
        <w:rPr>
          <w:rFonts w:hAnsi="宋体" w:eastAsia="仿宋_GB2312" w:cs="宋体"/>
          <w:kern w:val="0"/>
          <w:sz w:val="30"/>
          <w:szCs w:val="30"/>
        </w:rPr>
      </w:pPr>
    </w:p>
    <w:p w14:paraId="28DE5590">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135D60A4">
      <w:pPr>
        <w:spacing w:line="540" w:lineRule="exact"/>
        <w:jc w:val="center"/>
        <w:rPr>
          <w:rFonts w:hAnsi="宋体" w:eastAsia="仿宋_GB2312" w:cs="宋体"/>
          <w:kern w:val="0"/>
          <w:sz w:val="30"/>
          <w:szCs w:val="30"/>
        </w:rPr>
      </w:pPr>
    </w:p>
    <w:p w14:paraId="7CC8378E">
      <w:pPr>
        <w:spacing w:line="540" w:lineRule="exact"/>
        <w:jc w:val="center"/>
        <w:rPr>
          <w:rFonts w:hAnsi="宋体" w:eastAsia="仿宋_GB2312" w:cs="宋体"/>
          <w:kern w:val="0"/>
          <w:sz w:val="30"/>
          <w:szCs w:val="30"/>
        </w:rPr>
      </w:pPr>
    </w:p>
    <w:p w14:paraId="22E9E1AD">
      <w:pPr>
        <w:spacing w:line="540" w:lineRule="exact"/>
        <w:jc w:val="center"/>
        <w:rPr>
          <w:rFonts w:hAnsi="宋体" w:eastAsia="仿宋_GB2312" w:cs="宋体"/>
          <w:kern w:val="0"/>
          <w:sz w:val="30"/>
          <w:szCs w:val="30"/>
        </w:rPr>
      </w:pPr>
    </w:p>
    <w:p w14:paraId="4B42F490">
      <w:pPr>
        <w:spacing w:line="540" w:lineRule="exact"/>
        <w:rPr>
          <w:rFonts w:hAnsi="宋体" w:eastAsia="仿宋_GB2312" w:cs="宋体"/>
          <w:kern w:val="0"/>
          <w:sz w:val="30"/>
          <w:szCs w:val="30"/>
        </w:rPr>
      </w:pPr>
    </w:p>
    <w:p w14:paraId="0DA29C15">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45F1040">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2024年行业对口援疆资金项目</w:t>
      </w:r>
    </w:p>
    <w:p w14:paraId="4CDCB728">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新疆巴州市场监督管理局</w:t>
      </w:r>
    </w:p>
    <w:p w14:paraId="5FC6878E">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新疆巴州市场监督管理局</w:t>
      </w:r>
    </w:p>
    <w:p w14:paraId="106DDCC7">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孔若帆</w:t>
      </w:r>
    </w:p>
    <w:p w14:paraId="1037B5FF">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2025年04月01日</w:t>
      </w:r>
    </w:p>
    <w:p w14:paraId="4780C017">
      <w:pPr>
        <w:spacing w:line="700" w:lineRule="exact"/>
        <w:ind w:firstLine="708" w:firstLineChars="236"/>
        <w:jc w:val="left"/>
        <w:rPr>
          <w:rFonts w:hAnsi="宋体" w:eastAsia="仿宋_GB2312" w:cs="宋体"/>
          <w:kern w:val="0"/>
          <w:sz w:val="30"/>
          <w:szCs w:val="30"/>
        </w:rPr>
      </w:pPr>
    </w:p>
    <w:p w14:paraId="4738F2E7">
      <w:pPr>
        <w:spacing w:line="540" w:lineRule="exact"/>
        <w:rPr>
          <w:rStyle w:val="19"/>
          <w:rFonts w:ascii="黑体" w:hAnsi="黑体" w:eastAsia="黑体"/>
          <w:b w:val="0"/>
          <w:spacing w:val="-4"/>
          <w:sz w:val="32"/>
          <w:szCs w:val="32"/>
        </w:rPr>
      </w:pPr>
    </w:p>
    <w:p w14:paraId="66500E18">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5552148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42C3BA2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按照对口援疆资金要求，资金主要弥补市场监督管理系统在发挥职能业务、强化干部教育培训和完善信息化建设等方面使用。近年来资金使用成效：援疆资金有效解决了巴州基层市场监管局亟待解决的基层局、所办公楼老化失修、检验检测场地和设备能力提升，培训费用不足方面财政金不足，存在缺口等困难，有效提高巴州市场监管系统的综合能力，加强职能发挥作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通过3项市场监督管理业务下拨项目,采购1次第三方服务和2批物品，强化食品药品监管，持续完善食品安全制度机制，加强食品安全监管，加大食品安全执法力度，推进食用农产品生产取证企业转型升级；全面提高依法监管能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按照对口援疆资金要求，本年已完成2项市场监督管理业务下拨项目,采购1次第三方服务和3批物品，强化食品药品监管，持续完善食品安全制度机制，加强食品安全监管，加大食品安全执法力度，推进食用农产品生产取证企业转型升级，全面提高依法监管能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2024年行业对口援疆资金项目年初预算数125万元，全年预算数125万元，该项目资金已全部落实到位，资金来源为其他资金。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行业对口援疆资金项目年初预算数125万元，全年预算数125万元，全年执行123.45万元，预算执行率为98.76%，主要用于：2项市场监督管理业务下拨项目,使用资金75万元；采购1次第三方服务和3批物品，使用资金48.45万元。</w:t>
      </w:r>
    </w:p>
    <w:p w14:paraId="5D95C970">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4D2059E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按照对口援疆资金要求，资金主要弥补市场监督管理系统在发挥职能业务、强化干部教育培训和完善信息化建设等方面使用。通过3项市场监督管理业务下拨项目,采购1次第三方服务和2批物品，强化食品药品监管，持续完善食品安全制度机制，加强食品安全监管，加大食品安全执法力度，推进食用农产品生产取证企业转型升级；全面提高依法监管能力。其中：3项市场监管业务为将资金下拨给下级局或各县市局使用，2批采购物品为：待定（具体看下级局或各县市局使用方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2024年上半年计划完成1项市场监督管理业务下拨项目，采购1次第三方服务；2024年下半年计划完成1项市场监督管理业务下拨项目，采购2批物品。</w:t>
      </w:r>
    </w:p>
    <w:p w14:paraId="3C663989">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2BCE2D5B">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1DEB0F8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行业对口援疆资金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在数据收集与分析环节，采用了多种科学合理的方法，如数据分析，广泛收集了与项目相关的各类数据，并运用专业的统计分析工具对数据进行深入挖掘，以确保评价结论的科学性和可靠性。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行业对口援疆资金项目预算绩效评价报告在内容、方法和数据等方面均具备较高的完整性，能够真实、客观地反映项目的绩效情况，为项目管理决策提供了有价值的参考依据。在未来的工作中，巴州市场监督管理局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通过对2024年行业对口援疆资金项目预算执行情况及各项绩效目标达成程度的系统性分析，全面、客观地评估项目在预定周期内的实施效果，包括社会效益指标，为项目后续的改进与优化提供科学依据。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2024年行业对口援疆资金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2024年行业对口援疆资金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2024年行业对口援疆资金项目主管单位巴</w:t>
      </w:r>
      <w:r>
        <w:rPr>
          <w:rStyle w:val="19"/>
          <w:rFonts w:hint="eastAsia" w:ascii="楷体" w:hAnsi="楷体" w:eastAsia="楷体"/>
          <w:spacing w:val="-4"/>
          <w:sz w:val="32"/>
          <w:szCs w:val="32"/>
          <w:lang w:eastAsia="zh-CN"/>
        </w:rPr>
        <w:t>州市场监督管理局</w:t>
      </w:r>
      <w:bookmarkStart w:id="0" w:name="_GoBack"/>
      <w:bookmarkEnd w:id="0"/>
      <w:r>
        <w:rPr>
          <w:rStyle w:val="19"/>
          <w:rFonts w:hint="eastAsia" w:ascii="楷体" w:hAnsi="楷体" w:eastAsia="楷体"/>
          <w:spacing w:val="-4"/>
          <w:sz w:val="32"/>
          <w:szCs w:val="32"/>
        </w:rPr>
        <w:t>、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行业对口援疆资金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2024年行业对口援疆资金项目及其预算执行情况。该项目由巴州市场监督管理局负责实施，旨在强化食品药品监管，持续完善食品安全制度机制，加强食品安全监管，加大食品安全执法力度，推进食用农产品生产取证企业转型升级，全面提高依法监管能力。项目预算涵盖从2024年1月至2024年12月的全部资金投入与支出，涉及资金总额为123.45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2024年行业对口援疆资金项目预算绩效评价报告的评价范围广泛而全面，涵盖了从项目立项至评价时点期间的所有关键预算活动和财务流程。具体而言，评价范围包括但不限于以下几个方面：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（1）项目预算编制与执行：全面审视2024年行业对口援疆资金项目预算的编制依据、合理性、科学性以及实际执行情况，包括预算调整的原因和效果。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（2）资金管理：深入分析2024年行业对口援疆资金项目资金的分配、使用和监管情况，确保资金使用的合规性、高效性和透明度。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（3）项目实施进度与产出：评估2024年行业对口援疆资金项目是否按照既定计划顺利推进，各项任务是否按时完成，以及项目产出的数量、质量和时效性是否符合预期。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（4）社会、生态等影响：考察2024年行业对口援疆资金项目对社会方面的综合影响。</w:t>
      </w:r>
    </w:p>
    <w:p w14:paraId="747083B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1190D55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巴州市场监督管理局开展2024年行业对口援疆资金项目绩效评价遵循以下基本原则：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运用科学合理的方法，按照规范的程序，对项目绩效进行客观、公正的反映。巴州市场监督管理局在2024年行业对口援疆资金项目评价中根据相关政策、部门职责及年初预算资金分配测算依据等当面分析可得项目设立合理，实施过程规范、评价过程科学合理、公平公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职责明确，各有侧重，相互衔接。单位自评应由项目单位自主实施，即“谁支出、谁自评”。巴州市场监督管理局在实施2024年行业对口援疆资金项目过程中，明确资金管理科室、资金使用方向，对项目实施情况进行单位自评，职责明确，相互衔接。在项目评价初期进行广泛深入地调查摸底，全面掌握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与预算安排、政策调整、改进管理实质性挂钩，体现奖优罚劣和激励相容导向，有效要安排、低效要压减、无效要问责。2024年行业对口援疆资金项目相关科室从项目实施方案、项目预算、项目成本等环节，全过程对项目进行监管，明确分工，各司其职，抓好工作目标任务的落实完成，并向单位主要领导报告，年中要求各部门按照年初预算对绩效工作进行监控，存在问题及时整改，确保绩效目标如期实现，不断提高财政资金配置和使用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（4）公开透明。巴州市场监督管理局将本项目绩效评价结果在巴州人民政府网站依法依规公开，并自觉接受社会监督。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市场监督管理局通过对绩效目标与实施情况、历史与当期完成情况，综合分析绩效目标实现程度，对项目最终验收情况与年度绩效目标对比、预算资金执行情况等相关因素进行比较。2024年行业对口援疆资金项目支出绩效自评采用比较法。原因是：比较法对历史与当期完成情况更好的反应项目情况，更为明确清晰的判断本次项目开展情况的等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原因是：2024年行业对口援疆资金项目设置年初绩效目标表时，预先制定工作计划，并根据根据该项目的年度计划确定三级指标。采用计划标准可提高预算编制和预算额度测算准确率,使评价结果更加科学真实。</w:t>
      </w:r>
    </w:p>
    <w:p w14:paraId="7F408243">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422E31B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市场监督管理局成立了预算绩效管理工作领导小组,小组成员由财务人员、项目管理人员组成。在2024年行业对口援疆资金项目绩效评价工作要求严格按照财政绩效评价审核要求开展，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2024年行业对口援疆资金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2024年行业对口援疆资金项目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2024年行业对口援疆资金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250D47B7">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5AAE6077">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2024年行业对口援疆资金项目在对市场监督管理业务下拨项目等方面表现出色，达到了预期的标准与要求。同时，项目也在采购物品取得了显著的成效，如强化食品药品监管，持续完善食品安全制度机制，加强食品安全监管，加大食品安全执法力度，推进食用农产品生产取证企业转型升级，全面提高依法监管能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在项目管理方面，巴州市场监督管理局通过有效的规划、组织与协调，项目得以顺利实施，并在预算与时间上保持了良好的控制。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从项目效益的角度来看，本项目不仅实现了预期的社会效益方面产生了积极的影响。具体而言，通过预防风险、提升质量、优化服务，实现了从“事后处置”到“事前预防”的转变，提高食品药品监管水平。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综上所述，2024年行业对口援疆资金项目在绩效评价中表现出色，达到了项目的预期目标，并在多个方面取得了显著的成效。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99分，属于“优”。其中，项目决策类指标权重为20分，得分为 20分，得分率为 100%。项目过程类指标权重为20分，得分为20分，得分率为 100%。项目产出类指标权重为40分，得分为39分，得分率为 97.5%。项目效益类指标权重为20分，得分为20分，得分率为100%。具体打分情况详见：附件1综合评分表。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39</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99</w:t>
      </w:r>
    </w:p>
    <w:p w14:paraId="4AA18E57">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0843C7D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16EBA68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行业对口援疆资金项目依据《知识产权人才“十四五”规划》《市场监管人才发展呢三年行动计划（2023-2025年）》有关部署，《自治州创新驱动实施方案》巴党发[2017]13号文件，重点任务第22条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行业对口援疆资金项目设立过程符合相关要求，严格按照审批流程准备符合要求的文件、材料；根据决算依据编制工作计划和经费预算，经过与部门项目分管领导沟通、筛选确定经费预算计划，确定最终预算方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行业对口援疆资金项目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2024年行业对口援疆资金项目设置了明确的预期产出效益和效果，将绩效目标细化分解为具体的绩效指标，绩效目标与项目目标任务数相对应，绩效目标设定的绩效指标清晰、细化、可衡量。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行业对口援疆资金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行业对口援疆资金项目的资金分配遵循了公平、公正、透明的原则，确保了项目资源的合理配置与高效利用。在资金分配过程中，巴州市场监督管理局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巴州市场监督管理局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行业对口援疆资金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6917A5C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622DD82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2024年行业对口援疆资金项目总投资85万元，财政资金及时足额到位，到位率100%，预算资金按计划进度执行。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预算编制较为详细，2024年行业对口援疆资金项目资金支出总体能够按照预算执行，预算资金支出84.6万元，预算执行率为99.53%。</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行业对口援疆资金项目的资金使用严格遵循了国家相关法律法规与财务制度，确保了资金的合规性与安全性。在资金使用过程中，巴州市场监督管理局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巴州市场监督管理局在资金使用坚持了专款专用的原则，确保了项目资金不被挪用或截留。同时，巴州市场监督管理局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行业对口援疆资金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行业对口援疆资金项目拥有一套完善、健全的管理制度体系，制定了《巴州市场监督管理局财务管理办法》和《巴州市场监督管理局预算绩效目标管理办法》等相关管理办法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在制度设计上，巴州市场监督管理局注重了制度的科学性与可操作性，确保制度能够切实指导项目的执行与管理。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行业对口援疆资金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行业对口援疆资金项目在执行过程中，管理制度得到了全面、有效的落实，为确保项目的顺利实施与目标实现提供了坚实的保障。巴州市场监督管理局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在具体执行过程中，项目执行科室严格按照制度要求进行操作。同时，还建立了有效的沟通机制与反馈机制，确保项目信息的及时传递与问题的及时解决，进一步提高了制度执行的效率与效果。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综上所述，2024年行业对口援疆资金项目的管理制度在执行过程中表现出了高度的有效性，既确保了项目的顺利进行，又实现了项目目标的有效达成。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1A789B3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1C9FD42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项目产出类指标包括产出数量、产出质量、产出时效、产出成本四方面的内容，由9个三级指标构成，权重分为40分，实际得分39分，得分率为97.5%。具体产出指标完成情况如下：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指标1：市场监督管理业务下拨项目数，指标值：&gt;=3项，实际完成值：2项，指标完成率67%，偏差原因：本年计划下拨项目3批，下半年将2批合并为1批，造成偏差，改进措施：下年精准设置绩效目标值；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指标2：采购第三方服务次数，指标值：=1次，实际完成值：1次，指标完成率100%；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指标3：采购物品批次，指标值：&gt;=2批，实际完成值：3批，指标完成率150%，偏差原因：年初设置的绩效目标值偏低，本年完成较好，造成偏差，改进措施：下年精准设置绩效目标值；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此项权重分值为10分，得分为9分。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指标1：政府采购率，指标值：&gt;=95%，实际完成值：100%，指标完成率100%；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指标2：采购物品验收合格率，指标值：&gt;=95%，实际完成值：100%，指标完成率100%；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指标1：市场监督管理业务下拨项目按时完成率，指标值：&gt;=95%，实际完成值：100%，指标完成率100%；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指标2：物品采购及时率，指标值：&gt;=95%，实际完成值：100%，指标完成率100%；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指标1：市场监督管理采购经费，指标值：&lt;=50万元，实际完成值：48.45万元，指标完成率96.9%，偏差原因：节约成本，造成偏差，改进措施：下年精准设置绩效目标值，精准预算；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指标2：市场监督管理业务下拨项目经费，指标值：&lt;=75万元，实际完成值：75万元，指标完成率100%；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716E1E5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0E07EB8F">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项目效益类指标包括项目实施效益和满意度两方面的内容，由3个三级指标构成，权重分为20分，实际得分20分，得分率为100%。具体效益指标及满意度指标完成情况如下：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指标1：综合治理能力提升，指标值：有所提高，实际完成值：达成目标，指标完成率100%；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指标2：促进行业健康有序发展，指标值：有所提升，实际完成值：达成目标，指标完成率100%；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62FE5D49">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指标1：单位人员满意度，指标值：&gt;=95%，实际完成值：100%，指标完成率100%。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32B5583A">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58033794">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市场监督管理局制定详细的预算绩效管理办法，明确绩效目标管理、绩效监控、绩效评价等各个环节的具体要求和操作流程。成立了预算绩效管理工作领导小组，由单位主要领导担任组长，相关科室负责人为成员，明确职责分工，确保预算绩效管理工作有专门的组织机构进行统筹和推进。安排专人负责预算绩效管理工作，确保各项任务落到实处。积极参加财政、审计组织的业务培训，提升单位内部人员的绩效管理意识和业务水平，鼓励财务人员学习考取相关证书。同时加大信息公开力度，将绩效目标、绩效评价结果等内容随部门预算、决算向社会公开，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缺乏动态跟踪机制，跨部门协作不足，资金使用进度信息共享机制不健全，影响资金使用效率。 </w:t>
      </w:r>
    </w:p>
    <w:p w14:paraId="279AF53F">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31104850">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 xml:space="preserve">建立预算执行进度与项目绩效双监控机制，定期通报执行情况，利用信息化手段实现资金使用全流程留痕，防范违规风险。建立“预算编制-执行-评价-调整”闭环管理机制，将评价结果作为预算分配重要依据，对低效、无效项目及时调整或终止，优化资源配置。 </w:t>
      </w:r>
    </w:p>
    <w:p w14:paraId="541C0E01">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357044C1">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65D8E930">
      <w:pPr>
        <w:spacing w:line="540" w:lineRule="exact"/>
        <w:ind w:firstLine="567"/>
        <w:rPr>
          <w:rStyle w:val="19"/>
          <w:rFonts w:ascii="仿宋" w:hAnsi="仿宋" w:eastAsia="仿宋"/>
          <w:b w:val="0"/>
          <w:spacing w:val="-4"/>
          <w:sz w:val="32"/>
          <w:szCs w:val="32"/>
        </w:rPr>
      </w:pPr>
    </w:p>
    <w:p w14:paraId="42E3E1CF">
      <w:pPr>
        <w:spacing w:line="540" w:lineRule="exact"/>
        <w:ind w:firstLine="567"/>
        <w:rPr>
          <w:rStyle w:val="19"/>
          <w:rFonts w:ascii="仿宋" w:hAnsi="仿宋" w:eastAsia="仿宋"/>
          <w:b w:val="0"/>
          <w:spacing w:val="-4"/>
          <w:sz w:val="32"/>
          <w:szCs w:val="32"/>
        </w:rPr>
      </w:pPr>
    </w:p>
    <w:p w14:paraId="728E34EB">
      <w:pPr>
        <w:spacing w:line="540" w:lineRule="exact"/>
        <w:ind w:firstLine="567"/>
        <w:rPr>
          <w:rStyle w:val="19"/>
          <w:rFonts w:ascii="仿宋" w:hAnsi="仿宋" w:eastAsia="仿宋"/>
          <w:b w:val="0"/>
          <w:spacing w:val="-4"/>
          <w:sz w:val="32"/>
          <w:szCs w:val="32"/>
        </w:rPr>
      </w:pPr>
    </w:p>
    <w:p w14:paraId="4AF3DD02">
      <w:pPr>
        <w:spacing w:line="540" w:lineRule="exact"/>
        <w:ind w:firstLine="567"/>
        <w:rPr>
          <w:rStyle w:val="19"/>
          <w:rFonts w:ascii="仿宋" w:hAnsi="仿宋" w:eastAsia="仿宋"/>
          <w:b w:val="0"/>
          <w:spacing w:val="-4"/>
          <w:sz w:val="32"/>
          <w:szCs w:val="32"/>
        </w:rPr>
      </w:pPr>
    </w:p>
    <w:p w14:paraId="7E4FD55E">
      <w:pPr>
        <w:spacing w:line="540" w:lineRule="exact"/>
        <w:ind w:firstLine="567"/>
        <w:rPr>
          <w:rStyle w:val="19"/>
          <w:rFonts w:ascii="仿宋" w:hAnsi="仿宋" w:eastAsia="仿宋"/>
          <w:b w:val="0"/>
          <w:spacing w:val="-4"/>
          <w:sz w:val="32"/>
          <w:szCs w:val="32"/>
        </w:rPr>
      </w:pPr>
    </w:p>
    <w:p w14:paraId="0B5C2CF1">
      <w:pPr>
        <w:spacing w:line="540" w:lineRule="exact"/>
        <w:ind w:firstLine="567"/>
        <w:rPr>
          <w:rStyle w:val="19"/>
          <w:rFonts w:ascii="仿宋" w:hAnsi="仿宋" w:eastAsia="仿宋"/>
          <w:b w:val="0"/>
          <w:spacing w:val="-4"/>
          <w:sz w:val="32"/>
          <w:szCs w:val="32"/>
        </w:rPr>
      </w:pPr>
    </w:p>
    <w:p w14:paraId="46E3C311">
      <w:pPr>
        <w:spacing w:line="540" w:lineRule="exact"/>
        <w:ind w:firstLine="567"/>
        <w:rPr>
          <w:rStyle w:val="19"/>
          <w:rFonts w:ascii="仿宋" w:hAnsi="仿宋" w:eastAsia="仿宋"/>
          <w:b w:val="0"/>
          <w:spacing w:val="-4"/>
          <w:sz w:val="32"/>
          <w:szCs w:val="32"/>
        </w:rPr>
      </w:pPr>
    </w:p>
    <w:p w14:paraId="5CEDA535">
      <w:pPr>
        <w:spacing w:line="540" w:lineRule="exact"/>
        <w:ind w:firstLine="567"/>
        <w:rPr>
          <w:rStyle w:val="19"/>
          <w:rFonts w:ascii="仿宋" w:hAnsi="仿宋" w:eastAsia="仿宋"/>
          <w:b w:val="0"/>
          <w:spacing w:val="-4"/>
          <w:sz w:val="32"/>
          <w:szCs w:val="32"/>
        </w:rPr>
      </w:pPr>
    </w:p>
    <w:p w14:paraId="6BBA64D8">
      <w:pPr>
        <w:spacing w:line="540" w:lineRule="exact"/>
        <w:ind w:firstLine="567"/>
        <w:rPr>
          <w:rStyle w:val="19"/>
          <w:rFonts w:ascii="仿宋" w:hAnsi="仿宋" w:eastAsia="仿宋"/>
          <w:b w:val="0"/>
          <w:spacing w:val="-4"/>
          <w:sz w:val="32"/>
          <w:szCs w:val="32"/>
        </w:rPr>
      </w:pPr>
    </w:p>
    <w:p w14:paraId="6F87BB6A">
      <w:pPr>
        <w:spacing w:line="540" w:lineRule="exact"/>
        <w:ind w:firstLine="567"/>
        <w:rPr>
          <w:rStyle w:val="19"/>
          <w:rFonts w:ascii="仿宋" w:hAnsi="仿宋" w:eastAsia="仿宋"/>
          <w:b w:val="0"/>
          <w:spacing w:val="-4"/>
          <w:sz w:val="32"/>
          <w:szCs w:val="32"/>
        </w:rPr>
      </w:pPr>
    </w:p>
    <w:p w14:paraId="41139E61">
      <w:pPr>
        <w:spacing w:line="540" w:lineRule="exact"/>
        <w:ind w:firstLine="567"/>
        <w:rPr>
          <w:rStyle w:val="19"/>
          <w:rFonts w:ascii="仿宋" w:hAnsi="仿宋" w:eastAsia="仿宋"/>
          <w:b w:val="0"/>
          <w:spacing w:val="-4"/>
          <w:sz w:val="32"/>
          <w:szCs w:val="32"/>
        </w:rPr>
      </w:pPr>
    </w:p>
    <w:p w14:paraId="7C94CC3B">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6326F7B-8707-4B40-ADA8-CC288BFBBE1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AAB3766B-FB04-47C1-BC21-09962982CD55}"/>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25028CAB-9F96-4BD3-A20B-3EDB8311BEA7}"/>
  </w:font>
  <w:font w:name="华文中宋">
    <w:panose1 w:val="02010600040101010101"/>
    <w:charset w:val="86"/>
    <w:family w:val="auto"/>
    <w:pitch w:val="default"/>
    <w:sig w:usb0="00000287" w:usb1="080F0000" w:usb2="00000000" w:usb3="00000000" w:csb0="0004009F" w:csb1="DFD70000"/>
    <w:embedRegular r:id="rId4" w:fontKey="{F5187C19-43DD-47DC-ABD1-C2AF1380820A}"/>
  </w:font>
  <w:font w:name="方正小标宋_GBK">
    <w:panose1 w:val="02000000000000000000"/>
    <w:charset w:val="86"/>
    <w:family w:val="script"/>
    <w:pitch w:val="default"/>
    <w:sig w:usb0="A00002BF" w:usb1="38CF7CFA" w:usb2="00082016" w:usb3="00000000" w:csb0="00040001" w:csb1="00000000"/>
    <w:embedRegular r:id="rId5" w:fontKey="{CD3FD43A-7570-4A51-8658-A0EEF6D5DFFD}"/>
  </w:font>
  <w:font w:name="仿宋_GB2312">
    <w:altName w:val="仿宋"/>
    <w:panose1 w:val="02010609030101010101"/>
    <w:charset w:val="86"/>
    <w:family w:val="modern"/>
    <w:pitch w:val="default"/>
    <w:sig w:usb0="00000000" w:usb1="00000000" w:usb2="00000000" w:usb3="00000000" w:csb0="00040000" w:csb1="00000000"/>
    <w:embedRegular r:id="rId6" w:fontKey="{2FF97493-B47C-462F-ADDE-03074D8E179C}"/>
  </w:font>
  <w:font w:name="楷体">
    <w:panose1 w:val="02010609060101010101"/>
    <w:charset w:val="86"/>
    <w:family w:val="modern"/>
    <w:pitch w:val="default"/>
    <w:sig w:usb0="800002BF" w:usb1="38CF7CFA" w:usb2="00000016" w:usb3="00000000" w:csb0="00040001" w:csb1="00000000"/>
    <w:embedRegular r:id="rId7" w:fontKey="{F2DC187B-140B-4C2C-872D-7762A4A783D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6E2B434F">
        <w:pPr>
          <w:pStyle w:val="12"/>
          <w:jc w:val="center"/>
        </w:pPr>
        <w:r>
          <w:fldChar w:fldCharType="begin"/>
        </w:r>
        <w:r>
          <w:instrText xml:space="preserve">PAGE   \* MERGEFORMAT</w:instrText>
        </w:r>
        <w:r>
          <w:fldChar w:fldCharType="separate"/>
        </w:r>
        <w:r>
          <w:rPr>
            <w:lang w:val="zh-CN"/>
          </w:rPr>
          <w:t>1</w:t>
        </w:r>
        <w:r>
          <w:fldChar w:fldCharType="end"/>
        </w:r>
      </w:p>
    </w:sdtContent>
  </w:sdt>
  <w:p w14:paraId="3B64724C">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1C155FD"/>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42dd3f07-fe4c-4dcb-95bf-6bc4324044c9}">
  <ds:schemaRefs/>
</ds:datastoreItem>
</file>

<file path=docProps/app.xml><?xml version="1.0" encoding="utf-8"?>
<Properties xmlns="http://schemas.openxmlformats.org/officeDocument/2006/extended-properties" xmlns:vt="http://schemas.openxmlformats.org/officeDocument/2006/docPropsVTypes">
  <Template>Normal.dotm</Template>
  <Pages>20</Pages>
  <Words>9365</Words>
  <Characters>9763</Characters>
  <Lines>5</Lines>
  <Paragraphs>1</Paragraphs>
  <TotalTime>1</TotalTime>
  <ScaleCrop>false</ScaleCrop>
  <LinksUpToDate>false</LinksUpToDate>
  <CharactersWithSpaces>9794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2025-09-22T08:48:30Z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