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BEDB2"/>
    <w:p w14:paraId="14704C2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6C317D0">
      <w:pPr>
        <w:spacing w:line="540" w:lineRule="exact"/>
        <w:jc w:val="center"/>
        <w:rPr>
          <w:rFonts w:ascii="华文中宋" w:hAnsi="华文中宋" w:eastAsia="华文中宋" w:cs="宋体"/>
          <w:b/>
          <w:kern w:val="0"/>
          <w:sz w:val="52"/>
          <w:szCs w:val="52"/>
        </w:rPr>
      </w:pPr>
    </w:p>
    <w:p w14:paraId="599D3257">
      <w:pPr>
        <w:spacing w:line="540" w:lineRule="exact"/>
        <w:jc w:val="center"/>
        <w:rPr>
          <w:rFonts w:ascii="华文中宋" w:hAnsi="华文中宋" w:eastAsia="华文中宋" w:cs="宋体"/>
          <w:b/>
          <w:kern w:val="0"/>
          <w:sz w:val="52"/>
          <w:szCs w:val="52"/>
        </w:rPr>
      </w:pPr>
    </w:p>
    <w:p w14:paraId="771C356E">
      <w:pPr>
        <w:spacing w:line="540" w:lineRule="exact"/>
        <w:jc w:val="center"/>
        <w:rPr>
          <w:rFonts w:ascii="华文中宋" w:hAnsi="华文中宋" w:eastAsia="华文中宋" w:cs="宋体"/>
          <w:b/>
          <w:kern w:val="0"/>
          <w:sz w:val="52"/>
          <w:szCs w:val="52"/>
        </w:rPr>
      </w:pPr>
    </w:p>
    <w:p w14:paraId="100EFB8D">
      <w:pPr>
        <w:spacing w:line="540" w:lineRule="exact"/>
        <w:jc w:val="center"/>
        <w:rPr>
          <w:rFonts w:ascii="华文中宋" w:hAnsi="华文中宋" w:eastAsia="华文中宋" w:cs="宋体"/>
          <w:b/>
          <w:kern w:val="0"/>
          <w:sz w:val="52"/>
          <w:szCs w:val="52"/>
        </w:rPr>
      </w:pPr>
    </w:p>
    <w:p w14:paraId="480F9510">
      <w:pPr>
        <w:spacing w:line="540" w:lineRule="exact"/>
        <w:jc w:val="center"/>
        <w:rPr>
          <w:rFonts w:ascii="华文中宋" w:hAnsi="华文中宋" w:eastAsia="华文中宋" w:cs="宋体"/>
          <w:b/>
          <w:kern w:val="0"/>
          <w:sz w:val="52"/>
          <w:szCs w:val="52"/>
        </w:rPr>
      </w:pPr>
    </w:p>
    <w:p w14:paraId="3279E1F2">
      <w:pPr>
        <w:spacing w:line="540" w:lineRule="exact"/>
        <w:jc w:val="center"/>
        <w:rPr>
          <w:rFonts w:ascii="华文中宋" w:hAnsi="华文中宋" w:eastAsia="华文中宋" w:cs="宋体"/>
          <w:b/>
          <w:kern w:val="0"/>
          <w:sz w:val="52"/>
          <w:szCs w:val="52"/>
        </w:rPr>
      </w:pPr>
    </w:p>
    <w:p w14:paraId="2A29814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3EBECF0">
      <w:pPr>
        <w:spacing w:line="540" w:lineRule="exact"/>
        <w:jc w:val="center"/>
        <w:rPr>
          <w:rFonts w:ascii="华文中宋" w:hAnsi="华文中宋" w:eastAsia="华文中宋" w:cs="宋体"/>
          <w:b/>
          <w:kern w:val="0"/>
          <w:sz w:val="52"/>
          <w:szCs w:val="52"/>
        </w:rPr>
      </w:pPr>
    </w:p>
    <w:p w14:paraId="374BAC7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8EA3879">
      <w:pPr>
        <w:spacing w:line="540" w:lineRule="exact"/>
        <w:jc w:val="center"/>
        <w:rPr>
          <w:rFonts w:hAnsi="宋体" w:eastAsia="仿宋_GB2312" w:cs="宋体"/>
          <w:kern w:val="0"/>
          <w:sz w:val="30"/>
          <w:szCs w:val="30"/>
        </w:rPr>
      </w:pPr>
    </w:p>
    <w:p w14:paraId="1DA30AA7">
      <w:pPr>
        <w:spacing w:line="540" w:lineRule="exact"/>
        <w:jc w:val="center"/>
        <w:rPr>
          <w:rFonts w:hAnsi="宋体" w:eastAsia="仿宋_GB2312" w:cs="宋体"/>
          <w:kern w:val="0"/>
          <w:sz w:val="30"/>
          <w:szCs w:val="30"/>
        </w:rPr>
      </w:pPr>
    </w:p>
    <w:p w14:paraId="25BC087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B05539C">
      <w:pPr>
        <w:spacing w:line="540" w:lineRule="exact"/>
        <w:jc w:val="center"/>
        <w:rPr>
          <w:rFonts w:hAnsi="宋体" w:eastAsia="仿宋_GB2312" w:cs="宋体"/>
          <w:kern w:val="0"/>
          <w:sz w:val="30"/>
          <w:szCs w:val="30"/>
        </w:rPr>
      </w:pPr>
    </w:p>
    <w:p w14:paraId="3E3027E0">
      <w:pPr>
        <w:spacing w:line="540" w:lineRule="exact"/>
        <w:jc w:val="center"/>
        <w:rPr>
          <w:rFonts w:hAnsi="宋体" w:eastAsia="仿宋_GB2312" w:cs="宋体"/>
          <w:kern w:val="0"/>
          <w:sz w:val="30"/>
          <w:szCs w:val="30"/>
        </w:rPr>
      </w:pPr>
    </w:p>
    <w:p w14:paraId="3DA2925A">
      <w:pPr>
        <w:spacing w:line="540" w:lineRule="exact"/>
        <w:jc w:val="center"/>
        <w:rPr>
          <w:rFonts w:hAnsi="宋体" w:eastAsia="仿宋_GB2312" w:cs="宋体"/>
          <w:kern w:val="0"/>
          <w:sz w:val="30"/>
          <w:szCs w:val="30"/>
        </w:rPr>
      </w:pPr>
    </w:p>
    <w:p w14:paraId="36606A71">
      <w:pPr>
        <w:spacing w:line="540" w:lineRule="exact"/>
        <w:rPr>
          <w:rFonts w:hAnsi="宋体" w:eastAsia="仿宋_GB2312" w:cs="宋体"/>
          <w:kern w:val="0"/>
          <w:sz w:val="30"/>
          <w:szCs w:val="30"/>
        </w:rPr>
      </w:pPr>
    </w:p>
    <w:p w14:paraId="5837BAE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D04E77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2024年巴音布鲁克山区空中水资源开发智能烟炉建设及烟条购置项目</w:t>
      </w:r>
    </w:p>
    <w:p w14:paraId="5DE3651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人工影响天气办公室</w:t>
      </w:r>
    </w:p>
    <w:p w14:paraId="3BBAB52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巴音郭楞蒙古自治州人工影响天气办公室</w:t>
      </w:r>
    </w:p>
    <w:p w14:paraId="1567659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李刚</w:t>
      </w:r>
    </w:p>
    <w:p w14:paraId="2B5CC50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1482EF56">
      <w:pPr>
        <w:spacing w:line="700" w:lineRule="exact"/>
        <w:ind w:firstLine="708" w:firstLineChars="236"/>
        <w:jc w:val="left"/>
        <w:rPr>
          <w:rFonts w:hAnsi="宋体" w:eastAsia="仿宋_GB2312" w:cs="宋体"/>
          <w:kern w:val="0"/>
          <w:sz w:val="30"/>
          <w:szCs w:val="30"/>
        </w:rPr>
      </w:pPr>
    </w:p>
    <w:p w14:paraId="0605BF6F">
      <w:pPr>
        <w:spacing w:line="540" w:lineRule="exact"/>
        <w:rPr>
          <w:rStyle w:val="19"/>
          <w:rFonts w:ascii="黑体" w:hAnsi="黑体" w:eastAsia="黑体"/>
          <w:b w:val="0"/>
          <w:spacing w:val="-4"/>
          <w:sz w:val="32"/>
          <w:szCs w:val="32"/>
        </w:rPr>
      </w:pPr>
    </w:p>
    <w:p w14:paraId="717EEA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CC5D68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C151A8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水资源短缺是严重制约新疆经济社会发展的瓶颈之一。根据巴政发【2024】10号关于印发《自治州政府工作报告重点工作责任分工》的通知，要求科学开发利用巴音布鲁克、阿尔金、中昆仑空中云水资源，增加有效降雨降雪。2024年2月29日，为贯彻落实自治区党委关于推进开都河—孔雀河流域水资源科学配置和高效利用的工作要求，自治区副主席麦尔丹·木盖提同志带队赴巴州开都—孔雀河流域进行了现场办公，并召开了现场办公会议。会议指出，由自治区气象局、新疆空中云水资源开发利用创新研究院牵头，会同巴州人民政府、自治区水利厅、塔里木河流域管理局，将巴音布鲁克山区作为我区空中云水资源开发利用研究和作业重点，通过加大工作力度，力争为开都河流域新增来水1亿立方米以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着充分开发利用巴音布鲁克山区空中水资源，增加区域降水量及地表水，补充地下水、冰川和积雪，从而有效应对气候变化，促进经济发展的目标，需按照全面实施预算绩效管理“全方位、全过程、全覆盖”的具体要求，落实相关主体责任，保障开都河—孔雀河流域水资源科学配置和高效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充分发挥人工影响天气在生态安全、水资源安全和粮食安全等方面的保障作用，遏制巴音布鲁克草场退化，修复巴音布鲁克草原生态环境。2024年在巴音布鲁克山区建设20套智能碘化银烟炉、购置烟条，大力开展人工影响天气烟炉作业，不断开发利用空中云水资源，扩大该区域的人工影响天气作业面积，通过智能烟炉、地面火箭、无人机等方式增加山区降水量3000万立方米以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2024年巴音布鲁克山区空中水资源开发智能烟炉建设及烟条购置项目，于2024年5月初开始，2024年10月底完成建设，11月完成验收工作。本项目按照计划根据巴音布鲁克山区地形、天气类型和云系分布特点，通过业内专家实地踏勘选址，在合适的位置建设20套智能型地面碘化银烟炉并购置2000根地面碘化银烟条，实施大范围的人工增水作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在巴音布鲁克山区适合开展人工增雨（雪）的点位，新增20部智能烟炉，购置了2000根烟条，项目已于2024年11月20日通过验收。后续已投入2024-2025年冬春季增雪工作使用，有效扩大了人工增雨雪作业面积和烟炉规模，为巴州防灾减灾、生态建设和保护、水资源安全、乡村振兴等提供了有力保障及服务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（1）资金投入情况：该项目年初预算数730万元，全年预算数730万元，该项目资金已全部落实到位，资金来源为财政拨款。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（2）资金使用情况：该项目年初预算数730万元，全年预算数730万元，全年执行数697.13万元，预算执行率为95.5%，主要用于：采购2000根烟炉烟条合计130万元，20套烟炉建设费用为567.13万元。</w:t>
      </w:r>
    </w:p>
    <w:p w14:paraId="458BF92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150D7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充分发挥人工影响天气在生态安全、水资源安全和粮食安全等方面的保障作用，遏制巴音布鲁克草场退化，修复巴音布鲁克草原生态环境。2024年在巴音布鲁克山区建设20套智能碘化银烟炉、购置烟条，大力开展人工影响天气烟炉作业，不断开发利用空中云水资源，扩大该区域的人工影响天气作业面积，通过智能烟炉、地面火箭、无人机等作业方式增加山区降水量3000万立方米以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第二季度，申报关于在巴音布鲁克山区建设20套智能碘化银烟炉、购置2000根烟条的项目立项审批通过；第三季度，申报建设20套烟炉和购买烟条的政府采购计划并招投标，完成项目选址等相关工作；第四季度，完成烟炉项目施工建设，并通过验收，为巴州防灾减灾、生态建设和保护、水资源安全、乡村振兴等提供有力保障及服务支持。</w:t>
      </w:r>
    </w:p>
    <w:p w14:paraId="18407C6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12F88B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A671EE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项目绩效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生态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通过对项目预算执行情况及各项绩效目标达成程度的系统性分析，全面、客观地评估项目在预定周期内的实施效果，包括经济效益、生态效益等多维度指标，为项目后续的改进与优化提供科学依据。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基于绩效评价发现的烟炉建设缓慢问题，及时提出针对性的改进建议与措施，山区恶劣条件下，项目组成员克服困难完成设备的安装。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音布鲁克山区空中水资源开发智能烟炉建设及烟条购置项目及其预算执行情况。该项目由巴州人工影响天气办公室负责实施，旨在在巴音布鲁克山区建设20套智能碘化银烟炉、购置2000根烟条，大力开展人工影响天气烟炉作业，不断开发利用空中云水资源，扩大该区域的人工影响天气作业面积，增加山区降水量3000万立方米以上。项目预算涵盖从2024年5月5日至2024年12月31日的全部资金投入与支出，涉及资金总额为697.13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社会、生态等影响：充分发挥人工影响天气在生态安全、水资源安全和粮食安全等方面的保障作用，遏制巴音布鲁克草场退化，修复巴音布鲁克草原生态环境，有效增加山区降水量。</w:t>
      </w:r>
    </w:p>
    <w:p w14:paraId="2CA8755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E40FD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本项目，在评价过程中主要采用了最低成本法。2024年巴音布鲁克山区空中水资源开发智能烟炉建设及烟条购置项目年初预算数730万元，内容是在巴音布鲁克山区新增20套智能烟炉，购置2000根碘化银烟条，在绩效目标确定的前提下，最终执行数是697.13万元，节约32.87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本次评价主要采用了计划标准，本项目实施前，气象局内部召开会议讨论并制定了计划及目标，实际完成情况与计划目标一致。</w:t>
      </w:r>
    </w:p>
    <w:p w14:paraId="7509E2A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51A27C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绩效评价工作方案，具体包括项目概况、评价思路、方法手段、组织实施、进度安排等。收集项目立项依据、相关会议纪要、实施方案、财政资金分配方案、支付管理情况等相关评价资料并进行梳理。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山区降水量增加值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分析与评估的结果，按照统一的格式和规范撰写项目预算绩效评价报告。报告内容包括项目背景、评价目的、评价指标体系、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2D631B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D675C0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巴音布鲁克山区空中水资源开发智能烟炉建设及烟条购置项目在完成20套智能碘化银烟炉的建设，购置2000根烟条等方面表现出色，达到了预期的标准与要求。同时，项目也在生态效益方面取得了显著的成效，如，遏制巴音布鲁克草场退化，修复巴音布鲁克草原生态环境，增加降水量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在项目管理方面，巴州人工影响天气办公室通过有效的规划、组织与协调，项目得以顺利实施，并在预算与时间上保持了良好的控制。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生态效益、经济效益等方面产生了积极的影响。具体而言，遏制巴音布鲁克草场退化，修复巴音布鲁克草原生态环境，增加降水量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综上所述，2024年巴音布鲁克山区空中水资源开发智能烟炉建设及烟条购置项目在绩效评价中表现出色，达到了项目的预期目标，并在多个方面取得了显著的成效。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绩效评价原则，采用最低成本法，坚持计划标准对本项目的立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2024年巴音布鲁克山区空中水资源开发智能烟炉建设及烟条购置项目建设资金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43AD479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79DCB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E5EA0E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立项依据《中华人民共和国国民经济和社会发展第十四个五年规划纲要》、《全国生态环境保护纲要》、《气象高质量发展纲要》（2022—2035年）、《国务院办公厅关于推进人工影响天气工作高质量发展的意见》（国办发〔2020〕47号）、巴政发【2024】10号关于印发《自治州政府工作报告重点工作责任分工》的通知等相关文件。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中华人民共和国国民经济和社会发展第十四个五年规划纲要》、《全国生态环境保护纲要》、《气象高质量发展纲要》（2022—2035年）、《国务院办公厅关于推进人工影响天气工作高质量发展的意见》（国办发〔2020〕47号）、巴政发【2024】10号关于印发《自治州政府工作报告重点工作责任分工》的通知等相关文件要求；根据决算依据编制工作计划和经费预算，经过与气象局项目分管领导沟通、筛选确定经费预算计划，确定最终预算方案。项目年度计划方案完整，立项清晰，项目资金申请文件齐全，申报材料审批完整，保障了程序的规范性。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音布鲁克山区空中水资源开发智能烟炉建设及烟条购置项目将项目绩效目标细化分解为具体的绩效指标，一级指标共4条，二级指标共13条，三级指标共13条，其中量化指标条数共13条，所有绩效指标均通过清晰、可衡量的指标值予以体现，并且做到了与项目目标任务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3.资金揉入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严格按照财政部门预算编制与预算调整的工作要求，在预算编制、分配依据否充分的条件下，切实做好“先定目标再编预算”，确保预算分配结果合理。同时按照要求，部门预算及绩效目标公开，广泛接受社会监督。依照巴州财政局相关规定和巴州气象局财务部门有关要求，切实做好了预算编制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单位按照财政要求合理分配资金并申报资金使用计划，由财政部门按照进度每月按期拨付，人员支出按照工资计划发放工资；符合政府采购要求的支出一律用政采云采购，属于非政府采购的项目，按照巴州气象局财务制度规定，超过5千元上财务会议、超过5万元的重大项目支出上州气象局党组会研究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p>
    <w:p w14:paraId="20B2D02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183BC6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项目过程类指标包括资金管理和组织实施两方面的内容，由5个三级指标构成，权重分值为20分，实际得分100分，得分率为100%。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本项目总投资697.13万元，财政资金及时足额到位，到位率100%，预算资金按计划进度执行。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预算编制较为详细，项目资金支出总体能够按照预算执行，预算资金支出697.13万元，预算执行率为95.5%。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符合国家财经法规和财务管理制度以及有关专项资金管理办法的规定；资金的拨付有完整的审批程序和手续；依照巴州财政局相关规定和巴州气象局财务部门审核规定流程，资金支出按照我内控体系中设定的流程申报审批进行；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制定了《2024年巴音布鲁克山区空中水资源开发智能烟炉建设及烟条购置项目资金管理办法》，发布了《采购20套智能型碘化银烟炉的意向公告》并通过公开招投标的方式完成采购。各项资金使用审批流程均按规定办理；财务和业务管理制度合法、合规、完整。按照巴州财政局《巴州采购与招标管理办法》组织人员制定采购计划，按照财政局采购部门批复，用公开招标、邀请招标等方式进行采购。</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音布鲁克山区空中水资源开发智能烟炉建设及烟条购置项目资金管理办法》遵守相关法律法规和相关管理规定；项目调整及支出调整手续完备；项目合同书、验收报告、技术鉴定等资料齐全并及时归档；项目实施的人员条件、场地设备、信息支撑等全部落实到位。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3712492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66BA8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①数量指标：指标1：建设智能型地面碘化银烟炉，指标值：=20套,实际完成值20套，指标完成率100%；指标2：购置烟炉烟条，指标值：=2000根，实际完成值2000根，指标完成率100%。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指标1：智能型烟炉质量合格率，指标值：100%，实际完成值100%，指标完成率100%；指标2：烟条质量合格率，指标值：100%，实际完成值100%，指标完成率100%；指标3：智能型烟炉验收合格率，指标值：100%，实际完成值100%，指标完成率100%；指标4：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③时效指标：指标1：烟炉建设完成时间，指标值：2024年10月20日，实际完成值2024年10月20日，指标完成率100%；指标2：烟条采购完成时间，指标值：2024年7月1日，实际完成值2024年6月20日，指标完成率100%。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④成本指标：指标1：烟炉建设费用，指标值：&lt;=600万元，实际完成值=567.13万元，指标完成率94.52%；指标2：平均每根烟条价格，指标值：&lt;=650元，实际完成值=650元，指标完成率100%。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69A44A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5B8E8A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①经济效益指标：指标1：烟条利用率，指标值：&gt;=90%，实际完成值=100%，指标完成率100%。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②生态效益指标：指标1：巴音布鲁克山区年降水量比历年增加值，指标值：&gt;=3000万立方米，实际完成值=3880万立方米，指标完成率100%。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p>
    <w:p w14:paraId="7FFE37F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满意度指标：指标1：农牧民满意度，指标值：&gt;=90%，实际完成值=91.67%，指标完成率100%。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1B28CDE">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E5BAC8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2024年巴音布鲁克山区空中水资源开发智能烟炉建设及烟条购置项目的开展，充分发挥人工影响天气在生态安全、水资源安全和粮食安全等方面的保障作用。对绩效监控、自评工作有了进一步的认识，为今后的绩效监控、自评工作积累了宝贵的经验，将每一笔预算经费竭尽其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进一步加强了政府采购制度，在重大资金重大项目建设中，必须采用相对应的政府采购方式。使用大额资金和购置大额设备时，严格遵守政府采购相关法律法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1.资金到位较晚，影响了项目的开展进度。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2.因项目周期短、时间紧、任务重，导致安装烟炉非常困难，因山区气候恶劣，工作人员冒着大雪进行施工安装。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3.年初编制预算不太合理，导致预算执行率没有达到100%，今后做好项目的预算和绩效目标填报工作。</w:t>
      </w:r>
    </w:p>
    <w:p w14:paraId="6B0F406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E40700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水资源短缺是严重制约新疆经济社会发展的瓶颈之一。《国务院办公厅关于加强人工影响天气工作的通知》对大力开发和利用空中云水资源，加强人工增雨（雪）技术研究，有组织有计划地开展人工影响天气作业等方面均做出了长期部署。近年来，州人工影响天气工作取得了较好的成绩，增水效果显著，希望有关部门加大对人影工作的支持和人力、财力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3.进一步加强对绩效管理工作的组织领导，提高对预算绩效管理工作重要性的认识，总结经验查找问题，抓紧研究制定更全面更完善的绩效评价管理办法。</w:t>
      </w:r>
    </w:p>
    <w:p w14:paraId="4309AE8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347ADB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35C033E">
      <w:pPr>
        <w:spacing w:line="540" w:lineRule="exact"/>
        <w:ind w:firstLine="567"/>
        <w:rPr>
          <w:rStyle w:val="19"/>
          <w:rFonts w:ascii="仿宋" w:hAnsi="仿宋" w:eastAsia="仿宋"/>
          <w:b w:val="0"/>
          <w:spacing w:val="-4"/>
          <w:sz w:val="32"/>
          <w:szCs w:val="32"/>
        </w:rPr>
      </w:pPr>
    </w:p>
    <w:p w14:paraId="1FF650C0">
      <w:pPr>
        <w:spacing w:line="540" w:lineRule="exact"/>
        <w:ind w:firstLine="567"/>
        <w:rPr>
          <w:rStyle w:val="19"/>
          <w:rFonts w:ascii="仿宋" w:hAnsi="仿宋" w:eastAsia="仿宋"/>
          <w:b w:val="0"/>
          <w:spacing w:val="-4"/>
          <w:sz w:val="32"/>
          <w:szCs w:val="32"/>
        </w:rPr>
      </w:pPr>
    </w:p>
    <w:p w14:paraId="7F519F98">
      <w:pPr>
        <w:spacing w:line="540" w:lineRule="exact"/>
        <w:ind w:firstLine="567"/>
        <w:rPr>
          <w:rStyle w:val="19"/>
          <w:rFonts w:ascii="仿宋" w:hAnsi="仿宋" w:eastAsia="仿宋"/>
          <w:b w:val="0"/>
          <w:spacing w:val="-4"/>
          <w:sz w:val="32"/>
          <w:szCs w:val="32"/>
        </w:rPr>
      </w:pPr>
    </w:p>
    <w:p w14:paraId="104A8CC3">
      <w:pPr>
        <w:spacing w:line="540" w:lineRule="exact"/>
        <w:ind w:firstLine="567"/>
        <w:rPr>
          <w:rStyle w:val="19"/>
          <w:rFonts w:ascii="仿宋" w:hAnsi="仿宋" w:eastAsia="仿宋"/>
          <w:b w:val="0"/>
          <w:spacing w:val="-4"/>
          <w:sz w:val="32"/>
          <w:szCs w:val="32"/>
        </w:rPr>
      </w:pPr>
    </w:p>
    <w:p w14:paraId="077DF32E">
      <w:pPr>
        <w:spacing w:line="540" w:lineRule="exact"/>
        <w:ind w:firstLine="567"/>
        <w:rPr>
          <w:rStyle w:val="19"/>
          <w:rFonts w:ascii="仿宋" w:hAnsi="仿宋" w:eastAsia="仿宋"/>
          <w:b w:val="0"/>
          <w:spacing w:val="-4"/>
          <w:sz w:val="32"/>
          <w:szCs w:val="32"/>
        </w:rPr>
      </w:pPr>
    </w:p>
    <w:p w14:paraId="3DBBBE0E">
      <w:pPr>
        <w:spacing w:line="540" w:lineRule="exact"/>
        <w:ind w:firstLine="567"/>
        <w:rPr>
          <w:rStyle w:val="19"/>
          <w:rFonts w:ascii="仿宋" w:hAnsi="仿宋" w:eastAsia="仿宋"/>
          <w:b w:val="0"/>
          <w:spacing w:val="-4"/>
          <w:sz w:val="32"/>
          <w:szCs w:val="32"/>
        </w:rPr>
      </w:pPr>
    </w:p>
    <w:p w14:paraId="23E672A3">
      <w:pPr>
        <w:spacing w:line="540" w:lineRule="exact"/>
        <w:ind w:firstLine="567"/>
        <w:rPr>
          <w:rStyle w:val="19"/>
          <w:rFonts w:ascii="仿宋" w:hAnsi="仿宋" w:eastAsia="仿宋"/>
          <w:b w:val="0"/>
          <w:spacing w:val="-4"/>
          <w:sz w:val="32"/>
          <w:szCs w:val="32"/>
        </w:rPr>
      </w:pPr>
    </w:p>
    <w:p w14:paraId="3EF2E4C7">
      <w:pPr>
        <w:spacing w:line="540" w:lineRule="exact"/>
        <w:ind w:firstLine="567"/>
        <w:rPr>
          <w:rStyle w:val="19"/>
          <w:rFonts w:ascii="仿宋" w:hAnsi="仿宋" w:eastAsia="仿宋"/>
          <w:b w:val="0"/>
          <w:spacing w:val="-4"/>
          <w:sz w:val="32"/>
          <w:szCs w:val="32"/>
        </w:rPr>
      </w:pPr>
    </w:p>
    <w:p w14:paraId="1455AF38">
      <w:pPr>
        <w:spacing w:line="540" w:lineRule="exact"/>
        <w:ind w:firstLine="567"/>
        <w:rPr>
          <w:rStyle w:val="19"/>
          <w:rFonts w:ascii="仿宋" w:hAnsi="仿宋" w:eastAsia="仿宋"/>
          <w:b w:val="0"/>
          <w:spacing w:val="-4"/>
          <w:sz w:val="32"/>
          <w:szCs w:val="32"/>
        </w:rPr>
      </w:pPr>
    </w:p>
    <w:p w14:paraId="1EEC6213">
      <w:pPr>
        <w:spacing w:line="540" w:lineRule="exact"/>
        <w:ind w:firstLine="567"/>
        <w:rPr>
          <w:rStyle w:val="19"/>
          <w:rFonts w:ascii="仿宋" w:hAnsi="仿宋" w:eastAsia="仿宋"/>
          <w:b w:val="0"/>
          <w:spacing w:val="-4"/>
          <w:sz w:val="32"/>
          <w:szCs w:val="32"/>
        </w:rPr>
      </w:pPr>
    </w:p>
    <w:p w14:paraId="105794F7">
      <w:pPr>
        <w:spacing w:line="540" w:lineRule="exact"/>
        <w:ind w:firstLine="567"/>
        <w:rPr>
          <w:rStyle w:val="19"/>
          <w:rFonts w:ascii="仿宋" w:hAnsi="仿宋" w:eastAsia="仿宋"/>
          <w:b w:val="0"/>
          <w:spacing w:val="-4"/>
          <w:sz w:val="32"/>
          <w:szCs w:val="32"/>
        </w:rPr>
      </w:pPr>
    </w:p>
    <w:p w14:paraId="59C4B81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3217DD-54A4-4B64-B2C9-B2F61144D3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76BA6C1-A86A-4088-B8BF-B4F5190BEA2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4FEA05B-0533-43BE-A3D5-B5EF3F37CCE7}"/>
  </w:font>
  <w:font w:name="华文中宋">
    <w:panose1 w:val="02010600040101010101"/>
    <w:charset w:val="86"/>
    <w:family w:val="auto"/>
    <w:pitch w:val="default"/>
    <w:sig w:usb0="00000287" w:usb1="080F0000" w:usb2="00000000" w:usb3="00000000" w:csb0="0004009F" w:csb1="DFD70000"/>
    <w:embedRegular r:id="rId4" w:fontKey="{9384898B-7163-4E6D-8E80-5A59D7C5E8C4}"/>
  </w:font>
  <w:font w:name="方正小标宋_GBK">
    <w:panose1 w:val="02000000000000000000"/>
    <w:charset w:val="86"/>
    <w:family w:val="script"/>
    <w:pitch w:val="default"/>
    <w:sig w:usb0="A00002BF" w:usb1="38CF7CFA" w:usb2="00082016" w:usb3="00000000" w:csb0="00040001" w:csb1="00000000"/>
    <w:embedRegular r:id="rId5" w:fontKey="{60F3EF07-9ED6-420D-A0F9-10EC3FD118E9}"/>
  </w:font>
  <w:font w:name="仿宋_GB2312">
    <w:altName w:val="仿宋"/>
    <w:panose1 w:val="02010609030101010101"/>
    <w:charset w:val="86"/>
    <w:family w:val="modern"/>
    <w:pitch w:val="default"/>
    <w:sig w:usb0="00000000" w:usb1="00000000" w:usb2="00000000" w:usb3="00000000" w:csb0="00040000" w:csb1="00000000"/>
    <w:embedRegular r:id="rId6" w:fontKey="{CAD59F2F-BBEB-4A09-9AC1-089591D9B517}"/>
  </w:font>
  <w:font w:name="楷体">
    <w:panose1 w:val="02010609060101010101"/>
    <w:charset w:val="86"/>
    <w:family w:val="modern"/>
    <w:pitch w:val="default"/>
    <w:sig w:usb0="800002BF" w:usb1="38CF7CFA" w:usb2="00000016" w:usb3="00000000" w:csb0="00040001" w:csb1="00000000"/>
    <w:embedRegular r:id="rId7" w:fontKey="{A39AB9D5-BF42-4099-AE49-C7CB58F3BD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E46D78A">
        <w:pPr>
          <w:pStyle w:val="12"/>
          <w:jc w:val="center"/>
        </w:pPr>
        <w:r>
          <w:fldChar w:fldCharType="begin"/>
        </w:r>
        <w:r>
          <w:instrText xml:space="preserve">PAGE   \* MERGEFORMAT</w:instrText>
        </w:r>
        <w:r>
          <w:fldChar w:fldCharType="separate"/>
        </w:r>
        <w:r>
          <w:rPr>
            <w:lang w:val="zh-CN"/>
          </w:rPr>
          <w:t>1</w:t>
        </w:r>
        <w:r>
          <w:fldChar w:fldCharType="end"/>
        </w:r>
      </w:p>
    </w:sdtContent>
  </w:sdt>
  <w:p w14:paraId="4004129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34A9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e76c165-f449-4ce4-ae9a-0130f410aec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9710</Words>
  <Characters>10192</Characters>
  <Lines>5</Lines>
  <Paragraphs>1</Paragraphs>
  <TotalTime>0</TotalTime>
  <ScaleCrop>false</ScaleCrop>
  <LinksUpToDate>false</LinksUpToDate>
  <CharactersWithSpaces>10221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2025-09-22T05:36:41Z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