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w:t>
      </w:r>
      <w:bookmarkStart w:id="0" w:name="_GoBack"/>
      <w:r>
        <w:rPr>
          <w:rFonts w:hint="eastAsia" w:ascii="方正小标宋_GBK" w:hAnsi="宋体" w:eastAsia="方正小标宋_GBK"/>
          <w:sz w:val="44"/>
          <w:szCs w:val="44"/>
          <w:highlight w:val="none"/>
          <w:lang w:val="en-US" w:eastAsia="zh-CN"/>
        </w:rPr>
        <w:t>巴音郭楞</w:t>
      </w:r>
      <w:bookmarkEnd w:id="0"/>
      <w:r>
        <w:rPr>
          <w:rFonts w:hint="eastAsia" w:ascii="方正小标宋_GBK" w:hAnsi="宋体" w:eastAsia="方正小标宋_GBK"/>
          <w:sz w:val="44"/>
          <w:szCs w:val="44"/>
          <w:highlight w:val="none"/>
          <w:lang w:val="en-US" w:eastAsia="zh-CN"/>
        </w:rPr>
        <w:t>蒙古自治州公务用房服务中心2024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76AD80D">
      <w:r>
        <w:br w:type="page"/>
      </w:r>
    </w:p>
    <w:p w14:paraId="262DBA8C">
      <w:pPr>
        <w:spacing w:line="640" w:lineRule="exact"/>
        <w:jc w:val="center"/>
        <w:outlineLvl w:val="1"/>
      </w:pPr>
      <w:r>
        <w:rPr>
          <w:rFonts w:ascii="黑体" w:hAnsi="黑体" w:eastAsia="黑体"/>
          <w:sz w:val="32"/>
        </w:rPr>
        <w:t>第一部分 单位概况</w:t>
      </w:r>
    </w:p>
    <w:p w14:paraId="526358DE">
      <w:pPr>
        <w:spacing w:line="640" w:lineRule="exact"/>
        <w:ind w:firstLine="640"/>
        <w:jc w:val="both"/>
        <w:outlineLvl w:val="2"/>
      </w:pPr>
      <w:r>
        <w:rPr>
          <w:rFonts w:ascii="黑体" w:hAnsi="黑体" w:eastAsia="黑体"/>
          <w:sz w:val="32"/>
        </w:rPr>
        <w:t>一、主要职能</w:t>
      </w:r>
    </w:p>
    <w:p w14:paraId="6B588F87">
      <w:pPr>
        <w:spacing w:line="580" w:lineRule="exact"/>
        <w:ind w:firstLine="640"/>
        <w:jc w:val="both"/>
      </w:pPr>
      <w:r>
        <w:rPr>
          <w:rFonts w:ascii="仿宋_GB2312" w:hAnsi="仿宋_GB2312" w:eastAsia="仿宋_GB2312"/>
          <w:sz w:val="32"/>
        </w:rPr>
        <w:t>（1）负责研究制定并组织实施州直机关、事业单位房地产管理的办法和规章。</w:t>
      </w:r>
    </w:p>
    <w:p w14:paraId="1E05F598">
      <w:pPr>
        <w:spacing w:line="580" w:lineRule="exact"/>
        <w:ind w:firstLine="640"/>
        <w:jc w:val="both"/>
      </w:pPr>
      <w:r>
        <w:rPr>
          <w:rFonts w:ascii="仿宋_GB2312" w:hAnsi="仿宋_GB2312" w:eastAsia="仿宋_GB2312"/>
          <w:sz w:val="32"/>
        </w:rPr>
        <w:t>（2）负责统一管理州人民政府承建的住房，安排、协调和调配州直机关干部职工住房。</w:t>
      </w:r>
    </w:p>
    <w:p w14:paraId="6590826C">
      <w:pPr>
        <w:spacing w:line="580" w:lineRule="exact"/>
        <w:ind w:firstLine="640"/>
        <w:jc w:val="both"/>
      </w:pPr>
      <w:r>
        <w:rPr>
          <w:rFonts w:ascii="仿宋_GB2312" w:hAnsi="仿宋_GB2312" w:eastAsia="仿宋_GB2312"/>
          <w:sz w:val="32"/>
        </w:rPr>
        <w:t>（3）负责统一管理州直机关、事业单位办公用房和州直机关、事业单位用地、办公用房的清理、置换、调配。</w:t>
      </w:r>
    </w:p>
    <w:p w14:paraId="0E5BC299">
      <w:pPr>
        <w:spacing w:line="580" w:lineRule="exact"/>
        <w:ind w:firstLine="640"/>
        <w:jc w:val="both"/>
      </w:pPr>
      <w:r>
        <w:rPr>
          <w:rFonts w:ascii="仿宋_GB2312" w:hAnsi="仿宋_GB2312" w:eastAsia="仿宋_GB2312"/>
          <w:sz w:val="32"/>
        </w:rPr>
        <w:t>（4）负责申请、审核、使用和管理房屋建设和修缮专项经费及投资；审批办公用房修缮项目，分配办公用房修缮经费。</w:t>
      </w:r>
    </w:p>
    <w:p w14:paraId="34BFEF8F">
      <w:pPr>
        <w:spacing w:line="580" w:lineRule="exact"/>
        <w:ind w:firstLine="640"/>
        <w:jc w:val="both"/>
      </w:pPr>
      <w:r>
        <w:rPr>
          <w:rFonts w:ascii="仿宋_GB2312" w:hAnsi="仿宋_GB2312" w:eastAsia="仿宋_GB2312"/>
          <w:sz w:val="32"/>
        </w:rPr>
        <w:t>（5）负责州直机关及财政供养事业单位的住房、办公用房、其他公有房屋的建设和经营管理。</w:t>
      </w:r>
    </w:p>
    <w:p w14:paraId="4D8CE8F9">
      <w:pPr>
        <w:spacing w:line="580" w:lineRule="exact"/>
        <w:ind w:firstLine="640"/>
        <w:jc w:val="both"/>
      </w:pPr>
      <w:r>
        <w:rPr>
          <w:rFonts w:ascii="仿宋_GB2312" w:hAnsi="仿宋_GB2312" w:eastAsia="仿宋_GB2312"/>
          <w:sz w:val="32"/>
        </w:rPr>
        <w:t>（6）负责州直机关危旧房改造计划的拟定和组织实施。</w:t>
      </w:r>
    </w:p>
    <w:p w14:paraId="2444DB0C">
      <w:pPr>
        <w:spacing w:line="580" w:lineRule="exact"/>
        <w:ind w:firstLine="640"/>
        <w:jc w:val="both"/>
      </w:pPr>
      <w:r>
        <w:rPr>
          <w:rFonts w:ascii="仿宋_GB2312" w:hAnsi="仿宋_GB2312" w:eastAsia="仿宋_GB2312"/>
          <w:sz w:val="32"/>
        </w:rPr>
        <w:t>（7）负责州直机关划拨的土地和国有房产的统一开发及经营运作。</w:t>
      </w:r>
    </w:p>
    <w:p w14:paraId="704961F1">
      <w:pPr>
        <w:spacing w:line="580" w:lineRule="exact"/>
        <w:ind w:firstLine="640"/>
        <w:jc w:val="both"/>
      </w:pPr>
      <w:r>
        <w:rPr>
          <w:rFonts w:ascii="仿宋_GB2312" w:hAnsi="仿宋_GB2312" w:eastAsia="仿宋_GB2312"/>
          <w:sz w:val="32"/>
        </w:rPr>
        <w:t>（8）负责统一建设和管理州直经济适用房和城镇廉租房。</w:t>
      </w:r>
    </w:p>
    <w:p w14:paraId="1F9727BE">
      <w:pPr>
        <w:spacing w:line="580" w:lineRule="exact"/>
        <w:ind w:firstLine="640"/>
        <w:jc w:val="both"/>
      </w:pPr>
      <w:r>
        <w:rPr>
          <w:rFonts w:ascii="仿宋_GB2312" w:hAnsi="仿宋_GB2312" w:eastAsia="仿宋_GB2312"/>
          <w:sz w:val="32"/>
        </w:rPr>
        <w:t>（9）负责指导州直机关住房二、三市场发展和物业管理市场化工作。</w:t>
      </w:r>
    </w:p>
    <w:p w14:paraId="4A08F8CD">
      <w:pPr>
        <w:spacing w:line="640" w:lineRule="exact"/>
        <w:ind w:firstLine="640"/>
        <w:jc w:val="both"/>
        <w:outlineLvl w:val="2"/>
      </w:pPr>
      <w:r>
        <w:rPr>
          <w:rFonts w:ascii="黑体" w:hAnsi="黑体" w:eastAsia="黑体"/>
          <w:sz w:val="32"/>
        </w:rPr>
        <w:t>二、机构设置及人员情况</w:t>
      </w:r>
    </w:p>
    <w:p w14:paraId="29ACDF52">
      <w:pPr>
        <w:spacing w:line="580" w:lineRule="exact"/>
        <w:ind w:firstLine="640"/>
        <w:jc w:val="both"/>
      </w:pPr>
      <w:r>
        <w:rPr>
          <w:rFonts w:ascii="仿宋_GB2312" w:hAnsi="仿宋_GB2312" w:eastAsia="仿宋_GB2312"/>
          <w:sz w:val="32"/>
        </w:rPr>
        <w:t>新疆巴音郭楞蒙古自治州公务用房服务中心2024年度，实有人数39人，其中：在职人员15人，减少2人；离休人员1人，增加0人；退休人员23人,减少1人。</w:t>
      </w:r>
    </w:p>
    <w:p w14:paraId="0AE0B22E">
      <w:pPr>
        <w:spacing w:line="580" w:lineRule="exact"/>
        <w:ind w:firstLine="640"/>
        <w:jc w:val="both"/>
      </w:pPr>
      <w:r>
        <w:rPr>
          <w:rFonts w:ascii="仿宋_GB2312" w:hAnsi="仿宋_GB2312" w:eastAsia="仿宋_GB2312"/>
          <w:sz w:val="32"/>
        </w:rPr>
        <w:t>新疆巴音郭楞蒙古自治州公务用房服务中心无下属预算单位，下设3个科室，分别是：办公室、房地产管理科、后勤物业管理科。</w:t>
      </w:r>
    </w:p>
    <w:p w14:paraId="738A6C40">
      <w:r>
        <w:br w:type="page"/>
      </w:r>
    </w:p>
    <w:p w14:paraId="6D5F1FF1">
      <w:pPr>
        <w:spacing w:line="240" w:lineRule="auto"/>
        <w:jc w:val="center"/>
        <w:outlineLvl w:val="1"/>
      </w:pPr>
      <w:r>
        <w:rPr>
          <w:rFonts w:ascii="黑体" w:hAnsi="黑体" w:eastAsia="黑体"/>
          <w:sz w:val="32"/>
        </w:rPr>
        <w:t>第二部分 部门决算情况说明</w:t>
      </w:r>
    </w:p>
    <w:p w14:paraId="54276B57">
      <w:pPr>
        <w:spacing w:line="640" w:lineRule="exact"/>
        <w:ind w:firstLine="640"/>
        <w:jc w:val="both"/>
        <w:outlineLvl w:val="2"/>
      </w:pPr>
      <w:r>
        <w:rPr>
          <w:rFonts w:ascii="黑体" w:hAnsi="黑体" w:eastAsia="黑体"/>
          <w:sz w:val="32"/>
        </w:rPr>
        <w:t>一、收入支出决算总体情况说明</w:t>
      </w:r>
    </w:p>
    <w:p w14:paraId="01726C1F">
      <w:pPr>
        <w:spacing w:line="580" w:lineRule="exact"/>
        <w:ind w:firstLine="640"/>
        <w:jc w:val="both"/>
      </w:pPr>
      <w:r>
        <w:rPr>
          <w:rFonts w:ascii="仿宋_GB2312" w:hAnsi="仿宋_GB2312" w:eastAsia="仿宋_GB2312"/>
          <w:b/>
          <w:sz w:val="32"/>
        </w:rPr>
        <w:t>2024年度收入总计397.68万元，</w:t>
      </w:r>
      <w:r>
        <w:rPr>
          <w:rFonts w:ascii="仿宋_GB2312" w:hAnsi="仿宋_GB2312" w:eastAsia="仿宋_GB2312"/>
          <w:b w:val="0"/>
          <w:sz w:val="32"/>
        </w:rPr>
        <w:t>其中：本年收入合计397.68万元，使用非财政拨款结余（含专用结余）0.00万元，年初结转和结余0.00万元。</w:t>
      </w:r>
    </w:p>
    <w:p w14:paraId="6184665A">
      <w:pPr>
        <w:spacing w:line="580" w:lineRule="exact"/>
        <w:ind w:firstLine="640"/>
        <w:jc w:val="both"/>
      </w:pPr>
      <w:r>
        <w:rPr>
          <w:rFonts w:ascii="仿宋_GB2312" w:hAnsi="仿宋_GB2312" w:eastAsia="仿宋_GB2312"/>
          <w:b/>
          <w:sz w:val="32"/>
        </w:rPr>
        <w:t>2024年度支出总计397.68万元，</w:t>
      </w:r>
      <w:r>
        <w:rPr>
          <w:rFonts w:ascii="仿宋_GB2312" w:hAnsi="仿宋_GB2312" w:eastAsia="仿宋_GB2312"/>
          <w:b w:val="0"/>
          <w:sz w:val="32"/>
        </w:rPr>
        <w:t>其中：本年支出合计397.68万元，结余分配0.00万元，年末结转和结余0.00万元。</w:t>
      </w:r>
    </w:p>
    <w:p w14:paraId="101B1725">
      <w:pPr>
        <w:spacing w:line="580" w:lineRule="exact"/>
        <w:ind w:firstLine="640"/>
        <w:jc w:val="both"/>
      </w:pPr>
      <w:r>
        <w:rPr>
          <w:rFonts w:ascii="仿宋_GB2312" w:hAnsi="仿宋_GB2312" w:eastAsia="仿宋_GB2312"/>
          <w:b w:val="0"/>
          <w:sz w:val="32"/>
        </w:rPr>
        <w:t>收入支出总体与上年相比，增加8.54万元，增长2.19%，主要原因是：本年新增死亡人员，抚恤金增加。</w:t>
      </w:r>
    </w:p>
    <w:p w14:paraId="0FE28474">
      <w:pPr>
        <w:spacing w:line="640" w:lineRule="exact"/>
        <w:ind w:firstLine="640"/>
        <w:jc w:val="both"/>
        <w:outlineLvl w:val="2"/>
      </w:pPr>
      <w:r>
        <w:rPr>
          <w:rFonts w:ascii="黑体" w:hAnsi="黑体" w:eastAsia="黑体"/>
          <w:sz w:val="32"/>
        </w:rPr>
        <w:t>二、收入决算情况说明</w:t>
      </w:r>
    </w:p>
    <w:p w14:paraId="1B523865">
      <w:pPr>
        <w:spacing w:line="580" w:lineRule="exact"/>
        <w:ind w:firstLine="640"/>
        <w:jc w:val="both"/>
      </w:pPr>
      <w:r>
        <w:rPr>
          <w:rFonts w:ascii="仿宋_GB2312" w:hAnsi="仿宋_GB2312" w:eastAsia="仿宋_GB2312"/>
          <w:b/>
          <w:sz w:val="32"/>
        </w:rPr>
        <w:t>本年收入397.68万元，</w:t>
      </w:r>
      <w:r>
        <w:rPr>
          <w:rFonts w:ascii="仿宋_GB2312" w:hAnsi="仿宋_GB2312" w:eastAsia="仿宋_GB2312"/>
          <w:b w:val="0"/>
          <w:sz w:val="32"/>
        </w:rPr>
        <w:t>其中：财政拨款收入397.68万元，占100.00%；上级补助收入0.00万元，占0.00%；事业收入0.00万元，占0.00%；经营收入0.00万元，占0.00%；附属单位上缴收入0.00万元，占0.00%；其他收入0.00万元，占0.00%。</w:t>
      </w:r>
    </w:p>
    <w:p w14:paraId="7A965864">
      <w:pPr>
        <w:spacing w:line="640" w:lineRule="exact"/>
        <w:ind w:firstLine="640"/>
        <w:jc w:val="both"/>
        <w:outlineLvl w:val="2"/>
      </w:pPr>
      <w:r>
        <w:rPr>
          <w:rFonts w:ascii="黑体" w:hAnsi="黑体" w:eastAsia="黑体"/>
          <w:sz w:val="32"/>
        </w:rPr>
        <w:t>三、支出决算情况说明</w:t>
      </w:r>
    </w:p>
    <w:p w14:paraId="03FD2CF2">
      <w:pPr>
        <w:spacing w:line="580" w:lineRule="exact"/>
        <w:ind w:firstLine="640"/>
        <w:jc w:val="both"/>
      </w:pPr>
      <w:r>
        <w:rPr>
          <w:rFonts w:ascii="仿宋_GB2312" w:hAnsi="仿宋_GB2312" w:eastAsia="仿宋_GB2312"/>
          <w:b/>
          <w:sz w:val="32"/>
        </w:rPr>
        <w:t>本年支出397.68万元，</w:t>
      </w:r>
      <w:r>
        <w:rPr>
          <w:rFonts w:ascii="仿宋_GB2312" w:hAnsi="仿宋_GB2312" w:eastAsia="仿宋_GB2312"/>
          <w:b w:val="0"/>
          <w:sz w:val="32"/>
        </w:rPr>
        <w:t>其中：基本支出397.68万元，占100.00%；项目支出0.00万元，占0.00%；上缴上级支出0.00万元，占0.00%；经营支出0.00万元，占0.00%；对附属单位补助支出0.00万元，占0.00%。</w:t>
      </w:r>
    </w:p>
    <w:p w14:paraId="125F4BF8">
      <w:pPr>
        <w:spacing w:line="640" w:lineRule="exact"/>
        <w:ind w:firstLine="640"/>
        <w:jc w:val="both"/>
        <w:outlineLvl w:val="2"/>
      </w:pPr>
      <w:r>
        <w:rPr>
          <w:rFonts w:ascii="黑体" w:hAnsi="黑体" w:eastAsia="黑体"/>
          <w:sz w:val="32"/>
        </w:rPr>
        <w:t>四、财政拨款收入支出决算总体情况说明</w:t>
      </w:r>
    </w:p>
    <w:p w14:paraId="7D9494B0">
      <w:pPr>
        <w:spacing w:line="580" w:lineRule="exact"/>
        <w:ind w:firstLine="640"/>
        <w:jc w:val="both"/>
      </w:pPr>
      <w:r>
        <w:rPr>
          <w:rFonts w:ascii="仿宋_GB2312" w:hAnsi="仿宋_GB2312" w:eastAsia="仿宋_GB2312"/>
          <w:b/>
          <w:sz w:val="32"/>
        </w:rPr>
        <w:t>2024年度财政拨款收入总计397.68万元，</w:t>
      </w:r>
      <w:r>
        <w:rPr>
          <w:rFonts w:ascii="仿宋_GB2312" w:hAnsi="仿宋_GB2312" w:eastAsia="仿宋_GB2312"/>
          <w:b w:val="0"/>
          <w:sz w:val="32"/>
        </w:rPr>
        <w:t>其中：年初财政拨款结转和结余0.00万元，本年财政拨款收入397.68万元。</w:t>
      </w:r>
      <w:r>
        <w:rPr>
          <w:rFonts w:ascii="仿宋_GB2312" w:hAnsi="仿宋_GB2312" w:eastAsia="仿宋_GB2312"/>
          <w:b/>
          <w:sz w:val="32"/>
        </w:rPr>
        <w:t>财政拨款支出总计397.68万元，</w:t>
      </w:r>
      <w:r>
        <w:rPr>
          <w:rFonts w:ascii="仿宋_GB2312" w:hAnsi="仿宋_GB2312" w:eastAsia="仿宋_GB2312"/>
          <w:b w:val="0"/>
          <w:sz w:val="32"/>
        </w:rPr>
        <w:t>其中：年末财政拨款结转和结余0.00万元，本年财政拨款支出397.68万元。</w:t>
      </w:r>
    </w:p>
    <w:p w14:paraId="1F9FA42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增加8.54万元，增长2.19%，主要原因是：本年新增死亡人员，抚恤金增加。</w:t>
      </w:r>
      <w:r>
        <w:rPr>
          <w:rFonts w:ascii="仿宋_GB2312" w:hAnsi="仿宋_GB2312" w:eastAsia="仿宋_GB2312"/>
          <w:b/>
          <w:sz w:val="32"/>
        </w:rPr>
        <w:t>与年初预算相比，</w:t>
      </w:r>
      <w:r>
        <w:rPr>
          <w:rFonts w:ascii="仿宋_GB2312" w:hAnsi="仿宋_GB2312" w:eastAsia="仿宋_GB2312"/>
          <w:b w:val="0"/>
          <w:sz w:val="32"/>
        </w:rPr>
        <w:t>年初预算数395.52万元，决算数397.68万元，预决算差异率0.55%，主要原因是：年中追加人员工资、社保、公积金基数调增部分资金，导致预决算存在差异。</w:t>
      </w:r>
    </w:p>
    <w:p w14:paraId="01467CD4">
      <w:pPr>
        <w:spacing w:line="640" w:lineRule="exact"/>
        <w:ind w:firstLine="640"/>
        <w:jc w:val="both"/>
        <w:outlineLvl w:val="2"/>
      </w:pPr>
      <w:r>
        <w:rPr>
          <w:rFonts w:ascii="黑体" w:hAnsi="黑体" w:eastAsia="黑体"/>
          <w:sz w:val="32"/>
        </w:rPr>
        <w:t>五、一般公共预算财政拨款支出决算情况说明</w:t>
      </w:r>
    </w:p>
    <w:p w14:paraId="4C6FA92F">
      <w:pPr>
        <w:spacing w:line="640" w:lineRule="exact"/>
        <w:ind w:firstLine="640"/>
        <w:jc w:val="both"/>
        <w:outlineLvl w:val="3"/>
      </w:pPr>
      <w:r>
        <w:rPr>
          <w:rFonts w:ascii="楷体_GB2312" w:hAnsi="楷体_GB2312" w:eastAsia="楷体_GB2312"/>
          <w:b/>
          <w:sz w:val="32"/>
        </w:rPr>
        <w:t>（一）一般公共预算财政拨款支出决算总体情况</w:t>
      </w:r>
    </w:p>
    <w:p w14:paraId="2A9E3004">
      <w:pPr>
        <w:spacing w:line="580" w:lineRule="exact"/>
        <w:ind w:firstLine="640"/>
        <w:jc w:val="both"/>
      </w:pPr>
      <w:r>
        <w:rPr>
          <w:rFonts w:ascii="仿宋_GB2312" w:hAnsi="仿宋_GB2312" w:eastAsia="仿宋_GB2312"/>
          <w:b/>
          <w:sz w:val="32"/>
        </w:rPr>
        <w:t>2024年度一般公共预算财政拨款支出397.68万元，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增加8.54万元，增长2.19%，主要原因是：本年新增死亡人员，抚恤金增加。</w:t>
      </w:r>
      <w:r>
        <w:rPr>
          <w:rFonts w:ascii="仿宋_GB2312" w:hAnsi="仿宋_GB2312" w:eastAsia="仿宋_GB2312"/>
          <w:b/>
          <w:sz w:val="32"/>
        </w:rPr>
        <w:t>与年初预算相比,</w:t>
      </w:r>
      <w:r>
        <w:rPr>
          <w:rFonts w:ascii="仿宋_GB2312" w:hAnsi="仿宋_GB2312" w:eastAsia="仿宋_GB2312"/>
          <w:b w:val="0"/>
          <w:sz w:val="32"/>
        </w:rPr>
        <w:t>年初预算数395.52万元，决算数397.68万元，预决算差异率0.55%，主要原因是：年中追加人员工资、社保、公积金基数调增部分资金，导致预决算存在差异。</w:t>
      </w:r>
    </w:p>
    <w:p w14:paraId="2B69A7E7">
      <w:pPr>
        <w:spacing w:line="640" w:lineRule="exact"/>
        <w:ind w:firstLine="640"/>
        <w:jc w:val="both"/>
        <w:outlineLvl w:val="3"/>
      </w:pPr>
      <w:r>
        <w:rPr>
          <w:rFonts w:ascii="楷体_GB2312" w:hAnsi="楷体_GB2312" w:eastAsia="楷体_GB2312"/>
          <w:b/>
          <w:sz w:val="32"/>
        </w:rPr>
        <w:t>（二）一般公共预算财政拨款支出决算结构情况</w:t>
      </w:r>
    </w:p>
    <w:p w14:paraId="40D95670">
      <w:pPr>
        <w:spacing w:line="580" w:lineRule="exact"/>
        <w:ind w:firstLine="640"/>
        <w:jc w:val="both"/>
      </w:pPr>
      <w:r>
        <w:rPr>
          <w:rFonts w:ascii="仿宋_GB2312" w:hAnsi="仿宋_GB2312" w:eastAsia="仿宋_GB2312"/>
          <w:b w:val="0"/>
          <w:sz w:val="32"/>
        </w:rPr>
        <w:t>1.一般公共服务支出(类)279.67万元,占70.33%。</w:t>
      </w:r>
    </w:p>
    <w:p w14:paraId="6469F79D">
      <w:pPr>
        <w:spacing w:line="580" w:lineRule="exact"/>
        <w:ind w:firstLine="640"/>
        <w:jc w:val="both"/>
      </w:pPr>
      <w:r>
        <w:rPr>
          <w:rFonts w:ascii="仿宋_GB2312" w:hAnsi="仿宋_GB2312" w:eastAsia="仿宋_GB2312"/>
          <w:b w:val="0"/>
          <w:sz w:val="32"/>
        </w:rPr>
        <w:t>2.教育支出(类)1.24万元,占0.31%。</w:t>
      </w:r>
    </w:p>
    <w:p w14:paraId="3155BE7B">
      <w:pPr>
        <w:spacing w:line="580" w:lineRule="exact"/>
        <w:ind w:firstLine="640"/>
        <w:jc w:val="both"/>
      </w:pPr>
      <w:r>
        <w:rPr>
          <w:rFonts w:ascii="仿宋_GB2312" w:hAnsi="仿宋_GB2312" w:eastAsia="仿宋_GB2312"/>
          <w:b w:val="0"/>
          <w:sz w:val="32"/>
        </w:rPr>
        <w:t>3.社会保障和就业支出(类)71.52万元,占17.98%。</w:t>
      </w:r>
    </w:p>
    <w:p w14:paraId="3321893E">
      <w:pPr>
        <w:spacing w:line="580" w:lineRule="exact"/>
        <w:ind w:firstLine="640"/>
        <w:jc w:val="both"/>
      </w:pPr>
      <w:r>
        <w:rPr>
          <w:rFonts w:ascii="仿宋_GB2312" w:hAnsi="仿宋_GB2312" w:eastAsia="仿宋_GB2312"/>
          <w:b w:val="0"/>
          <w:sz w:val="32"/>
        </w:rPr>
        <w:t>4.卫生健康支出(类)21.50万元,占5.41%。</w:t>
      </w:r>
    </w:p>
    <w:p w14:paraId="17AAB3D4">
      <w:pPr>
        <w:spacing w:line="580" w:lineRule="exact"/>
        <w:ind w:firstLine="640"/>
        <w:jc w:val="both"/>
      </w:pPr>
      <w:r>
        <w:rPr>
          <w:rFonts w:ascii="仿宋_GB2312" w:hAnsi="仿宋_GB2312" w:eastAsia="仿宋_GB2312"/>
          <w:b w:val="0"/>
          <w:sz w:val="32"/>
        </w:rPr>
        <w:t>5.住房保障支出(类)23.75万元,占5.97%。</w:t>
      </w:r>
    </w:p>
    <w:p w14:paraId="19EAEEF6">
      <w:pPr>
        <w:spacing w:line="640" w:lineRule="exact"/>
        <w:ind w:firstLine="640"/>
        <w:jc w:val="both"/>
        <w:outlineLvl w:val="3"/>
      </w:pPr>
      <w:r>
        <w:rPr>
          <w:rFonts w:ascii="楷体_GB2312" w:hAnsi="楷体_GB2312" w:eastAsia="楷体_GB2312"/>
          <w:b/>
          <w:sz w:val="32"/>
        </w:rPr>
        <w:t>（三）一般公共预算财政拨款支出决算具体情况</w:t>
      </w:r>
    </w:p>
    <w:p w14:paraId="446AB5DC">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1.一般公共服务支出(类)政府办公厅（室）及相关机构事务(款)行政运行(项):支出决算数为49.88万元，比上年决算增加49.88万元，增长100.00%,主要原因是：本年新增死亡人员，抚恤金增加。</w:t>
      </w:r>
    </w:p>
    <w:p w14:paraId="537A02A4">
      <w:pPr>
        <w:spacing w:line="580" w:lineRule="exact"/>
        <w:ind w:firstLine="640"/>
        <w:jc w:val="both"/>
      </w:pPr>
      <w:r>
        <w:rPr>
          <w:rFonts w:ascii="仿宋_GB2312" w:hAnsi="仿宋_GB2312" w:eastAsia="仿宋_GB2312"/>
          <w:b w:val="0"/>
          <w:sz w:val="32"/>
        </w:rPr>
        <w:t>2.一般公共服务支出(类)政府办公厅（室）及相关机构事务(款)机关服务(项):支出决算数为229.79万元，比上年决算减少33.24万元，下降12.64%,主要原因是：本年在职人员减少，相关人员减少经费，本年减少维修（护）费、取暖费等经费，导致经费较上年减少。</w:t>
      </w:r>
    </w:p>
    <w:p w14:paraId="658AF051">
      <w:pPr>
        <w:spacing w:line="580" w:lineRule="exact"/>
        <w:ind w:firstLine="640"/>
        <w:jc w:val="both"/>
      </w:pPr>
      <w:r>
        <w:rPr>
          <w:rFonts w:ascii="仿宋_GB2312" w:hAnsi="仿宋_GB2312" w:eastAsia="仿宋_GB2312"/>
          <w:b w:val="0"/>
          <w:sz w:val="32"/>
        </w:rPr>
        <w:t>3.教育支出(类)进修及培训(款)培训支出(项):支出决算数为1.24万元，比上年决算增加0.22万元，增长21.57%,主要原因是：为提升干部职工的职业技能、职业素养，提升工作效率，组织干部职工参加自治区、自治州相关业务培训，相应的培训支出较上年增加。</w:t>
      </w:r>
    </w:p>
    <w:p w14:paraId="1659DFBB">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4.社会保障和就业支出(类)行政事业单位养老支出(款)行政单位离退休(项):支出决算数为40.58万元，比上年决算增加8.18万元，增长25.25%,主要原因是：本年增加退休人员基础绩效奖，退休费支出增加。</w:t>
      </w:r>
    </w:p>
    <w:p w14:paraId="24838E4C">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30.94万元，比上年决算减少3.09万元，下降9.08%,主要原因是：本年在职人员减少，单位基本养老保险缴费较上年减少。</w:t>
      </w:r>
    </w:p>
    <w:p w14:paraId="534901F5">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17.18万元，下降100.00%,主要原因是：本年无新增退休人员，职业年金缴费较上年减少。</w:t>
      </w:r>
    </w:p>
    <w:p w14:paraId="39527DE0">
      <w:pPr>
        <w:spacing w:line="580" w:lineRule="exact"/>
        <w:ind w:firstLine="640"/>
        <w:jc w:val="both"/>
      </w:pPr>
      <w:r>
        <w:rPr>
          <w:rFonts w:ascii="仿宋_GB2312" w:hAnsi="仿宋_GB2312" w:eastAsia="仿宋_GB2312"/>
          <w:b w:val="0"/>
          <w:sz w:val="32"/>
        </w:rPr>
        <w:t>7.卫生健康支出(类)行政事业单位医疗(款)行政单位医疗(项):支出决算数为13.94万元，比上年决算增加0.91万元，增长6.98%,主要原因是：本年在职人员工资基数调增，医疗缴费基数上涨，相应支出增加。</w:t>
      </w:r>
    </w:p>
    <w:p w14:paraId="1ED3960B">
      <w:pPr>
        <w:spacing w:line="580" w:lineRule="exact"/>
        <w:ind w:firstLine="640"/>
        <w:jc w:val="both"/>
      </w:pPr>
      <w:r>
        <w:rPr>
          <w:rFonts w:ascii="仿宋_GB2312" w:hAnsi="仿宋_GB2312" w:eastAsia="仿宋_GB2312"/>
          <w:b w:val="0"/>
          <w:sz w:val="32"/>
        </w:rPr>
        <w:t>8.卫生健康支出(类)行政事业单位医疗(款)公务员医疗补助(项):支出决算数为7.09万元，比上年决算增加0.53万元，增长8.08%,主要原因是：本年在职人员工资基数调增，医疗缴费基数上涨，相应支出增加。</w:t>
      </w:r>
    </w:p>
    <w:p w14:paraId="7AF9B708">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9.卫生健康支出(类)行政事业单位医疗(款)其他行政事业单位医疗支出(项):支出决算数为0.47万元，比上年决算增加0.15万元，增长46.88%,主要原因是：本年在职人员工资基数调增，其他行政事业单位医疗支出增加。</w:t>
      </w:r>
    </w:p>
    <w:p w14:paraId="00C6F361">
      <w:pPr>
        <w:spacing w:line="580" w:lineRule="exact"/>
        <w:ind w:firstLine="640"/>
        <w:jc w:val="both"/>
      </w:pPr>
      <w:r>
        <w:rPr>
          <w:rFonts w:ascii="仿宋_GB2312" w:hAnsi="仿宋_GB2312" w:eastAsia="仿宋_GB2312"/>
          <w:b w:val="0"/>
          <w:sz w:val="32"/>
        </w:rPr>
        <w:t>10.住房保障支出(类)住房改革支出(款)住房公积金(项):支出决算数为23.75万元，比上年决算增加2.19万元，增长10.16%,主要原因是：本年在职人员工资基数调增，公积金缴费基数上涨，相应支出增加。</w:t>
      </w:r>
    </w:p>
    <w:p w14:paraId="18746349">
      <w:pPr>
        <w:spacing w:line="640" w:lineRule="exact"/>
        <w:ind w:firstLine="640"/>
        <w:jc w:val="both"/>
        <w:outlineLvl w:val="2"/>
      </w:pPr>
      <w:r>
        <w:rPr>
          <w:rFonts w:ascii="黑体" w:hAnsi="黑体" w:eastAsia="黑体"/>
          <w:sz w:val="32"/>
        </w:rPr>
        <w:t>六、一般公共预算财政拨款基本支出决算情况说明</w:t>
      </w:r>
    </w:p>
    <w:p w14:paraId="634866E3">
      <w:pPr>
        <w:spacing w:line="580" w:lineRule="exact"/>
        <w:ind w:firstLine="640"/>
        <w:jc w:val="both"/>
      </w:pPr>
      <w:r>
        <w:rPr>
          <w:rFonts w:ascii="仿宋_GB2312" w:hAnsi="仿宋_GB2312" w:eastAsia="仿宋_GB2312"/>
          <w:b w:val="0"/>
          <w:sz w:val="32"/>
        </w:rPr>
        <w:t>2024年度一般公共预算财政拨款基本支出397.68万元，其中：</w:t>
      </w:r>
      <w:r>
        <w:rPr>
          <w:rFonts w:ascii="仿宋_GB2312" w:hAnsi="仿宋_GB2312" w:eastAsia="仿宋_GB2312"/>
          <w:b/>
          <w:sz w:val="32"/>
        </w:rPr>
        <w:t>人员经费379.48万元，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包括：基本工资、津贴补贴、奖金、伙食补助费、机关事业单位基本养老保险缴费、职工基本医疗保险缴费、公务员医疗补助缴费、其他社会保障缴费、住房公积金、医疗费、离休费、退休费、抚恤金、奖励金。</w:t>
      </w:r>
    </w:p>
    <w:p w14:paraId="716C9D54">
      <w:pPr>
        <w:spacing w:line="580" w:lineRule="exact"/>
        <w:ind w:firstLine="640"/>
        <w:jc w:val="both"/>
      </w:pPr>
      <w:r>
        <w:rPr>
          <w:rFonts w:ascii="仿宋_GB2312" w:hAnsi="仿宋_GB2312" w:eastAsia="仿宋_GB2312"/>
          <w:b/>
          <w:sz w:val="32"/>
        </w:rPr>
        <w:t>公用经费18.20万元，</w:t>
      </w:r>
      <w:r>
        <w:rPr>
          <w:rFonts w:ascii="仿宋_GB2312" w:hAnsi="仿宋_GB2312" w:eastAsia="仿宋_GB2312"/>
          <w:b w:val="0"/>
          <w:sz w:val="32"/>
        </w:rPr>
        <w:t>包括：办公费、电费、邮电费、差旅费、培训费、工会经费、福利费、公务用车运行维护费、其他商品和服务支出。</w:t>
      </w:r>
    </w:p>
    <w:p w14:paraId="07A4A7B4">
      <w:pPr>
        <w:spacing w:line="640" w:lineRule="exact"/>
        <w:ind w:firstLine="640"/>
        <w:jc w:val="both"/>
        <w:outlineLvl w:val="2"/>
      </w:pPr>
      <w:r>
        <w:rPr>
          <w:rFonts w:ascii="黑体" w:hAnsi="黑体" w:eastAsia="黑体"/>
          <w:sz w:val="32"/>
        </w:rPr>
        <w:t>七、政府性基金预算财政拨款收入支出决算情况说明</w:t>
      </w:r>
    </w:p>
    <w:p w14:paraId="5250C9E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EE7B014">
      <w:pPr>
        <w:spacing w:line="640" w:lineRule="exact"/>
        <w:ind w:firstLine="640"/>
        <w:jc w:val="both"/>
        <w:outlineLvl w:val="2"/>
      </w:pPr>
      <w:r>
        <w:rPr>
          <w:rFonts w:ascii="黑体" w:hAnsi="黑体" w:eastAsia="黑体"/>
          <w:sz w:val="32"/>
        </w:rPr>
        <w:t>八、国有资本经营预算财政拨款收入支出决算情况说明</w:t>
      </w:r>
    </w:p>
    <w:p w14:paraId="36BC881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70C1866">
      <w:pPr>
        <w:spacing w:line="640" w:lineRule="exact"/>
        <w:ind w:firstLine="640"/>
        <w:jc w:val="both"/>
        <w:outlineLvl w:val="2"/>
      </w:pPr>
      <w:r>
        <w:rPr>
          <w:rFonts w:ascii="黑体" w:hAnsi="黑体" w:eastAsia="黑体"/>
          <w:sz w:val="32"/>
        </w:rPr>
        <w:t>九、财政拨款“三公”经费支出决算情况说明</w:t>
      </w:r>
    </w:p>
    <w:p w14:paraId="148C4E2C">
      <w:pPr>
        <w:spacing w:line="580" w:lineRule="exact"/>
        <w:ind w:firstLine="640"/>
        <w:jc w:val="both"/>
      </w:pPr>
      <w:r>
        <w:rPr>
          <w:rFonts w:ascii="仿宋_GB2312" w:hAnsi="仿宋_GB2312" w:eastAsia="仿宋_GB2312"/>
          <w:b/>
          <w:sz w:val="32"/>
        </w:rPr>
        <w:t>2024年度财政拨款“三公”经费支出4.51万元，</w:t>
      </w:r>
      <w:r>
        <w:rPr>
          <w:rFonts w:ascii="仿宋_GB2312" w:hAnsi="仿宋_GB2312" w:eastAsia="仿宋_GB2312"/>
          <w:b w:val="0"/>
          <w:sz w:val="32"/>
        </w:rPr>
        <w:t>比上年减少1.67万元，下降27.02%，主要原因是：严格落实中央八项规定精神，厉行节约，减少公务用车运行维护费；本年未安排公务接待工作，导致公务接待费较上年减少。其中：因公出国（境）费支出0.00万元，占0.00%，比上年增加0.00万元，增长0.00%，主要原因是：2023年与2024年均未安排因公出国（境）费支出。公务用车购置及运行维护费支出4.51万元，占100.00%，比上年减少1.49万元，下降24.83%，主要原因是：严格落实中央八项规定精神，厉行节约，减少公务用车运行维护费。公务接待费支出0.00万元，占0.00%，比上年减少0.18万元，下降100.00%，主要原因是：本年未安排公务接待工作，导致公务接待费较上年减少。</w:t>
      </w:r>
    </w:p>
    <w:p w14:paraId="4DFF7A3C">
      <w:pPr>
        <w:spacing w:line="580" w:lineRule="exact"/>
        <w:ind w:firstLine="640"/>
        <w:jc w:val="both"/>
      </w:pPr>
      <w:r>
        <w:rPr>
          <w:rFonts w:ascii="仿宋_GB2312" w:hAnsi="仿宋_GB2312" w:eastAsia="仿宋_GB2312"/>
          <w:b/>
          <w:sz w:val="32"/>
        </w:rPr>
        <w:t>具体情况如下：</w:t>
      </w:r>
    </w:p>
    <w:p w14:paraId="2324598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1F2D333">
      <w:pPr>
        <w:spacing w:line="580" w:lineRule="exact"/>
        <w:ind w:firstLine="640"/>
        <w:jc w:val="both"/>
      </w:pPr>
      <w:r>
        <w:rPr>
          <w:rFonts w:ascii="仿宋_GB2312" w:hAnsi="仿宋_GB2312" w:eastAsia="仿宋_GB2312"/>
          <w:b w:val="0"/>
          <w:sz w:val="32"/>
        </w:rPr>
        <w:t>公务用车购置及运行维护费4.51万元，其中：公务用车购置费0.00万元，公务用车运行维护费4.51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2480311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DFDF90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4.51万元，决算数4.51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4.51万元，决算数4.51万元，预决算差异率0.00%，主要原因是：严格按照预算执行，预决算无差异。公务接待费全年预算数0.00万元，决算数0.00万元，预决算差异率0.00%，主要原因是：本单位无公务接待费。</w:t>
      </w:r>
    </w:p>
    <w:p w14:paraId="19E9D89B">
      <w:pPr>
        <w:spacing w:line="640" w:lineRule="exact"/>
        <w:ind w:firstLine="640"/>
        <w:jc w:val="both"/>
        <w:outlineLvl w:val="2"/>
      </w:pPr>
      <w:r>
        <w:rPr>
          <w:rFonts w:ascii="黑体" w:hAnsi="黑体" w:eastAsia="黑体"/>
          <w:sz w:val="32"/>
        </w:rPr>
        <w:t>十、其他重要事项的情况说明</w:t>
      </w:r>
    </w:p>
    <w:p w14:paraId="6F331AF3">
      <w:pPr>
        <w:spacing w:line="640" w:lineRule="exact"/>
        <w:ind w:firstLine="640"/>
        <w:jc w:val="both"/>
        <w:outlineLvl w:val="3"/>
      </w:pPr>
      <w:r>
        <w:rPr>
          <w:rFonts w:ascii="楷体_GB2312" w:hAnsi="楷体_GB2312" w:eastAsia="楷体_GB2312"/>
          <w:b/>
          <w:sz w:val="32"/>
        </w:rPr>
        <w:t>（一）机关运行经费及公用经费支出情况</w:t>
      </w:r>
    </w:p>
    <w:p w14:paraId="46A26B82">
      <w:pPr>
        <w:spacing w:line="580" w:lineRule="exact"/>
        <w:ind w:firstLine="640"/>
        <w:jc w:val="both"/>
      </w:pPr>
      <w:r>
        <w:rPr>
          <w:rFonts w:ascii="仿宋_GB2312" w:hAnsi="仿宋_GB2312" w:eastAsia="仿宋_GB2312"/>
          <w:b w:val="0"/>
          <w:sz w:val="32"/>
        </w:rPr>
        <w:t>2024年度新疆巴音郭楞蒙古自治州公务用房服务中心（行政单位和参照公务员法管理事业单位）机关运行经费支出18.20万元，比上年减少19.56万元，下降51.80%，主要原因是：本年减少维修（护）费、取暖费、办公费，机关运行经费支出减少。</w:t>
      </w:r>
    </w:p>
    <w:p w14:paraId="6F473C75">
      <w:pPr>
        <w:spacing w:line="640" w:lineRule="exact"/>
        <w:ind w:firstLine="640"/>
        <w:jc w:val="both"/>
        <w:outlineLvl w:val="3"/>
      </w:pPr>
      <w:r>
        <w:rPr>
          <w:rFonts w:ascii="楷体_GB2312" w:hAnsi="楷体_GB2312" w:eastAsia="楷体_GB2312"/>
          <w:b/>
          <w:sz w:val="32"/>
        </w:rPr>
        <w:t>（二）政府采购情况</w:t>
      </w:r>
    </w:p>
    <w:p w14:paraId="05D74873">
      <w:pPr>
        <w:spacing w:line="580" w:lineRule="exact"/>
        <w:ind w:firstLine="640"/>
        <w:jc w:val="both"/>
      </w:pPr>
      <w:r>
        <w:rPr>
          <w:rFonts w:ascii="仿宋_GB2312" w:hAnsi="仿宋_GB2312" w:eastAsia="仿宋_GB2312"/>
          <w:b w:val="0"/>
          <w:sz w:val="32"/>
        </w:rPr>
        <w:t>2024年度政府采购支出总额6.43万元，其中：政府采购货物支出4.34万元、政府采购工程支出0.00万元、政府采购服务支出2.09万元。</w:t>
      </w:r>
    </w:p>
    <w:p w14:paraId="7F26BBE5">
      <w:pPr>
        <w:spacing w:line="580" w:lineRule="exact"/>
        <w:ind w:firstLine="640"/>
        <w:jc w:val="both"/>
      </w:pPr>
      <w:r>
        <w:rPr>
          <w:rFonts w:ascii="仿宋_GB2312" w:hAnsi="仿宋_GB2312" w:eastAsia="仿宋_GB2312"/>
          <w:b w:val="0"/>
          <w:sz w:val="32"/>
        </w:rPr>
        <w:t>授予中小企业合同金额1.61万元，占政府采购支出总额的25.04%，其中：授予小微企业合同金额1.60万元，占政府采购支出总额的24.88%。</w:t>
      </w:r>
    </w:p>
    <w:p w14:paraId="576F339D">
      <w:pPr>
        <w:spacing w:line="640" w:lineRule="exact"/>
        <w:ind w:firstLine="640"/>
        <w:jc w:val="both"/>
        <w:outlineLvl w:val="3"/>
      </w:pPr>
      <w:r>
        <w:rPr>
          <w:rFonts w:ascii="楷体_GB2312" w:hAnsi="楷体_GB2312" w:eastAsia="楷体_GB2312"/>
          <w:b/>
          <w:sz w:val="32"/>
        </w:rPr>
        <w:t>（三）国有资产占用情况说明</w:t>
      </w:r>
    </w:p>
    <w:p w14:paraId="171A682F">
      <w:pPr>
        <w:spacing w:line="580" w:lineRule="exact"/>
        <w:ind w:firstLine="640"/>
        <w:jc w:val="both"/>
      </w:pPr>
      <w:r>
        <w:rPr>
          <w:rFonts w:ascii="仿宋_GB2312" w:hAnsi="仿宋_GB2312" w:eastAsia="仿宋_GB2312"/>
          <w:b w:val="0"/>
          <w:sz w:val="32"/>
        </w:rPr>
        <w:t>截至2024年12月31日，房屋146,550.94平方米，价值14,192.62万元。车辆2辆，价值29.65万元，其中：副部（省）级及以上领导用车0辆、主要负责人用车0辆、机要通信用车0辆、应急保障用车0辆、执法执勤用车0辆、特种专业技术用车0辆、离退休干部服务用车0辆、其他用车2辆，其他用车主要是：日常保障用车。单价100万元（含）以上设备（不含车辆）0台（套）。</w:t>
      </w:r>
    </w:p>
    <w:p w14:paraId="34E8E3AE">
      <w:pPr>
        <w:spacing w:line="640" w:lineRule="exact"/>
        <w:ind w:firstLine="640"/>
        <w:jc w:val="both"/>
        <w:outlineLvl w:val="2"/>
      </w:pPr>
      <w:r>
        <w:rPr>
          <w:rFonts w:ascii="黑体" w:hAnsi="黑体" w:eastAsia="黑体"/>
          <w:sz w:val="32"/>
        </w:rPr>
        <w:t>十一、预算绩效的情况说明</w:t>
      </w:r>
    </w:p>
    <w:p w14:paraId="22474244">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绩效自评项目。发现的问题及原因：本单位无绩效自评项目。下一步改进措施：本单位无绩效自评项目。</w:t>
      </w:r>
    </w:p>
    <w:p w14:paraId="46806B56">
      <w:r>
        <w:br w:type="page"/>
      </w:r>
    </w:p>
    <w:p w14:paraId="7FE6FA25">
      <w:pPr>
        <w:spacing w:line="640" w:lineRule="exact"/>
        <w:ind w:firstLine="640"/>
        <w:jc w:val="both"/>
        <w:outlineLvl w:val="2"/>
      </w:pPr>
      <w:r>
        <w:rPr>
          <w:rFonts w:ascii="黑体" w:hAnsi="黑体" w:eastAsia="黑体"/>
          <w:sz w:val="32"/>
        </w:rPr>
        <w:t>十二、其他需说明的事项</w:t>
      </w:r>
    </w:p>
    <w:p w14:paraId="1213A974">
      <w:pPr>
        <w:spacing w:line="580" w:lineRule="exact"/>
        <w:ind w:firstLine="640"/>
        <w:jc w:val="both"/>
      </w:pPr>
      <w:r>
        <w:rPr>
          <w:rFonts w:ascii="仿宋_GB2312" w:hAnsi="仿宋_GB2312" w:eastAsia="仿宋_GB2312"/>
          <w:b w:val="0"/>
          <w:sz w:val="32"/>
        </w:rPr>
        <w:t>本年度本单位整体绩效自评表由主管部门编报并公开。</w:t>
      </w:r>
    </w:p>
    <w:p w14:paraId="6BD7D1F6">
      <w:r>
        <w:br w:type="page"/>
      </w:r>
    </w:p>
    <w:p w14:paraId="25F5DADD">
      <w:pPr>
        <w:spacing w:line="240" w:lineRule="auto"/>
        <w:jc w:val="center"/>
        <w:outlineLvl w:val="1"/>
      </w:pPr>
      <w:r>
        <w:rPr>
          <w:rFonts w:ascii="黑体" w:hAnsi="黑体" w:eastAsia="黑体"/>
          <w:sz w:val="32"/>
        </w:rPr>
        <w:t>第三部分 专业名词解释</w:t>
      </w:r>
    </w:p>
    <w:p w14:paraId="2AE6E0A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A43F03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9D3D6D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CAD830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1F1DA8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E07A9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94B3EF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27F9A3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896FD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A91CF5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D3C661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C64B2B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CC2EE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4E21A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01791A0">
      <w:r>
        <w:br w:type="page"/>
      </w:r>
    </w:p>
    <w:p w14:paraId="531F4041">
      <w:pPr>
        <w:spacing w:line="240" w:lineRule="auto"/>
        <w:jc w:val="center"/>
        <w:outlineLvl w:val="1"/>
      </w:pPr>
      <w:r>
        <w:rPr>
          <w:rFonts w:ascii="黑体" w:hAnsi="黑体" w:eastAsia="黑体"/>
          <w:sz w:val="32"/>
        </w:rPr>
        <w:t>第四部分 部门决算报表（见附表）</w:t>
      </w:r>
    </w:p>
    <w:p w14:paraId="07D57E2A">
      <w:pPr>
        <w:spacing w:line="240" w:lineRule="auto"/>
        <w:ind w:firstLine="640"/>
        <w:jc w:val="both"/>
      </w:pPr>
      <w:r>
        <w:rPr>
          <w:rFonts w:ascii="仿宋_GB2312" w:hAnsi="仿宋_GB2312" w:eastAsia="仿宋_GB2312"/>
          <w:b w:val="0"/>
          <w:sz w:val="32"/>
        </w:rPr>
        <w:t>一、《收入支出决算总表》</w:t>
      </w:r>
    </w:p>
    <w:p w14:paraId="76DCAC37">
      <w:pPr>
        <w:spacing w:line="240" w:lineRule="auto"/>
        <w:ind w:firstLine="640"/>
        <w:jc w:val="both"/>
      </w:pPr>
      <w:r>
        <w:rPr>
          <w:rFonts w:ascii="仿宋_GB2312" w:hAnsi="仿宋_GB2312" w:eastAsia="仿宋_GB2312"/>
          <w:b w:val="0"/>
          <w:sz w:val="32"/>
        </w:rPr>
        <w:t>二、《收入决算表》</w:t>
      </w:r>
    </w:p>
    <w:p w14:paraId="3B6262DB">
      <w:pPr>
        <w:spacing w:line="240" w:lineRule="auto"/>
        <w:ind w:firstLine="640"/>
        <w:jc w:val="both"/>
      </w:pPr>
      <w:r>
        <w:rPr>
          <w:rFonts w:ascii="仿宋_GB2312" w:hAnsi="仿宋_GB2312" w:eastAsia="仿宋_GB2312"/>
          <w:b w:val="0"/>
          <w:sz w:val="32"/>
        </w:rPr>
        <w:t>三、《支出决算表》</w:t>
      </w:r>
    </w:p>
    <w:p w14:paraId="3EADE279">
      <w:pPr>
        <w:spacing w:line="240" w:lineRule="auto"/>
        <w:ind w:firstLine="640"/>
        <w:jc w:val="both"/>
      </w:pPr>
      <w:r>
        <w:rPr>
          <w:rFonts w:ascii="仿宋_GB2312" w:hAnsi="仿宋_GB2312" w:eastAsia="仿宋_GB2312"/>
          <w:b w:val="0"/>
          <w:sz w:val="32"/>
        </w:rPr>
        <w:t>四、《财政拨款收入支出决算总表》</w:t>
      </w:r>
    </w:p>
    <w:p w14:paraId="08928F29">
      <w:pPr>
        <w:spacing w:line="240" w:lineRule="auto"/>
        <w:ind w:firstLine="640"/>
        <w:jc w:val="both"/>
      </w:pPr>
      <w:r>
        <w:rPr>
          <w:rFonts w:ascii="仿宋_GB2312" w:hAnsi="仿宋_GB2312" w:eastAsia="仿宋_GB2312"/>
          <w:b w:val="0"/>
          <w:sz w:val="32"/>
        </w:rPr>
        <w:t>五、《一般公共预算财政拨款支出决算表》</w:t>
      </w:r>
    </w:p>
    <w:p w14:paraId="2C2CA937">
      <w:pPr>
        <w:spacing w:line="240" w:lineRule="auto"/>
        <w:ind w:firstLine="640"/>
        <w:jc w:val="both"/>
      </w:pPr>
      <w:r>
        <w:rPr>
          <w:rFonts w:ascii="仿宋_GB2312" w:hAnsi="仿宋_GB2312" w:eastAsia="仿宋_GB2312"/>
          <w:b w:val="0"/>
          <w:sz w:val="32"/>
        </w:rPr>
        <w:t>六、《一般公共预算财政拨款基本支出决算表》</w:t>
      </w:r>
    </w:p>
    <w:p w14:paraId="27D6AE57">
      <w:pPr>
        <w:spacing w:line="240" w:lineRule="auto"/>
        <w:ind w:firstLine="640"/>
        <w:jc w:val="both"/>
      </w:pPr>
      <w:r>
        <w:rPr>
          <w:rFonts w:ascii="仿宋_GB2312" w:hAnsi="仿宋_GB2312" w:eastAsia="仿宋_GB2312"/>
          <w:b w:val="0"/>
          <w:sz w:val="32"/>
        </w:rPr>
        <w:t>七、《政府性基金预算财政拨款收入支出决算表》</w:t>
      </w:r>
    </w:p>
    <w:p w14:paraId="17E46503">
      <w:pPr>
        <w:spacing w:line="240" w:lineRule="auto"/>
        <w:ind w:firstLine="640"/>
        <w:jc w:val="both"/>
      </w:pPr>
      <w:r>
        <w:rPr>
          <w:rFonts w:ascii="仿宋_GB2312" w:hAnsi="仿宋_GB2312" w:eastAsia="仿宋_GB2312"/>
          <w:b w:val="0"/>
          <w:sz w:val="32"/>
        </w:rPr>
        <w:t>八、《国有资本经营预算财政拨款收入支出决算表》</w:t>
      </w:r>
    </w:p>
    <w:p w14:paraId="27C76D07">
      <w:pPr>
        <w:spacing w:line="240" w:lineRule="auto"/>
        <w:ind w:firstLine="640"/>
        <w:jc w:val="both"/>
      </w:pPr>
      <w:r>
        <w:rPr>
          <w:rFonts w:ascii="仿宋_GB2312" w:hAnsi="仿宋_GB2312" w:eastAsia="仿宋_GB2312"/>
          <w:b w:val="0"/>
          <w:sz w:val="32"/>
        </w:rPr>
        <w:t>九、《财政拨款“三公”经费支出决算表》</w:t>
      </w:r>
    </w:p>
    <w:p w14:paraId="3D4812BE">
      <w:pPr>
        <w:spacing w:line="240" w:lineRule="auto"/>
        <w:ind w:firstLine="640"/>
        <w:jc w:val="both"/>
      </w:pPr>
    </w:p>
    <w:p w14:paraId="45F0AFCD">
      <w:pPr>
        <w:spacing w:line="240" w:lineRule="auto"/>
        <w:ind w:firstLine="640"/>
        <w:jc w:val="both"/>
      </w:pPr>
    </w:p>
    <w:p w14:paraId="67254A52">
      <w:pPr>
        <w:spacing w:line="240" w:lineRule="auto"/>
        <w:ind w:firstLine="640"/>
        <w:jc w:val="both"/>
      </w:pPr>
    </w:p>
    <w:p w14:paraId="33433413">
      <w:pPr>
        <w:spacing w:line="240" w:lineRule="auto"/>
        <w:ind w:firstLine="640"/>
        <w:jc w:val="both"/>
      </w:pPr>
    </w:p>
    <w:p w14:paraId="782E0E4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4F308B"/>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5679</Words>
  <Characters>6345</Characters>
  <Lines>0</Lines>
  <Paragraphs>0</Paragraphs>
  <TotalTime>5</TotalTime>
  <ScaleCrop>false</ScaleCrop>
  <LinksUpToDate>false</LinksUpToDate>
  <CharactersWithSpaces>6355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2025-09-11T08:43:21Z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