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新疆巴州机关后勤服务中心2024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747E07">
      <w:r>
        <w:br w:type="page"/>
      </w:r>
    </w:p>
    <w:p w14:paraId="60B2F361">
      <w:pPr>
        <w:spacing w:line="640" w:lineRule="exact"/>
        <w:jc w:val="center"/>
        <w:outlineLvl w:val="1"/>
      </w:pPr>
      <w:r>
        <w:rPr>
          <w:rFonts w:ascii="黑体" w:hAnsi="黑体" w:eastAsia="黑体"/>
          <w:sz w:val="32"/>
        </w:rPr>
        <w:t>第一部分 单位概况</w:t>
      </w:r>
    </w:p>
    <w:p w14:paraId="5CD8BFB7">
      <w:pPr>
        <w:spacing w:line="640" w:lineRule="exact"/>
        <w:ind w:firstLine="640"/>
        <w:jc w:val="both"/>
        <w:outlineLvl w:val="2"/>
      </w:pPr>
      <w:r>
        <w:rPr>
          <w:rFonts w:ascii="黑体" w:hAnsi="黑体" w:eastAsia="黑体"/>
          <w:sz w:val="32"/>
        </w:rPr>
        <w:t>一、主要职能</w:t>
      </w:r>
    </w:p>
    <w:p w14:paraId="2964DF63">
      <w:pPr>
        <w:spacing w:line="580" w:lineRule="exact"/>
        <w:ind w:firstLine="640"/>
        <w:jc w:val="both"/>
      </w:pPr>
      <w:r>
        <w:rPr>
          <w:rFonts w:ascii="仿宋_GB2312" w:hAnsi="仿宋_GB2312" w:eastAsia="仿宋_GB2312"/>
          <w:sz w:val="32"/>
        </w:rPr>
        <w:t>主要负责州人大，政协，百川写字楼，聚荣大厦，老干部活动中心，99号小区，四个领导院及周边局委办办公区域的卫生保洁，会议服务，安全保卫；中央空调、电梯、消防、公共建筑、公共电气等设施设备的管理以及维修维护；水、电、暖、制冷等的供给和管理以及管网等设施设备的维修维护；办公区公共环境卫生清扫，垃圾清运，树木花草等绿化种植、维护管理；水、电、暖、制冷等费用的计量、核算、代收、代付以及办理手续等工作。</w:t>
      </w:r>
    </w:p>
    <w:p w14:paraId="66FD43A6">
      <w:pPr>
        <w:spacing w:line="640" w:lineRule="exact"/>
        <w:ind w:firstLine="640"/>
        <w:jc w:val="both"/>
        <w:outlineLvl w:val="2"/>
      </w:pPr>
      <w:r>
        <w:rPr>
          <w:rFonts w:ascii="黑体" w:hAnsi="黑体" w:eastAsia="黑体"/>
          <w:sz w:val="32"/>
        </w:rPr>
        <w:t>二、机构设置及人员情况</w:t>
      </w:r>
    </w:p>
    <w:p w14:paraId="06C7FC8F">
      <w:pPr>
        <w:spacing w:line="580" w:lineRule="exact"/>
        <w:ind w:firstLine="640"/>
        <w:jc w:val="both"/>
      </w:pPr>
      <w:r>
        <w:rPr>
          <w:rFonts w:ascii="仿宋_GB2312" w:hAnsi="仿宋_GB2312" w:eastAsia="仿宋_GB2312"/>
          <w:sz w:val="32"/>
        </w:rPr>
        <w:t>新疆巴州机关后勤服务中心2024年度，实有人数46人，其中：在职人员37人，减少4人；离休人员0人，增加0人；退休人员9人,增加4人。</w:t>
      </w:r>
    </w:p>
    <w:p w14:paraId="1679EE78">
      <w:pPr>
        <w:spacing w:line="580" w:lineRule="exact"/>
        <w:ind w:firstLine="640"/>
        <w:jc w:val="both"/>
      </w:pPr>
      <w:r>
        <w:rPr>
          <w:rFonts w:ascii="仿宋_GB2312" w:hAnsi="仿宋_GB2312" w:eastAsia="仿宋_GB2312"/>
          <w:sz w:val="32"/>
        </w:rPr>
        <w:t>新疆巴州机关后勤服务中心无下属预算单位，下设1个科室，分别是：办公室。</w:t>
      </w:r>
    </w:p>
    <w:p w14:paraId="57DE84A7">
      <w:r>
        <w:br w:type="page"/>
      </w:r>
    </w:p>
    <w:p w14:paraId="2BCF596C">
      <w:pPr>
        <w:spacing w:line="240" w:lineRule="auto"/>
        <w:jc w:val="center"/>
        <w:outlineLvl w:val="1"/>
      </w:pPr>
      <w:r>
        <w:rPr>
          <w:rFonts w:ascii="黑体" w:hAnsi="黑体" w:eastAsia="黑体"/>
          <w:sz w:val="32"/>
        </w:rPr>
        <w:t>第二部分 部门决算情况说明</w:t>
      </w:r>
    </w:p>
    <w:p w14:paraId="00F0AB19">
      <w:pPr>
        <w:spacing w:line="640" w:lineRule="exact"/>
        <w:ind w:firstLine="640"/>
        <w:jc w:val="both"/>
        <w:outlineLvl w:val="2"/>
      </w:pPr>
      <w:r>
        <w:rPr>
          <w:rFonts w:ascii="黑体" w:hAnsi="黑体" w:eastAsia="黑体"/>
          <w:sz w:val="32"/>
        </w:rPr>
        <w:t>一、收入支出决算总体情况说明</w:t>
      </w:r>
    </w:p>
    <w:p w14:paraId="24E182D2">
      <w:pPr>
        <w:spacing w:line="580" w:lineRule="exact"/>
        <w:ind w:firstLine="640"/>
        <w:jc w:val="both"/>
      </w:pPr>
      <w:r>
        <w:rPr>
          <w:rFonts w:ascii="仿宋_GB2312" w:hAnsi="仿宋_GB2312" w:eastAsia="仿宋_GB2312"/>
          <w:b/>
          <w:sz w:val="32"/>
        </w:rPr>
        <w:t>2024年度收入总计1,447.30万元，</w:t>
      </w:r>
      <w:r>
        <w:rPr>
          <w:rFonts w:ascii="仿宋_GB2312" w:hAnsi="仿宋_GB2312" w:eastAsia="仿宋_GB2312"/>
          <w:b w:val="0"/>
          <w:sz w:val="32"/>
        </w:rPr>
        <w:t>其中：本年收入合计1,447.30万元，使用非财政拨款结余（含专用结余）0.00万元，年初结转和结余0.00万元。</w:t>
      </w:r>
    </w:p>
    <w:p w14:paraId="0035711C">
      <w:pPr>
        <w:spacing w:line="580" w:lineRule="exact"/>
        <w:ind w:firstLine="640"/>
        <w:jc w:val="both"/>
      </w:pPr>
      <w:r>
        <w:rPr>
          <w:rFonts w:ascii="仿宋_GB2312" w:hAnsi="仿宋_GB2312" w:eastAsia="仿宋_GB2312"/>
          <w:b/>
          <w:sz w:val="32"/>
        </w:rPr>
        <w:t>2024年度支出总计1,447.30万元，</w:t>
      </w:r>
      <w:r>
        <w:rPr>
          <w:rFonts w:ascii="仿宋_GB2312" w:hAnsi="仿宋_GB2312" w:eastAsia="仿宋_GB2312"/>
          <w:b w:val="0"/>
          <w:sz w:val="32"/>
        </w:rPr>
        <w:t>其中：本年支出合计1,447.30万元，结余分配0.00万元，年末结转和结余0.00万元。</w:t>
      </w:r>
    </w:p>
    <w:p w14:paraId="381AF4DC">
      <w:pPr>
        <w:spacing w:line="580" w:lineRule="exact"/>
        <w:ind w:firstLine="640"/>
        <w:jc w:val="both"/>
      </w:pPr>
      <w:r>
        <w:rPr>
          <w:rFonts w:ascii="仿宋_GB2312" w:hAnsi="仿宋_GB2312" w:eastAsia="仿宋_GB2312"/>
          <w:b w:val="0"/>
          <w:sz w:val="32"/>
        </w:rPr>
        <w:t>收入支出总体与上年相比，增加16.05万元，增长1.12%，主要原因是：本年增加南苑大厦机关食堂运行项目，导致经费较上年增加。</w:t>
      </w:r>
    </w:p>
    <w:p w14:paraId="0E42301C">
      <w:pPr>
        <w:spacing w:line="640" w:lineRule="exact"/>
        <w:ind w:firstLine="640"/>
        <w:jc w:val="both"/>
        <w:outlineLvl w:val="2"/>
      </w:pPr>
      <w:r>
        <w:rPr>
          <w:rFonts w:ascii="黑体" w:hAnsi="黑体" w:eastAsia="黑体"/>
          <w:sz w:val="32"/>
        </w:rPr>
        <w:t>二、收入决算情况说明</w:t>
      </w:r>
    </w:p>
    <w:p w14:paraId="55C3A2BC">
      <w:pPr>
        <w:spacing w:line="580" w:lineRule="exact"/>
        <w:ind w:firstLine="640"/>
        <w:jc w:val="both"/>
      </w:pPr>
      <w:r>
        <w:rPr>
          <w:rFonts w:ascii="仿宋_GB2312" w:hAnsi="仿宋_GB2312" w:eastAsia="仿宋_GB2312"/>
          <w:b/>
          <w:sz w:val="32"/>
        </w:rPr>
        <w:t>本年收入1,447.30万元，</w:t>
      </w:r>
      <w:r>
        <w:rPr>
          <w:rFonts w:ascii="仿宋_GB2312" w:hAnsi="仿宋_GB2312" w:eastAsia="仿宋_GB2312"/>
          <w:b w:val="0"/>
          <w:sz w:val="32"/>
        </w:rPr>
        <w:t>其中：财政拨款收入1,447.30万元，占100.00%；上级补助收入0.00万元，占0.00%；事业收入0.00万元，占0.00%；经营收入0.00万元，占0.00%；附属单位上缴收入0.00万元，占0.00%；其他收入0.00万元，占0.00%。</w:t>
      </w:r>
    </w:p>
    <w:p w14:paraId="4E305773">
      <w:pPr>
        <w:spacing w:line="640" w:lineRule="exact"/>
        <w:ind w:firstLine="640"/>
        <w:jc w:val="both"/>
        <w:outlineLvl w:val="2"/>
      </w:pPr>
      <w:r>
        <w:rPr>
          <w:rFonts w:ascii="黑体" w:hAnsi="黑体" w:eastAsia="黑体"/>
          <w:sz w:val="32"/>
        </w:rPr>
        <w:t>三、支出决算情况说明</w:t>
      </w:r>
    </w:p>
    <w:p w14:paraId="295FCBA3">
      <w:pPr>
        <w:spacing w:line="580" w:lineRule="exact"/>
        <w:ind w:firstLine="640"/>
        <w:jc w:val="both"/>
      </w:pPr>
      <w:r>
        <w:rPr>
          <w:rFonts w:ascii="仿宋_GB2312" w:hAnsi="仿宋_GB2312" w:eastAsia="仿宋_GB2312"/>
          <w:b/>
          <w:sz w:val="32"/>
        </w:rPr>
        <w:t>本年支出1,447.30万元，</w:t>
      </w:r>
      <w:r>
        <w:rPr>
          <w:rFonts w:ascii="仿宋_GB2312" w:hAnsi="仿宋_GB2312" w:eastAsia="仿宋_GB2312"/>
          <w:b w:val="0"/>
          <w:sz w:val="32"/>
        </w:rPr>
        <w:t>其中：基本支出772.30万元，占53.36%；项目支出675.00万元，占46.64%；上缴上级支出0.00万元，占0.00%；经营支出0.00万元，占0.00%；对附属单位补助支出0.00万元，占0.00%。</w:t>
      </w:r>
    </w:p>
    <w:p w14:paraId="40FBA59C">
      <w:pPr>
        <w:spacing w:line="640" w:lineRule="exact"/>
        <w:ind w:firstLine="640"/>
        <w:jc w:val="both"/>
        <w:outlineLvl w:val="2"/>
      </w:pPr>
      <w:r>
        <w:rPr>
          <w:rFonts w:ascii="黑体" w:hAnsi="黑体" w:eastAsia="黑体"/>
          <w:sz w:val="32"/>
        </w:rPr>
        <w:t>四、财政拨款收入支出决算总体情况说明</w:t>
      </w:r>
    </w:p>
    <w:p w14:paraId="03F36C6D">
      <w:pPr>
        <w:spacing w:line="580" w:lineRule="exact"/>
        <w:ind w:firstLine="640"/>
        <w:jc w:val="both"/>
      </w:pPr>
      <w:r>
        <w:rPr>
          <w:rFonts w:ascii="仿宋_GB2312" w:hAnsi="仿宋_GB2312" w:eastAsia="仿宋_GB2312"/>
          <w:b/>
          <w:sz w:val="32"/>
        </w:rPr>
        <w:t>2024年度财政拨款收入总计1,447.30万元，</w:t>
      </w:r>
      <w:r>
        <w:rPr>
          <w:rFonts w:ascii="仿宋_GB2312" w:hAnsi="仿宋_GB2312" w:eastAsia="仿宋_GB2312"/>
          <w:b w:val="0"/>
          <w:sz w:val="32"/>
        </w:rPr>
        <w:t>其中：年初财政拨款结转和结余0.00万元，本年财政拨款收入1,447.30万元。</w:t>
      </w:r>
      <w:r>
        <w:rPr>
          <w:rFonts w:ascii="仿宋_GB2312" w:hAnsi="仿宋_GB2312" w:eastAsia="仿宋_GB2312"/>
          <w:b/>
          <w:sz w:val="32"/>
        </w:rPr>
        <w:t>财政拨款支出总计1,447.30万元，</w:t>
      </w:r>
      <w:r>
        <w:rPr>
          <w:rFonts w:ascii="仿宋_GB2312" w:hAnsi="仿宋_GB2312" w:eastAsia="仿宋_GB2312"/>
          <w:b w:val="0"/>
          <w:sz w:val="32"/>
        </w:rPr>
        <w:t>其中：年末财政拨款结转和结余0.00万元，本年财政拨款支出1,447.30万元。</w:t>
      </w:r>
    </w:p>
    <w:p w14:paraId="69A4683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增加16.05万元，增长1.12%，主要原因是：本年增加南苑大厦机关食堂运行项目，导致经费较上年增加。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年初预算数1,450.63万元，决算数1,447.30万元，预决算差异率-0.23%，主要原因是：本年在职人员减少，年中调减人员经费，导致预决算存在差异。</w:t>
      </w:r>
    </w:p>
    <w:p w14:paraId="61982721">
      <w:pPr>
        <w:spacing w:line="640" w:lineRule="exact"/>
        <w:ind w:firstLine="640"/>
        <w:jc w:val="both"/>
        <w:outlineLvl w:val="2"/>
      </w:pPr>
      <w:r>
        <w:rPr>
          <w:rFonts w:ascii="黑体" w:hAnsi="黑体" w:eastAsia="黑体"/>
          <w:sz w:val="32"/>
        </w:rPr>
        <w:t>五、一般公共预算财政拨款支出决算情况说明</w:t>
      </w:r>
    </w:p>
    <w:p w14:paraId="46486646">
      <w:pPr>
        <w:spacing w:line="640" w:lineRule="exact"/>
        <w:ind w:firstLine="640"/>
        <w:jc w:val="both"/>
        <w:outlineLvl w:val="3"/>
      </w:pPr>
      <w:r>
        <w:rPr>
          <w:rFonts w:ascii="楷体_GB2312" w:hAnsi="楷体_GB2312" w:eastAsia="楷体_GB2312"/>
          <w:b/>
          <w:sz w:val="32"/>
        </w:rPr>
        <w:t>（一）一般公共预算财政拨款支出决算总体情况</w:t>
      </w:r>
    </w:p>
    <w:p w14:paraId="7608FAFB">
      <w:pPr>
        <w:spacing w:line="580" w:lineRule="exact"/>
        <w:ind w:firstLine="640"/>
        <w:jc w:val="both"/>
      </w:pPr>
      <w:r>
        <w:rPr>
          <w:rFonts w:ascii="仿宋_GB2312" w:hAnsi="仿宋_GB2312" w:eastAsia="仿宋_GB2312"/>
          <w:b/>
          <w:sz w:val="32"/>
        </w:rPr>
        <w:t>2024年度一般公共预算财政拨款支出1,447.30万元，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增加16.05万元，增长1.12%，主要原因是：本年增加南苑大厦机关食堂运行项目，导致经费较上年增加。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年初预算数1,450.63万元，决算数1,447.30万元，预决算差异率-0.23%，主要原因是：本年在职人员减少，年中调减人员经费，导致预决算存在差异。</w:t>
      </w:r>
    </w:p>
    <w:p w14:paraId="5D88B3A0">
      <w:pPr>
        <w:spacing w:line="640" w:lineRule="exact"/>
        <w:ind w:firstLine="640"/>
        <w:jc w:val="both"/>
        <w:outlineLvl w:val="3"/>
      </w:pPr>
      <w:r>
        <w:rPr>
          <w:rFonts w:ascii="楷体_GB2312" w:hAnsi="楷体_GB2312" w:eastAsia="楷体_GB2312"/>
          <w:b/>
          <w:sz w:val="32"/>
        </w:rPr>
        <w:t>（二）一般公共预算财政拨款支出决算结构情况</w:t>
      </w:r>
    </w:p>
    <w:p w14:paraId="43DB6BB1">
      <w:pPr>
        <w:spacing w:line="580" w:lineRule="exact"/>
        <w:ind w:firstLine="640"/>
        <w:jc w:val="both"/>
      </w:pPr>
      <w:r>
        <w:rPr>
          <w:rFonts w:ascii="仿宋_GB2312" w:hAnsi="仿宋_GB2312" w:eastAsia="仿宋_GB2312"/>
          <w:b w:val="0"/>
          <w:sz w:val="32"/>
        </w:rPr>
        <w:t>1.一般公共服务支出(类)1,272.27万元,占87.91%。</w:t>
      </w:r>
    </w:p>
    <w:p w14:paraId="6DDF7528">
      <w:pPr>
        <w:spacing w:line="580" w:lineRule="exact"/>
        <w:ind w:firstLine="640"/>
        <w:jc w:val="both"/>
      </w:pPr>
      <w:r>
        <w:rPr>
          <w:rFonts w:ascii="仿宋_GB2312" w:hAnsi="仿宋_GB2312" w:eastAsia="仿宋_GB2312"/>
          <w:b w:val="0"/>
          <w:sz w:val="32"/>
        </w:rPr>
        <w:t>2.社会保障和就业支出(类)93.35万元,占6.45%。</w:t>
      </w:r>
    </w:p>
    <w:p w14:paraId="03ABC99A">
      <w:pPr>
        <w:spacing w:line="580" w:lineRule="exact"/>
        <w:ind w:firstLine="640"/>
        <w:jc w:val="both"/>
      </w:pPr>
      <w:r>
        <w:rPr>
          <w:rFonts w:ascii="仿宋_GB2312" w:hAnsi="仿宋_GB2312" w:eastAsia="仿宋_GB2312"/>
          <w:b w:val="0"/>
          <w:sz w:val="32"/>
        </w:rPr>
        <w:t>3.卫生健康支出(类)28.28万元,占1.95%。</w:t>
      </w:r>
    </w:p>
    <w:p w14:paraId="3855A62F">
      <w:pPr>
        <w:spacing w:line="580" w:lineRule="exact"/>
        <w:ind w:firstLine="640"/>
        <w:jc w:val="both"/>
      </w:pPr>
      <w:r>
        <w:rPr>
          <w:rFonts w:ascii="仿宋_GB2312" w:hAnsi="仿宋_GB2312" w:eastAsia="仿宋_GB2312"/>
          <w:b w:val="0"/>
          <w:sz w:val="32"/>
        </w:rPr>
        <w:t>4.住房保障支出(类)53.40万元,占3.69%。</w:t>
      </w:r>
    </w:p>
    <w:p w14:paraId="3EE5CD85">
      <w:pPr>
        <w:spacing w:line="640" w:lineRule="exact"/>
        <w:ind w:firstLine="640"/>
        <w:jc w:val="both"/>
        <w:outlineLvl w:val="3"/>
      </w:pPr>
      <w:r>
        <w:rPr>
          <w:rFonts w:ascii="楷体_GB2312" w:hAnsi="楷体_GB2312" w:eastAsia="楷体_GB2312"/>
          <w:b/>
          <w:sz w:val="32"/>
        </w:rPr>
        <w:t>（三）一般公共预算财政拨款支出决算具体情况</w:t>
      </w:r>
    </w:p>
    <w:p w14:paraId="651357B3">
      <w:pPr>
        <w:spacing w:line="580" w:lineRule="exact"/>
        <w:ind w:firstLine="640"/>
        <w:jc w:val="both"/>
      </w:pPr>
      <w:r>
        <w:rPr>
          <w:rFonts w:ascii="仿宋_GB2312" w:hAnsi="仿宋_GB2312" w:eastAsia="仿宋_GB2312"/>
          <w:b w:val="0"/>
          <w:sz w:val="32"/>
        </w:rPr>
        <w:t>1.一般公共服务支出(类)政府办公厅（室）及相关机构事务(款)机关服务(项):支出决算数为1,272.27万元，比上年决算增加2.61万元，增长0.21%,主要原因是：本年在职人员工资调增，人员经费增加。</w:t>
      </w:r>
    </w:p>
    <w:p w14:paraId="30289873">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0.00万元，比上年决算减少7.89万元，下降100.00%,主要原因是：本年功能科目调整，退休经费上年度在本科目列支，本年调整至事业单位离退休科目列支，导致经费较上年减少。</w:t>
      </w:r>
    </w:p>
    <w:p w14:paraId="1F62B5E8">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4.30万元，比上年决算增加4.30万元，增长100.00%,主要原因是：本年功能科目调整，退休经费上年度在行政单位离退休科目列支，本年调整至本科目列支，导致经费较上年增加。</w:t>
      </w:r>
    </w:p>
    <w:p w14:paraId="601446F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59.37万元，比上年决算增加7.29万元，增长14.00%,主要原因是：本年在职人员工资基数调增，养老缴费基数上涨，相应支出增加。</w:t>
      </w:r>
    </w:p>
    <w:p w14:paraId="758F014E">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5.社会保障和就业支出(类)行政事业单位养老支出(款)机关事业单位职业年金缴费支出(项):支出决算数为29.68万元，比上年决算增加3.64万元，增长13.98%,主要原因是：本年新增退休人员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5A683F44">
      <w:pPr>
        <w:spacing w:line="580" w:lineRule="exact"/>
        <w:ind w:firstLine="640"/>
        <w:jc w:val="both"/>
      </w:pPr>
      <w:r>
        <w:rPr>
          <w:rFonts w:ascii="仿宋_GB2312" w:hAnsi="仿宋_GB2312" w:eastAsia="仿宋_GB2312"/>
          <w:b w:val="0"/>
          <w:sz w:val="32"/>
        </w:rPr>
        <w:t>6.卫生健康支出(类)行政事业单位医疗(款)事业单位医疗(项):支出决算数为27.20万元，比上年决算增加4.03万元，增长17.39%,主要原因是：本年在职人员工资基数调增，医疗缴费基数上涨，相应支出增加；本年功能科目调整，公务员医疗补助上年度单独列支，本年调整至事业单位医疗科目列支，相应支出增加。</w:t>
      </w:r>
    </w:p>
    <w:p w14:paraId="64D143D5">
      <w:pPr>
        <w:spacing w:line="580" w:lineRule="exact"/>
        <w:ind w:firstLine="640"/>
        <w:jc w:val="both"/>
      </w:pPr>
      <w:r>
        <w:rPr>
          <w:rFonts w:ascii="仿宋_GB2312" w:hAnsi="仿宋_GB2312" w:eastAsia="仿宋_GB2312"/>
          <w:b w:val="0"/>
          <w:sz w:val="32"/>
        </w:rPr>
        <w:t>7.卫生健康支出(类)行政事业单位医疗(款)公务员医疗补助(项):支出决算数为0.00万元，比上年决算减少0.91万元，下降100.00%,主要原因是：本年功能科目调整，公务员医疗补助上年度单独列支，本年调整至事业单位医疗科目列支，导致经费较上年减少。</w:t>
      </w:r>
    </w:p>
    <w:p w14:paraId="4386FA56">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8.卫生健康支出(类)行政事业单位医疗(款)其他行政事业单位医疗支出(项):支出决算数为1.09万元，比上年决算减少0.08万元，下降6.84%,主要原因是：本年在职人员减少，其他行政事业单位医疗支出较上年减少。</w:t>
      </w:r>
    </w:p>
    <w:p w14:paraId="646C97C0">
      <w:pPr>
        <w:spacing w:line="580" w:lineRule="exact"/>
        <w:ind w:firstLine="640"/>
        <w:jc w:val="both"/>
      </w:pPr>
      <w:r>
        <w:rPr>
          <w:rFonts w:ascii="仿宋_GB2312" w:hAnsi="仿宋_GB2312" w:eastAsia="仿宋_GB2312"/>
          <w:b w:val="0"/>
          <w:sz w:val="32"/>
        </w:rPr>
        <w:t>9.住房保障支出(类)住房改革支出(款)住房公积金(项):支出决算数为53.40万元，比上年决算增加3.07万元，增长6.10%,主要原因是：本年在职人员工资基数调增，公积金缴费基数上涨，相应支出增加。</w:t>
      </w:r>
    </w:p>
    <w:p w14:paraId="1F3EA6B1">
      <w:pPr>
        <w:spacing w:line="640" w:lineRule="exact"/>
        <w:ind w:firstLine="640"/>
        <w:jc w:val="both"/>
        <w:outlineLvl w:val="2"/>
      </w:pPr>
      <w:r>
        <w:rPr>
          <w:rFonts w:ascii="黑体" w:hAnsi="黑体" w:eastAsia="黑体"/>
          <w:sz w:val="32"/>
        </w:rPr>
        <w:t>六、一般公共预算财政拨款基本支出决算情况说明</w:t>
      </w:r>
    </w:p>
    <w:p w14:paraId="11164A1C">
      <w:pPr>
        <w:spacing w:line="580" w:lineRule="exact"/>
        <w:ind w:firstLine="640"/>
        <w:jc w:val="both"/>
      </w:pPr>
      <w:r>
        <w:rPr>
          <w:rFonts w:ascii="仿宋_GB2312" w:hAnsi="仿宋_GB2312" w:eastAsia="仿宋_GB2312"/>
          <w:b w:val="0"/>
          <w:sz w:val="32"/>
        </w:rPr>
        <w:t>2024年度一般公共预算财政拨款基本支出772.30万元，其中：</w:t>
      </w:r>
      <w:r>
        <w:rPr>
          <w:rFonts w:ascii="仿宋_GB2312" w:hAnsi="仿宋_GB2312" w:eastAsia="仿宋_GB2312"/>
          <w:b/>
          <w:sz w:val="32"/>
        </w:rPr>
        <w:t>人员经费625.27万元，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包括：基本工资、津贴补贴、奖金、伙食补助费、机关事业单位基本养老保险缴费、职业年金缴费、职工基本医疗保险缴费、其他社会保障缴费、住房公积金、退休费、奖励金。</w:t>
      </w:r>
    </w:p>
    <w:p w14:paraId="5826B29A">
      <w:pPr>
        <w:spacing w:line="580" w:lineRule="exact"/>
        <w:ind w:firstLine="640"/>
        <w:jc w:val="both"/>
      </w:pPr>
      <w:r>
        <w:rPr>
          <w:rFonts w:ascii="仿宋_GB2312" w:hAnsi="仿宋_GB2312" w:eastAsia="仿宋_GB2312"/>
          <w:b/>
          <w:sz w:val="32"/>
        </w:rPr>
        <w:t>公用经费147.03万元，</w:t>
      </w:r>
      <w:r>
        <w:rPr>
          <w:rFonts w:ascii="仿宋_GB2312" w:hAnsi="仿宋_GB2312" w:eastAsia="仿宋_GB2312"/>
          <w:b w:val="0"/>
          <w:sz w:val="32"/>
        </w:rPr>
        <w:t>包括：水费、电费、其他商品和服务支出。</w:t>
      </w:r>
    </w:p>
    <w:p w14:paraId="7A894B2B">
      <w:pPr>
        <w:spacing w:line="640" w:lineRule="exact"/>
        <w:ind w:firstLine="640"/>
        <w:jc w:val="both"/>
        <w:outlineLvl w:val="2"/>
      </w:pPr>
      <w:r>
        <w:rPr>
          <w:rFonts w:ascii="黑体" w:hAnsi="黑体" w:eastAsia="黑体"/>
          <w:sz w:val="32"/>
        </w:rPr>
        <w:t>七、政府性基金预算财政拨款收入支出决算情况说明</w:t>
      </w:r>
    </w:p>
    <w:p w14:paraId="79520AD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94B832F">
      <w:pPr>
        <w:spacing w:line="640" w:lineRule="exact"/>
        <w:ind w:firstLine="640"/>
        <w:jc w:val="both"/>
        <w:outlineLvl w:val="2"/>
      </w:pPr>
      <w:r>
        <w:rPr>
          <w:rFonts w:ascii="黑体" w:hAnsi="黑体" w:eastAsia="黑体"/>
          <w:sz w:val="32"/>
        </w:rPr>
        <w:t>八、国有资本经营预算财政拨款收入支出决算情况说明</w:t>
      </w:r>
    </w:p>
    <w:p w14:paraId="6149CFC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7CB76E">
      <w:pPr>
        <w:spacing w:line="640" w:lineRule="exact"/>
        <w:ind w:firstLine="640"/>
        <w:jc w:val="both"/>
        <w:outlineLvl w:val="2"/>
      </w:pPr>
      <w:r>
        <w:rPr>
          <w:rFonts w:ascii="黑体" w:hAnsi="黑体" w:eastAsia="黑体"/>
          <w:sz w:val="32"/>
        </w:rPr>
        <w:t>九、财政拨款“三公”经费支出决算情况说明</w:t>
      </w:r>
    </w:p>
    <w:p w14:paraId="43AD5C3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4286F06">
      <w:pPr>
        <w:spacing w:line="580" w:lineRule="exact"/>
        <w:ind w:firstLine="640"/>
        <w:jc w:val="both"/>
      </w:pPr>
      <w:r>
        <w:rPr>
          <w:rFonts w:ascii="仿宋_GB2312" w:hAnsi="仿宋_GB2312" w:eastAsia="仿宋_GB2312"/>
          <w:b/>
          <w:sz w:val="32"/>
        </w:rPr>
        <w:t>具体情况如下：</w:t>
      </w:r>
    </w:p>
    <w:p w14:paraId="0C71E06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B32C51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6辆，与公务用车保有量差异原因是：本单位为自收自支单位，无公务车编制，6辆业务用车</w:t>
      </w:r>
      <w:r>
        <w:rPr>
          <w:rFonts w:hint="eastAsia" w:ascii="仿宋_GB2312" w:hAnsi="仿宋_GB2312" w:eastAsia="仿宋_GB2312"/>
          <w:b w:val="0"/>
          <w:sz w:val="32"/>
          <w:lang w:eastAsia="zh-CN"/>
        </w:rPr>
        <w:t>由</w:t>
      </w:r>
      <w:r>
        <w:rPr>
          <w:rFonts w:ascii="仿宋_GB2312" w:hAnsi="仿宋_GB2312" w:eastAsia="仿宋_GB2312"/>
          <w:b w:val="0"/>
          <w:sz w:val="32"/>
        </w:rPr>
        <w:t>单位自有资金保障。</w:t>
      </w:r>
    </w:p>
    <w:p w14:paraId="697476C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01F91F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62CD7F4">
      <w:pPr>
        <w:spacing w:line="640" w:lineRule="exact"/>
        <w:ind w:firstLine="640"/>
        <w:jc w:val="both"/>
        <w:outlineLvl w:val="2"/>
      </w:pPr>
      <w:r>
        <w:rPr>
          <w:rFonts w:ascii="黑体" w:hAnsi="黑体" w:eastAsia="黑体"/>
          <w:sz w:val="32"/>
        </w:rPr>
        <w:t>十、其他重要事项的情况说明</w:t>
      </w:r>
    </w:p>
    <w:p w14:paraId="60ED4255">
      <w:pPr>
        <w:spacing w:line="640" w:lineRule="exact"/>
        <w:ind w:firstLine="640"/>
        <w:jc w:val="both"/>
        <w:outlineLvl w:val="3"/>
      </w:pPr>
      <w:r>
        <w:rPr>
          <w:rFonts w:ascii="楷体_GB2312" w:hAnsi="楷体_GB2312" w:eastAsia="楷体_GB2312"/>
          <w:b/>
          <w:sz w:val="32"/>
        </w:rPr>
        <w:t>（一）机关运行经费及公用经费支出情况</w:t>
      </w:r>
    </w:p>
    <w:p w14:paraId="2485F046">
      <w:pPr>
        <w:spacing w:line="580" w:lineRule="exact"/>
        <w:ind w:firstLine="640"/>
        <w:jc w:val="both"/>
      </w:pPr>
      <w:r>
        <w:rPr>
          <w:rFonts w:ascii="仿宋_GB2312" w:hAnsi="仿宋_GB2312" w:eastAsia="仿宋_GB2312"/>
          <w:b w:val="0"/>
          <w:sz w:val="32"/>
        </w:rPr>
        <w:t>2024年度新疆巴州机关后勤服务中心（事业单位）公用经费支出147.03万元，比上年减少3.97万元，下降2.63%，主要原因是：严控经费支出，厉行节约，减少经费支出。</w:t>
      </w:r>
    </w:p>
    <w:p w14:paraId="15D425DE">
      <w:pPr>
        <w:spacing w:line="640" w:lineRule="exact"/>
        <w:ind w:firstLine="640"/>
        <w:jc w:val="both"/>
        <w:outlineLvl w:val="3"/>
      </w:pPr>
      <w:r>
        <w:rPr>
          <w:rFonts w:ascii="楷体_GB2312" w:hAnsi="楷体_GB2312" w:eastAsia="楷体_GB2312"/>
          <w:b/>
          <w:sz w:val="32"/>
        </w:rPr>
        <w:t>（二）政府采购情况</w:t>
      </w:r>
    </w:p>
    <w:p w14:paraId="28FBCDEE">
      <w:pPr>
        <w:spacing w:line="580" w:lineRule="exact"/>
        <w:ind w:firstLine="640"/>
        <w:jc w:val="both"/>
      </w:pPr>
      <w:r>
        <w:rPr>
          <w:rFonts w:ascii="仿宋_GB2312" w:hAnsi="仿宋_GB2312" w:eastAsia="仿宋_GB2312"/>
          <w:b w:val="0"/>
          <w:sz w:val="32"/>
        </w:rPr>
        <w:t>2024年度政府采购支出总额177.48万元，其中：政府采购货物支出71.54万元、政府采购工程支出14.20万元、政府采购服务支出91.74万元。</w:t>
      </w:r>
    </w:p>
    <w:p w14:paraId="5E818927">
      <w:pPr>
        <w:spacing w:line="580" w:lineRule="exact"/>
        <w:ind w:firstLine="640"/>
        <w:jc w:val="both"/>
      </w:pPr>
      <w:r>
        <w:rPr>
          <w:rFonts w:ascii="仿宋_GB2312" w:hAnsi="仿宋_GB2312" w:eastAsia="仿宋_GB2312"/>
          <w:b w:val="0"/>
          <w:sz w:val="32"/>
        </w:rPr>
        <w:t>授予中小企业合同金额177.48万元，占政府采购支出总额的100.00%，其中：授予小微企业合同金额177.48万元，占政府采购支出总额的100.00%。</w:t>
      </w:r>
    </w:p>
    <w:p w14:paraId="608690F5">
      <w:pPr>
        <w:spacing w:line="640" w:lineRule="exact"/>
        <w:ind w:firstLine="640"/>
        <w:jc w:val="both"/>
        <w:outlineLvl w:val="3"/>
      </w:pPr>
      <w:r>
        <w:rPr>
          <w:rFonts w:ascii="楷体_GB2312" w:hAnsi="楷体_GB2312" w:eastAsia="楷体_GB2312"/>
          <w:b/>
          <w:sz w:val="32"/>
        </w:rPr>
        <w:t>（三）国有资产占用情况说明</w:t>
      </w:r>
    </w:p>
    <w:p w14:paraId="4EEDA2E8">
      <w:pPr>
        <w:spacing w:line="580" w:lineRule="exact"/>
        <w:ind w:firstLine="640"/>
        <w:jc w:val="both"/>
      </w:pPr>
      <w:r>
        <w:rPr>
          <w:rFonts w:ascii="仿宋_GB2312" w:hAnsi="仿宋_GB2312" w:eastAsia="仿宋_GB2312"/>
          <w:b w:val="0"/>
          <w:sz w:val="32"/>
        </w:rPr>
        <w:t>截至2024年12月31日，房屋425.00平方米，价值248.82万元。车辆6辆，价值104.45万元，其中：副部（省）级及以上领导用车0辆、主要负责人用车0辆、机要通信用车0辆、应急保障用车0辆、执法执勤用车0辆、特种专业技术用车0辆、离退休干部服务用车0辆、其他用车6辆，其他用车主要是：单位业务用车。单价100万元（含）以上设备（不含车辆）1台（套）。</w:t>
      </w:r>
    </w:p>
    <w:p w14:paraId="094CF8A6">
      <w:pPr>
        <w:spacing w:line="640" w:lineRule="exact"/>
        <w:ind w:firstLine="640"/>
        <w:jc w:val="both"/>
        <w:outlineLvl w:val="2"/>
      </w:pPr>
      <w:r>
        <w:rPr>
          <w:rFonts w:ascii="黑体" w:hAnsi="黑体" w:eastAsia="黑体"/>
          <w:sz w:val="32"/>
        </w:rPr>
        <w:t>十一、预算绩效的情况说明</w:t>
      </w:r>
    </w:p>
    <w:p w14:paraId="2BA922A0">
      <w:pPr>
        <w:spacing w:line="580" w:lineRule="exact"/>
        <w:ind w:firstLine="640"/>
        <w:jc w:val="both"/>
      </w:pPr>
      <w:r>
        <w:rPr>
          <w:rFonts w:ascii="仿宋_GB2312" w:hAnsi="仿宋_GB2312" w:eastAsia="仿宋_GB2312"/>
          <w:b w:val="0"/>
          <w:sz w:val="32"/>
        </w:rPr>
        <w:t>根据预算绩效管理要求，本单位预算绩效评价项目3个，全年预算数675.00万元，全年执行数675.00万元。预算绩效管理取得的成效：一</w:t>
      </w:r>
      <w:bookmarkStart w:id="0" w:name="_GoBack"/>
      <w:bookmarkEnd w:id="0"/>
      <w:r>
        <w:rPr>
          <w:rFonts w:ascii="仿宋_GB2312" w:hAnsi="仿宋_GB2312" w:eastAsia="仿宋_GB2312"/>
          <w:b w:val="0"/>
          <w:sz w:val="32"/>
        </w:rPr>
        <w:t>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项目支出绩效自评表。</w:t>
      </w:r>
    </w:p>
    <w:p w14:paraId="1DE28C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E4A62DD">
        <w:tblPrEx>
          <w:tblCellMar>
            <w:top w:w="0" w:type="dxa"/>
            <w:left w:w="108" w:type="dxa"/>
            <w:bottom w:w="0" w:type="dxa"/>
            <w:right w:w="108" w:type="dxa"/>
          </w:tblCellMar>
        </w:tblPrEx>
        <w:tc>
          <w:tcPr>
            <w:tcW w:w="8848" w:type="dxa"/>
            <w:gridSpan w:val="14"/>
            <w:vAlign w:val="center"/>
          </w:tcPr>
          <w:p w14:paraId="0294C439">
            <w:pPr>
              <w:jc w:val="center"/>
            </w:pPr>
            <w:r>
              <w:rPr>
                <w:rFonts w:ascii="宋体" w:hAnsi="宋体" w:eastAsia="宋体"/>
                <w:sz w:val="24"/>
              </w:rPr>
              <w:t>项目支出绩效自评表</w:t>
            </w:r>
          </w:p>
        </w:tc>
      </w:tr>
      <w:tr w14:paraId="269BE7AE">
        <w:tblPrEx>
          <w:tblCellMar>
            <w:top w:w="0" w:type="dxa"/>
            <w:left w:w="108" w:type="dxa"/>
            <w:bottom w:w="0" w:type="dxa"/>
            <w:right w:w="108" w:type="dxa"/>
          </w:tblCellMar>
        </w:tblPrEx>
        <w:tc>
          <w:tcPr>
            <w:tcW w:w="8848" w:type="dxa"/>
            <w:gridSpan w:val="14"/>
            <w:vAlign w:val="center"/>
          </w:tcPr>
          <w:p w14:paraId="024BC92E">
            <w:pPr>
              <w:jc w:val="center"/>
            </w:pPr>
            <w:r>
              <w:rPr>
                <w:rFonts w:ascii="宋体" w:hAnsi="宋体" w:eastAsia="宋体"/>
                <w:sz w:val="24"/>
              </w:rPr>
              <w:t>(2024年度)</w:t>
            </w:r>
          </w:p>
        </w:tc>
      </w:tr>
      <w:tr w14:paraId="03ACA7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4A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C76800">
            <w:pPr>
              <w:jc w:val="center"/>
            </w:pPr>
            <w:r>
              <w:rPr>
                <w:rFonts w:ascii="宋体" w:hAnsi="宋体" w:eastAsia="宋体"/>
                <w:sz w:val="16"/>
              </w:rPr>
              <w:t>党政办公楼运行保障</w:t>
            </w:r>
          </w:p>
        </w:tc>
      </w:tr>
      <w:tr w14:paraId="421448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54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E4C4F9">
            <w:pPr>
              <w:jc w:val="center"/>
            </w:pPr>
            <w:r>
              <w:rPr>
                <w:rFonts w:ascii="宋体" w:hAnsi="宋体" w:eastAsia="宋体"/>
                <w:sz w:val="16"/>
              </w:rPr>
              <w:t>新疆巴州机关后勤服务中心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93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4B9A3">
            <w:pPr>
              <w:jc w:val="center"/>
            </w:pPr>
            <w:r>
              <w:rPr>
                <w:rFonts w:ascii="宋体" w:hAnsi="宋体" w:eastAsia="宋体"/>
                <w:sz w:val="16"/>
              </w:rPr>
              <w:t>新疆巴州机关后勤服务中心</w:t>
            </w:r>
          </w:p>
        </w:tc>
      </w:tr>
      <w:tr w14:paraId="563CD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599D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D3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78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C6A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D2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870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F90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A4D3">
            <w:pPr>
              <w:jc w:val="center"/>
            </w:pPr>
            <w:r>
              <w:rPr>
                <w:rFonts w:ascii="宋体" w:hAnsi="宋体" w:eastAsia="宋体"/>
                <w:sz w:val="16"/>
              </w:rPr>
              <w:t>得分</w:t>
            </w:r>
          </w:p>
        </w:tc>
      </w:tr>
      <w:tr w14:paraId="47A84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A81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A2D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CE80">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32AA">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406E">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E16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B8E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B087">
            <w:pPr>
              <w:jc w:val="center"/>
            </w:pPr>
            <w:r>
              <w:rPr>
                <w:rFonts w:ascii="宋体" w:hAnsi="宋体" w:eastAsia="宋体"/>
                <w:sz w:val="16"/>
              </w:rPr>
              <w:t>10.00</w:t>
            </w:r>
          </w:p>
        </w:tc>
      </w:tr>
      <w:tr w14:paraId="5646F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537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7B7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0E36D">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F4ED">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C729F">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AE9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9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94ED">
            <w:pPr>
              <w:jc w:val="center"/>
            </w:pPr>
            <w:r>
              <w:rPr>
                <w:rFonts w:ascii="宋体" w:hAnsi="宋体" w:eastAsia="宋体"/>
                <w:sz w:val="16"/>
              </w:rPr>
              <w:t>-</w:t>
            </w:r>
          </w:p>
        </w:tc>
      </w:tr>
      <w:tr w14:paraId="5ABCE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2D7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E39D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129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DEF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A79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D17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3AC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3B46">
            <w:pPr>
              <w:jc w:val="center"/>
            </w:pPr>
            <w:r>
              <w:rPr>
                <w:rFonts w:ascii="宋体" w:hAnsi="宋体" w:eastAsia="宋体"/>
                <w:sz w:val="16"/>
              </w:rPr>
              <w:t>-</w:t>
            </w:r>
          </w:p>
        </w:tc>
      </w:tr>
      <w:tr w14:paraId="53107F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54D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89F2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DADBA6">
            <w:pPr>
              <w:jc w:val="center"/>
            </w:pPr>
            <w:r>
              <w:rPr>
                <w:rFonts w:ascii="宋体" w:hAnsi="宋体" w:eastAsia="宋体"/>
                <w:sz w:val="16"/>
              </w:rPr>
              <w:t>总体目标完成情况</w:t>
            </w:r>
          </w:p>
        </w:tc>
      </w:tr>
      <w:tr w14:paraId="7C2FB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EF2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219E9A">
            <w:pPr>
              <w:jc w:val="both"/>
            </w:pPr>
            <w:r>
              <w:rPr>
                <w:rFonts w:ascii="宋体" w:hAnsi="宋体" w:eastAsia="宋体"/>
                <w:sz w:val="16"/>
              </w:rPr>
              <w:t>通过对水、电、暖、制冷等的供给和管理以及管网等设施设备的维修维护；办公区公共环境卫生清扫，垃圾清运；树木花草等绿化种植、维护管理；水、电、暖、制冷等费用的计量、核算、代收、代付以及办理手续等工作。保证政府各部门水、电、暖、制冷以及管网等设施设备的正常运行。办公区域环境卫生管理、区域内安保、办公楼维修维护等工作。达到发放工资人数30人以上，发放工资次数12次，维修餐厅个数3个以上，用水用电面积不少于2万平。严格控制项目的成本，按进度完成项目目标，通过优质的服务达到节支增收，降低成本，建设节约型机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AAC8E8">
            <w:pPr>
              <w:jc w:val="both"/>
            </w:pPr>
            <w:r>
              <w:rPr>
                <w:rFonts w:ascii="宋体" w:hAnsi="宋体" w:eastAsia="宋体"/>
                <w:sz w:val="16"/>
              </w:rPr>
              <w:t>通过发放餐厅人员工资430万，按月分12次发放、餐厅维修维护45万、保障水电费25万元，按进度完成了项目目标，通过优质的服务，为各项工作提供有力支持。</w:t>
            </w:r>
          </w:p>
        </w:tc>
      </w:tr>
      <w:tr w14:paraId="78ACA2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A85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0A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B4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01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283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35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E3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85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CD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50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55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CA7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4B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DFF5">
            <w:pPr>
              <w:jc w:val="center"/>
            </w:pPr>
            <w:r>
              <w:rPr>
                <w:rFonts w:ascii="宋体" w:hAnsi="宋体" w:eastAsia="宋体"/>
                <w:sz w:val="16"/>
              </w:rPr>
              <w:t>偏差原因分析及改进措施</w:t>
            </w:r>
          </w:p>
        </w:tc>
      </w:tr>
      <w:tr w14:paraId="40DE0A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242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078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667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2727">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F7EE">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F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C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D5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4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8F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5A18">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3736">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0A25">
            <w:pPr>
              <w:jc w:val="center"/>
            </w:pPr>
            <w:r>
              <w:rPr>
                <w:rFonts w:ascii="宋体" w:hAnsi="宋体" w:eastAsia="宋体"/>
                <w:sz w:val="16"/>
              </w:rPr>
              <w: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A883">
            <w:pPr>
              <w:jc w:val="center"/>
            </w:pPr>
            <w:r>
              <w:rPr>
                <w:rFonts w:ascii="宋体" w:hAnsi="宋体" w:eastAsia="宋体"/>
                <w:sz w:val="16"/>
              </w:rPr>
              <w:t>目标设定相对保守，通过团队协作，高效执行，超额完成目标</w:t>
            </w:r>
          </w:p>
        </w:tc>
      </w:tr>
      <w:tr w14:paraId="4EDD0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F7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27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DE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0491">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937F">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5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5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08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D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5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48F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0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41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442B">
            <w:pPr>
              <w:jc w:val="center"/>
            </w:pPr>
          </w:p>
        </w:tc>
      </w:tr>
      <w:tr w14:paraId="5FC2B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41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55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85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477F">
            <w:pPr>
              <w:jc w:val="center"/>
            </w:pPr>
            <w:r>
              <w:rPr>
                <w:rFonts w:ascii="宋体" w:hAnsi="宋体" w:eastAsia="宋体"/>
                <w:sz w:val="16"/>
              </w:rPr>
              <w:t>用水用电面积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F20B">
            <w:pPr>
              <w:jc w:val="center"/>
            </w:pPr>
            <w:r>
              <w:rPr>
                <w:rFonts w:ascii="宋体" w:hAnsi="宋体" w:eastAsia="宋体"/>
                <w:sz w:val="16"/>
              </w:rPr>
              <w:t>&gt;=20000平方米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8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D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73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C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14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491C">
            <w:pPr>
              <w:jc w:val="center"/>
            </w:pPr>
            <w:r>
              <w:rPr>
                <w:rFonts w:ascii="宋体" w:hAnsi="宋体" w:eastAsia="宋体"/>
                <w:sz w:val="16"/>
              </w:rPr>
              <w:t>=20900平方米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51F5">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5152">
            <w:pPr>
              <w:jc w:val="center"/>
            </w:pPr>
            <w:r>
              <w:rPr>
                <w:rFonts w:ascii="宋体" w:hAnsi="宋体" w:eastAsia="宋体"/>
                <w:sz w:val="16"/>
              </w:rPr>
              <w:t>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E10E">
            <w:pPr>
              <w:jc w:val="center"/>
            </w:pPr>
            <w:r>
              <w:rPr>
                <w:rFonts w:ascii="宋体" w:hAnsi="宋体" w:eastAsia="宋体"/>
                <w:sz w:val="16"/>
              </w:rPr>
              <w:t>目标设定相对保守，超额完成目标</w:t>
            </w:r>
          </w:p>
        </w:tc>
      </w:tr>
      <w:tr w14:paraId="45550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84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00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A5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5729">
            <w:pPr>
              <w:jc w:val="center"/>
            </w:pPr>
            <w:r>
              <w:rPr>
                <w:rFonts w:ascii="宋体" w:hAnsi="宋体" w:eastAsia="宋体"/>
                <w:sz w:val="16"/>
              </w:rPr>
              <w:t>维修餐厅个数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E47D">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5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99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9A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A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90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CD8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4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EF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A4C8">
            <w:pPr>
              <w:jc w:val="center"/>
            </w:pPr>
          </w:p>
        </w:tc>
      </w:tr>
      <w:tr w14:paraId="6AC7F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61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5B1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100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C51F">
            <w:pPr>
              <w:jc w:val="center"/>
            </w:pPr>
            <w:r>
              <w:rPr>
                <w:rFonts w:ascii="宋体" w:hAnsi="宋体" w:eastAsia="宋体"/>
                <w:sz w:val="16"/>
              </w:rPr>
              <w:t>餐厅维修验收合格率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75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8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C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64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1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32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62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8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B0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C597">
            <w:pPr>
              <w:jc w:val="center"/>
            </w:pPr>
          </w:p>
        </w:tc>
      </w:tr>
      <w:tr w14:paraId="6224E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6B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A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6A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5B35">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EC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2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EB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61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F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D5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D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A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D8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D189">
            <w:pPr>
              <w:jc w:val="center"/>
            </w:pPr>
            <w:r>
              <w:rPr>
                <w:rFonts w:ascii="宋体" w:hAnsi="宋体" w:eastAsia="宋体"/>
                <w:sz w:val="16"/>
              </w:rPr>
              <w:t>目标设定相对保守，超额完成目标</w:t>
            </w:r>
          </w:p>
        </w:tc>
      </w:tr>
      <w:tr w14:paraId="2B27B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AD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D91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12D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461E">
            <w:pPr>
              <w:jc w:val="center"/>
            </w:pPr>
            <w:r>
              <w:rPr>
                <w:rFonts w:ascii="宋体" w:hAnsi="宋体" w:eastAsia="宋体"/>
                <w:sz w:val="16"/>
              </w:rPr>
              <w:t>水电费支付及时率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79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5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1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70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AB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69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F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460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06C8">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C7C8">
            <w:pPr>
              <w:jc w:val="center"/>
            </w:pPr>
            <w:r>
              <w:rPr>
                <w:rFonts w:ascii="宋体" w:hAnsi="宋体" w:eastAsia="宋体"/>
                <w:sz w:val="16"/>
              </w:rPr>
              <w:t>目标设定相对保守，通过高效管理，超额完成目标</w:t>
            </w:r>
          </w:p>
        </w:tc>
      </w:tr>
      <w:tr w14:paraId="605C7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B7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33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8E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B8F1">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36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3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5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70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1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4B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0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B43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887B">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20E7">
            <w:pPr>
              <w:jc w:val="center"/>
            </w:pPr>
            <w:r>
              <w:rPr>
                <w:rFonts w:ascii="宋体" w:hAnsi="宋体" w:eastAsia="宋体"/>
                <w:sz w:val="16"/>
              </w:rPr>
              <w:t>目标设定相对保守，通过团队协作，高效执行，超额完成目标</w:t>
            </w:r>
          </w:p>
        </w:tc>
      </w:tr>
      <w:tr w14:paraId="14E01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54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B9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E4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47DD">
            <w:pPr>
              <w:jc w:val="center"/>
            </w:pPr>
            <w:r>
              <w:rPr>
                <w:rFonts w:ascii="宋体" w:hAnsi="宋体" w:eastAsia="宋体"/>
                <w:sz w:val="16"/>
              </w:rPr>
              <w:t>维修工程按计划完工时间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A80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7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97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B7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C6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D1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67DE">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6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23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D2D5">
            <w:pPr>
              <w:jc w:val="center"/>
            </w:pPr>
          </w:p>
        </w:tc>
      </w:tr>
      <w:tr w14:paraId="5B9F9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C1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9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6A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F5A8">
            <w:pPr>
              <w:jc w:val="center"/>
            </w:pPr>
            <w:r>
              <w:rPr>
                <w:rFonts w:ascii="宋体" w:hAnsi="宋体" w:eastAsia="宋体"/>
                <w:sz w:val="16"/>
              </w:rPr>
              <w:t>维修工程按计划开工时间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0DAD">
            <w:pPr>
              <w:jc w:val="center"/>
            </w:pPr>
            <w:r>
              <w:rPr>
                <w:rFonts w:ascii="宋体" w:hAnsi="宋体" w:eastAsia="宋体"/>
                <w:sz w:val="16"/>
              </w:rPr>
              <w:t>2024年1月1日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9F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2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09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25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58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E07A">
            <w:pPr>
              <w:jc w:val="center"/>
            </w:pPr>
            <w:r>
              <w:rPr>
                <w:rFonts w:ascii="宋体" w:hAnsi="宋体" w:eastAsia="宋体"/>
                <w:sz w:val="16"/>
              </w:rPr>
              <w:t>=2024年1月1日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F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B7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2E1A">
            <w:pPr>
              <w:jc w:val="center"/>
            </w:pPr>
          </w:p>
        </w:tc>
      </w:tr>
      <w:tr w14:paraId="3EBF0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776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78A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C71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36F8">
            <w:pPr>
              <w:jc w:val="center"/>
            </w:pPr>
            <w:r>
              <w:rPr>
                <w:rFonts w:ascii="宋体" w:hAnsi="宋体" w:eastAsia="宋体"/>
                <w:sz w:val="16"/>
              </w:rPr>
              <w:t>每次发放工资数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1CF8">
            <w:pPr>
              <w:jc w:val="center"/>
            </w:pPr>
            <w:r>
              <w:rPr>
                <w:rFonts w:ascii="宋体" w:hAnsi="宋体" w:eastAsia="宋体"/>
                <w:sz w:val="16"/>
              </w:rPr>
              <w:t>&lt;=33.33万元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6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0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9F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C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10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8D70">
            <w:pPr>
              <w:jc w:val="center"/>
            </w:pPr>
            <w:r>
              <w:rPr>
                <w:rFonts w:ascii="宋体" w:hAnsi="宋体" w:eastAsia="宋体"/>
                <w:sz w:val="16"/>
              </w:rPr>
              <w:t>=33.33万元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B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B1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1010">
            <w:pPr>
              <w:jc w:val="center"/>
            </w:pPr>
          </w:p>
        </w:tc>
      </w:tr>
      <w:tr w14:paraId="10489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92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ED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5C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743D">
            <w:pPr>
              <w:jc w:val="center"/>
            </w:pPr>
            <w:r>
              <w:rPr>
                <w:rFonts w:ascii="宋体" w:hAnsi="宋体" w:eastAsia="宋体"/>
                <w:sz w:val="16"/>
              </w:rPr>
              <w:t>维修餐厅成本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63F6">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2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6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F0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7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34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42A0">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7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A9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944D">
            <w:pPr>
              <w:jc w:val="center"/>
            </w:pPr>
          </w:p>
        </w:tc>
      </w:tr>
      <w:tr w14:paraId="6F4A3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29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3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61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DC4E">
            <w:pPr>
              <w:jc w:val="center"/>
            </w:pPr>
            <w:r>
              <w:rPr>
                <w:rFonts w:ascii="宋体" w:hAnsi="宋体" w:eastAsia="宋体"/>
                <w:sz w:val="16"/>
              </w:rPr>
              <w:t>水电费成本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CBD2">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8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B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35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8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0E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04A7">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C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B0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1C6C">
            <w:pPr>
              <w:jc w:val="center"/>
            </w:pPr>
          </w:p>
        </w:tc>
      </w:tr>
      <w:tr w14:paraId="3C9D3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FB2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1D9D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698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D300">
            <w:pPr>
              <w:jc w:val="center"/>
            </w:pPr>
            <w:r>
              <w:rPr>
                <w:rFonts w:ascii="宋体" w:hAnsi="宋体" w:eastAsia="宋体"/>
                <w:sz w:val="16"/>
              </w:rPr>
              <w:t>维修后餐厅正常运转率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09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7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0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8C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3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96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6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84B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80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8ED6">
            <w:pPr>
              <w:jc w:val="center"/>
            </w:pPr>
            <w:r>
              <w:rPr>
                <w:rFonts w:ascii="宋体" w:hAnsi="宋体" w:eastAsia="宋体"/>
                <w:sz w:val="16"/>
              </w:rPr>
              <w:t>目标设定相对保守，采用创新工作方法，超额完成目标</w:t>
            </w:r>
          </w:p>
        </w:tc>
      </w:tr>
      <w:tr w14:paraId="5E55A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1F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30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2B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C0B5">
            <w:pPr>
              <w:jc w:val="center"/>
            </w:pPr>
            <w:r>
              <w:rPr>
                <w:rFonts w:ascii="宋体" w:hAnsi="宋体" w:eastAsia="宋体"/>
                <w:sz w:val="16"/>
              </w:rPr>
              <w:t>餐厅受益人数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1AB8">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E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4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6D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A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91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C668">
            <w:pPr>
              <w:jc w:val="center"/>
            </w:pPr>
            <w:r>
              <w:rPr>
                <w:rFonts w:ascii="宋体" w:hAnsi="宋体" w:eastAsia="宋体"/>
                <w:sz w:val="16"/>
              </w:rPr>
              <w:t>=953人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0CF3">
            <w:pPr>
              <w:jc w:val="center"/>
            </w:pPr>
            <w:r>
              <w:rPr>
                <w:rFonts w:ascii="宋体" w:hAnsi="宋体" w:eastAsia="宋体"/>
                <w:sz w:val="16"/>
              </w:rPr>
              <w:t>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00FD">
            <w:pPr>
              <w:jc w:val="center"/>
            </w:pPr>
            <w:r>
              <w:rPr>
                <w:rFonts w:ascii="宋体" w:hAnsi="宋体" w:eastAsia="宋体"/>
                <w:sz w:val="16"/>
              </w:rPr>
              <w:t>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70FF">
            <w:pPr>
              <w:jc w:val="center"/>
            </w:pPr>
            <w:r>
              <w:rPr>
                <w:rFonts w:ascii="宋体" w:hAnsi="宋体" w:eastAsia="宋体"/>
                <w:sz w:val="16"/>
              </w:rPr>
              <w:t>目标设定相对保守，超额完成目标</w:t>
            </w:r>
          </w:p>
        </w:tc>
      </w:tr>
      <w:tr w14:paraId="5BA63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74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CB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FA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F5C4">
            <w:pPr>
              <w:jc w:val="center"/>
            </w:pPr>
            <w:r>
              <w:rPr>
                <w:rFonts w:ascii="宋体" w:hAnsi="宋体" w:eastAsia="宋体"/>
                <w:sz w:val="16"/>
              </w:rPr>
              <w:t>党政办公楼工作人员满意度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74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C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F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0B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6B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C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2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3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B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23DC">
            <w:pPr>
              <w:jc w:val="center"/>
            </w:pPr>
            <w:r>
              <w:rPr>
                <w:rFonts w:ascii="宋体" w:hAnsi="宋体" w:eastAsia="宋体"/>
                <w:sz w:val="16"/>
              </w:rPr>
              <w:t>目标设定相对保守，超额完成目标</w:t>
            </w:r>
          </w:p>
        </w:tc>
      </w:tr>
      <w:tr w14:paraId="4C66571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C79B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886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E7C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80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1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FDA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FA8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8D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B9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8C44">
            <w:pPr>
              <w:jc w:val="center"/>
            </w:pPr>
            <w:r>
              <w:rPr>
                <w:rFonts w:ascii="宋体" w:hAnsi="宋体" w:eastAsia="宋体"/>
                <w:sz w:val="16"/>
              </w:rPr>
              <w:t>96.80分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47970"/>
        </w:tc>
      </w:tr>
    </w:tbl>
    <w:p w14:paraId="090276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B286CEA">
        <w:tblPrEx>
          <w:tblCellMar>
            <w:top w:w="0" w:type="dxa"/>
            <w:left w:w="108" w:type="dxa"/>
            <w:bottom w:w="0" w:type="dxa"/>
            <w:right w:w="108" w:type="dxa"/>
          </w:tblCellMar>
        </w:tblPrEx>
        <w:tc>
          <w:tcPr>
            <w:tcW w:w="8848" w:type="dxa"/>
            <w:gridSpan w:val="14"/>
            <w:vAlign w:val="center"/>
          </w:tcPr>
          <w:p w14:paraId="08DA16D8">
            <w:pPr>
              <w:jc w:val="center"/>
            </w:pPr>
            <w:r>
              <w:rPr>
                <w:rFonts w:ascii="宋体" w:hAnsi="宋体" w:eastAsia="宋体"/>
                <w:sz w:val="24"/>
              </w:rPr>
              <w:t>项目支出绩效自评表</w:t>
            </w:r>
          </w:p>
        </w:tc>
      </w:tr>
      <w:tr w14:paraId="0CEA5824">
        <w:tblPrEx>
          <w:tblCellMar>
            <w:top w:w="0" w:type="dxa"/>
            <w:left w:w="108" w:type="dxa"/>
            <w:bottom w:w="0" w:type="dxa"/>
            <w:right w:w="108" w:type="dxa"/>
          </w:tblCellMar>
        </w:tblPrEx>
        <w:tc>
          <w:tcPr>
            <w:tcW w:w="8848" w:type="dxa"/>
            <w:gridSpan w:val="14"/>
            <w:vAlign w:val="center"/>
          </w:tcPr>
          <w:p w14:paraId="0F5F628A">
            <w:pPr>
              <w:jc w:val="center"/>
            </w:pPr>
            <w:r>
              <w:rPr>
                <w:rFonts w:ascii="宋体" w:hAnsi="宋体" w:eastAsia="宋体"/>
                <w:sz w:val="24"/>
              </w:rPr>
              <w:t>(2024年度)</w:t>
            </w:r>
          </w:p>
        </w:tc>
      </w:tr>
      <w:tr w14:paraId="252B55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9D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F3D245">
            <w:pPr>
              <w:jc w:val="center"/>
            </w:pPr>
            <w:r>
              <w:rPr>
                <w:rFonts w:ascii="宋体" w:hAnsi="宋体" w:eastAsia="宋体"/>
                <w:sz w:val="16"/>
              </w:rPr>
              <w:t>办公楼维修维护</w:t>
            </w:r>
          </w:p>
        </w:tc>
      </w:tr>
      <w:tr w14:paraId="6D881D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24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26575">
            <w:pPr>
              <w:jc w:val="center"/>
            </w:pPr>
            <w:r>
              <w:rPr>
                <w:rFonts w:ascii="宋体" w:hAnsi="宋体" w:eastAsia="宋体"/>
                <w:sz w:val="16"/>
              </w:rPr>
              <w:t>新疆巴州机关后勤服务中心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90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2D157">
            <w:pPr>
              <w:jc w:val="center"/>
            </w:pPr>
            <w:r>
              <w:rPr>
                <w:rFonts w:ascii="宋体" w:hAnsi="宋体" w:eastAsia="宋体"/>
                <w:sz w:val="16"/>
              </w:rPr>
              <w:t>新疆巴州机关后勤服务中心</w:t>
            </w:r>
          </w:p>
        </w:tc>
      </w:tr>
      <w:tr w14:paraId="5B580E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1D7A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01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22E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75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1A5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A1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56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AD52">
            <w:pPr>
              <w:jc w:val="center"/>
            </w:pPr>
            <w:r>
              <w:rPr>
                <w:rFonts w:ascii="宋体" w:hAnsi="宋体" w:eastAsia="宋体"/>
                <w:sz w:val="16"/>
              </w:rPr>
              <w:t>得分</w:t>
            </w:r>
          </w:p>
        </w:tc>
      </w:tr>
      <w:tr w14:paraId="3771BE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2CA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F9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88E36">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61293">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EEAAD">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750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43EE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EE52">
            <w:pPr>
              <w:jc w:val="center"/>
            </w:pPr>
            <w:r>
              <w:rPr>
                <w:rFonts w:ascii="宋体" w:hAnsi="宋体" w:eastAsia="宋体"/>
                <w:sz w:val="16"/>
              </w:rPr>
              <w:t>10.00</w:t>
            </w:r>
          </w:p>
        </w:tc>
      </w:tr>
      <w:tr w14:paraId="63CBC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E4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74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F8C0">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69AA">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7BDF">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B37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CA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6CCD">
            <w:pPr>
              <w:jc w:val="center"/>
            </w:pPr>
            <w:r>
              <w:rPr>
                <w:rFonts w:ascii="宋体" w:hAnsi="宋体" w:eastAsia="宋体"/>
                <w:sz w:val="16"/>
              </w:rPr>
              <w:t>-</w:t>
            </w:r>
          </w:p>
        </w:tc>
      </w:tr>
      <w:tr w14:paraId="63368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27F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824C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48B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F2B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EA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D14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942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C7A6">
            <w:pPr>
              <w:jc w:val="center"/>
            </w:pPr>
            <w:r>
              <w:rPr>
                <w:rFonts w:ascii="宋体" w:hAnsi="宋体" w:eastAsia="宋体"/>
                <w:sz w:val="16"/>
              </w:rPr>
              <w:t>-</w:t>
            </w:r>
          </w:p>
        </w:tc>
      </w:tr>
      <w:tr w14:paraId="1B4A22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869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9CE13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607A0">
            <w:pPr>
              <w:jc w:val="center"/>
            </w:pPr>
            <w:r>
              <w:rPr>
                <w:rFonts w:ascii="宋体" w:hAnsi="宋体" w:eastAsia="宋体"/>
                <w:sz w:val="16"/>
              </w:rPr>
              <w:t>总体目标完成情况</w:t>
            </w:r>
          </w:p>
        </w:tc>
      </w:tr>
      <w:tr w14:paraId="30692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E32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C4E86">
            <w:pPr>
              <w:jc w:val="both"/>
            </w:pPr>
            <w:r>
              <w:rPr>
                <w:rFonts w:ascii="宋体" w:hAnsi="宋体" w:eastAsia="宋体"/>
                <w:sz w:val="16"/>
              </w:rPr>
              <w:t>通过对水、电、暖、制冷等的供给和管理以及管网等设施设备的维修维护；办公区公共环境卫生清扫，垃圾清运；树木花草等绿化种植、维护管理；水、电、暖、制冷等费用的计量、核算、代收、代付以及办理手续等工作。保证政府各部门水、电、暖、制冷以及管网等设施设备的正常运行。办公区域环境卫生管理、区域内安保、办公楼维修维护等工作。达到维修维护电梯、中央空调、锅炉等设备不少于16套，基础设施设备维修维护次数不少于1000次。严格控制项目的成本，按进度完成项目目标，通过优质的服务达到节支增收，降低成本，建设节约型机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63B40C">
            <w:pPr>
              <w:jc w:val="both"/>
            </w:pPr>
            <w:r>
              <w:rPr>
                <w:rFonts w:ascii="宋体" w:hAnsi="宋体" w:eastAsia="宋体"/>
                <w:sz w:val="16"/>
              </w:rPr>
              <w:t>通过投入维修维护电梯、中央空调、锅炉等设备40</w:t>
            </w:r>
            <w:r>
              <w:rPr>
                <w:rFonts w:hint="eastAsia" w:ascii="宋体" w:hAnsi="宋体"/>
                <w:sz w:val="16"/>
                <w:lang w:eastAsia="zh-CN"/>
              </w:rPr>
              <w:t>万元</w:t>
            </w:r>
            <w:r>
              <w:rPr>
                <w:rFonts w:ascii="宋体" w:hAnsi="宋体" w:eastAsia="宋体"/>
                <w:sz w:val="16"/>
              </w:rPr>
              <w:t>，基础设施设备维修维护140万元，按进度完成项目目标，通过优质的服务达到节支增收，降低成本，建设了节约型机关。</w:t>
            </w:r>
            <w:r>
              <w:rPr>
                <w:rFonts w:ascii="宋体" w:hAnsi="宋体" w:eastAsia="宋体"/>
                <w:sz w:val="16"/>
              </w:rPr>
              <w:br w:type="textWrapping"/>
            </w:r>
          </w:p>
        </w:tc>
      </w:tr>
      <w:tr w14:paraId="434C75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E73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53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4F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25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D3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B1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91B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A8B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97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49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E5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A7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75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D3F8">
            <w:pPr>
              <w:jc w:val="center"/>
            </w:pPr>
            <w:r>
              <w:rPr>
                <w:rFonts w:ascii="宋体" w:hAnsi="宋体" w:eastAsia="宋体"/>
                <w:sz w:val="16"/>
              </w:rPr>
              <w:t>偏差原因分析及改进措施</w:t>
            </w:r>
          </w:p>
        </w:tc>
      </w:tr>
      <w:tr w14:paraId="19818E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C9D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A03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7A6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B946">
            <w:pPr>
              <w:jc w:val="center"/>
            </w:pPr>
            <w:r>
              <w:rPr>
                <w:rFonts w:ascii="宋体" w:hAnsi="宋体" w:eastAsia="宋体"/>
                <w:sz w:val="16"/>
              </w:rPr>
              <w:t>维修维护基础设备数量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027E">
            <w:pPr>
              <w:jc w:val="center"/>
            </w:pPr>
            <w:r>
              <w:rPr>
                <w:rFonts w:ascii="宋体" w:hAnsi="宋体" w:eastAsia="宋体"/>
                <w:sz w:val="16"/>
              </w:rPr>
              <w:t>&gt;=16套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F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A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E98A">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8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DF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C973">
            <w:pPr>
              <w:jc w:val="center"/>
            </w:pPr>
            <w:r>
              <w:rPr>
                <w:rFonts w:ascii="宋体" w:hAnsi="宋体" w:eastAsia="宋体"/>
                <w:sz w:val="16"/>
              </w:rPr>
              <w: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2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F3C0">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2A7A">
            <w:pPr>
              <w:jc w:val="center"/>
            </w:pPr>
          </w:p>
        </w:tc>
      </w:tr>
      <w:tr w14:paraId="41394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7E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E2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C7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7581">
            <w:pPr>
              <w:jc w:val="center"/>
            </w:pPr>
            <w:r>
              <w:rPr>
                <w:rFonts w:ascii="宋体" w:hAnsi="宋体" w:eastAsia="宋体"/>
                <w:sz w:val="16"/>
              </w:rPr>
              <w:t>基础设施设备维修维护次数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EAA0">
            <w:pPr>
              <w:jc w:val="center"/>
            </w:pPr>
            <w:r>
              <w:rPr>
                <w:rFonts w:ascii="宋体" w:hAnsi="宋体" w:eastAsia="宋体"/>
                <w:sz w:val="16"/>
              </w:rPr>
              <w:t>&gt;=1000次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6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6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6E61">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D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3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82C9">
            <w:pPr>
              <w:jc w:val="center"/>
            </w:pPr>
            <w:r>
              <w:rPr>
                <w:rFonts w:ascii="宋体" w:hAnsi="宋体" w:eastAsia="宋体"/>
                <w:sz w:val="16"/>
              </w:rPr>
              <w:t>=1080次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BED5">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A875">
            <w:pPr>
              <w:jc w:val="center"/>
            </w:pPr>
            <w:r>
              <w:rPr>
                <w:rFonts w:ascii="宋体" w:hAnsi="宋体" w:eastAsia="宋体"/>
                <w:sz w:val="16"/>
              </w:rPr>
              <w:t>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6B2D">
            <w:pPr>
              <w:jc w:val="center"/>
            </w:pPr>
            <w:r>
              <w:rPr>
                <w:rFonts w:ascii="宋体" w:hAnsi="宋体" w:eastAsia="宋体"/>
                <w:sz w:val="16"/>
              </w:rPr>
              <w:t>目标设定相对保守，维修维护工作有随机性和偶然性，超额完成目标</w:t>
            </w:r>
          </w:p>
        </w:tc>
      </w:tr>
      <w:tr w14:paraId="6B7F9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17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610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C92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92BB">
            <w:pPr>
              <w:jc w:val="center"/>
            </w:pPr>
            <w:r>
              <w:rPr>
                <w:rFonts w:ascii="宋体" w:hAnsi="宋体" w:eastAsia="宋体"/>
                <w:sz w:val="16"/>
              </w:rPr>
              <w:t>基础设备维修维护验收合格率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35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7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F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D85A">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0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1F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4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1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F465">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C64A">
            <w:pPr>
              <w:jc w:val="center"/>
            </w:pPr>
            <w:r>
              <w:rPr>
                <w:rFonts w:ascii="宋体" w:hAnsi="宋体" w:eastAsia="宋体"/>
                <w:sz w:val="16"/>
              </w:rPr>
              <w:t>目标设定相对保守，通过优化资源配置，强化团队协作超额完成目标</w:t>
            </w:r>
          </w:p>
        </w:tc>
      </w:tr>
      <w:tr w14:paraId="4E5F5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DA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4F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24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2680">
            <w:pPr>
              <w:jc w:val="center"/>
            </w:pPr>
            <w:r>
              <w:rPr>
                <w:rFonts w:ascii="宋体" w:hAnsi="宋体" w:eastAsia="宋体"/>
                <w:sz w:val="16"/>
              </w:rPr>
              <w:t>基础设施维修验收合格率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4B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8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C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12A5">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2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62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6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D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2E79">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18D5">
            <w:pPr>
              <w:jc w:val="center"/>
            </w:pPr>
          </w:p>
        </w:tc>
      </w:tr>
      <w:tr w14:paraId="708DC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C5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FC8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4A6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DDA8">
            <w:pPr>
              <w:jc w:val="center"/>
            </w:pPr>
            <w:r>
              <w:rPr>
                <w:rFonts w:ascii="宋体" w:hAnsi="宋体" w:eastAsia="宋体"/>
                <w:sz w:val="16"/>
              </w:rPr>
              <w:t>紧急故障解决时限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B8FC">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A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5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8EF7">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96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2E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5B21">
            <w:pPr>
              <w:jc w:val="center"/>
            </w:pPr>
            <w:r>
              <w:rPr>
                <w:rFonts w:ascii="宋体" w:hAnsi="宋体" w:eastAsia="宋体"/>
                <w:sz w:val="16"/>
              </w:rPr>
              <w: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F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B9CC">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7EBE">
            <w:pPr>
              <w:jc w:val="center"/>
            </w:pPr>
          </w:p>
        </w:tc>
      </w:tr>
      <w:tr w14:paraId="5903E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9F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A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C9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A0FD">
            <w:pPr>
              <w:jc w:val="center"/>
            </w:pPr>
            <w:r>
              <w:rPr>
                <w:rFonts w:ascii="宋体" w:hAnsi="宋体" w:eastAsia="宋体"/>
                <w:sz w:val="16"/>
              </w:rPr>
              <w:t>维修基础设施设备及时率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E4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C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6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B29D">
            <w:pPr>
              <w:jc w:val="center"/>
            </w:pPr>
            <w:r>
              <w:rPr>
                <w:rFonts w:ascii="宋体" w:hAnsi="宋体" w:eastAsia="宋体"/>
                <w:sz w:val="16"/>
              </w:rPr>
              <w:t>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B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9A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3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2FA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E4AD">
            <w:pPr>
              <w:jc w:val="center"/>
            </w:pPr>
            <w:r>
              <w:rPr>
                <w:rFonts w:ascii="宋体" w:hAnsi="宋体" w:eastAsia="宋体"/>
                <w:sz w:val="16"/>
              </w:rPr>
              <w:t>6.32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1CE8">
            <w:pPr>
              <w:jc w:val="center"/>
            </w:pPr>
            <w:r>
              <w:rPr>
                <w:rFonts w:ascii="宋体" w:hAnsi="宋体" w:eastAsia="宋体"/>
                <w:sz w:val="16"/>
              </w:rPr>
              <w:t>目标设定相对保守，通过优化资源配置，强化团队协作超额完成目标</w:t>
            </w:r>
          </w:p>
        </w:tc>
      </w:tr>
      <w:tr w14:paraId="7F0D5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AA0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A5F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AB8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4808">
            <w:pPr>
              <w:jc w:val="center"/>
            </w:pPr>
            <w:r>
              <w:rPr>
                <w:rFonts w:ascii="宋体" w:hAnsi="宋体" w:eastAsia="宋体"/>
                <w:sz w:val="16"/>
              </w:rPr>
              <w:t>基础设施维修维护成本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25B6">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4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6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3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2D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67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89FE">
            <w:pPr>
              <w:jc w:val="center"/>
            </w:pPr>
            <w:r>
              <w:rPr>
                <w:rFonts w:ascii="宋体" w:hAnsi="宋体" w:eastAsia="宋体"/>
                <w:sz w:val="16"/>
              </w:rPr>
              <w: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6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D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29BD">
            <w:pPr>
              <w:jc w:val="center"/>
            </w:pPr>
          </w:p>
        </w:tc>
      </w:tr>
      <w:tr w14:paraId="5AA56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3E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4E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A3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9A75">
            <w:pPr>
              <w:jc w:val="center"/>
            </w:pPr>
            <w:r>
              <w:rPr>
                <w:rFonts w:ascii="宋体" w:hAnsi="宋体" w:eastAsia="宋体"/>
                <w:sz w:val="16"/>
              </w:rPr>
              <w:t>基础设备维修维护总成本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453B">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6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35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F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4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C6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9F4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0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42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C3D6">
            <w:pPr>
              <w:jc w:val="center"/>
            </w:pPr>
          </w:p>
        </w:tc>
      </w:tr>
      <w:tr w14:paraId="33E38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6F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57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F4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BFD2">
            <w:pPr>
              <w:jc w:val="center"/>
            </w:pPr>
            <w:r>
              <w:rPr>
                <w:rFonts w:ascii="宋体" w:hAnsi="宋体" w:eastAsia="宋体"/>
                <w:sz w:val="16"/>
              </w:rPr>
              <w:t>保障党政机关后勤工作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A9E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9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8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34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DE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3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573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0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8D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0715">
            <w:pPr>
              <w:jc w:val="center"/>
            </w:pPr>
          </w:p>
        </w:tc>
      </w:tr>
      <w:tr w14:paraId="10280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59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73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86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CB46">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C7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3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E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AA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04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D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4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4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D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605B">
            <w:pPr>
              <w:jc w:val="center"/>
            </w:pPr>
            <w:r>
              <w:rPr>
                <w:rFonts w:ascii="宋体" w:hAnsi="宋体" w:eastAsia="宋体"/>
                <w:sz w:val="16"/>
              </w:rPr>
              <w:t>目标设定相对保守，优化资源配置，强化团队协作超额完成目标</w:t>
            </w:r>
          </w:p>
        </w:tc>
      </w:tr>
      <w:tr w14:paraId="51CF37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4EF8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7D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946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31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6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486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844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D8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81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4F25">
            <w:pPr>
              <w:jc w:val="center"/>
            </w:pPr>
            <w:r>
              <w:rPr>
                <w:rFonts w:ascii="宋体" w:hAnsi="宋体" w:eastAsia="宋体"/>
                <w:sz w:val="16"/>
              </w:rPr>
              <w:t>99.14分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E044D"/>
        </w:tc>
      </w:tr>
    </w:tbl>
    <w:p w14:paraId="122D82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68FAE69D">
        <w:tblPrEx>
          <w:tblCellMar>
            <w:top w:w="0" w:type="dxa"/>
            <w:left w:w="108" w:type="dxa"/>
            <w:bottom w:w="0" w:type="dxa"/>
            <w:right w:w="108" w:type="dxa"/>
          </w:tblCellMar>
        </w:tblPrEx>
        <w:tc>
          <w:tcPr>
            <w:tcW w:w="8848" w:type="dxa"/>
            <w:gridSpan w:val="14"/>
            <w:vAlign w:val="center"/>
          </w:tcPr>
          <w:p w14:paraId="22B0B933">
            <w:pPr>
              <w:jc w:val="center"/>
            </w:pPr>
            <w:r>
              <w:rPr>
                <w:rFonts w:ascii="宋体" w:hAnsi="宋体" w:eastAsia="宋体"/>
                <w:sz w:val="24"/>
              </w:rPr>
              <w:t>项目支出绩效自评表</w:t>
            </w:r>
          </w:p>
        </w:tc>
      </w:tr>
      <w:tr w14:paraId="42F0A80D">
        <w:tblPrEx>
          <w:tblCellMar>
            <w:top w:w="0" w:type="dxa"/>
            <w:left w:w="108" w:type="dxa"/>
            <w:bottom w:w="0" w:type="dxa"/>
            <w:right w:w="108" w:type="dxa"/>
          </w:tblCellMar>
        </w:tblPrEx>
        <w:tc>
          <w:tcPr>
            <w:tcW w:w="8848" w:type="dxa"/>
            <w:gridSpan w:val="14"/>
            <w:vAlign w:val="center"/>
          </w:tcPr>
          <w:p w14:paraId="04B6EBFD">
            <w:pPr>
              <w:jc w:val="center"/>
            </w:pPr>
            <w:r>
              <w:rPr>
                <w:rFonts w:ascii="宋体" w:hAnsi="宋体" w:eastAsia="宋体"/>
                <w:sz w:val="24"/>
              </w:rPr>
              <w:t>(2024年度)</w:t>
            </w:r>
          </w:p>
        </w:tc>
      </w:tr>
      <w:tr w14:paraId="309049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5C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66B9F2">
            <w:pPr>
              <w:jc w:val="center"/>
            </w:pPr>
            <w:r>
              <w:rPr>
                <w:rFonts w:ascii="宋体" w:hAnsi="宋体" w:eastAsia="宋体"/>
                <w:sz w:val="16"/>
              </w:rPr>
              <w:t>南苑大厦机关食堂运行项目</w:t>
            </w:r>
          </w:p>
        </w:tc>
      </w:tr>
      <w:tr w14:paraId="0D456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5D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5E360">
            <w:pPr>
              <w:jc w:val="center"/>
            </w:pPr>
            <w:r>
              <w:rPr>
                <w:rFonts w:ascii="宋体" w:hAnsi="宋体" w:eastAsia="宋体"/>
                <w:sz w:val="16"/>
              </w:rPr>
              <w:t>新疆巴州机关后勤服务中心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5A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80A596">
            <w:pPr>
              <w:jc w:val="center"/>
            </w:pPr>
            <w:r>
              <w:rPr>
                <w:rFonts w:ascii="宋体" w:hAnsi="宋体" w:eastAsia="宋体"/>
                <w:sz w:val="16"/>
              </w:rPr>
              <w:t>新疆巴州机关后勤服务中心</w:t>
            </w:r>
          </w:p>
        </w:tc>
      </w:tr>
      <w:tr w14:paraId="466D9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9FA2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A4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92F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01B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A20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CB1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15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549B">
            <w:pPr>
              <w:jc w:val="center"/>
            </w:pPr>
            <w:r>
              <w:rPr>
                <w:rFonts w:ascii="宋体" w:hAnsi="宋体" w:eastAsia="宋体"/>
                <w:sz w:val="16"/>
              </w:rPr>
              <w:t>得分</w:t>
            </w:r>
          </w:p>
        </w:tc>
      </w:tr>
      <w:tr w14:paraId="539929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004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EB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9C0F3">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CD393">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0D43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F2E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C33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0FDF">
            <w:pPr>
              <w:jc w:val="center"/>
            </w:pPr>
            <w:r>
              <w:rPr>
                <w:rFonts w:ascii="宋体" w:hAnsi="宋体" w:eastAsia="宋体"/>
                <w:sz w:val="16"/>
              </w:rPr>
              <w:t>10.00</w:t>
            </w:r>
          </w:p>
        </w:tc>
      </w:tr>
      <w:tr w14:paraId="7DB84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C3A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64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C6BF3">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FAF62">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A9A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7D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85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0958">
            <w:pPr>
              <w:jc w:val="center"/>
            </w:pPr>
            <w:r>
              <w:rPr>
                <w:rFonts w:ascii="宋体" w:hAnsi="宋体" w:eastAsia="宋体"/>
                <w:sz w:val="16"/>
              </w:rPr>
              <w:t>-</w:t>
            </w:r>
          </w:p>
        </w:tc>
      </w:tr>
      <w:tr w14:paraId="73A88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76E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5342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E0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FF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128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C62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68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B336">
            <w:pPr>
              <w:jc w:val="center"/>
            </w:pPr>
            <w:r>
              <w:rPr>
                <w:rFonts w:ascii="宋体" w:hAnsi="宋体" w:eastAsia="宋体"/>
                <w:sz w:val="16"/>
              </w:rPr>
              <w:t>-</w:t>
            </w:r>
          </w:p>
        </w:tc>
      </w:tr>
      <w:tr w14:paraId="2BCB2A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7BB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17D9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DEF70">
            <w:pPr>
              <w:jc w:val="center"/>
            </w:pPr>
            <w:r>
              <w:rPr>
                <w:rFonts w:ascii="宋体" w:hAnsi="宋体" w:eastAsia="宋体"/>
                <w:sz w:val="16"/>
              </w:rPr>
              <w:t>总体目标完成情况</w:t>
            </w:r>
          </w:p>
        </w:tc>
      </w:tr>
      <w:tr w14:paraId="31702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AF7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9930F">
            <w:pPr>
              <w:jc w:val="both"/>
            </w:pPr>
            <w:r>
              <w:rPr>
                <w:rFonts w:ascii="宋体" w:hAnsi="宋体" w:eastAsia="宋体"/>
                <w:sz w:val="16"/>
              </w:rPr>
              <w:t>按照自治州人民政府要求，在南苑大厦设置干部集中就餐机关食堂，并于2024年7月1日正式运行，现根据机关食堂服务保障市场化、标准化要求，通过州机关后勤服务中心政府购买服务方式对机关食堂采用市场化运作，7月1日开始运营，聘用7名工作人员，用于解决南苑大厦集中办公区工作人员就餐问题，保障迁入南苑大厦单位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4928C4">
            <w:pPr>
              <w:jc w:val="both"/>
            </w:pPr>
            <w:r>
              <w:rPr>
                <w:rFonts w:ascii="宋体" w:hAnsi="宋体" w:eastAsia="宋体"/>
                <w:sz w:val="16"/>
              </w:rPr>
              <w:t>根据自治州人民政府要求，单位自2024年7月1日对南苑大厦机关食堂开始运营，聘用了7名工作人员，按月6次发放了工作人员半年工资合计25万元。解决了南苑大厦集中办公区工作人员计300多人就餐，保障了迁入南苑大厦单位正常运行，得到了一致好评。</w:t>
            </w:r>
          </w:p>
        </w:tc>
      </w:tr>
      <w:tr w14:paraId="4A1C4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1CD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E4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B9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6D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209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51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83C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FE8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022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0F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7A5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45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2E0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7D75">
            <w:pPr>
              <w:jc w:val="center"/>
            </w:pPr>
            <w:r>
              <w:rPr>
                <w:rFonts w:ascii="宋体" w:hAnsi="宋体" w:eastAsia="宋体"/>
                <w:sz w:val="16"/>
              </w:rPr>
              <w:t>偏差原因分析及改进措施</w:t>
            </w:r>
          </w:p>
        </w:tc>
      </w:tr>
      <w:tr w14:paraId="7DCBBA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1D6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8A6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3FB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654B">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D9C9">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F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5F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56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D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D4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5396">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8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A5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C91F">
            <w:pPr>
              <w:jc w:val="center"/>
            </w:pPr>
          </w:p>
        </w:tc>
      </w:tr>
      <w:tr w14:paraId="778CD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13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F2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D7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21DF">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F632">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F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4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2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4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05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A4EE">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2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14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84BF">
            <w:pPr>
              <w:jc w:val="center"/>
            </w:pPr>
          </w:p>
        </w:tc>
      </w:tr>
      <w:tr w14:paraId="656F8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11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11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88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D112">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B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4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E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D2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9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D7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E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A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AF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2ECE">
            <w:pPr>
              <w:jc w:val="center"/>
            </w:pPr>
          </w:p>
        </w:tc>
      </w:tr>
      <w:tr w14:paraId="30E4C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B5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BB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60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B12F">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7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5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0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B3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6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E4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6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5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6D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7858">
            <w:pPr>
              <w:jc w:val="center"/>
            </w:pPr>
          </w:p>
        </w:tc>
      </w:tr>
      <w:tr w14:paraId="12C6C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8A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13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0A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F26D">
            <w:pPr>
              <w:jc w:val="center"/>
            </w:pPr>
            <w:r>
              <w:rPr>
                <w:rFonts w:ascii="宋体" w:hAnsi="宋体" w:eastAsia="宋体"/>
                <w:sz w:val="16"/>
              </w:rPr>
              <w:t>每次发放工资数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CA43">
            <w:pPr>
              <w:jc w:val="center"/>
            </w:pPr>
            <w:r>
              <w:rPr>
                <w:rFonts w:ascii="宋体" w:hAnsi="宋体" w:eastAsia="宋体"/>
                <w:sz w:val="16"/>
              </w:rPr>
              <w:t>&lt;=4.15万元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0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6F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C6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F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2F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299C">
            <w:pPr>
              <w:jc w:val="center"/>
            </w:pPr>
            <w:r>
              <w:rPr>
                <w:rFonts w:ascii="宋体" w:hAnsi="宋体" w:eastAsia="宋体"/>
                <w:sz w:val="16"/>
              </w:rPr>
              <w:t>&lt;=4.16万元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1B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37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7E01">
            <w:pPr>
              <w:jc w:val="center"/>
            </w:pPr>
            <w:r>
              <w:rPr>
                <w:rFonts w:ascii="宋体" w:hAnsi="宋体" w:eastAsia="宋体"/>
                <w:sz w:val="16"/>
              </w:rPr>
              <w:t>目标设置有误，实际应不超过4.16万</w:t>
            </w:r>
          </w:p>
        </w:tc>
      </w:tr>
      <w:tr w14:paraId="05F98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C8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DD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A2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7186">
            <w:pPr>
              <w:jc w:val="center"/>
            </w:pPr>
            <w:r>
              <w:rPr>
                <w:rFonts w:ascii="宋体" w:hAnsi="宋体" w:eastAsia="宋体"/>
                <w:sz w:val="16"/>
              </w:rPr>
              <w:t>餐厅受益人数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6E1F">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C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BB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4C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9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4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D8EA">
            <w:pPr>
              <w:jc w:val="center"/>
            </w:pPr>
            <w:r>
              <w:rPr>
                <w:rFonts w:ascii="宋体" w:hAnsi="宋体" w:eastAsia="宋体"/>
                <w:sz w:val="16"/>
              </w:rPr>
              <w:t>&gt;=304人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7B66">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118D">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27C6">
            <w:pPr>
              <w:jc w:val="center"/>
            </w:pPr>
            <w:r>
              <w:rPr>
                <w:rFonts w:ascii="宋体" w:hAnsi="宋体" w:eastAsia="宋体"/>
                <w:sz w:val="16"/>
              </w:rPr>
              <w:t>单位人员正常变动，造成稍微偏差</w:t>
            </w:r>
          </w:p>
        </w:tc>
      </w:tr>
      <w:tr w14:paraId="4BA42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C40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63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D6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CFBA">
            <w:pPr>
              <w:jc w:val="center"/>
            </w:pPr>
            <w:r>
              <w:rPr>
                <w:rFonts w:ascii="宋体" w:hAnsi="宋体" w:eastAsia="宋体"/>
                <w:sz w:val="16"/>
              </w:rPr>
              <w:t>南苑大厦工作人员满意度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2D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6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3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99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69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2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981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6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40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6698">
            <w:pPr>
              <w:jc w:val="center"/>
            </w:pPr>
            <w:r>
              <w:rPr>
                <w:rFonts w:ascii="宋体" w:hAnsi="宋体" w:eastAsia="宋体"/>
                <w:sz w:val="16"/>
              </w:rPr>
              <w:t>项目目标设定相对保守，由于高效</w:t>
            </w:r>
            <w:r>
              <w:rPr>
                <w:rFonts w:hint="eastAsia" w:ascii="宋体" w:hAnsi="宋体"/>
                <w:sz w:val="16"/>
                <w:lang w:eastAsia="zh-CN"/>
              </w:rPr>
              <w:t>地</w:t>
            </w:r>
            <w:r>
              <w:rPr>
                <w:rFonts w:ascii="宋体" w:hAnsi="宋体" w:eastAsia="宋体"/>
                <w:sz w:val="16"/>
              </w:rPr>
              <w:t>管理，从而超出了原定目标</w:t>
            </w:r>
          </w:p>
        </w:tc>
      </w:tr>
      <w:tr w14:paraId="6DEC34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3310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761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41E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9A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7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165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913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F61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13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380D">
            <w:pPr>
              <w:jc w:val="center"/>
            </w:pPr>
            <w:r>
              <w:rPr>
                <w:rFonts w:ascii="宋体" w:hAnsi="宋体" w:eastAsia="宋体"/>
                <w:sz w:val="16"/>
              </w:rPr>
              <w:t>79.80分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A8ED6"/>
        </w:tc>
      </w:tr>
    </w:tbl>
    <w:p w14:paraId="7D7AFE03">
      <w:r>
        <w:br w:type="page"/>
      </w:r>
    </w:p>
    <w:p w14:paraId="4786E16B">
      <w:pPr>
        <w:spacing w:line="640" w:lineRule="exact"/>
        <w:ind w:firstLine="640"/>
        <w:jc w:val="both"/>
        <w:outlineLvl w:val="2"/>
      </w:pPr>
      <w:r>
        <w:rPr>
          <w:rFonts w:ascii="黑体" w:hAnsi="黑体" w:eastAsia="黑体"/>
          <w:sz w:val="32"/>
        </w:rPr>
        <w:t>十二、其他需说明的事项</w:t>
      </w:r>
    </w:p>
    <w:p w14:paraId="4EC63FBE">
      <w:pPr>
        <w:spacing w:line="580" w:lineRule="exact"/>
        <w:ind w:firstLine="640"/>
        <w:jc w:val="both"/>
      </w:pPr>
      <w:r>
        <w:rPr>
          <w:rFonts w:ascii="仿宋_GB2312" w:hAnsi="仿宋_GB2312" w:eastAsia="仿宋_GB2312"/>
          <w:b w:val="0"/>
          <w:sz w:val="32"/>
        </w:rPr>
        <w:t>本年度本单位整体绩效自评表由主管部门编报并公开。</w:t>
      </w:r>
    </w:p>
    <w:p w14:paraId="6CA47175">
      <w:r>
        <w:br w:type="page"/>
      </w:r>
    </w:p>
    <w:p w14:paraId="0BEF93D8">
      <w:pPr>
        <w:spacing w:line="240" w:lineRule="auto"/>
        <w:jc w:val="center"/>
        <w:outlineLvl w:val="1"/>
      </w:pPr>
      <w:r>
        <w:rPr>
          <w:rFonts w:ascii="黑体" w:hAnsi="黑体" w:eastAsia="黑体"/>
          <w:sz w:val="32"/>
        </w:rPr>
        <w:t>第三部分 专业名词解释</w:t>
      </w:r>
    </w:p>
    <w:p w14:paraId="23FD0B5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7190F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D1B2F8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A3730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60AD64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8A764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6BFF9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1CCFA6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F45D8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ACE7C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5BA75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5B9E2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8382B9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CD5AF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09290B">
      <w:r>
        <w:br w:type="page"/>
      </w:r>
    </w:p>
    <w:p w14:paraId="5FD4035C">
      <w:pPr>
        <w:spacing w:line="240" w:lineRule="auto"/>
        <w:jc w:val="center"/>
        <w:outlineLvl w:val="1"/>
      </w:pPr>
      <w:r>
        <w:rPr>
          <w:rFonts w:ascii="黑体" w:hAnsi="黑体" w:eastAsia="黑体"/>
          <w:sz w:val="32"/>
        </w:rPr>
        <w:t>第四部分 部门决算报表（见附表）</w:t>
      </w:r>
    </w:p>
    <w:p w14:paraId="6DF3340B">
      <w:pPr>
        <w:spacing w:line="240" w:lineRule="auto"/>
        <w:ind w:firstLine="640"/>
        <w:jc w:val="both"/>
      </w:pPr>
      <w:r>
        <w:rPr>
          <w:rFonts w:ascii="仿宋_GB2312" w:hAnsi="仿宋_GB2312" w:eastAsia="仿宋_GB2312"/>
          <w:b w:val="0"/>
          <w:sz w:val="32"/>
        </w:rPr>
        <w:t>一、《收入支出决算总表》</w:t>
      </w:r>
    </w:p>
    <w:p w14:paraId="327B3967">
      <w:pPr>
        <w:spacing w:line="240" w:lineRule="auto"/>
        <w:ind w:firstLine="640"/>
        <w:jc w:val="both"/>
      </w:pPr>
      <w:r>
        <w:rPr>
          <w:rFonts w:ascii="仿宋_GB2312" w:hAnsi="仿宋_GB2312" w:eastAsia="仿宋_GB2312"/>
          <w:b w:val="0"/>
          <w:sz w:val="32"/>
        </w:rPr>
        <w:t>二、《收入决算表》</w:t>
      </w:r>
    </w:p>
    <w:p w14:paraId="4B4AC119">
      <w:pPr>
        <w:spacing w:line="240" w:lineRule="auto"/>
        <w:ind w:firstLine="640"/>
        <w:jc w:val="both"/>
      </w:pPr>
      <w:r>
        <w:rPr>
          <w:rFonts w:ascii="仿宋_GB2312" w:hAnsi="仿宋_GB2312" w:eastAsia="仿宋_GB2312"/>
          <w:b w:val="0"/>
          <w:sz w:val="32"/>
        </w:rPr>
        <w:t>三、《支出决算表》</w:t>
      </w:r>
    </w:p>
    <w:p w14:paraId="1A180FF0">
      <w:pPr>
        <w:spacing w:line="240" w:lineRule="auto"/>
        <w:ind w:firstLine="640"/>
        <w:jc w:val="both"/>
      </w:pPr>
      <w:r>
        <w:rPr>
          <w:rFonts w:ascii="仿宋_GB2312" w:hAnsi="仿宋_GB2312" w:eastAsia="仿宋_GB2312"/>
          <w:b w:val="0"/>
          <w:sz w:val="32"/>
        </w:rPr>
        <w:t>四、《财政拨款收入支出决算总表》</w:t>
      </w:r>
    </w:p>
    <w:p w14:paraId="0F23891C">
      <w:pPr>
        <w:spacing w:line="240" w:lineRule="auto"/>
        <w:ind w:firstLine="640"/>
        <w:jc w:val="both"/>
      </w:pPr>
      <w:r>
        <w:rPr>
          <w:rFonts w:ascii="仿宋_GB2312" w:hAnsi="仿宋_GB2312" w:eastAsia="仿宋_GB2312"/>
          <w:b w:val="0"/>
          <w:sz w:val="32"/>
        </w:rPr>
        <w:t>五、《一般公共预算财政拨款支出决算表》</w:t>
      </w:r>
    </w:p>
    <w:p w14:paraId="1EE5E95C">
      <w:pPr>
        <w:spacing w:line="240" w:lineRule="auto"/>
        <w:ind w:firstLine="640"/>
        <w:jc w:val="both"/>
      </w:pPr>
      <w:r>
        <w:rPr>
          <w:rFonts w:ascii="仿宋_GB2312" w:hAnsi="仿宋_GB2312" w:eastAsia="仿宋_GB2312"/>
          <w:b w:val="0"/>
          <w:sz w:val="32"/>
        </w:rPr>
        <w:t>六、《一般公共预算财政拨款基本支出决算表》</w:t>
      </w:r>
    </w:p>
    <w:p w14:paraId="5DDFC272">
      <w:pPr>
        <w:spacing w:line="240" w:lineRule="auto"/>
        <w:ind w:firstLine="640"/>
        <w:jc w:val="both"/>
      </w:pPr>
      <w:r>
        <w:rPr>
          <w:rFonts w:ascii="仿宋_GB2312" w:hAnsi="仿宋_GB2312" w:eastAsia="仿宋_GB2312"/>
          <w:b w:val="0"/>
          <w:sz w:val="32"/>
        </w:rPr>
        <w:t>七、《政府性基金预算财政拨款收入支出决算表》</w:t>
      </w:r>
    </w:p>
    <w:p w14:paraId="3B0335A6">
      <w:pPr>
        <w:spacing w:line="240" w:lineRule="auto"/>
        <w:ind w:firstLine="640"/>
        <w:jc w:val="both"/>
      </w:pPr>
      <w:r>
        <w:rPr>
          <w:rFonts w:ascii="仿宋_GB2312" w:hAnsi="仿宋_GB2312" w:eastAsia="仿宋_GB2312"/>
          <w:b w:val="0"/>
          <w:sz w:val="32"/>
        </w:rPr>
        <w:t>八、《国有资本经营预算财政拨款收入支出决算表》</w:t>
      </w:r>
    </w:p>
    <w:p w14:paraId="0D33B437">
      <w:pPr>
        <w:spacing w:line="240" w:lineRule="auto"/>
        <w:ind w:firstLine="640"/>
        <w:jc w:val="both"/>
      </w:pPr>
      <w:r>
        <w:rPr>
          <w:rFonts w:ascii="仿宋_GB2312" w:hAnsi="仿宋_GB2312" w:eastAsia="仿宋_GB2312"/>
          <w:b w:val="0"/>
          <w:sz w:val="32"/>
        </w:rPr>
        <w:t>九、《财政拨款“三公”经费支出决算表》</w:t>
      </w:r>
    </w:p>
    <w:p w14:paraId="6CF22494">
      <w:pPr>
        <w:spacing w:line="240" w:lineRule="auto"/>
        <w:ind w:firstLine="640"/>
        <w:jc w:val="both"/>
      </w:pPr>
    </w:p>
    <w:p w14:paraId="134589F1">
      <w:pPr>
        <w:spacing w:line="240" w:lineRule="auto"/>
        <w:ind w:firstLine="640"/>
        <w:jc w:val="both"/>
      </w:pPr>
    </w:p>
    <w:p w14:paraId="0DCA17E6">
      <w:pPr>
        <w:spacing w:line="240" w:lineRule="auto"/>
        <w:ind w:firstLine="640"/>
        <w:jc w:val="both"/>
      </w:pPr>
    </w:p>
    <w:p w14:paraId="32ACF0B1">
      <w:pPr>
        <w:spacing w:line="240" w:lineRule="auto"/>
        <w:ind w:firstLine="640"/>
        <w:jc w:val="both"/>
      </w:pPr>
    </w:p>
    <w:p w14:paraId="7C7B82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D63D1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C46B0"/>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D059C5"/>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4620</Words>
  <Characters>5326</Characters>
  <Lines>0</Lines>
  <Paragraphs>0</Paragraphs>
  <TotalTime>7</TotalTime>
  <ScaleCrop>false</ScaleCrop>
  <LinksUpToDate>false</LinksUpToDate>
  <CharactersWithSpaces>5334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