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新疆巴音郭楞蒙古自治州草原工作站2024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2260F6">
      <w:r>
        <w:br w:type="page"/>
      </w:r>
    </w:p>
    <w:p w14:paraId="5852F029">
      <w:pPr>
        <w:spacing w:line="640" w:lineRule="exact"/>
        <w:jc w:val="center"/>
        <w:outlineLvl w:val="1"/>
      </w:pPr>
      <w:r>
        <w:rPr>
          <w:rFonts w:ascii="黑体" w:hAnsi="黑体" w:eastAsia="黑体"/>
          <w:sz w:val="32"/>
        </w:rPr>
        <w:t>第一部分 单位概况</w:t>
      </w:r>
    </w:p>
    <w:p w14:paraId="3DA6C65D">
      <w:pPr>
        <w:spacing w:line="640" w:lineRule="exact"/>
        <w:ind w:firstLine="640"/>
        <w:jc w:val="both"/>
        <w:outlineLvl w:val="2"/>
      </w:pPr>
      <w:r>
        <w:rPr>
          <w:rFonts w:ascii="黑体" w:hAnsi="黑体" w:eastAsia="黑体"/>
          <w:sz w:val="32"/>
        </w:rPr>
        <w:t>一、主要职能</w:t>
      </w:r>
    </w:p>
    <w:p w14:paraId="61A1B2B3">
      <w:pPr>
        <w:spacing w:line="580" w:lineRule="exact"/>
        <w:ind w:firstLine="640"/>
        <w:jc w:val="both"/>
      </w:pPr>
      <w:r>
        <w:rPr>
          <w:rFonts w:ascii="仿宋_GB2312" w:hAnsi="仿宋_GB2312" w:eastAsia="仿宋_GB2312"/>
          <w:sz w:val="32"/>
        </w:rPr>
        <w:t>新疆</w:t>
      </w:r>
      <w:r>
        <w:rPr>
          <w:rFonts w:hint="eastAsia" w:ascii="仿宋_GB2312" w:hAnsi="仿宋_GB2312" w:eastAsia="仿宋_GB2312"/>
          <w:sz w:val="32"/>
          <w:lang w:eastAsia="zh-CN"/>
        </w:rPr>
        <w:t>巴音郭楞蒙古自治州</w:t>
      </w:r>
      <w:bookmarkStart w:id="0" w:name="_GoBack"/>
      <w:bookmarkEnd w:id="0"/>
      <w:r>
        <w:rPr>
          <w:rFonts w:ascii="仿宋_GB2312" w:hAnsi="仿宋_GB2312" w:eastAsia="仿宋_GB2312"/>
          <w:sz w:val="32"/>
        </w:rPr>
        <w:t>草原工作站负责草原科学实验及优良牧草的人工种植，草原生态监测；草原建设工程设计，饲草料加工，草原技术培训，开发研究新饲料，饲料的肥力测定；蝗虫鼠害预测预报及防治工作。</w:t>
      </w:r>
    </w:p>
    <w:p w14:paraId="025FF885">
      <w:pPr>
        <w:spacing w:line="640" w:lineRule="exact"/>
        <w:ind w:firstLine="640"/>
        <w:jc w:val="both"/>
        <w:outlineLvl w:val="2"/>
      </w:pPr>
      <w:r>
        <w:rPr>
          <w:rFonts w:ascii="黑体" w:hAnsi="黑体" w:eastAsia="黑体"/>
          <w:sz w:val="32"/>
        </w:rPr>
        <w:t>二、机构设置及人员情况</w:t>
      </w:r>
    </w:p>
    <w:p w14:paraId="2672FA26">
      <w:pPr>
        <w:spacing w:line="580" w:lineRule="exact"/>
        <w:ind w:firstLine="640"/>
        <w:jc w:val="both"/>
      </w:pPr>
      <w:r>
        <w:rPr>
          <w:rFonts w:ascii="仿宋_GB2312" w:hAnsi="仿宋_GB2312" w:eastAsia="仿宋_GB2312"/>
          <w:sz w:val="32"/>
        </w:rPr>
        <w:t>新疆巴音郭楞蒙古自治州草原工作站2024年度，实有人数34人，其中：在职人员13人，减少1人；离休人员0人，增加0人；退休人员21人,增加1人。</w:t>
      </w:r>
    </w:p>
    <w:p w14:paraId="5F4604CA">
      <w:pPr>
        <w:spacing w:line="580" w:lineRule="exact"/>
        <w:ind w:firstLine="640"/>
        <w:jc w:val="both"/>
      </w:pPr>
      <w:r>
        <w:rPr>
          <w:rFonts w:ascii="仿宋_GB2312" w:hAnsi="仿宋_GB2312" w:eastAsia="仿宋_GB2312"/>
          <w:sz w:val="32"/>
        </w:rPr>
        <w:t>新疆巴音郭楞蒙古自治州草原工作站无下属预算单位，下设5个科室，分别是：办公室、草原规划科、草原研究室、草原资源科、草原蝗虫鼠害测报防治办。</w:t>
      </w:r>
    </w:p>
    <w:p w14:paraId="30760849">
      <w:r>
        <w:br w:type="page"/>
      </w:r>
    </w:p>
    <w:p w14:paraId="62D005D8">
      <w:pPr>
        <w:spacing w:line="240" w:lineRule="auto"/>
        <w:jc w:val="center"/>
        <w:outlineLvl w:val="1"/>
      </w:pPr>
      <w:r>
        <w:rPr>
          <w:rFonts w:ascii="黑体" w:hAnsi="黑体" w:eastAsia="黑体"/>
          <w:sz w:val="32"/>
        </w:rPr>
        <w:t>第二部分 部门决算情况说明</w:t>
      </w:r>
    </w:p>
    <w:p w14:paraId="34F73A1F">
      <w:pPr>
        <w:spacing w:line="640" w:lineRule="exact"/>
        <w:ind w:firstLine="640"/>
        <w:jc w:val="both"/>
        <w:outlineLvl w:val="2"/>
      </w:pPr>
      <w:r>
        <w:rPr>
          <w:rFonts w:ascii="黑体" w:hAnsi="黑体" w:eastAsia="黑体"/>
          <w:sz w:val="32"/>
        </w:rPr>
        <w:t>一、收入支出决算总体情况说明</w:t>
      </w:r>
    </w:p>
    <w:p w14:paraId="22042B8A">
      <w:pPr>
        <w:spacing w:line="580" w:lineRule="exact"/>
        <w:ind w:firstLine="640"/>
        <w:jc w:val="both"/>
      </w:pPr>
      <w:r>
        <w:rPr>
          <w:rFonts w:ascii="仿宋_GB2312" w:hAnsi="仿宋_GB2312" w:eastAsia="仿宋_GB2312"/>
          <w:b/>
          <w:sz w:val="32"/>
        </w:rPr>
        <w:t>2024年度收入总计381.13万元，</w:t>
      </w:r>
      <w:r>
        <w:rPr>
          <w:rFonts w:ascii="仿宋_GB2312" w:hAnsi="仿宋_GB2312" w:eastAsia="仿宋_GB2312"/>
          <w:b w:val="0"/>
          <w:sz w:val="32"/>
        </w:rPr>
        <w:t>其中：本年收入合计364.74万元，使用非财政拨款结余（含专用结余）0.00万元，年初结转和结余16.39万元。</w:t>
      </w:r>
    </w:p>
    <w:p w14:paraId="47C67F5D">
      <w:pPr>
        <w:spacing w:line="580" w:lineRule="exact"/>
        <w:ind w:firstLine="640"/>
        <w:jc w:val="both"/>
      </w:pPr>
      <w:r>
        <w:rPr>
          <w:rFonts w:ascii="仿宋_GB2312" w:hAnsi="仿宋_GB2312" w:eastAsia="仿宋_GB2312"/>
          <w:b/>
          <w:sz w:val="32"/>
        </w:rPr>
        <w:t>2024年度支出总计381.13万元，</w:t>
      </w:r>
      <w:r>
        <w:rPr>
          <w:rFonts w:ascii="仿宋_GB2312" w:hAnsi="仿宋_GB2312" w:eastAsia="仿宋_GB2312"/>
          <w:b w:val="0"/>
          <w:sz w:val="32"/>
        </w:rPr>
        <w:t>其中：本年支出合计373.14万元，结余分配0.00万元，年末结转和结余7.99万元。</w:t>
      </w:r>
    </w:p>
    <w:p w14:paraId="2C1CC312">
      <w:pPr>
        <w:spacing w:line="580" w:lineRule="exact"/>
        <w:ind w:firstLine="640"/>
        <w:jc w:val="both"/>
      </w:pPr>
      <w:r>
        <w:rPr>
          <w:rFonts w:ascii="仿宋_GB2312" w:hAnsi="仿宋_GB2312" w:eastAsia="仿宋_GB2312"/>
          <w:b w:val="0"/>
          <w:sz w:val="32"/>
        </w:rPr>
        <w:t>收入支出总体与上年相比，减少38.53万元，下降9.18%，主要原因是：本年在职人员减少，相关人员经费减少，本年减少天山英才计划三农骨干人才项目资金，导致经费较上年减少。</w:t>
      </w:r>
    </w:p>
    <w:p w14:paraId="1015923B">
      <w:pPr>
        <w:spacing w:line="640" w:lineRule="exact"/>
        <w:ind w:firstLine="640"/>
        <w:jc w:val="both"/>
        <w:outlineLvl w:val="2"/>
      </w:pPr>
      <w:r>
        <w:rPr>
          <w:rFonts w:ascii="黑体" w:hAnsi="黑体" w:eastAsia="黑体"/>
          <w:sz w:val="32"/>
        </w:rPr>
        <w:t>二、收入决算情况说明</w:t>
      </w:r>
    </w:p>
    <w:p w14:paraId="561B2813">
      <w:pPr>
        <w:spacing w:line="580" w:lineRule="exact"/>
        <w:ind w:firstLine="640"/>
        <w:jc w:val="both"/>
      </w:pPr>
      <w:r>
        <w:rPr>
          <w:rFonts w:ascii="仿宋_GB2312" w:hAnsi="仿宋_GB2312" w:eastAsia="仿宋_GB2312"/>
          <w:b/>
          <w:sz w:val="32"/>
        </w:rPr>
        <w:t>本年收入364.74万元，</w:t>
      </w:r>
      <w:r>
        <w:rPr>
          <w:rFonts w:ascii="仿宋_GB2312" w:hAnsi="仿宋_GB2312" w:eastAsia="仿宋_GB2312"/>
          <w:b w:val="0"/>
          <w:sz w:val="32"/>
        </w:rPr>
        <w:t>其中：财政拨款收入364.74万元，占100.00%；上级补助收入0.00万元，占0.00%；事业收入0.00万元，占0.00%；经营收入0.00万元，占0.00%；附属单位上缴收入0.00万元，占0.00%；其他收入0.00万元，占0.00%。</w:t>
      </w:r>
    </w:p>
    <w:p w14:paraId="1DB222E7">
      <w:pPr>
        <w:spacing w:line="640" w:lineRule="exact"/>
        <w:ind w:firstLine="640"/>
        <w:jc w:val="both"/>
        <w:outlineLvl w:val="2"/>
      </w:pPr>
      <w:r>
        <w:rPr>
          <w:rFonts w:ascii="黑体" w:hAnsi="黑体" w:eastAsia="黑体"/>
          <w:sz w:val="32"/>
        </w:rPr>
        <w:t>三、支出决算情况说明</w:t>
      </w:r>
    </w:p>
    <w:p w14:paraId="65FD78C1">
      <w:pPr>
        <w:spacing w:line="580" w:lineRule="exact"/>
        <w:ind w:firstLine="640"/>
        <w:jc w:val="both"/>
      </w:pPr>
      <w:r>
        <w:rPr>
          <w:rFonts w:ascii="仿宋_GB2312" w:hAnsi="仿宋_GB2312" w:eastAsia="仿宋_GB2312"/>
          <w:b/>
          <w:sz w:val="32"/>
        </w:rPr>
        <w:t>本年支出373.14万元，</w:t>
      </w:r>
      <w:r>
        <w:rPr>
          <w:rFonts w:ascii="仿宋_GB2312" w:hAnsi="仿宋_GB2312" w:eastAsia="仿宋_GB2312"/>
          <w:b w:val="0"/>
          <w:sz w:val="32"/>
        </w:rPr>
        <w:t>其中：基本支出319.40万元，占85.60%；项目支出53.74万元，占14.40%；上缴上级支出0.00万元，占0.00%；经营支出0.00万元，占0.00%；对附属单位补助支出0.00万元，占0.00%。</w:t>
      </w:r>
    </w:p>
    <w:p w14:paraId="7BFDDD2F">
      <w:pPr>
        <w:spacing w:line="640" w:lineRule="exact"/>
        <w:ind w:firstLine="640"/>
        <w:jc w:val="both"/>
        <w:outlineLvl w:val="2"/>
      </w:pPr>
      <w:r>
        <w:rPr>
          <w:rFonts w:ascii="黑体" w:hAnsi="黑体" w:eastAsia="黑体"/>
          <w:sz w:val="32"/>
        </w:rPr>
        <w:t>四、财政拨款收入支出决算总体情况说明</w:t>
      </w:r>
    </w:p>
    <w:p w14:paraId="4D45A39F">
      <w:pPr>
        <w:spacing w:line="580" w:lineRule="exact"/>
        <w:ind w:firstLine="640"/>
        <w:jc w:val="both"/>
      </w:pPr>
      <w:r>
        <w:rPr>
          <w:rFonts w:ascii="仿宋_GB2312" w:hAnsi="仿宋_GB2312" w:eastAsia="仿宋_GB2312"/>
          <w:b/>
          <w:sz w:val="32"/>
        </w:rPr>
        <w:t>2024年度财政拨款收入总计364.74万元，</w:t>
      </w:r>
      <w:r>
        <w:rPr>
          <w:rFonts w:ascii="仿宋_GB2312" w:hAnsi="仿宋_GB2312" w:eastAsia="仿宋_GB2312"/>
          <w:b w:val="0"/>
          <w:sz w:val="32"/>
        </w:rPr>
        <w:t>其中：年初财政拨款结转和结余0.00万元，本年财政拨款收入364.74万元。</w:t>
      </w:r>
      <w:r>
        <w:rPr>
          <w:rFonts w:ascii="仿宋_GB2312" w:hAnsi="仿宋_GB2312" w:eastAsia="仿宋_GB2312"/>
          <w:b/>
          <w:sz w:val="32"/>
        </w:rPr>
        <w:t>财政拨款支出总计364.74万元，</w:t>
      </w:r>
      <w:r>
        <w:rPr>
          <w:rFonts w:ascii="仿宋_GB2312" w:hAnsi="仿宋_GB2312" w:eastAsia="仿宋_GB2312"/>
          <w:b w:val="0"/>
          <w:sz w:val="32"/>
        </w:rPr>
        <w:t>其中：年末财政拨款结转和结余0.00万元，本年财政拨款支出364.74万元。</w:t>
      </w:r>
    </w:p>
    <w:p w14:paraId="4435FBF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减少38.39万元，下降9.52%，主要原因是：本年在职人员减少，相关人员经费减少，本年减少天山英才计划三农骨干人才项目资金，导致经费较上年减少。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年初预算数421.95万元，决算数364.74万元，预决算差异率-13.56%，主要原因是：本年在职人员减少，年中调减人员经费，年中调减天山英才计划三农骨干人才项目资金，导致预决算存在差异。</w:t>
      </w:r>
    </w:p>
    <w:p w14:paraId="47C17F60">
      <w:pPr>
        <w:spacing w:line="640" w:lineRule="exact"/>
        <w:ind w:firstLine="640"/>
        <w:jc w:val="both"/>
        <w:outlineLvl w:val="2"/>
      </w:pPr>
      <w:r>
        <w:rPr>
          <w:rFonts w:ascii="黑体" w:hAnsi="黑体" w:eastAsia="黑体"/>
          <w:sz w:val="32"/>
        </w:rPr>
        <w:t>五、一般公共预算财政拨款支出决算情况说明</w:t>
      </w:r>
    </w:p>
    <w:p w14:paraId="59B61620">
      <w:pPr>
        <w:spacing w:line="640" w:lineRule="exact"/>
        <w:ind w:firstLine="640"/>
        <w:jc w:val="both"/>
        <w:outlineLvl w:val="3"/>
      </w:pPr>
      <w:r>
        <w:rPr>
          <w:rFonts w:ascii="楷体_GB2312" w:hAnsi="楷体_GB2312" w:eastAsia="楷体_GB2312"/>
          <w:b/>
          <w:sz w:val="32"/>
        </w:rPr>
        <w:t>（一）一般公共预算财政拨款支出决算总体情况</w:t>
      </w:r>
    </w:p>
    <w:p w14:paraId="5B6910A2">
      <w:pPr>
        <w:spacing w:line="580" w:lineRule="exact"/>
        <w:ind w:firstLine="640"/>
        <w:jc w:val="both"/>
      </w:pPr>
      <w:r>
        <w:rPr>
          <w:rFonts w:ascii="仿宋_GB2312" w:hAnsi="仿宋_GB2312" w:eastAsia="仿宋_GB2312"/>
          <w:b/>
          <w:sz w:val="32"/>
        </w:rPr>
        <w:t>2024年度一般公共预算财政拨款支出364.74万元，</w:t>
      </w:r>
      <w:r>
        <w:rPr>
          <w:rFonts w:ascii="仿宋_GB2312" w:hAnsi="仿宋_GB2312" w:eastAsia="仿宋_GB2312"/>
          <w:b w:val="0"/>
          <w:sz w:val="32"/>
        </w:rPr>
        <w:t>占本年支出合计的97.75%。</w:t>
      </w:r>
      <w:r>
        <w:rPr>
          <w:rFonts w:ascii="仿宋_GB2312" w:hAnsi="仿宋_GB2312" w:eastAsia="仿宋_GB2312"/>
          <w:b/>
          <w:sz w:val="32"/>
        </w:rPr>
        <w:t>与上年相比，</w:t>
      </w:r>
      <w:r>
        <w:rPr>
          <w:rFonts w:ascii="仿宋_GB2312" w:hAnsi="仿宋_GB2312" w:eastAsia="仿宋_GB2312"/>
          <w:b w:val="0"/>
          <w:sz w:val="32"/>
        </w:rPr>
        <w:t>减少38.39万元，下降9.52%，主要原因是：本年在职人员减少，相关人员经费减少，本年减少天山英才计划三农骨干人才项目资金，导致经费较上年减少。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年初预算数421.95万元，决算数364.74万元，预决算差异率-13.56%，主要原因是：本年在职人员减少，年中调减人员经费，年中调减天山英才计划三农骨干人才项目资金，导致预决算存在差异。</w:t>
      </w:r>
    </w:p>
    <w:p w14:paraId="487C3F49">
      <w:pPr>
        <w:spacing w:line="640" w:lineRule="exact"/>
        <w:ind w:firstLine="640"/>
        <w:jc w:val="both"/>
        <w:outlineLvl w:val="3"/>
      </w:pPr>
      <w:r>
        <w:rPr>
          <w:rFonts w:ascii="楷体_GB2312" w:hAnsi="楷体_GB2312" w:eastAsia="楷体_GB2312"/>
          <w:b/>
          <w:sz w:val="32"/>
        </w:rPr>
        <w:t>（二）一般公共预算财政拨款支出决算结构情况</w:t>
      </w:r>
    </w:p>
    <w:p w14:paraId="048F757C">
      <w:pPr>
        <w:spacing w:line="580" w:lineRule="exact"/>
        <w:ind w:firstLine="640"/>
        <w:jc w:val="both"/>
      </w:pPr>
      <w:r>
        <w:rPr>
          <w:rFonts w:ascii="仿宋_GB2312" w:hAnsi="仿宋_GB2312" w:eastAsia="仿宋_GB2312"/>
          <w:b w:val="0"/>
          <w:sz w:val="32"/>
        </w:rPr>
        <w:t>1.教育支出(类)1.46万元,占0.40%。</w:t>
      </w:r>
    </w:p>
    <w:p w14:paraId="2759CC16">
      <w:pPr>
        <w:spacing w:line="580" w:lineRule="exact"/>
        <w:ind w:firstLine="640"/>
        <w:jc w:val="both"/>
      </w:pPr>
      <w:r>
        <w:rPr>
          <w:rFonts w:ascii="仿宋_GB2312" w:hAnsi="仿宋_GB2312" w:eastAsia="仿宋_GB2312"/>
          <w:b w:val="0"/>
          <w:sz w:val="32"/>
        </w:rPr>
        <w:t>2.科学技术支出(类)6.35万元,占1.74%。</w:t>
      </w:r>
    </w:p>
    <w:p w14:paraId="66FA17FC">
      <w:pPr>
        <w:spacing w:line="580" w:lineRule="exact"/>
        <w:ind w:firstLine="640"/>
        <w:jc w:val="both"/>
      </w:pPr>
      <w:r>
        <w:rPr>
          <w:rFonts w:ascii="仿宋_GB2312" w:hAnsi="仿宋_GB2312" w:eastAsia="仿宋_GB2312"/>
          <w:b w:val="0"/>
          <w:sz w:val="32"/>
        </w:rPr>
        <w:t>3.社会保障和就业支出(类)60.88万元,占16.69%。</w:t>
      </w:r>
    </w:p>
    <w:p w14:paraId="2C3C03B2">
      <w:pPr>
        <w:spacing w:line="580" w:lineRule="exact"/>
        <w:ind w:firstLine="640"/>
        <w:jc w:val="both"/>
      </w:pPr>
      <w:r>
        <w:rPr>
          <w:rFonts w:ascii="仿宋_GB2312" w:hAnsi="仿宋_GB2312" w:eastAsia="仿宋_GB2312"/>
          <w:b w:val="0"/>
          <w:sz w:val="32"/>
        </w:rPr>
        <w:t>4.卫生健康支出(类)12.68万元,占3.48%。</w:t>
      </w:r>
    </w:p>
    <w:p w14:paraId="2B4CBD46">
      <w:pPr>
        <w:spacing w:line="580" w:lineRule="exact"/>
        <w:ind w:firstLine="640"/>
        <w:jc w:val="both"/>
      </w:pPr>
      <w:r>
        <w:rPr>
          <w:rFonts w:ascii="仿宋_GB2312" w:hAnsi="仿宋_GB2312" w:eastAsia="仿宋_GB2312"/>
          <w:b w:val="0"/>
          <w:sz w:val="32"/>
        </w:rPr>
        <w:t>5.农林水支出(类)261.12万元,占71.59%。</w:t>
      </w:r>
    </w:p>
    <w:p w14:paraId="512A6443">
      <w:pPr>
        <w:spacing w:line="580" w:lineRule="exact"/>
        <w:ind w:firstLine="640"/>
        <w:jc w:val="both"/>
      </w:pPr>
      <w:r>
        <w:rPr>
          <w:rFonts w:ascii="仿宋_GB2312" w:hAnsi="仿宋_GB2312" w:eastAsia="仿宋_GB2312"/>
          <w:b w:val="0"/>
          <w:sz w:val="32"/>
        </w:rPr>
        <w:t>6.住房保障支出(类)22.27万元,占6.11%。</w:t>
      </w:r>
    </w:p>
    <w:p w14:paraId="2B95DEA5">
      <w:pPr>
        <w:spacing w:line="640" w:lineRule="exact"/>
        <w:ind w:firstLine="640"/>
        <w:jc w:val="both"/>
        <w:outlineLvl w:val="3"/>
      </w:pPr>
      <w:r>
        <w:rPr>
          <w:rFonts w:ascii="楷体_GB2312" w:hAnsi="楷体_GB2312" w:eastAsia="楷体_GB2312"/>
          <w:b/>
          <w:sz w:val="32"/>
        </w:rPr>
        <w:t>（三）一般公共预算财政拨款支出决算具体情况</w:t>
      </w:r>
    </w:p>
    <w:p w14:paraId="2C735CB2">
      <w:pPr>
        <w:spacing w:line="580" w:lineRule="exact"/>
        <w:ind w:firstLine="640"/>
        <w:jc w:val="both"/>
      </w:pPr>
      <w:r>
        <w:rPr>
          <w:rFonts w:ascii="仿宋_GB2312" w:hAnsi="仿宋_GB2312" w:eastAsia="仿宋_GB2312"/>
          <w:b w:val="0"/>
          <w:sz w:val="32"/>
        </w:rPr>
        <w:t>1.教育支出(类)进修及培训(款)培训支出(项):支出决算数为1.46万元，比上年决算增加0.03万元，增长2.10%,主要原因是：本年根据上级安排培训人次较多，导致培训支出增加。</w:t>
      </w:r>
    </w:p>
    <w:p w14:paraId="638706AC">
      <w:pPr>
        <w:spacing w:line="580" w:lineRule="exact"/>
        <w:ind w:firstLine="640"/>
        <w:jc w:val="both"/>
      </w:pPr>
      <w:r>
        <w:rPr>
          <w:rFonts w:ascii="仿宋_GB2312" w:hAnsi="仿宋_GB2312" w:eastAsia="仿宋_GB2312"/>
          <w:b w:val="0"/>
          <w:sz w:val="32"/>
        </w:rPr>
        <w:t>2.科学技术支出(类)应用研究(款)其他应用研究支出(项):支出决算数为6.35万元，比上年决算减少17.31万元，下降73.16%,主要原因是：本年减少天山英才计划三农骨干人才项目资金，相关支出减少。</w:t>
      </w:r>
    </w:p>
    <w:p w14:paraId="27EED145">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3.社会保障和就业支出(类)行政事业单位养老支出(款)事业单位离退休(项):支出决算数为20.55万元，比上年决算增加4.72万元，增长29.82%,主要原因是：本年退休人员增加，退休费支出增加。</w:t>
      </w:r>
    </w:p>
    <w:p w14:paraId="093ED9D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28.24万元，比上年决算减少0.25万元，下降0.88%,主要原因是：本年在职人员减少，单位基本养老保险缴费较上年减少。</w:t>
      </w:r>
    </w:p>
    <w:p w14:paraId="467CB071">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5.社会保障和就业支出(类)行政事业单位养老支出(款)机关事业单位职业年金缴费支出(项):支出决算数为12.08万元，比上年决算增加2.79万元，增长30.03%,主要原因是：本年新增退休人员</w:t>
      </w:r>
      <w:r>
        <w:rPr>
          <w:rFonts w:hint="eastAsia" w:ascii="仿宋_GB2312" w:hAnsi="仿宋_GB2312" w:eastAsia="仿宋_GB2312"/>
          <w:b w:val="0"/>
          <w:sz w:val="32"/>
          <w:lang w:eastAsia="zh-CN"/>
        </w:rPr>
        <w:t>基数较高</w:t>
      </w:r>
      <w:r>
        <w:rPr>
          <w:rFonts w:ascii="仿宋_GB2312" w:hAnsi="仿宋_GB2312" w:eastAsia="仿宋_GB2312"/>
          <w:b w:val="0"/>
          <w:sz w:val="32"/>
        </w:rPr>
        <w:t>，职业年金缴费支出增加。</w:t>
      </w:r>
    </w:p>
    <w:p w14:paraId="0CAC0BA0">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6.社会保障和就业支出(类)抚恤(款)死亡抚恤(项):支出决算数为0.00万元，比上年决算减少12.44万元，下降100.00%,主要原因是：本年无新增死亡人员，死亡抚恤支出较上年减少。</w:t>
      </w:r>
    </w:p>
    <w:p w14:paraId="366F428A">
      <w:pPr>
        <w:spacing w:line="580" w:lineRule="exact"/>
        <w:ind w:firstLine="640"/>
        <w:jc w:val="both"/>
      </w:pPr>
      <w:r>
        <w:rPr>
          <w:rFonts w:ascii="仿宋_GB2312" w:hAnsi="仿宋_GB2312" w:eastAsia="仿宋_GB2312"/>
          <w:b w:val="0"/>
          <w:sz w:val="32"/>
        </w:rPr>
        <w:t>7.卫生健康支出(类)行政事业单位医疗(款)事业单位医疗(项):支出决算数为12.30万元，比上年决算减少0.67万元，下降5.17%,主要原因是：本年在职人员减少，事业单位医疗支出较上年减少。</w:t>
      </w:r>
    </w:p>
    <w:p w14:paraId="7E29FD1D">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8.卫生健康支出(类)行政事业单位医疗(款)其他行政事业单位医疗支出(项):支出决算数为0.37万元，比上年决算减少0.45万元，下降54.88%,主要原因是：本年在职人员减少，其他行政事业单位医疗支出较上年减少。</w:t>
      </w:r>
    </w:p>
    <w:p w14:paraId="06B579F6">
      <w:pPr>
        <w:spacing w:line="580" w:lineRule="exact"/>
        <w:ind w:firstLine="640"/>
        <w:jc w:val="both"/>
      </w:pPr>
      <w:r>
        <w:rPr>
          <w:rFonts w:ascii="仿宋_GB2312" w:hAnsi="仿宋_GB2312" w:eastAsia="仿宋_GB2312"/>
          <w:b w:val="0"/>
          <w:sz w:val="32"/>
        </w:rPr>
        <w:t>9.农林水支出(类)林业和草原(款)事业机构(项):支出决算数为222.12万元，比上年决算减少26.07万元，下降10.50%,主要原因是：本年在职人员减少，工资支出较上年减少。</w:t>
      </w:r>
    </w:p>
    <w:p w14:paraId="07FA2B27">
      <w:pPr>
        <w:spacing w:line="580" w:lineRule="exact"/>
        <w:ind w:firstLine="640"/>
        <w:jc w:val="both"/>
      </w:pPr>
      <w:r>
        <w:rPr>
          <w:rFonts w:ascii="仿宋_GB2312" w:hAnsi="仿宋_GB2312" w:eastAsia="仿宋_GB2312"/>
          <w:b w:val="0"/>
          <w:sz w:val="32"/>
        </w:rPr>
        <w:t>10.农林水支出(类)林业和草原(款)草原管理(项):支出决算数为29.00万元，比上年决算增加19.00万元，增长190.00%,主要原因是：本年增加自治区草品种区域试验补助、草原监测项目资金，相关支出增加。</w:t>
      </w:r>
    </w:p>
    <w:p w14:paraId="3F062951">
      <w:pPr>
        <w:spacing w:line="580" w:lineRule="exact"/>
        <w:ind w:firstLine="640"/>
        <w:jc w:val="both"/>
      </w:pPr>
      <w:r>
        <w:rPr>
          <w:rFonts w:ascii="仿宋_GB2312" w:hAnsi="仿宋_GB2312" w:eastAsia="仿宋_GB2312"/>
          <w:b w:val="0"/>
          <w:sz w:val="32"/>
        </w:rPr>
        <w:t>11.农林水支出(类)林业和草原(款)其他林业和草原支出(项):支出决算数为10.00万元，比上年决算减少9.08万元，下降47.59%,主要原因是：本年减少自治区草原有害生物野外监测防治试验站补助资金，相关支出减少。</w:t>
      </w:r>
    </w:p>
    <w:p w14:paraId="443FCA49">
      <w:pPr>
        <w:spacing w:line="580" w:lineRule="exact"/>
        <w:ind w:firstLine="640"/>
        <w:jc w:val="both"/>
      </w:pPr>
      <w:r>
        <w:rPr>
          <w:rFonts w:ascii="仿宋_GB2312" w:hAnsi="仿宋_GB2312" w:eastAsia="仿宋_GB2312"/>
          <w:b w:val="0"/>
          <w:sz w:val="32"/>
        </w:rPr>
        <w:t>12.住房保障支出(类)住房改革支出(款)住房公积金(项):支出决算数为22.27万元，比上年决算增加1.34万元，增长6.40%,主要原因是：本年在职人员工资基数调增，公积金缴费基数上涨，相应支出增加。</w:t>
      </w:r>
    </w:p>
    <w:p w14:paraId="63123AA0">
      <w:pPr>
        <w:spacing w:line="640" w:lineRule="exact"/>
        <w:ind w:firstLine="640"/>
        <w:jc w:val="both"/>
        <w:outlineLvl w:val="2"/>
      </w:pPr>
      <w:r>
        <w:rPr>
          <w:rFonts w:ascii="黑体" w:hAnsi="黑体" w:eastAsia="黑体"/>
          <w:sz w:val="32"/>
        </w:rPr>
        <w:t>六、一般公共预算财政拨款基本支出决算情况说明</w:t>
      </w:r>
    </w:p>
    <w:p w14:paraId="2420BED7">
      <w:pPr>
        <w:spacing w:line="580" w:lineRule="exact"/>
        <w:ind w:firstLine="640"/>
        <w:jc w:val="both"/>
      </w:pPr>
      <w:r>
        <w:rPr>
          <w:rFonts w:ascii="仿宋_GB2312" w:hAnsi="仿宋_GB2312" w:eastAsia="仿宋_GB2312"/>
          <w:b w:val="0"/>
          <w:sz w:val="32"/>
        </w:rPr>
        <w:t>2024年度一般公共预算财政拨款基本支出319.40万元，其中：</w:t>
      </w:r>
      <w:r>
        <w:rPr>
          <w:rFonts w:ascii="仿宋_GB2312" w:hAnsi="仿宋_GB2312" w:eastAsia="仿宋_GB2312"/>
          <w:b/>
          <w:sz w:val="32"/>
        </w:rPr>
        <w:t>人员经费302.08万元，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包括：基本工资、津贴补贴、奖金、伙食补助费、机关事业单位基本养老保险缴费、职业年金缴费、职工基本医疗保险缴费、其他社会保障缴费、住房公积金、医疗费、退休费、生活补助、奖励金。</w:t>
      </w:r>
    </w:p>
    <w:p w14:paraId="113ABF13">
      <w:pPr>
        <w:spacing w:line="580" w:lineRule="exact"/>
        <w:ind w:firstLine="640"/>
        <w:jc w:val="both"/>
      </w:pPr>
      <w:r>
        <w:rPr>
          <w:rFonts w:ascii="仿宋_GB2312" w:hAnsi="仿宋_GB2312" w:eastAsia="仿宋_GB2312"/>
          <w:b/>
          <w:sz w:val="32"/>
        </w:rPr>
        <w:t>公用经费17.32万元，</w:t>
      </w:r>
      <w:r>
        <w:rPr>
          <w:rFonts w:ascii="仿宋_GB2312" w:hAnsi="仿宋_GB2312" w:eastAsia="仿宋_GB2312"/>
          <w:b w:val="0"/>
          <w:sz w:val="32"/>
        </w:rPr>
        <w:t>包括：办公费、水费、邮电费、取暖费、维修（护）费、培训费、委托业务费、工会经费、福利费、公务用车运行维护费、其他商品和服务支出、办公设备购置。</w:t>
      </w:r>
    </w:p>
    <w:p w14:paraId="3217AFCF">
      <w:pPr>
        <w:spacing w:line="640" w:lineRule="exact"/>
        <w:ind w:firstLine="640"/>
        <w:jc w:val="both"/>
        <w:outlineLvl w:val="2"/>
      </w:pPr>
      <w:r>
        <w:rPr>
          <w:rFonts w:ascii="黑体" w:hAnsi="黑体" w:eastAsia="黑体"/>
          <w:sz w:val="32"/>
        </w:rPr>
        <w:t>七、政府性基金预算财政拨款收入支出决算情况说明</w:t>
      </w:r>
    </w:p>
    <w:p w14:paraId="22DD1E4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F66066A">
      <w:pPr>
        <w:spacing w:line="640" w:lineRule="exact"/>
        <w:ind w:firstLine="640"/>
        <w:jc w:val="both"/>
        <w:outlineLvl w:val="2"/>
      </w:pPr>
      <w:r>
        <w:rPr>
          <w:rFonts w:ascii="黑体" w:hAnsi="黑体" w:eastAsia="黑体"/>
          <w:sz w:val="32"/>
        </w:rPr>
        <w:t>八、国有资本经营预算财政拨款收入支出决算情况说明</w:t>
      </w:r>
    </w:p>
    <w:p w14:paraId="6F89BF0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21C6B1B">
      <w:pPr>
        <w:spacing w:line="640" w:lineRule="exact"/>
        <w:ind w:firstLine="640"/>
        <w:jc w:val="both"/>
        <w:outlineLvl w:val="2"/>
      </w:pPr>
      <w:r>
        <w:rPr>
          <w:rFonts w:ascii="黑体" w:hAnsi="黑体" w:eastAsia="黑体"/>
          <w:sz w:val="32"/>
        </w:rPr>
        <w:t>九、财政拨款“三公”经费支出决算情况说明</w:t>
      </w:r>
    </w:p>
    <w:p w14:paraId="4223C339">
      <w:pPr>
        <w:spacing w:line="580" w:lineRule="exact"/>
        <w:ind w:firstLine="640"/>
        <w:jc w:val="both"/>
      </w:pPr>
      <w:r>
        <w:rPr>
          <w:rFonts w:ascii="仿宋_GB2312" w:hAnsi="仿宋_GB2312" w:eastAsia="仿宋_GB2312"/>
          <w:b/>
          <w:sz w:val="32"/>
        </w:rPr>
        <w:t>2024年度财政拨款“三公”经费支出4.49万元，</w:t>
      </w:r>
      <w:r>
        <w:rPr>
          <w:rFonts w:ascii="仿宋_GB2312" w:hAnsi="仿宋_GB2312" w:eastAsia="仿宋_GB2312"/>
          <w:b w:val="0"/>
          <w:sz w:val="32"/>
        </w:rPr>
        <w:t>比上年减少1.31万元，下降22.59%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4.49万元，占100.00%，比上年减少1.31万元，下降22.59%，主要原因是：严格落实中央八项规定精神，厉行节约，减少公务用车运行维护费。公务接待费支出0.00万元，占0.00%，比上年增加0.00万元，增长0.00%，主要原因是：2023年与2024年均未安排公务接待费支出。</w:t>
      </w:r>
    </w:p>
    <w:p w14:paraId="6600D054">
      <w:pPr>
        <w:spacing w:line="580" w:lineRule="exact"/>
        <w:ind w:firstLine="640"/>
        <w:jc w:val="both"/>
      </w:pPr>
      <w:r>
        <w:rPr>
          <w:rFonts w:ascii="仿宋_GB2312" w:hAnsi="仿宋_GB2312" w:eastAsia="仿宋_GB2312"/>
          <w:b/>
          <w:sz w:val="32"/>
        </w:rPr>
        <w:t>具体情况如下：</w:t>
      </w:r>
    </w:p>
    <w:p w14:paraId="0B6EA3E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8EDB6F0">
      <w:pPr>
        <w:spacing w:line="580" w:lineRule="exact"/>
        <w:ind w:firstLine="640"/>
        <w:jc w:val="both"/>
      </w:pPr>
      <w:r>
        <w:rPr>
          <w:rFonts w:ascii="仿宋_GB2312" w:hAnsi="仿宋_GB2312" w:eastAsia="仿宋_GB2312"/>
          <w:b w:val="0"/>
          <w:sz w:val="32"/>
        </w:rPr>
        <w:t>公务用车购置及运行维护费4.49万元，其中：公务用车购置费0.00万元，公务用车运行维护费4.49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41EB5D9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410452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4.49万元，决算数4.49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4.49万元，决算数4.49万元，预决算差异率0.00%，主要原因是：严格按照预算执行，预决算无差异。公务接待费全年预算数0.00万元，决算数0.00万元，预决算差异率0.00%，主要原因是：本单位无公务接待费。</w:t>
      </w:r>
    </w:p>
    <w:p w14:paraId="517D959C">
      <w:pPr>
        <w:spacing w:line="640" w:lineRule="exact"/>
        <w:ind w:firstLine="640"/>
        <w:jc w:val="both"/>
        <w:outlineLvl w:val="2"/>
      </w:pPr>
      <w:r>
        <w:rPr>
          <w:rFonts w:ascii="黑体" w:hAnsi="黑体" w:eastAsia="黑体"/>
          <w:sz w:val="32"/>
        </w:rPr>
        <w:t>十、其他重要事项的情况说明</w:t>
      </w:r>
    </w:p>
    <w:p w14:paraId="24589C50">
      <w:pPr>
        <w:spacing w:line="640" w:lineRule="exact"/>
        <w:ind w:firstLine="640"/>
        <w:jc w:val="both"/>
        <w:outlineLvl w:val="3"/>
      </w:pPr>
      <w:r>
        <w:rPr>
          <w:rFonts w:ascii="楷体_GB2312" w:hAnsi="楷体_GB2312" w:eastAsia="楷体_GB2312"/>
          <w:b/>
          <w:sz w:val="32"/>
        </w:rPr>
        <w:t>（一）机关运行经费及公用经费支出情况</w:t>
      </w:r>
    </w:p>
    <w:p w14:paraId="50EEE57C">
      <w:pPr>
        <w:spacing w:line="580" w:lineRule="exact"/>
        <w:ind w:firstLine="640"/>
        <w:jc w:val="both"/>
      </w:pPr>
      <w:r>
        <w:rPr>
          <w:rFonts w:ascii="仿宋_GB2312" w:hAnsi="仿宋_GB2312" w:eastAsia="仿宋_GB2312"/>
          <w:b w:val="0"/>
          <w:sz w:val="32"/>
        </w:rPr>
        <w:t>2024年度新疆巴音郭楞蒙古自治州草原工作站（事业单位）公用经费支出17.32万元，比上年增加1.08万元，增长6.65%，主要原因是：本年更新、维护补充办公用品，导致公用经费较上年增加。</w:t>
      </w:r>
    </w:p>
    <w:p w14:paraId="36631227">
      <w:pPr>
        <w:spacing w:line="640" w:lineRule="exact"/>
        <w:ind w:firstLine="640"/>
        <w:jc w:val="both"/>
        <w:outlineLvl w:val="3"/>
      </w:pPr>
      <w:r>
        <w:rPr>
          <w:rFonts w:ascii="楷体_GB2312" w:hAnsi="楷体_GB2312" w:eastAsia="楷体_GB2312"/>
          <w:b/>
          <w:sz w:val="32"/>
        </w:rPr>
        <w:t>（二）政府采购情况</w:t>
      </w:r>
    </w:p>
    <w:p w14:paraId="2D91B9BE">
      <w:pPr>
        <w:spacing w:line="580" w:lineRule="exact"/>
        <w:ind w:firstLine="640"/>
        <w:jc w:val="both"/>
      </w:pPr>
      <w:r>
        <w:rPr>
          <w:rFonts w:ascii="仿宋_GB2312" w:hAnsi="仿宋_GB2312" w:eastAsia="仿宋_GB2312"/>
          <w:b w:val="0"/>
          <w:sz w:val="32"/>
        </w:rPr>
        <w:t>2024年度政府采购支出总额8.03万元，其中：政府采购货物支出1.68万元、政府采购工程支出0.00万元、政府采购服务支出6.36万元。</w:t>
      </w:r>
    </w:p>
    <w:p w14:paraId="4D3233A9">
      <w:pPr>
        <w:spacing w:line="580" w:lineRule="exact"/>
        <w:ind w:firstLine="640"/>
        <w:jc w:val="both"/>
      </w:pPr>
      <w:r>
        <w:rPr>
          <w:rFonts w:ascii="仿宋_GB2312" w:hAnsi="仿宋_GB2312" w:eastAsia="仿宋_GB2312"/>
          <w:b w:val="0"/>
          <w:sz w:val="32"/>
        </w:rPr>
        <w:t>授予中小企业合同金额8.03万元，占政府采购支出总额的100.00%，其中：授予小微企业合同金额6.88万元，占政府采购支出总额的85.68%。</w:t>
      </w:r>
    </w:p>
    <w:p w14:paraId="04414D39">
      <w:pPr>
        <w:spacing w:line="640" w:lineRule="exact"/>
        <w:ind w:firstLine="640"/>
        <w:jc w:val="both"/>
        <w:outlineLvl w:val="3"/>
      </w:pPr>
      <w:r>
        <w:rPr>
          <w:rFonts w:ascii="楷体_GB2312" w:hAnsi="楷体_GB2312" w:eastAsia="楷体_GB2312"/>
          <w:b/>
          <w:sz w:val="32"/>
        </w:rPr>
        <w:t>（三）国有资产占用情况说明</w:t>
      </w:r>
    </w:p>
    <w:p w14:paraId="5C04CDB0">
      <w:pPr>
        <w:spacing w:line="580" w:lineRule="exact"/>
        <w:ind w:firstLine="640"/>
        <w:jc w:val="both"/>
      </w:pPr>
      <w:r>
        <w:rPr>
          <w:rFonts w:ascii="仿宋_GB2312" w:hAnsi="仿宋_GB2312" w:eastAsia="仿宋_GB2312"/>
          <w:b w:val="0"/>
          <w:sz w:val="32"/>
        </w:rPr>
        <w:t>截至2024年12月31日，房屋1,151.44平方米，价值113.54万元。车辆1辆，价值32.03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4DA6A92">
      <w:pPr>
        <w:spacing w:line="640" w:lineRule="exact"/>
        <w:ind w:firstLine="640"/>
        <w:jc w:val="both"/>
        <w:outlineLvl w:val="2"/>
      </w:pPr>
      <w:r>
        <w:rPr>
          <w:rFonts w:ascii="黑体" w:hAnsi="黑体" w:eastAsia="黑体"/>
          <w:sz w:val="32"/>
        </w:rPr>
        <w:t>十一、预算绩效的情况说明</w:t>
      </w:r>
    </w:p>
    <w:p w14:paraId="387D9CAC">
      <w:pPr>
        <w:spacing w:line="580" w:lineRule="exact"/>
        <w:ind w:firstLine="640"/>
        <w:jc w:val="both"/>
      </w:pPr>
      <w:r>
        <w:rPr>
          <w:rFonts w:ascii="仿宋_GB2312" w:hAnsi="仿宋_GB2312" w:eastAsia="仿宋_GB2312"/>
          <w:b w:val="0"/>
          <w:sz w:val="32"/>
        </w:rPr>
        <w:t>根据预算绩效管理要求，本单位预算绩效评价项目5个，全年预算数53.75万元，全年执行数53.75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完善相关制度，推进制度落实。依据相关法律、法规及管理办法，建立分级分类、使用高效、便于操作的实施细则及业务规范，制定绩效问责制度、公开制度等，加快形成“用钱必问效、无效必问责”的机制。具体附项目支出绩效自评表。</w:t>
      </w:r>
    </w:p>
    <w:p w14:paraId="1AA3211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7D5984C">
        <w:tblPrEx>
          <w:tblCellMar>
            <w:top w:w="0" w:type="dxa"/>
            <w:left w:w="108" w:type="dxa"/>
            <w:bottom w:w="0" w:type="dxa"/>
            <w:right w:w="108" w:type="dxa"/>
          </w:tblCellMar>
        </w:tblPrEx>
        <w:tc>
          <w:tcPr>
            <w:tcW w:w="8848" w:type="dxa"/>
            <w:gridSpan w:val="14"/>
            <w:vAlign w:val="center"/>
          </w:tcPr>
          <w:p w14:paraId="13906970">
            <w:pPr>
              <w:jc w:val="center"/>
            </w:pPr>
            <w:r>
              <w:rPr>
                <w:rFonts w:ascii="宋体" w:hAnsi="宋体" w:eastAsia="宋体"/>
                <w:sz w:val="24"/>
              </w:rPr>
              <w:t>项目支出绩效自评表</w:t>
            </w:r>
          </w:p>
        </w:tc>
      </w:tr>
      <w:tr w14:paraId="6D93ECD5">
        <w:tblPrEx>
          <w:tblCellMar>
            <w:top w:w="0" w:type="dxa"/>
            <w:left w:w="108" w:type="dxa"/>
            <w:bottom w:w="0" w:type="dxa"/>
            <w:right w:w="108" w:type="dxa"/>
          </w:tblCellMar>
        </w:tblPrEx>
        <w:tc>
          <w:tcPr>
            <w:tcW w:w="8848" w:type="dxa"/>
            <w:gridSpan w:val="14"/>
            <w:vAlign w:val="center"/>
          </w:tcPr>
          <w:p w14:paraId="56C71BCF">
            <w:pPr>
              <w:jc w:val="center"/>
            </w:pPr>
            <w:r>
              <w:rPr>
                <w:rFonts w:ascii="宋体" w:hAnsi="宋体" w:eastAsia="宋体"/>
                <w:sz w:val="24"/>
              </w:rPr>
              <w:t>(2024年度)</w:t>
            </w:r>
          </w:p>
        </w:tc>
      </w:tr>
      <w:tr w14:paraId="3BA2DA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55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0A7DD1">
            <w:pPr>
              <w:jc w:val="center"/>
            </w:pPr>
            <w:r>
              <w:rPr>
                <w:rFonts w:ascii="宋体" w:hAnsi="宋体" w:eastAsia="宋体"/>
                <w:sz w:val="16"/>
              </w:rPr>
              <w:t>提前下达2024年自治区林草专项资金（森林植被恢复费）种苗培育补助项目-自治区草品种区域试验补助</w:t>
            </w:r>
          </w:p>
        </w:tc>
      </w:tr>
      <w:tr w14:paraId="36F5E8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CE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4C9FB">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09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7761FE">
            <w:pPr>
              <w:jc w:val="center"/>
            </w:pPr>
            <w:r>
              <w:rPr>
                <w:rFonts w:ascii="宋体" w:hAnsi="宋体" w:eastAsia="宋体"/>
                <w:sz w:val="16"/>
              </w:rPr>
              <w:t>新疆巴音郭楞蒙古自治州草原工作站</w:t>
            </w:r>
          </w:p>
        </w:tc>
      </w:tr>
      <w:tr w14:paraId="0E04DD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63AC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EE6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BF4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88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3A9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409E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C07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BAE9">
            <w:pPr>
              <w:jc w:val="center"/>
            </w:pPr>
            <w:r>
              <w:rPr>
                <w:rFonts w:ascii="宋体" w:hAnsi="宋体" w:eastAsia="宋体"/>
                <w:sz w:val="16"/>
              </w:rPr>
              <w:t>得分</w:t>
            </w:r>
          </w:p>
        </w:tc>
      </w:tr>
      <w:tr w14:paraId="6EC617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484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7D9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CA93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7FB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D25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B96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52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1037">
            <w:pPr>
              <w:jc w:val="center"/>
            </w:pPr>
            <w:r>
              <w:rPr>
                <w:rFonts w:ascii="宋体" w:hAnsi="宋体" w:eastAsia="宋体"/>
                <w:sz w:val="16"/>
              </w:rPr>
              <w:t>10.00</w:t>
            </w:r>
          </w:p>
        </w:tc>
      </w:tr>
      <w:tr w14:paraId="48CDB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AB8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90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3FD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719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C8F2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626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7B4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3EEF">
            <w:pPr>
              <w:jc w:val="center"/>
            </w:pPr>
            <w:r>
              <w:rPr>
                <w:rFonts w:ascii="宋体" w:hAnsi="宋体" w:eastAsia="宋体"/>
                <w:sz w:val="16"/>
              </w:rPr>
              <w:t>-</w:t>
            </w:r>
          </w:p>
        </w:tc>
      </w:tr>
      <w:tr w14:paraId="610E7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FDA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9193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3F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CA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FFB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565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334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1CE0">
            <w:pPr>
              <w:jc w:val="center"/>
            </w:pPr>
            <w:r>
              <w:rPr>
                <w:rFonts w:ascii="宋体" w:hAnsi="宋体" w:eastAsia="宋体"/>
                <w:sz w:val="16"/>
              </w:rPr>
              <w:t>-</w:t>
            </w:r>
          </w:p>
        </w:tc>
      </w:tr>
      <w:tr w14:paraId="6C95E0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9664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5ABEB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7656FC">
            <w:pPr>
              <w:jc w:val="center"/>
            </w:pPr>
            <w:r>
              <w:rPr>
                <w:rFonts w:ascii="宋体" w:hAnsi="宋体" w:eastAsia="宋体"/>
                <w:sz w:val="16"/>
              </w:rPr>
              <w:t>总体目标完成情况</w:t>
            </w:r>
          </w:p>
        </w:tc>
      </w:tr>
      <w:tr w14:paraId="419EA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6ED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3C76E">
            <w:pPr>
              <w:jc w:val="both"/>
            </w:pPr>
            <w:r>
              <w:rPr>
                <w:rFonts w:ascii="宋体" w:hAnsi="宋体" w:eastAsia="宋体"/>
                <w:sz w:val="16"/>
              </w:rPr>
              <w:t>依据《关于提前下达2024年自治区财政林草专项资金的通知》巴财建</w:t>
            </w:r>
            <w:r>
              <w:rPr>
                <w:rFonts w:hint="eastAsia" w:ascii="宋体" w:hAnsi="宋体"/>
                <w:sz w:val="16"/>
                <w:lang w:eastAsia="zh-CN"/>
              </w:rPr>
              <w:t>〔2023〕126号</w:t>
            </w:r>
            <w:r>
              <w:rPr>
                <w:rFonts w:ascii="宋体" w:hAnsi="宋体" w:eastAsia="宋体"/>
                <w:sz w:val="16"/>
              </w:rPr>
              <w:t>文件内容的要求，通过观测区域试验15个牧草品种，筛选适应于高寒草原种植修复草品种，有效带动草业良种良法推广，提高我国自主选育草品种质量和市场竞争力，为草牧业高质量发展奠定基础，促进了重大草原保护政策落实、畜牧业增产和农牧民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AB8F8D">
            <w:pPr>
              <w:jc w:val="both"/>
            </w:pPr>
            <w:r>
              <w:rPr>
                <w:rFonts w:ascii="宋体" w:hAnsi="宋体" w:eastAsia="宋体"/>
                <w:sz w:val="16"/>
              </w:rPr>
              <w:t>根据项目实施方案以及《关于提前下达2024年自治区财政林草专项资金的通知》巴财建</w:t>
            </w:r>
            <w:r>
              <w:rPr>
                <w:rFonts w:hint="eastAsia" w:ascii="宋体" w:hAnsi="宋体"/>
                <w:sz w:val="16"/>
                <w:lang w:eastAsia="zh-CN"/>
              </w:rPr>
              <w:t>〔2023〕126号</w:t>
            </w:r>
            <w:r>
              <w:rPr>
                <w:rFonts w:ascii="宋体" w:hAnsi="宋体" w:eastAsia="宋体"/>
                <w:sz w:val="16"/>
              </w:rPr>
              <w:t>文件内容的要求，已完成观测区域试验15个牧草品种，筛选出了适应于高寒草原种植修复草品种1-2种，</w:t>
            </w:r>
          </w:p>
        </w:tc>
      </w:tr>
      <w:tr w14:paraId="21A2F5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03C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5C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91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6B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FB9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15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97C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58E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417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17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303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52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4CF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A5D6">
            <w:pPr>
              <w:jc w:val="center"/>
            </w:pPr>
            <w:r>
              <w:rPr>
                <w:rFonts w:ascii="宋体" w:hAnsi="宋体" w:eastAsia="宋体"/>
                <w:sz w:val="16"/>
              </w:rPr>
              <w:t>偏差原因分析及改进措施</w:t>
            </w:r>
          </w:p>
        </w:tc>
      </w:tr>
      <w:tr w14:paraId="76F916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DB3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A61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C3A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3B59">
            <w:pPr>
              <w:jc w:val="center"/>
            </w:pPr>
            <w:r>
              <w:rPr>
                <w:rFonts w:ascii="宋体" w:hAnsi="宋体" w:eastAsia="宋体"/>
                <w:sz w:val="16"/>
              </w:rPr>
              <w:t>区域试验草品种个数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086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02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AB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E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2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5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C3D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CD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A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0A14">
            <w:pPr>
              <w:jc w:val="center"/>
            </w:pPr>
          </w:p>
        </w:tc>
      </w:tr>
      <w:tr w14:paraId="6C516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9C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CB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13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D93A">
            <w:pPr>
              <w:jc w:val="center"/>
            </w:pPr>
            <w:r>
              <w:rPr>
                <w:rFonts w:ascii="宋体" w:hAnsi="宋体" w:eastAsia="宋体"/>
                <w:sz w:val="16"/>
              </w:rPr>
              <w:t>观测试验草品种个数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6202">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7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6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0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E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FE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6BD8">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2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3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6236">
            <w:pPr>
              <w:jc w:val="center"/>
            </w:pPr>
          </w:p>
        </w:tc>
      </w:tr>
      <w:tr w14:paraId="02B49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D8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53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F4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F855">
            <w:pPr>
              <w:jc w:val="center"/>
            </w:pPr>
            <w:r>
              <w:rPr>
                <w:rFonts w:ascii="宋体" w:hAnsi="宋体" w:eastAsia="宋体"/>
                <w:sz w:val="16"/>
              </w:rPr>
              <w:t>观测试验草数据准确率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2F8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B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69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C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3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9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8F3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3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F1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082D">
            <w:pPr>
              <w:jc w:val="center"/>
            </w:pPr>
          </w:p>
        </w:tc>
      </w:tr>
      <w:tr w14:paraId="54E7A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7B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7B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0B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AFC1">
            <w:pPr>
              <w:jc w:val="center"/>
            </w:pPr>
            <w:r>
              <w:rPr>
                <w:rFonts w:ascii="宋体" w:hAnsi="宋体" w:eastAsia="宋体"/>
                <w:sz w:val="16"/>
              </w:rPr>
              <w:t>观测试验草品种完成时间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32D7">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B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7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1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A4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7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824A">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0D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81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8C7D">
            <w:pPr>
              <w:jc w:val="center"/>
            </w:pPr>
          </w:p>
        </w:tc>
      </w:tr>
      <w:tr w14:paraId="17B3D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C8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5D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12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1F4C">
            <w:pPr>
              <w:jc w:val="center"/>
            </w:pPr>
            <w:r>
              <w:rPr>
                <w:rFonts w:ascii="宋体" w:hAnsi="宋体" w:eastAsia="宋体"/>
                <w:sz w:val="16"/>
              </w:rPr>
              <w:t>单个草品种观测成本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924C">
            <w:pPr>
              <w:jc w:val="center"/>
            </w:pPr>
            <w:r>
              <w:rPr>
                <w:rFonts w:ascii="宋体" w:hAnsi="宋体" w:eastAsia="宋体"/>
                <w:sz w:val="16"/>
              </w:rPr>
              <w:t>&lt;=0.66万元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1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32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7A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6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F4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FE59">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8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A7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B4E5">
            <w:pPr>
              <w:jc w:val="center"/>
            </w:pPr>
          </w:p>
        </w:tc>
      </w:tr>
      <w:tr w14:paraId="67974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89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DA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22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F653">
            <w:pPr>
              <w:jc w:val="center"/>
            </w:pPr>
            <w:r>
              <w:rPr>
                <w:rFonts w:ascii="宋体" w:hAnsi="宋体" w:eastAsia="宋体"/>
                <w:sz w:val="16"/>
              </w:rPr>
              <w:t>筛选出的草品种适应性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ED0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D6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A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38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43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80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F89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D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A8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FC94">
            <w:pPr>
              <w:jc w:val="center"/>
            </w:pPr>
          </w:p>
        </w:tc>
      </w:tr>
      <w:tr w14:paraId="3E03A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A7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8A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C2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8A2D">
            <w:pPr>
              <w:jc w:val="center"/>
            </w:pPr>
            <w:r>
              <w:rPr>
                <w:rFonts w:ascii="宋体" w:hAnsi="宋体" w:eastAsia="宋体"/>
                <w:sz w:val="16"/>
              </w:rPr>
              <w:t>项目参与人员满意度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E5C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7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0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B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D6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3D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D574">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1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2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B079">
            <w:pPr>
              <w:jc w:val="center"/>
            </w:pPr>
          </w:p>
        </w:tc>
      </w:tr>
      <w:tr w14:paraId="5473B0F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6CD1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8B6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550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B1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7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053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B79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105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1A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20C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61028"/>
        </w:tc>
      </w:tr>
    </w:tbl>
    <w:p w14:paraId="19D287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E121429">
        <w:tblPrEx>
          <w:tblCellMar>
            <w:top w:w="0" w:type="dxa"/>
            <w:left w:w="108" w:type="dxa"/>
            <w:bottom w:w="0" w:type="dxa"/>
            <w:right w:w="108" w:type="dxa"/>
          </w:tblCellMar>
        </w:tblPrEx>
        <w:tc>
          <w:tcPr>
            <w:tcW w:w="8848" w:type="dxa"/>
            <w:gridSpan w:val="14"/>
            <w:vAlign w:val="center"/>
          </w:tcPr>
          <w:p w14:paraId="344FEAEB">
            <w:pPr>
              <w:jc w:val="center"/>
            </w:pPr>
            <w:r>
              <w:rPr>
                <w:rFonts w:ascii="宋体" w:hAnsi="宋体" w:eastAsia="宋体"/>
                <w:sz w:val="24"/>
              </w:rPr>
              <w:t>项目支出绩效自评表</w:t>
            </w:r>
          </w:p>
        </w:tc>
      </w:tr>
      <w:tr w14:paraId="08A874A4">
        <w:tblPrEx>
          <w:tblCellMar>
            <w:top w:w="0" w:type="dxa"/>
            <w:left w:w="108" w:type="dxa"/>
            <w:bottom w:w="0" w:type="dxa"/>
            <w:right w:w="108" w:type="dxa"/>
          </w:tblCellMar>
        </w:tblPrEx>
        <w:tc>
          <w:tcPr>
            <w:tcW w:w="8848" w:type="dxa"/>
            <w:gridSpan w:val="14"/>
            <w:vAlign w:val="center"/>
          </w:tcPr>
          <w:p w14:paraId="7CCF2C9C">
            <w:pPr>
              <w:jc w:val="center"/>
            </w:pPr>
            <w:r>
              <w:rPr>
                <w:rFonts w:ascii="宋体" w:hAnsi="宋体" w:eastAsia="宋体"/>
                <w:sz w:val="24"/>
              </w:rPr>
              <w:t>(2024年度)</w:t>
            </w:r>
          </w:p>
        </w:tc>
      </w:tr>
      <w:tr w14:paraId="468AEA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31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0D97AF">
            <w:pPr>
              <w:jc w:val="center"/>
            </w:pPr>
            <w:r>
              <w:rPr>
                <w:rFonts w:ascii="宋体" w:hAnsi="宋体" w:eastAsia="宋体"/>
                <w:sz w:val="16"/>
              </w:rPr>
              <w:t>提前下达2024年自治区林草专项资金（草原植被恢复费）自治区草原有害生物野外监测防治试验站补助</w:t>
            </w:r>
          </w:p>
        </w:tc>
      </w:tr>
      <w:tr w14:paraId="7E8424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C1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81B76">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56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40471C">
            <w:pPr>
              <w:jc w:val="center"/>
            </w:pPr>
            <w:r>
              <w:rPr>
                <w:rFonts w:ascii="宋体" w:hAnsi="宋体" w:eastAsia="宋体"/>
                <w:sz w:val="16"/>
              </w:rPr>
              <w:t>新疆巴音郭楞蒙古自治州草原工作站</w:t>
            </w:r>
          </w:p>
        </w:tc>
      </w:tr>
      <w:tr w14:paraId="08B601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5DED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39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41D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70A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CF6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F922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291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0287">
            <w:pPr>
              <w:jc w:val="center"/>
            </w:pPr>
            <w:r>
              <w:rPr>
                <w:rFonts w:ascii="宋体" w:hAnsi="宋体" w:eastAsia="宋体"/>
                <w:sz w:val="16"/>
              </w:rPr>
              <w:t>得分</w:t>
            </w:r>
          </w:p>
        </w:tc>
      </w:tr>
      <w:tr w14:paraId="3570BA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A49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D9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3C0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1D0E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DD83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B8C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D27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666F">
            <w:pPr>
              <w:jc w:val="center"/>
            </w:pPr>
            <w:r>
              <w:rPr>
                <w:rFonts w:ascii="宋体" w:hAnsi="宋体" w:eastAsia="宋体"/>
                <w:sz w:val="16"/>
              </w:rPr>
              <w:t>10.00</w:t>
            </w:r>
          </w:p>
        </w:tc>
      </w:tr>
      <w:tr w14:paraId="40E9E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25C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8FC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7C59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AF72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9E0B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D41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404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5B6D">
            <w:pPr>
              <w:jc w:val="center"/>
            </w:pPr>
            <w:r>
              <w:rPr>
                <w:rFonts w:ascii="宋体" w:hAnsi="宋体" w:eastAsia="宋体"/>
                <w:sz w:val="16"/>
              </w:rPr>
              <w:t>-</w:t>
            </w:r>
          </w:p>
        </w:tc>
      </w:tr>
      <w:tr w14:paraId="02508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2D5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363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D78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A7B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8A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D13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2E9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CA7B">
            <w:pPr>
              <w:jc w:val="center"/>
            </w:pPr>
            <w:r>
              <w:rPr>
                <w:rFonts w:ascii="宋体" w:hAnsi="宋体" w:eastAsia="宋体"/>
                <w:sz w:val="16"/>
              </w:rPr>
              <w:t>-</w:t>
            </w:r>
          </w:p>
        </w:tc>
      </w:tr>
      <w:tr w14:paraId="13F857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EB1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8B66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BFE87">
            <w:pPr>
              <w:jc w:val="center"/>
            </w:pPr>
            <w:r>
              <w:rPr>
                <w:rFonts w:ascii="宋体" w:hAnsi="宋体" w:eastAsia="宋体"/>
                <w:sz w:val="16"/>
              </w:rPr>
              <w:t>总体目标完成情况</w:t>
            </w:r>
          </w:p>
        </w:tc>
      </w:tr>
      <w:tr w14:paraId="2E335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4A0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55866">
            <w:pPr>
              <w:jc w:val="both"/>
            </w:pPr>
            <w:r>
              <w:rPr>
                <w:rFonts w:ascii="宋体" w:hAnsi="宋体" w:eastAsia="宋体"/>
                <w:sz w:val="16"/>
              </w:rPr>
              <w:t>依据《关于提前下达2024年自治区财政林草专项资金的通知》巴财建</w:t>
            </w:r>
            <w:r>
              <w:rPr>
                <w:rFonts w:hint="eastAsia" w:ascii="宋体" w:hAnsi="宋体"/>
                <w:sz w:val="16"/>
                <w:lang w:eastAsia="zh-CN"/>
              </w:rPr>
              <w:t>〔2023〕126号</w:t>
            </w:r>
            <w:r>
              <w:rPr>
                <w:rFonts w:ascii="宋体" w:hAnsi="宋体" w:eastAsia="宋体"/>
                <w:sz w:val="16"/>
              </w:rPr>
              <w:t>文件内容的要求，通过对2个自治区草原有害生物野外监测防治试验站、1个草原资源和有害生物常规监测，对旱獭数量，旱獭洞穴的点位信息（经度、纬度、海拔）监测2次，蝗虫的数量，蝗虫种类、分布区域等数据进行监测3次，从而实现草原有害生物灾害的提前预警，及时防治和有效控制草原有害生物灾害的发生，降低危害程度，减少草原受灾面积，切实帮助农牧民减灾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448E2C">
            <w:pPr>
              <w:jc w:val="both"/>
            </w:pPr>
            <w:r>
              <w:rPr>
                <w:rFonts w:ascii="宋体" w:hAnsi="宋体" w:eastAsia="宋体"/>
                <w:sz w:val="16"/>
              </w:rPr>
              <w:t>项目根据年初制定的项目实施方案内容，开展了草原蝗虫监测和旱獭监测2个野外监测防治试验站，通过对自治区草原有害生物野外监测防治试验站的监测，完成草原资源和有害生物常规监测1次，及蝗虫数据进行监测3次，实现草原有害生物灾害的提前预警，减少草原受灾面积，切实帮助农牧民减灾增收，防治和有效控制草原有害生物灾害，降低了危害程度，取得明显的生态效益。</w:t>
            </w:r>
          </w:p>
        </w:tc>
      </w:tr>
      <w:tr w14:paraId="180AE8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8CE9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79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3F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A9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152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E6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6AD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1D1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8EF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E6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1D3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E9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9F9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7DB2">
            <w:pPr>
              <w:jc w:val="center"/>
            </w:pPr>
            <w:r>
              <w:rPr>
                <w:rFonts w:ascii="宋体" w:hAnsi="宋体" w:eastAsia="宋体"/>
                <w:sz w:val="16"/>
              </w:rPr>
              <w:t>偏差原因分析及改进措施</w:t>
            </w:r>
          </w:p>
        </w:tc>
      </w:tr>
      <w:tr w14:paraId="52B561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C28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452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4C1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56D2">
            <w:pPr>
              <w:jc w:val="center"/>
            </w:pPr>
            <w:r>
              <w:rPr>
                <w:rFonts w:ascii="宋体" w:hAnsi="宋体" w:eastAsia="宋体"/>
                <w:sz w:val="16"/>
              </w:rPr>
              <w:t>观测旱獭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0C6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1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F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5C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D6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0C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D5F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4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E6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5374">
            <w:pPr>
              <w:jc w:val="center"/>
            </w:pPr>
          </w:p>
        </w:tc>
      </w:tr>
      <w:tr w14:paraId="2B73D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37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84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EE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F5F4">
            <w:pPr>
              <w:jc w:val="center"/>
            </w:pPr>
            <w:r>
              <w:rPr>
                <w:rFonts w:ascii="宋体" w:hAnsi="宋体" w:eastAsia="宋体"/>
                <w:sz w:val="16"/>
              </w:rPr>
              <w:t>选择蝗虫监测点位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B61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D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E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7E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3C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4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F3A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A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CF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8A08">
            <w:pPr>
              <w:jc w:val="center"/>
            </w:pPr>
          </w:p>
        </w:tc>
      </w:tr>
      <w:tr w14:paraId="32ABA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3F0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63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F8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1DA9">
            <w:pPr>
              <w:jc w:val="center"/>
            </w:pPr>
            <w:r>
              <w:rPr>
                <w:rFonts w:ascii="宋体" w:hAnsi="宋体" w:eastAsia="宋体"/>
                <w:sz w:val="16"/>
              </w:rPr>
              <w:t>自治区草原有害生物野外监测防治试验站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1E4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8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CF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BD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0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4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226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8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B1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2FF3">
            <w:pPr>
              <w:jc w:val="center"/>
            </w:pPr>
          </w:p>
        </w:tc>
      </w:tr>
      <w:tr w14:paraId="2F099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33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A5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6D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982E">
            <w:pPr>
              <w:jc w:val="center"/>
            </w:pPr>
            <w:r>
              <w:rPr>
                <w:rFonts w:ascii="宋体" w:hAnsi="宋体" w:eastAsia="宋体"/>
                <w:sz w:val="16"/>
              </w:rPr>
              <w:t>草原资源和有害生物常规监测县市区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AB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D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3B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29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5D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2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863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1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A2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6033">
            <w:pPr>
              <w:jc w:val="center"/>
            </w:pPr>
          </w:p>
        </w:tc>
      </w:tr>
      <w:tr w14:paraId="1BF5F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B2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844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08D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3F97">
            <w:pPr>
              <w:jc w:val="center"/>
            </w:pPr>
            <w:r>
              <w:rPr>
                <w:rFonts w:ascii="宋体" w:hAnsi="宋体" w:eastAsia="宋体"/>
                <w:sz w:val="16"/>
              </w:rPr>
              <w:t>监测有害生物数据准确率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635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8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35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24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C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A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CE15">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7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61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AC87">
            <w:pPr>
              <w:jc w:val="center"/>
            </w:pPr>
          </w:p>
        </w:tc>
      </w:tr>
      <w:tr w14:paraId="31D42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2B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00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0E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A65F">
            <w:pPr>
              <w:jc w:val="center"/>
            </w:pPr>
            <w:r>
              <w:rPr>
                <w:rFonts w:ascii="宋体" w:hAnsi="宋体" w:eastAsia="宋体"/>
                <w:sz w:val="16"/>
              </w:rPr>
              <w:t>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2D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C1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4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C3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B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8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993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6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83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4DE4">
            <w:pPr>
              <w:jc w:val="center"/>
            </w:pPr>
          </w:p>
        </w:tc>
      </w:tr>
      <w:tr w14:paraId="42384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CE4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30C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EBE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12B6">
            <w:pPr>
              <w:jc w:val="center"/>
            </w:pPr>
            <w:r>
              <w:rPr>
                <w:rFonts w:ascii="宋体" w:hAnsi="宋体" w:eastAsia="宋体"/>
                <w:sz w:val="16"/>
              </w:rPr>
              <w:t>监测有害生物完成时间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860D">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3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0B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97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97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85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8501">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6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7B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2981">
            <w:pPr>
              <w:jc w:val="center"/>
            </w:pPr>
          </w:p>
        </w:tc>
      </w:tr>
      <w:tr w14:paraId="34B7E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56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CF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81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1195">
            <w:pPr>
              <w:jc w:val="center"/>
            </w:pPr>
            <w:r>
              <w:rPr>
                <w:rFonts w:ascii="宋体" w:hAnsi="宋体" w:eastAsia="宋体"/>
                <w:sz w:val="16"/>
              </w:rPr>
              <w:t>年度项目完成率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8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0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A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81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B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1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0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9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21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7439">
            <w:pPr>
              <w:jc w:val="center"/>
            </w:pPr>
          </w:p>
        </w:tc>
      </w:tr>
      <w:tr w14:paraId="5F8DA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936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06D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359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C739">
            <w:pPr>
              <w:jc w:val="center"/>
            </w:pPr>
            <w:r>
              <w:rPr>
                <w:rFonts w:ascii="宋体" w:hAnsi="宋体" w:eastAsia="宋体"/>
                <w:sz w:val="16"/>
              </w:rPr>
              <w:t>自治区草原有害生物野外监测防治试验站费用成本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72A2">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CB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7E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B9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3F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A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A0B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D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1C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EBAD">
            <w:pPr>
              <w:jc w:val="center"/>
            </w:pPr>
          </w:p>
        </w:tc>
      </w:tr>
      <w:tr w14:paraId="6D4EE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BE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E7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ED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5A4F">
            <w:pPr>
              <w:jc w:val="center"/>
            </w:pPr>
            <w:r>
              <w:rPr>
                <w:rFonts w:ascii="宋体" w:hAnsi="宋体" w:eastAsia="宋体"/>
                <w:sz w:val="16"/>
              </w:rPr>
              <w:t>草原资源和有害生物常规监测县市区费用成本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DCE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A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D2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2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8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2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998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7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5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3184">
            <w:pPr>
              <w:jc w:val="center"/>
            </w:pPr>
          </w:p>
        </w:tc>
      </w:tr>
      <w:tr w14:paraId="3C4C6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50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610C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AE83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FF77">
            <w:pPr>
              <w:jc w:val="center"/>
            </w:pPr>
            <w:r>
              <w:rPr>
                <w:rFonts w:ascii="宋体" w:hAnsi="宋体" w:eastAsia="宋体"/>
                <w:sz w:val="16"/>
              </w:rPr>
              <w:t>草原有害生物防治报告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30E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1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5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A2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5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F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5DF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0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6BC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7FFC">
            <w:pPr>
              <w:jc w:val="center"/>
            </w:pPr>
          </w:p>
        </w:tc>
      </w:tr>
      <w:tr w14:paraId="31618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75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87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6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1F38">
            <w:pPr>
              <w:jc w:val="center"/>
            </w:pPr>
            <w:r>
              <w:rPr>
                <w:rFonts w:ascii="宋体" w:hAnsi="宋体" w:eastAsia="宋体"/>
                <w:sz w:val="16"/>
              </w:rPr>
              <w:t>草原资源调查报告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D58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8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4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9F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35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28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D1D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F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A9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3533">
            <w:pPr>
              <w:jc w:val="center"/>
            </w:pPr>
          </w:p>
        </w:tc>
      </w:tr>
      <w:tr w14:paraId="5DBDE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C1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11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FA1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A971">
            <w:pPr>
              <w:jc w:val="center"/>
            </w:pPr>
            <w:r>
              <w:rPr>
                <w:rFonts w:ascii="宋体" w:hAnsi="宋体" w:eastAsia="宋体"/>
                <w:sz w:val="16"/>
              </w:rPr>
              <w:t>生态服务效益发挥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552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7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0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33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48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C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8D0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E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9A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F513">
            <w:pPr>
              <w:jc w:val="center"/>
            </w:pPr>
          </w:p>
        </w:tc>
      </w:tr>
      <w:tr w14:paraId="352F2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8B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EE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1C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669B">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38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7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BB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07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62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3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8EE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D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B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A36B">
            <w:pPr>
              <w:jc w:val="center"/>
            </w:pPr>
          </w:p>
        </w:tc>
      </w:tr>
      <w:tr w14:paraId="23DC04D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6A84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D1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B62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EFB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3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EE3C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EF0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08A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608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69E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EE065"/>
        </w:tc>
      </w:tr>
    </w:tbl>
    <w:p w14:paraId="66BFA95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0F1B672">
        <w:tc>
          <w:tcPr>
            <w:tcW w:w="8848" w:type="dxa"/>
            <w:gridSpan w:val="14"/>
            <w:vAlign w:val="center"/>
          </w:tcPr>
          <w:p w14:paraId="1B4FAE64">
            <w:pPr>
              <w:jc w:val="center"/>
            </w:pPr>
            <w:r>
              <w:rPr>
                <w:rFonts w:ascii="宋体" w:hAnsi="宋体" w:eastAsia="宋体"/>
                <w:sz w:val="24"/>
              </w:rPr>
              <w:t>项目支出绩效自评表</w:t>
            </w:r>
          </w:p>
        </w:tc>
      </w:tr>
      <w:tr w14:paraId="37844246">
        <w:tblPrEx>
          <w:tblCellMar>
            <w:top w:w="0" w:type="dxa"/>
            <w:left w:w="108" w:type="dxa"/>
            <w:bottom w:w="0" w:type="dxa"/>
            <w:right w:w="108" w:type="dxa"/>
          </w:tblCellMar>
        </w:tblPrEx>
        <w:tc>
          <w:tcPr>
            <w:tcW w:w="8848" w:type="dxa"/>
            <w:gridSpan w:val="14"/>
            <w:vAlign w:val="center"/>
          </w:tcPr>
          <w:p w14:paraId="79F75F44">
            <w:pPr>
              <w:jc w:val="center"/>
            </w:pPr>
            <w:r>
              <w:rPr>
                <w:rFonts w:ascii="宋体" w:hAnsi="宋体" w:eastAsia="宋体"/>
                <w:sz w:val="24"/>
              </w:rPr>
              <w:t>(2024年度)</w:t>
            </w:r>
          </w:p>
        </w:tc>
      </w:tr>
      <w:tr w14:paraId="4CFF5A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11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EB700A">
            <w:pPr>
              <w:jc w:val="center"/>
            </w:pPr>
            <w:r>
              <w:rPr>
                <w:rFonts w:ascii="宋体" w:hAnsi="宋体" w:eastAsia="宋体"/>
                <w:sz w:val="16"/>
              </w:rPr>
              <w:t>2023年天山英才计划--三农骨干人才项目（上年结转）</w:t>
            </w:r>
          </w:p>
        </w:tc>
      </w:tr>
      <w:tr w14:paraId="6E286E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85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0207B5">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7F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DAF8D3">
            <w:pPr>
              <w:jc w:val="center"/>
            </w:pPr>
            <w:r>
              <w:rPr>
                <w:rFonts w:ascii="宋体" w:hAnsi="宋体" w:eastAsia="宋体"/>
                <w:sz w:val="16"/>
              </w:rPr>
              <w:t>新疆巴音郭楞蒙古自治州草原工作站</w:t>
            </w:r>
          </w:p>
        </w:tc>
      </w:tr>
      <w:tr w14:paraId="0DB3D9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58CF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666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C1D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64E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469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935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539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BC76">
            <w:pPr>
              <w:jc w:val="center"/>
            </w:pPr>
            <w:r>
              <w:rPr>
                <w:rFonts w:ascii="宋体" w:hAnsi="宋体" w:eastAsia="宋体"/>
                <w:sz w:val="16"/>
              </w:rPr>
              <w:t>得分</w:t>
            </w:r>
          </w:p>
        </w:tc>
      </w:tr>
      <w:tr w14:paraId="68DE89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633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70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3330F">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88F8D">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56FD1">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739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095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ADFE">
            <w:pPr>
              <w:jc w:val="center"/>
            </w:pPr>
            <w:r>
              <w:rPr>
                <w:rFonts w:ascii="宋体" w:hAnsi="宋体" w:eastAsia="宋体"/>
                <w:sz w:val="16"/>
              </w:rPr>
              <w:t>10.00</w:t>
            </w:r>
          </w:p>
        </w:tc>
      </w:tr>
      <w:tr w14:paraId="42A9B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5A4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94B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B6D8F">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7A07">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A0400">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36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8C4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5749">
            <w:pPr>
              <w:jc w:val="center"/>
            </w:pPr>
            <w:r>
              <w:rPr>
                <w:rFonts w:ascii="宋体" w:hAnsi="宋体" w:eastAsia="宋体"/>
                <w:sz w:val="16"/>
              </w:rPr>
              <w:t>-</w:t>
            </w:r>
          </w:p>
        </w:tc>
      </w:tr>
      <w:tr w14:paraId="78F45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F52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1E4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E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489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F58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AC8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0F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07FA">
            <w:pPr>
              <w:jc w:val="center"/>
            </w:pPr>
            <w:r>
              <w:rPr>
                <w:rFonts w:ascii="宋体" w:hAnsi="宋体" w:eastAsia="宋体"/>
                <w:sz w:val="16"/>
              </w:rPr>
              <w:t>-</w:t>
            </w:r>
          </w:p>
        </w:tc>
      </w:tr>
      <w:tr w14:paraId="355119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0D1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8C19E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B0600D">
            <w:pPr>
              <w:jc w:val="center"/>
            </w:pPr>
            <w:r>
              <w:rPr>
                <w:rFonts w:ascii="宋体" w:hAnsi="宋体" w:eastAsia="宋体"/>
                <w:sz w:val="16"/>
              </w:rPr>
              <w:t>总体目标完成情况</w:t>
            </w:r>
          </w:p>
        </w:tc>
      </w:tr>
      <w:tr w14:paraId="6D051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CFA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7A780">
            <w:pPr>
              <w:jc w:val="both"/>
            </w:pPr>
            <w:r>
              <w:rPr>
                <w:rFonts w:ascii="宋体" w:hAnsi="宋体" w:eastAsia="宋体"/>
                <w:sz w:val="16"/>
              </w:rPr>
              <w:t>依据新疆“三农”人才培训项目，重点围绕农业生产基地建设标准化，保持已建成罗布麻人工栽培及更新复壮示范推广基地面积100亩不减少；创新与示范推广先进实用技术，发表罗布麻相关学术论文1篇，编写《罗布麻人工</w:t>
            </w:r>
            <w:r>
              <w:rPr>
                <w:rFonts w:hint="eastAsia" w:ascii="宋体" w:hAnsi="宋体"/>
                <w:sz w:val="16"/>
                <w:lang w:eastAsia="zh-CN"/>
              </w:rPr>
              <w:t>栽培</w:t>
            </w:r>
            <w:r>
              <w:rPr>
                <w:rFonts w:ascii="宋体" w:hAnsi="宋体" w:eastAsia="宋体"/>
                <w:sz w:val="16"/>
              </w:rPr>
              <w:t>及更新复壮技术操作手册》1册，调动周边农民提升罗布麻人工栽培种植积极性。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6394EC">
            <w:pPr>
              <w:jc w:val="both"/>
            </w:pPr>
            <w:r>
              <w:rPr>
                <w:rFonts w:ascii="宋体" w:hAnsi="宋体" w:eastAsia="宋体"/>
                <w:sz w:val="16"/>
              </w:rPr>
              <w:t>依据新疆“三农”人才培训项目，重点围绕农业生产基地建设标准化，已建成罗布麻人工栽培及更新复壮示范推广基地面积100亩；已发表罗布麻相关学术论文1篇，已完成编写《罗布麻人工</w:t>
            </w:r>
            <w:r>
              <w:rPr>
                <w:rFonts w:hint="eastAsia" w:ascii="宋体" w:hAnsi="宋体"/>
                <w:sz w:val="16"/>
                <w:lang w:eastAsia="zh-CN"/>
              </w:rPr>
              <w:t>栽培</w:t>
            </w:r>
            <w:r>
              <w:rPr>
                <w:rFonts w:ascii="宋体" w:hAnsi="宋体" w:eastAsia="宋体"/>
                <w:sz w:val="16"/>
              </w:rPr>
              <w:t>及更新复壮技术操作手册》1册，调动周边农民提升罗布麻人工栽培种植积极性。</w:t>
            </w:r>
          </w:p>
        </w:tc>
      </w:tr>
      <w:tr w14:paraId="4C0776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04E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52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B5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0B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501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25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947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2C1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A62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A2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A0F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64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C5F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B312">
            <w:pPr>
              <w:jc w:val="center"/>
            </w:pPr>
            <w:r>
              <w:rPr>
                <w:rFonts w:ascii="宋体" w:hAnsi="宋体" w:eastAsia="宋体"/>
                <w:sz w:val="16"/>
              </w:rPr>
              <w:t>偏差原因分析及改进措施</w:t>
            </w:r>
          </w:p>
        </w:tc>
      </w:tr>
      <w:tr w14:paraId="009470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06B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6DA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8A8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DD79">
            <w:pPr>
              <w:jc w:val="center"/>
            </w:pPr>
            <w:r>
              <w:rPr>
                <w:rFonts w:ascii="宋体" w:hAnsi="宋体" w:eastAsia="宋体"/>
                <w:sz w:val="16"/>
              </w:rPr>
              <w:t>罗布麻人工栽培示范推广基地田间管理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3C98">
            <w:pPr>
              <w:jc w:val="center"/>
            </w:pPr>
            <w:r>
              <w:rPr>
                <w:rFonts w:ascii="宋体" w:hAnsi="宋体" w:eastAsia="宋体"/>
                <w:sz w:val="16"/>
              </w:rPr>
              <w:t>&gt;=100亩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2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92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3A17">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2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46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0638">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B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B2F1">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D627">
            <w:pPr>
              <w:jc w:val="center"/>
            </w:pPr>
          </w:p>
        </w:tc>
      </w:tr>
      <w:tr w14:paraId="59847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04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5A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FA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39E8">
            <w:pPr>
              <w:jc w:val="center"/>
            </w:pPr>
            <w:r>
              <w:rPr>
                <w:rFonts w:ascii="宋体" w:hAnsi="宋体" w:eastAsia="宋体"/>
                <w:sz w:val="16"/>
              </w:rPr>
              <w:t>发表罗布麻相关学术论文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99EC">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5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B2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0D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5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61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887E">
            <w:pPr>
              <w:jc w:val="center"/>
            </w:pPr>
            <w:r>
              <w:rPr>
                <w:rFonts w:hint="eastAsia" w:ascii="宋体" w:hAnsi="宋体"/>
                <w:sz w:val="16"/>
                <w:lang w:eastAsia="zh-CN"/>
              </w:rPr>
              <w:t>1</w:t>
            </w:r>
            <w:r>
              <w:rPr>
                <w:rFonts w:ascii="宋体" w:hAnsi="宋体" w:eastAsia="宋体"/>
                <w:sz w:val="16"/>
              </w:rPr>
              <w:t>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C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3D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10AD">
            <w:pPr>
              <w:jc w:val="center"/>
            </w:pPr>
          </w:p>
        </w:tc>
      </w:tr>
      <w:tr w14:paraId="14C5E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28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FF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33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1CDA">
            <w:pPr>
              <w:jc w:val="center"/>
            </w:pPr>
            <w:r>
              <w:rPr>
                <w:rFonts w:ascii="宋体" w:hAnsi="宋体" w:eastAsia="宋体"/>
                <w:sz w:val="16"/>
              </w:rPr>
              <w:t>编写罗布麻人工栽培及更新复壮技术操作手册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B264">
            <w:pPr>
              <w:jc w:val="center"/>
            </w:pPr>
            <w:r>
              <w:rPr>
                <w:rFonts w:ascii="宋体" w:hAnsi="宋体" w:eastAsia="宋体"/>
                <w:sz w:val="16"/>
              </w:rPr>
              <w:t>=1册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A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9F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A3C2">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2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E8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A019">
            <w:pPr>
              <w:jc w:val="center"/>
            </w:pPr>
            <w:r>
              <w:rPr>
                <w:rFonts w:ascii="宋体" w:hAnsi="宋体" w:eastAsia="宋体"/>
                <w:sz w:val="16"/>
              </w:rPr>
              <w:t>=1册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0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71D7">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402A">
            <w:pPr>
              <w:jc w:val="center"/>
            </w:pPr>
          </w:p>
        </w:tc>
      </w:tr>
      <w:tr w14:paraId="3C02F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2C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A26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101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96AB">
            <w:pPr>
              <w:jc w:val="center"/>
            </w:pPr>
            <w:r>
              <w:rPr>
                <w:rFonts w:ascii="宋体" w:hAnsi="宋体" w:eastAsia="宋体"/>
                <w:sz w:val="16"/>
              </w:rPr>
              <w:t>罗布麻人工栽培示范推广基地田间管理验收合格率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D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D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F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66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ED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5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B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0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66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31E2">
            <w:pPr>
              <w:jc w:val="center"/>
            </w:pPr>
          </w:p>
        </w:tc>
      </w:tr>
      <w:tr w14:paraId="617FA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F3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6E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77D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C6A7">
            <w:pPr>
              <w:jc w:val="center"/>
            </w:pPr>
            <w:r>
              <w:rPr>
                <w:rFonts w:ascii="宋体" w:hAnsi="宋体" w:eastAsia="宋体"/>
                <w:sz w:val="16"/>
              </w:rPr>
              <w:t>罗布麻相关学术论文发表成功率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D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9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3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75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C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AE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7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5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34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E366">
            <w:pPr>
              <w:jc w:val="center"/>
            </w:pPr>
          </w:p>
        </w:tc>
      </w:tr>
      <w:tr w14:paraId="4D165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EC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41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6A6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AAD8">
            <w:pPr>
              <w:jc w:val="center"/>
            </w:pPr>
            <w:r>
              <w:rPr>
                <w:rFonts w:ascii="宋体" w:hAnsi="宋体" w:eastAsia="宋体"/>
                <w:sz w:val="16"/>
              </w:rPr>
              <w:t>编写罗布麻人工栽培及更新复壮技术操作手册成功率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2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D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0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FF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7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4F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3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E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10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A196">
            <w:pPr>
              <w:jc w:val="center"/>
            </w:pPr>
          </w:p>
        </w:tc>
      </w:tr>
      <w:tr w14:paraId="63C1D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9D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EA7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863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19D6">
            <w:pPr>
              <w:jc w:val="center"/>
            </w:pPr>
            <w:r>
              <w:rPr>
                <w:rFonts w:ascii="宋体" w:hAnsi="宋体" w:eastAsia="宋体"/>
                <w:sz w:val="16"/>
              </w:rPr>
              <w:t>罗布麻人工栽培示范推广基地田间管理完成时限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EFE5">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6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27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6B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4A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4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65B5">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4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4A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C5DD">
            <w:pPr>
              <w:jc w:val="center"/>
            </w:pPr>
          </w:p>
        </w:tc>
      </w:tr>
      <w:tr w14:paraId="67A86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39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F1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C1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D114">
            <w:pPr>
              <w:jc w:val="center"/>
            </w:pPr>
            <w:r>
              <w:rPr>
                <w:rFonts w:ascii="宋体" w:hAnsi="宋体" w:eastAsia="宋体"/>
                <w:sz w:val="16"/>
              </w:rPr>
              <w:t>罗布麻相关学术论文发表时限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7CE6">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8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BB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75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F0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F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C456">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2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C9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6FCB">
            <w:pPr>
              <w:jc w:val="center"/>
            </w:pPr>
          </w:p>
        </w:tc>
      </w:tr>
      <w:tr w14:paraId="347607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8A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DD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E9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BE44">
            <w:pPr>
              <w:jc w:val="center"/>
            </w:pPr>
            <w:r>
              <w:rPr>
                <w:rFonts w:ascii="宋体" w:hAnsi="宋体" w:eastAsia="宋体"/>
                <w:sz w:val="16"/>
              </w:rPr>
              <w:t>编写罗布麻人工栽培及更新复壮技术操作手册完成时限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99C5">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E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02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71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B8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8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42EA">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C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19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8F02">
            <w:pPr>
              <w:jc w:val="center"/>
            </w:pPr>
          </w:p>
        </w:tc>
      </w:tr>
      <w:tr w14:paraId="1A2A4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E54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45A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8A9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FBAA">
            <w:pPr>
              <w:jc w:val="center"/>
            </w:pPr>
            <w:r>
              <w:rPr>
                <w:rFonts w:ascii="宋体" w:hAnsi="宋体" w:eastAsia="宋体"/>
                <w:sz w:val="16"/>
              </w:rPr>
              <w:t>罗布麻人工栽培示范推广基地田间管理成本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A1EB">
            <w:pPr>
              <w:jc w:val="center"/>
            </w:pPr>
            <w:r>
              <w:rPr>
                <w:rFonts w:ascii="宋体" w:hAnsi="宋体" w:eastAsia="宋体"/>
                <w:sz w:val="16"/>
              </w:rPr>
              <w:t>&lt;=4.08万元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1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6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F04B">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A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D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E786">
            <w:pPr>
              <w:jc w:val="center"/>
            </w:pPr>
            <w:r>
              <w:rPr>
                <w:rFonts w:ascii="宋体" w:hAnsi="宋体" w:eastAsia="宋体"/>
                <w:sz w:val="16"/>
              </w:rPr>
              <w:t>=4.08万元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1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37FE">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AB9D">
            <w:pPr>
              <w:jc w:val="center"/>
            </w:pPr>
          </w:p>
        </w:tc>
      </w:tr>
      <w:tr w14:paraId="1FDF0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A8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72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D8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DD60">
            <w:pPr>
              <w:jc w:val="center"/>
            </w:pPr>
            <w:r>
              <w:rPr>
                <w:rFonts w:ascii="宋体" w:hAnsi="宋体" w:eastAsia="宋体"/>
                <w:sz w:val="16"/>
              </w:rPr>
              <w:t>罗布麻相关学术论文发表成本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EC14">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C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CA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D2DC">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C6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1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9376">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2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E1A0">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3578">
            <w:pPr>
              <w:jc w:val="center"/>
            </w:pPr>
          </w:p>
        </w:tc>
      </w:tr>
      <w:tr w14:paraId="5464D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F5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A6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17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F346">
            <w:pPr>
              <w:jc w:val="center"/>
            </w:pPr>
            <w:r>
              <w:rPr>
                <w:rFonts w:ascii="宋体" w:hAnsi="宋体" w:eastAsia="宋体"/>
                <w:sz w:val="16"/>
              </w:rPr>
              <w:t>编写印刷罗布麻人工栽培及更新复壮技术操作手册成本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6805">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4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F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F5F9">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F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83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BE9E">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A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FD6B">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142D">
            <w:pPr>
              <w:jc w:val="center"/>
            </w:pPr>
          </w:p>
        </w:tc>
      </w:tr>
      <w:tr w14:paraId="2071F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1B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F1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2C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94A1">
            <w:pPr>
              <w:jc w:val="center"/>
            </w:pPr>
            <w:r>
              <w:rPr>
                <w:rFonts w:ascii="宋体" w:hAnsi="宋体" w:eastAsia="宋体"/>
                <w:sz w:val="16"/>
              </w:rPr>
              <w:t>提升农民种植积极性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C34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3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C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AE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3E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4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3FD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F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05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4155">
            <w:pPr>
              <w:jc w:val="center"/>
            </w:pPr>
          </w:p>
        </w:tc>
      </w:tr>
      <w:tr w14:paraId="316FA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C4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FA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50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E23B">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D5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E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9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19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AB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DB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39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A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59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DB23">
            <w:pPr>
              <w:jc w:val="center"/>
            </w:pPr>
          </w:p>
        </w:tc>
      </w:tr>
      <w:tr w14:paraId="5FC3E4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2F0C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7DB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E23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AD8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4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B76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827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51F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C45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720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2EB260"/>
        </w:tc>
      </w:tr>
    </w:tbl>
    <w:p w14:paraId="7DBEA1A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7D2AF94F">
        <w:tblPrEx>
          <w:tblCellMar>
            <w:top w:w="0" w:type="dxa"/>
            <w:left w:w="108" w:type="dxa"/>
            <w:bottom w:w="0" w:type="dxa"/>
            <w:right w:w="108" w:type="dxa"/>
          </w:tblCellMar>
        </w:tblPrEx>
        <w:tc>
          <w:tcPr>
            <w:tcW w:w="8848" w:type="dxa"/>
            <w:gridSpan w:val="14"/>
            <w:vAlign w:val="center"/>
          </w:tcPr>
          <w:p w14:paraId="314047E1">
            <w:pPr>
              <w:jc w:val="center"/>
            </w:pPr>
            <w:r>
              <w:rPr>
                <w:rFonts w:ascii="宋体" w:hAnsi="宋体" w:eastAsia="宋体"/>
                <w:sz w:val="24"/>
              </w:rPr>
              <w:t>项目支出绩效自评表</w:t>
            </w:r>
          </w:p>
        </w:tc>
      </w:tr>
      <w:tr w14:paraId="46CCA5B5">
        <w:tblPrEx>
          <w:tblCellMar>
            <w:top w:w="0" w:type="dxa"/>
            <w:left w:w="108" w:type="dxa"/>
            <w:bottom w:w="0" w:type="dxa"/>
            <w:right w:w="108" w:type="dxa"/>
          </w:tblCellMar>
        </w:tblPrEx>
        <w:tc>
          <w:tcPr>
            <w:tcW w:w="8848" w:type="dxa"/>
            <w:gridSpan w:val="14"/>
            <w:vAlign w:val="center"/>
          </w:tcPr>
          <w:p w14:paraId="14703346">
            <w:pPr>
              <w:jc w:val="center"/>
            </w:pPr>
            <w:r>
              <w:rPr>
                <w:rFonts w:ascii="宋体" w:hAnsi="宋体" w:eastAsia="宋体"/>
                <w:sz w:val="24"/>
              </w:rPr>
              <w:t>(2024年度)</w:t>
            </w:r>
          </w:p>
        </w:tc>
      </w:tr>
      <w:tr w14:paraId="0A9064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16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1E17F6">
            <w:pPr>
              <w:jc w:val="center"/>
            </w:pPr>
            <w:r>
              <w:rPr>
                <w:rFonts w:ascii="宋体" w:hAnsi="宋体" w:eastAsia="宋体"/>
                <w:sz w:val="16"/>
              </w:rPr>
              <w:t>单位自有资金（2024年巴州草原工作站以前年度饲草业调查经费）</w:t>
            </w:r>
          </w:p>
        </w:tc>
      </w:tr>
      <w:tr w14:paraId="0C770A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28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B54F1B">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C6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3F8A14">
            <w:pPr>
              <w:jc w:val="center"/>
            </w:pPr>
            <w:r>
              <w:rPr>
                <w:rFonts w:ascii="宋体" w:hAnsi="宋体" w:eastAsia="宋体"/>
                <w:sz w:val="16"/>
              </w:rPr>
              <w:t>新疆巴音郭楞蒙古自治州草原工作站</w:t>
            </w:r>
          </w:p>
        </w:tc>
      </w:tr>
      <w:tr w14:paraId="188C18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539B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107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A19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E89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396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307D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0D5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7B35">
            <w:pPr>
              <w:jc w:val="center"/>
            </w:pPr>
            <w:r>
              <w:rPr>
                <w:rFonts w:ascii="宋体" w:hAnsi="宋体" w:eastAsia="宋体"/>
                <w:sz w:val="16"/>
              </w:rPr>
              <w:t>得分</w:t>
            </w:r>
          </w:p>
        </w:tc>
      </w:tr>
      <w:tr w14:paraId="2A4B0C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0B0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5C9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6D946">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B94B">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9F556">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B42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33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C1CE">
            <w:pPr>
              <w:jc w:val="center"/>
            </w:pPr>
            <w:r>
              <w:rPr>
                <w:rFonts w:ascii="宋体" w:hAnsi="宋体" w:eastAsia="宋体"/>
                <w:sz w:val="16"/>
              </w:rPr>
              <w:t>10.00</w:t>
            </w:r>
          </w:p>
        </w:tc>
      </w:tr>
      <w:tr w14:paraId="19669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219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B52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A58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624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013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CA1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48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D9E0">
            <w:pPr>
              <w:jc w:val="center"/>
            </w:pPr>
            <w:r>
              <w:rPr>
                <w:rFonts w:ascii="宋体" w:hAnsi="宋体" w:eastAsia="宋体"/>
                <w:sz w:val="16"/>
              </w:rPr>
              <w:t>-</w:t>
            </w:r>
          </w:p>
        </w:tc>
      </w:tr>
      <w:tr w14:paraId="0E30B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DCA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A5C6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DC760">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1C270">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A1F75">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AD7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B94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294D">
            <w:pPr>
              <w:jc w:val="center"/>
            </w:pPr>
            <w:r>
              <w:rPr>
                <w:rFonts w:ascii="宋体" w:hAnsi="宋体" w:eastAsia="宋体"/>
                <w:sz w:val="16"/>
              </w:rPr>
              <w:t>-</w:t>
            </w:r>
          </w:p>
        </w:tc>
      </w:tr>
      <w:tr w14:paraId="53CFD5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95D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3BF7E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219793">
            <w:pPr>
              <w:jc w:val="center"/>
            </w:pPr>
            <w:r>
              <w:rPr>
                <w:rFonts w:ascii="宋体" w:hAnsi="宋体" w:eastAsia="宋体"/>
                <w:sz w:val="16"/>
              </w:rPr>
              <w:t>总体目标完成情况</w:t>
            </w:r>
          </w:p>
        </w:tc>
      </w:tr>
      <w:tr w14:paraId="1AA84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840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175D8E">
            <w:pPr>
              <w:jc w:val="both"/>
            </w:pPr>
            <w:r>
              <w:rPr>
                <w:rFonts w:ascii="宋体" w:hAnsi="宋体" w:eastAsia="宋体"/>
                <w:sz w:val="16"/>
              </w:rPr>
              <w:t>一是在库尔勒普惠乡开展草原（返青期、生长期、枯黄期）监测及相关区域的</w:t>
            </w:r>
            <w:r>
              <w:rPr>
                <w:rFonts w:hint="eastAsia" w:ascii="宋体" w:hAnsi="宋体"/>
                <w:sz w:val="16"/>
                <w:lang w:eastAsia="zh-CN"/>
              </w:rPr>
              <w:t>土壤监测</w:t>
            </w:r>
            <w:r>
              <w:rPr>
                <w:rFonts w:ascii="宋体" w:hAnsi="宋体" w:eastAsia="宋体"/>
                <w:sz w:val="16"/>
              </w:rPr>
              <w:t>1项，对草原进行分析，摸清草原基本状况、变化情况，提高草原监测预警的准确性和时效性；二是维修巴音布鲁克镇治蝗机场围栏，长度约2500米，并采购80公斤牧草种子对机场内草场进行补播，改良机场牧草品种和长势，提高牧草生产效益，恢复机场草原植被，提升草原保护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D7479E">
            <w:pPr>
              <w:jc w:val="both"/>
            </w:pPr>
            <w:r>
              <w:rPr>
                <w:rFonts w:ascii="宋体" w:hAnsi="宋体" w:eastAsia="宋体"/>
                <w:sz w:val="16"/>
              </w:rPr>
              <w:t>根据年初制定计划，完成了牧草物候期监测3</w:t>
            </w:r>
            <w:r>
              <w:rPr>
                <w:rFonts w:hint="eastAsia" w:ascii="宋体" w:hAnsi="宋体"/>
                <w:sz w:val="16"/>
                <w:lang w:eastAsia="zh-CN"/>
              </w:rPr>
              <w:t>项</w:t>
            </w:r>
            <w:r>
              <w:rPr>
                <w:rFonts w:ascii="宋体" w:hAnsi="宋体" w:eastAsia="宋体"/>
                <w:sz w:val="16"/>
              </w:rPr>
              <w:t>及相关区域的</w:t>
            </w:r>
            <w:r>
              <w:rPr>
                <w:rFonts w:hint="eastAsia" w:ascii="宋体" w:hAnsi="宋体"/>
                <w:sz w:val="16"/>
                <w:lang w:eastAsia="zh-CN"/>
              </w:rPr>
              <w:t>土壤监测</w:t>
            </w:r>
            <w:r>
              <w:rPr>
                <w:rFonts w:ascii="宋体" w:hAnsi="宋体" w:eastAsia="宋体"/>
                <w:sz w:val="16"/>
              </w:rPr>
              <w:t>1项，对巴音布鲁克镇治蝗机场2660米围栏进行维修，采购了187公斤牧草种子对机场内退化草场进行补播,项目已全部完成，并进行100%支付。项目提高了区域草地生产力，有助于退化草地的恢复和重建。</w:t>
            </w:r>
          </w:p>
        </w:tc>
      </w:tr>
      <w:tr w14:paraId="1A0768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EC5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2A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28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D6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F03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D4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2C5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3F2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29D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F1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F27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28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687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E4B5">
            <w:pPr>
              <w:jc w:val="center"/>
            </w:pPr>
            <w:r>
              <w:rPr>
                <w:rFonts w:ascii="宋体" w:hAnsi="宋体" w:eastAsia="宋体"/>
                <w:sz w:val="16"/>
              </w:rPr>
              <w:t>偏差原因分析及改进措施</w:t>
            </w:r>
          </w:p>
        </w:tc>
      </w:tr>
      <w:tr w14:paraId="7F11FD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0C6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1B8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75F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23A2">
            <w:pPr>
              <w:jc w:val="center"/>
            </w:pPr>
            <w:r>
              <w:rPr>
                <w:rFonts w:ascii="宋体" w:hAnsi="宋体" w:eastAsia="宋体"/>
                <w:sz w:val="16"/>
              </w:rPr>
              <w:t>维修围栏长度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1EFB">
            <w:pPr>
              <w:jc w:val="center"/>
            </w:pPr>
            <w:r>
              <w:rPr>
                <w:rFonts w:ascii="宋体" w:hAnsi="宋体" w:eastAsia="宋体"/>
                <w:sz w:val="16"/>
              </w:rPr>
              <w:t>=2500米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6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36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86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0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6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9E0E">
            <w:pPr>
              <w:jc w:val="center"/>
            </w:pPr>
            <w:r>
              <w:rPr>
                <w:rFonts w:ascii="宋体" w:hAnsi="宋体" w:eastAsia="宋体"/>
                <w:sz w:val="16"/>
              </w:rPr>
              <w:t>=2660米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0D34">
            <w:pPr>
              <w:jc w:val="center"/>
            </w:pPr>
            <w:r>
              <w:rPr>
                <w:rFonts w:ascii="宋体" w:hAnsi="宋体" w:eastAsia="宋体"/>
                <w:sz w:val="16"/>
              </w:rPr>
              <w:t>106.4%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728A">
            <w:pPr>
              <w:jc w:val="center"/>
            </w:pPr>
            <w:r>
              <w:rPr>
                <w:rFonts w:ascii="宋体" w:hAnsi="宋体" w:eastAsia="宋体"/>
                <w:sz w:val="16"/>
              </w:rPr>
              <w:t>4.68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8539">
            <w:pPr>
              <w:jc w:val="center"/>
            </w:pPr>
            <w:r>
              <w:rPr>
                <w:rFonts w:ascii="宋体" w:hAnsi="宋体" w:eastAsia="宋体"/>
                <w:sz w:val="16"/>
              </w:rPr>
              <w:t>超额完成160米</w:t>
            </w:r>
          </w:p>
        </w:tc>
      </w:tr>
      <w:tr w14:paraId="72CFE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2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9E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19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475D">
            <w:pPr>
              <w:jc w:val="center"/>
            </w:pPr>
            <w:r>
              <w:rPr>
                <w:rFonts w:ascii="宋体" w:hAnsi="宋体" w:eastAsia="宋体"/>
                <w:sz w:val="16"/>
              </w:rPr>
              <w:t>草原监测、土壤检测技术协作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93B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C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8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F8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CC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8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32F9">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2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62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57A6">
            <w:pPr>
              <w:jc w:val="center"/>
            </w:pPr>
          </w:p>
        </w:tc>
      </w:tr>
      <w:tr w14:paraId="6B09D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F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D5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2A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3C2C">
            <w:pPr>
              <w:jc w:val="center"/>
            </w:pPr>
            <w:r>
              <w:rPr>
                <w:rFonts w:ascii="宋体" w:hAnsi="宋体" w:eastAsia="宋体"/>
                <w:sz w:val="16"/>
              </w:rPr>
              <w:t>采购牧草种子重量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9585">
            <w:pPr>
              <w:jc w:val="center"/>
            </w:pPr>
            <w:r>
              <w:rPr>
                <w:rFonts w:ascii="宋体" w:hAnsi="宋体" w:eastAsia="宋体"/>
                <w:sz w:val="16"/>
              </w:rPr>
              <w:t>&gt;=80公斤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0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78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22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D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0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7DE2">
            <w:pPr>
              <w:jc w:val="center"/>
            </w:pPr>
            <w:r>
              <w:rPr>
                <w:rFonts w:ascii="宋体" w:hAnsi="宋体" w:eastAsia="宋体"/>
                <w:sz w:val="16"/>
              </w:rPr>
              <w:t>=187公斤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1B79">
            <w:pPr>
              <w:jc w:val="center"/>
            </w:pPr>
            <w:r>
              <w:rPr>
                <w:rFonts w:ascii="宋体" w:hAnsi="宋体" w:eastAsia="宋体"/>
                <w:sz w:val="16"/>
              </w:rPr>
              <w:t>233.75%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A4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C4C2">
            <w:pPr>
              <w:jc w:val="center"/>
            </w:pPr>
            <w:r>
              <w:rPr>
                <w:rFonts w:ascii="宋体" w:hAnsi="宋体" w:eastAsia="宋体"/>
                <w:sz w:val="16"/>
              </w:rPr>
              <w:t>在未超预算情况下比原先80公斤多购置107公斤，加大了补播力度。</w:t>
            </w:r>
          </w:p>
        </w:tc>
      </w:tr>
      <w:tr w14:paraId="5EECD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1F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E8A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94A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4423">
            <w:pPr>
              <w:jc w:val="center"/>
            </w:pPr>
            <w:r>
              <w:rPr>
                <w:rFonts w:ascii="宋体" w:hAnsi="宋体" w:eastAsia="宋体"/>
                <w:sz w:val="16"/>
              </w:rPr>
              <w:t>维修围栏合格率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361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6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2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DC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3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C1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F26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44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DB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7094">
            <w:pPr>
              <w:jc w:val="center"/>
            </w:pPr>
          </w:p>
        </w:tc>
      </w:tr>
      <w:tr w14:paraId="228FD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C1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64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BCE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1134">
            <w:pPr>
              <w:jc w:val="center"/>
            </w:pPr>
            <w:r>
              <w:rPr>
                <w:rFonts w:ascii="宋体" w:hAnsi="宋体" w:eastAsia="宋体"/>
                <w:sz w:val="16"/>
              </w:rPr>
              <w:t>草原监测、土壤检测验收合格率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86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1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B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DD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85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B9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282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0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E8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D267">
            <w:pPr>
              <w:jc w:val="center"/>
            </w:pPr>
          </w:p>
        </w:tc>
      </w:tr>
      <w:tr w14:paraId="4AF9B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09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72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F0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F0D3">
            <w:pPr>
              <w:jc w:val="center"/>
            </w:pPr>
            <w:r>
              <w:rPr>
                <w:rFonts w:ascii="宋体" w:hAnsi="宋体" w:eastAsia="宋体"/>
                <w:sz w:val="16"/>
              </w:rPr>
              <w:t>采购牧草种子验收合格率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27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9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3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4B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1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7A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FA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6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D2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58F4">
            <w:pPr>
              <w:jc w:val="center"/>
            </w:pPr>
          </w:p>
        </w:tc>
      </w:tr>
      <w:tr w14:paraId="5E3EC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59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85F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F84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09EE">
            <w:pPr>
              <w:jc w:val="center"/>
            </w:pPr>
            <w:r>
              <w:rPr>
                <w:rFonts w:ascii="宋体" w:hAnsi="宋体" w:eastAsia="宋体"/>
                <w:sz w:val="16"/>
              </w:rPr>
              <w:t>维修围栏完成时间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7B2F">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0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26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3C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71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37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1985">
            <w:pPr>
              <w:jc w:val="center"/>
            </w:pPr>
            <w:r>
              <w:rPr>
                <w:rFonts w:ascii="宋体" w:hAnsi="宋体" w:eastAsia="宋体"/>
                <w:sz w:val="16"/>
              </w:rPr>
              <w:t>2024年5月25日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6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7F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61A7">
            <w:pPr>
              <w:jc w:val="center"/>
            </w:pPr>
          </w:p>
        </w:tc>
      </w:tr>
      <w:tr w14:paraId="7EA36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28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B9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32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8873">
            <w:pPr>
              <w:jc w:val="center"/>
            </w:pPr>
            <w:r>
              <w:rPr>
                <w:rFonts w:ascii="宋体" w:hAnsi="宋体" w:eastAsia="宋体"/>
                <w:sz w:val="16"/>
              </w:rPr>
              <w:t>草原监测、土壤检测技术协作按时完成率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1E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7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0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67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8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31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A2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A3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BF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A2F7">
            <w:pPr>
              <w:jc w:val="center"/>
            </w:pPr>
          </w:p>
        </w:tc>
      </w:tr>
      <w:tr w14:paraId="4451E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A6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CF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DF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4E7B">
            <w:pPr>
              <w:jc w:val="center"/>
            </w:pPr>
            <w:r>
              <w:rPr>
                <w:rFonts w:ascii="宋体" w:hAnsi="宋体" w:eastAsia="宋体"/>
                <w:sz w:val="16"/>
              </w:rPr>
              <w:t>采购牧草种子完成时间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6002">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6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2E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51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82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B2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5652">
            <w:pPr>
              <w:jc w:val="center"/>
            </w:pPr>
            <w:r>
              <w:rPr>
                <w:rFonts w:ascii="宋体" w:hAnsi="宋体" w:eastAsia="宋体"/>
                <w:sz w:val="16"/>
              </w:rPr>
              <w:t>2024年5月11日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A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49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D0E7">
            <w:pPr>
              <w:jc w:val="center"/>
            </w:pPr>
          </w:p>
        </w:tc>
      </w:tr>
      <w:tr w14:paraId="54024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D9C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189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CB6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930D">
            <w:pPr>
              <w:jc w:val="center"/>
            </w:pPr>
            <w:r>
              <w:rPr>
                <w:rFonts w:ascii="宋体" w:hAnsi="宋体" w:eastAsia="宋体"/>
                <w:sz w:val="16"/>
              </w:rPr>
              <w:t>维修围栏成本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7D6F">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9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E2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B4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CA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58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D31A">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62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5C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711D">
            <w:pPr>
              <w:jc w:val="center"/>
            </w:pPr>
          </w:p>
        </w:tc>
      </w:tr>
      <w:tr w14:paraId="259DF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68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29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56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670A">
            <w:pPr>
              <w:jc w:val="center"/>
            </w:pPr>
            <w:r>
              <w:rPr>
                <w:rFonts w:ascii="宋体" w:hAnsi="宋体" w:eastAsia="宋体"/>
                <w:sz w:val="16"/>
              </w:rPr>
              <w:t>草原监测、土壤检测技术协作成本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E650">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6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9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82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2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A7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6B12">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F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B5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90A1">
            <w:pPr>
              <w:jc w:val="center"/>
            </w:pPr>
          </w:p>
        </w:tc>
      </w:tr>
      <w:tr w14:paraId="2E0F0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DD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02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EC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C1AA">
            <w:pPr>
              <w:jc w:val="center"/>
            </w:pPr>
            <w:r>
              <w:rPr>
                <w:rFonts w:ascii="宋体" w:hAnsi="宋体" w:eastAsia="宋体"/>
                <w:sz w:val="16"/>
              </w:rPr>
              <w:t>采购牧草种子成本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AA9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D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5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2F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4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BA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530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F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61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A3A6">
            <w:pPr>
              <w:jc w:val="center"/>
            </w:pPr>
          </w:p>
        </w:tc>
      </w:tr>
      <w:tr w14:paraId="75C3E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B3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59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A8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3937">
            <w:pPr>
              <w:jc w:val="center"/>
            </w:pPr>
            <w:r>
              <w:rPr>
                <w:rFonts w:ascii="宋体" w:hAnsi="宋体" w:eastAsia="宋体"/>
                <w:sz w:val="16"/>
              </w:rPr>
              <w:t>提升草原保护力度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10A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D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E5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36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8D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B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691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2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16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9858">
            <w:pPr>
              <w:jc w:val="center"/>
            </w:pPr>
          </w:p>
        </w:tc>
      </w:tr>
      <w:tr w14:paraId="3BF61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04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89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EA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4453">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34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E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A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45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FE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6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1A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BE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87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AC06">
            <w:pPr>
              <w:jc w:val="center"/>
            </w:pPr>
          </w:p>
        </w:tc>
      </w:tr>
      <w:tr w14:paraId="26D3E93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402D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5B4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7DE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42C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F7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938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3B7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DB1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EA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3039">
            <w:pPr>
              <w:jc w:val="center"/>
            </w:pPr>
            <w:r>
              <w:rPr>
                <w:rFonts w:ascii="宋体" w:hAnsi="宋体" w:eastAsia="宋体"/>
                <w:sz w:val="16"/>
              </w:rPr>
              <w:t>94.68分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01D13"/>
        </w:tc>
      </w:tr>
    </w:tbl>
    <w:p w14:paraId="3655EE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A075E5A">
        <w:tblPrEx>
          <w:tblCellMar>
            <w:top w:w="0" w:type="dxa"/>
            <w:left w:w="108" w:type="dxa"/>
            <w:bottom w:w="0" w:type="dxa"/>
            <w:right w:w="108" w:type="dxa"/>
          </w:tblCellMar>
        </w:tblPrEx>
        <w:tc>
          <w:tcPr>
            <w:tcW w:w="8848" w:type="dxa"/>
            <w:gridSpan w:val="14"/>
            <w:vAlign w:val="center"/>
          </w:tcPr>
          <w:p w14:paraId="4DA99534">
            <w:pPr>
              <w:jc w:val="center"/>
            </w:pPr>
            <w:r>
              <w:rPr>
                <w:rFonts w:ascii="宋体" w:hAnsi="宋体" w:eastAsia="宋体"/>
                <w:sz w:val="24"/>
              </w:rPr>
              <w:t>项目支出绩效自评表</w:t>
            </w:r>
          </w:p>
        </w:tc>
      </w:tr>
      <w:tr w14:paraId="0D7F4B67">
        <w:tblPrEx>
          <w:tblCellMar>
            <w:top w:w="0" w:type="dxa"/>
            <w:left w:w="108" w:type="dxa"/>
            <w:bottom w:w="0" w:type="dxa"/>
            <w:right w:w="108" w:type="dxa"/>
          </w:tblCellMar>
        </w:tblPrEx>
        <w:tc>
          <w:tcPr>
            <w:tcW w:w="8848" w:type="dxa"/>
            <w:gridSpan w:val="14"/>
            <w:vAlign w:val="center"/>
          </w:tcPr>
          <w:p w14:paraId="687106D3">
            <w:pPr>
              <w:jc w:val="center"/>
            </w:pPr>
            <w:r>
              <w:rPr>
                <w:rFonts w:ascii="宋体" w:hAnsi="宋体" w:eastAsia="宋体"/>
                <w:sz w:val="24"/>
              </w:rPr>
              <w:t>(2024年度)</w:t>
            </w:r>
          </w:p>
        </w:tc>
      </w:tr>
      <w:tr w14:paraId="73453B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56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30A0C1">
            <w:pPr>
              <w:jc w:val="center"/>
            </w:pPr>
            <w:r>
              <w:rPr>
                <w:rFonts w:ascii="宋体" w:hAnsi="宋体" w:eastAsia="宋体"/>
                <w:sz w:val="16"/>
              </w:rPr>
              <w:t>草原监测项目</w:t>
            </w:r>
          </w:p>
        </w:tc>
      </w:tr>
      <w:tr w14:paraId="1CFA97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DF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6C609F">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F9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3C8D97">
            <w:pPr>
              <w:jc w:val="center"/>
            </w:pPr>
            <w:r>
              <w:rPr>
                <w:rFonts w:ascii="宋体" w:hAnsi="宋体" w:eastAsia="宋体"/>
                <w:sz w:val="16"/>
              </w:rPr>
              <w:t>新疆巴音郭楞蒙古自治州草原工作站</w:t>
            </w:r>
          </w:p>
        </w:tc>
      </w:tr>
      <w:tr w14:paraId="5D5B55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EBCB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D76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4A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08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569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47EA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D68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978B">
            <w:pPr>
              <w:jc w:val="center"/>
            </w:pPr>
            <w:r>
              <w:rPr>
                <w:rFonts w:ascii="宋体" w:hAnsi="宋体" w:eastAsia="宋体"/>
                <w:sz w:val="16"/>
              </w:rPr>
              <w:t>得分</w:t>
            </w:r>
          </w:p>
        </w:tc>
      </w:tr>
      <w:tr w14:paraId="26B1CE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95B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EEF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B772F">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83B5E">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631B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B58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589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379E">
            <w:pPr>
              <w:jc w:val="center"/>
            </w:pPr>
            <w:r>
              <w:rPr>
                <w:rFonts w:ascii="宋体" w:hAnsi="宋体" w:eastAsia="宋体"/>
                <w:sz w:val="16"/>
              </w:rPr>
              <w:t>10.00</w:t>
            </w:r>
          </w:p>
        </w:tc>
      </w:tr>
      <w:tr w14:paraId="4CFEF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CE7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04F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82E52">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945A3">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99A5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93C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6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6996">
            <w:pPr>
              <w:jc w:val="center"/>
            </w:pPr>
            <w:r>
              <w:rPr>
                <w:rFonts w:ascii="宋体" w:hAnsi="宋体" w:eastAsia="宋体"/>
                <w:sz w:val="16"/>
              </w:rPr>
              <w:t>-</w:t>
            </w:r>
          </w:p>
        </w:tc>
      </w:tr>
      <w:tr w14:paraId="72AD1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98E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3E1C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97D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956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DC5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B61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31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491F">
            <w:pPr>
              <w:jc w:val="center"/>
            </w:pPr>
            <w:r>
              <w:rPr>
                <w:rFonts w:ascii="宋体" w:hAnsi="宋体" w:eastAsia="宋体"/>
                <w:sz w:val="16"/>
              </w:rPr>
              <w:t>-</w:t>
            </w:r>
          </w:p>
        </w:tc>
      </w:tr>
      <w:tr w14:paraId="72FB54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6BB1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8939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CBE20C">
            <w:pPr>
              <w:jc w:val="center"/>
            </w:pPr>
            <w:r>
              <w:rPr>
                <w:rFonts w:ascii="宋体" w:hAnsi="宋体" w:eastAsia="宋体"/>
                <w:sz w:val="16"/>
              </w:rPr>
              <w:t>总体目标完成情况</w:t>
            </w:r>
          </w:p>
        </w:tc>
      </w:tr>
      <w:tr w14:paraId="1534C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0B5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1D8BCC">
            <w:pPr>
              <w:jc w:val="both"/>
            </w:pPr>
            <w:r>
              <w:rPr>
                <w:rFonts w:ascii="宋体" w:hAnsi="宋体" w:eastAsia="宋体"/>
                <w:sz w:val="16"/>
              </w:rPr>
              <w:t>根据草原资源、生态和植被特点，按照自治区下达的固定监测点位，指导和开展草原有害生物监测3次，草原生态监测3次，撰写监测报告2份，通过监测对草原即时性变化进行动态跟踪监测，获取监测数据，规范开展草原监测工作，为科学指导草原保护修复和合理利用提供坚实基础和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3D99B2">
            <w:pPr>
              <w:jc w:val="both"/>
            </w:pPr>
            <w:r>
              <w:rPr>
                <w:rFonts w:ascii="宋体" w:hAnsi="宋体" w:eastAsia="宋体"/>
                <w:sz w:val="16"/>
              </w:rPr>
              <w:t>根据年初实施方案，项目共开展指导草原虫鼠害监测3次、草原生态监测（草原返青期、高峰期、枯黄期）三期监测3次，完成撰写草原监测报告2份,为科学指导草原保护修复和合理利用提供坚实基础和支撑。</w:t>
            </w:r>
          </w:p>
        </w:tc>
      </w:tr>
      <w:tr w14:paraId="271F5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194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B7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47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07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49A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7B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8F7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39A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0F2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27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85B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FE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E1B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0C3C">
            <w:pPr>
              <w:jc w:val="center"/>
            </w:pPr>
            <w:r>
              <w:rPr>
                <w:rFonts w:ascii="宋体" w:hAnsi="宋体" w:eastAsia="宋体"/>
                <w:sz w:val="16"/>
              </w:rPr>
              <w:t>偏差原因分析及改进措施</w:t>
            </w:r>
          </w:p>
        </w:tc>
      </w:tr>
      <w:tr w14:paraId="7F535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CFF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A31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9B9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957D">
            <w:pPr>
              <w:jc w:val="center"/>
            </w:pPr>
            <w:r>
              <w:rPr>
                <w:rFonts w:ascii="宋体" w:hAnsi="宋体" w:eastAsia="宋体"/>
                <w:sz w:val="16"/>
              </w:rPr>
              <w:t>指导草原有害生物监测次数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64F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0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D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37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C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C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E77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2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BC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B468">
            <w:pPr>
              <w:jc w:val="center"/>
            </w:pPr>
          </w:p>
        </w:tc>
      </w:tr>
      <w:tr w14:paraId="37EBB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AA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72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14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C8A0">
            <w:pPr>
              <w:jc w:val="center"/>
            </w:pPr>
            <w:r>
              <w:rPr>
                <w:rFonts w:ascii="宋体" w:hAnsi="宋体" w:eastAsia="宋体"/>
                <w:sz w:val="16"/>
              </w:rPr>
              <w:t>撰写监测报告数量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916B">
            <w:pPr>
              <w:jc w:val="center"/>
            </w:pPr>
            <w:r>
              <w:rPr>
                <w:rFonts w:ascii="宋体" w:hAnsi="宋体" w:eastAsia="宋体"/>
                <w:sz w:val="16"/>
              </w:rPr>
              <w:t>&gt;=2份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2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6D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55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69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1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F24A">
            <w:pPr>
              <w:jc w:val="center"/>
            </w:pPr>
            <w:r>
              <w:rPr>
                <w:rFonts w:ascii="宋体" w:hAnsi="宋体" w:eastAsia="宋体"/>
                <w:sz w:val="16"/>
              </w:rPr>
              <w: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2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96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9D82">
            <w:pPr>
              <w:jc w:val="center"/>
            </w:pPr>
          </w:p>
        </w:tc>
      </w:tr>
      <w:tr w14:paraId="1B00A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31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01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04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6B23">
            <w:pPr>
              <w:jc w:val="center"/>
            </w:pPr>
            <w:r>
              <w:rPr>
                <w:rFonts w:ascii="宋体" w:hAnsi="宋体" w:eastAsia="宋体"/>
                <w:sz w:val="16"/>
              </w:rPr>
              <w:t>指导草原生态综合监测次数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010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D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0E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82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E0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2E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532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D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C6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7374">
            <w:pPr>
              <w:jc w:val="center"/>
            </w:pPr>
          </w:p>
        </w:tc>
      </w:tr>
      <w:tr w14:paraId="7F9E7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A2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61A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36D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4CCA">
            <w:pPr>
              <w:jc w:val="center"/>
            </w:pPr>
            <w:r>
              <w:rPr>
                <w:rFonts w:ascii="宋体" w:hAnsi="宋体" w:eastAsia="宋体"/>
                <w:sz w:val="16"/>
              </w:rPr>
              <w:t>草原有害生物监测数据合格率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710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1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54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48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F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17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3391">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2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AC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6F81">
            <w:pPr>
              <w:jc w:val="center"/>
            </w:pPr>
          </w:p>
        </w:tc>
      </w:tr>
      <w:tr w14:paraId="32114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1F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D2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64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436C">
            <w:pPr>
              <w:jc w:val="center"/>
            </w:pPr>
            <w:r>
              <w:rPr>
                <w:rFonts w:ascii="宋体" w:hAnsi="宋体" w:eastAsia="宋体"/>
                <w:sz w:val="16"/>
              </w:rPr>
              <w:t>草原生态综合监测数据合格率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180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1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4C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C0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C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92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7CFA">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8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B5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6CCE">
            <w:pPr>
              <w:jc w:val="center"/>
            </w:pPr>
          </w:p>
        </w:tc>
      </w:tr>
      <w:tr w14:paraId="3891A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4D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69C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7CC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D39C">
            <w:pPr>
              <w:jc w:val="center"/>
            </w:pPr>
            <w:r>
              <w:rPr>
                <w:rFonts w:ascii="宋体" w:hAnsi="宋体" w:eastAsia="宋体"/>
                <w:sz w:val="16"/>
              </w:rPr>
              <w:t>草原有害生物监测及时率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D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5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9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F7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FE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08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3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E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95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0F40">
            <w:pPr>
              <w:jc w:val="center"/>
            </w:pPr>
          </w:p>
        </w:tc>
      </w:tr>
      <w:tr w14:paraId="377F9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53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97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EE6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A7EB">
            <w:pPr>
              <w:jc w:val="center"/>
            </w:pPr>
            <w:r>
              <w:rPr>
                <w:rFonts w:ascii="宋体" w:hAnsi="宋体" w:eastAsia="宋体"/>
                <w:sz w:val="16"/>
              </w:rPr>
              <w:t>草原生态综合监测及时率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3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8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C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45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F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D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3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2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D3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9911">
            <w:pPr>
              <w:jc w:val="center"/>
            </w:pPr>
          </w:p>
        </w:tc>
      </w:tr>
      <w:tr w14:paraId="44912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88B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5FA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4C9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985A">
            <w:pPr>
              <w:jc w:val="center"/>
            </w:pPr>
            <w:r>
              <w:rPr>
                <w:rFonts w:ascii="宋体" w:hAnsi="宋体" w:eastAsia="宋体"/>
                <w:sz w:val="16"/>
              </w:rPr>
              <w:t>草原监测成本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B631">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FC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8A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2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79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8B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0DDF">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4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EA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1CAA">
            <w:pPr>
              <w:jc w:val="center"/>
            </w:pPr>
          </w:p>
        </w:tc>
      </w:tr>
      <w:tr w14:paraId="24030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6A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3A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28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5964">
            <w:pPr>
              <w:jc w:val="center"/>
            </w:pPr>
            <w:r>
              <w:rPr>
                <w:rFonts w:ascii="宋体" w:hAnsi="宋体" w:eastAsia="宋体"/>
                <w:sz w:val="16"/>
              </w:rPr>
              <w:t>监测报告撰写成本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B99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2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A8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CC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3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A4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773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9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88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E507">
            <w:pPr>
              <w:jc w:val="center"/>
            </w:pPr>
          </w:p>
        </w:tc>
      </w:tr>
      <w:tr w14:paraId="52D35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4F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D7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DF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25F3">
            <w:pPr>
              <w:jc w:val="center"/>
            </w:pPr>
            <w:r>
              <w:rPr>
                <w:rFonts w:ascii="宋体" w:hAnsi="宋体" w:eastAsia="宋体"/>
                <w:sz w:val="16"/>
              </w:rPr>
              <w:t>提高草原监测水平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202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D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39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99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1F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03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1AA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3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AD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7D48">
            <w:pPr>
              <w:jc w:val="center"/>
            </w:pPr>
          </w:p>
        </w:tc>
      </w:tr>
      <w:tr w14:paraId="1BFBC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3B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80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56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EFAD">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39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8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18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5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FC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A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5E0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0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CE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02FC">
            <w:pPr>
              <w:jc w:val="center"/>
            </w:pPr>
          </w:p>
        </w:tc>
      </w:tr>
      <w:tr w14:paraId="2FEA69F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04D6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DAA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9D9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F6B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8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8F1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D1DC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55C9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108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93A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956C61"/>
        </w:tc>
      </w:tr>
    </w:tbl>
    <w:p w14:paraId="701B2BB1">
      <w:r>
        <w:br w:type="page"/>
      </w:r>
    </w:p>
    <w:p w14:paraId="2DFCB691">
      <w:pPr>
        <w:spacing w:line="640" w:lineRule="exact"/>
        <w:ind w:firstLine="640"/>
        <w:jc w:val="both"/>
        <w:outlineLvl w:val="2"/>
      </w:pPr>
      <w:r>
        <w:rPr>
          <w:rFonts w:ascii="黑体" w:hAnsi="黑体" w:eastAsia="黑体"/>
          <w:sz w:val="32"/>
        </w:rPr>
        <w:t>十二、其他需说明的事项</w:t>
      </w:r>
    </w:p>
    <w:p w14:paraId="0F82C497">
      <w:pPr>
        <w:spacing w:line="580" w:lineRule="exact"/>
        <w:ind w:firstLine="640"/>
        <w:jc w:val="both"/>
      </w:pPr>
      <w:r>
        <w:rPr>
          <w:rFonts w:ascii="仿宋_GB2312" w:hAnsi="仿宋_GB2312" w:eastAsia="仿宋_GB2312"/>
          <w:b w:val="0"/>
          <w:sz w:val="32"/>
        </w:rPr>
        <w:t>本年度本单位整体绩效自评表由主管部门编报并公开。</w:t>
      </w:r>
    </w:p>
    <w:p w14:paraId="7FA3E12F">
      <w:r>
        <w:br w:type="page"/>
      </w:r>
    </w:p>
    <w:p w14:paraId="4194F8F3">
      <w:pPr>
        <w:spacing w:line="240" w:lineRule="auto"/>
        <w:jc w:val="center"/>
        <w:outlineLvl w:val="1"/>
      </w:pPr>
      <w:r>
        <w:rPr>
          <w:rFonts w:ascii="黑体" w:hAnsi="黑体" w:eastAsia="黑体"/>
          <w:sz w:val="32"/>
        </w:rPr>
        <w:t>第三部分 专业名词解释</w:t>
      </w:r>
    </w:p>
    <w:p w14:paraId="191993C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0A73F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9FF3C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E20DB8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05EA4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7F954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E07C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01B9AE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6176A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DEA38E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8B841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DDE4B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9CB42C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3EC19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01CB3A">
      <w:r>
        <w:br w:type="page"/>
      </w:r>
    </w:p>
    <w:p w14:paraId="07D8C537">
      <w:pPr>
        <w:spacing w:line="240" w:lineRule="auto"/>
        <w:jc w:val="center"/>
        <w:outlineLvl w:val="1"/>
      </w:pPr>
      <w:r>
        <w:rPr>
          <w:rFonts w:ascii="黑体" w:hAnsi="黑体" w:eastAsia="黑体"/>
          <w:sz w:val="32"/>
        </w:rPr>
        <w:t>第四部分 部门决算报表（见附表）</w:t>
      </w:r>
    </w:p>
    <w:p w14:paraId="5F546640">
      <w:pPr>
        <w:spacing w:line="240" w:lineRule="auto"/>
        <w:ind w:firstLine="640"/>
        <w:jc w:val="both"/>
      </w:pPr>
      <w:r>
        <w:rPr>
          <w:rFonts w:ascii="仿宋_GB2312" w:hAnsi="仿宋_GB2312" w:eastAsia="仿宋_GB2312"/>
          <w:b w:val="0"/>
          <w:sz w:val="32"/>
        </w:rPr>
        <w:t>一、《收入支出决算总表》</w:t>
      </w:r>
    </w:p>
    <w:p w14:paraId="41407E0F">
      <w:pPr>
        <w:spacing w:line="240" w:lineRule="auto"/>
        <w:ind w:firstLine="640"/>
        <w:jc w:val="both"/>
      </w:pPr>
      <w:r>
        <w:rPr>
          <w:rFonts w:ascii="仿宋_GB2312" w:hAnsi="仿宋_GB2312" w:eastAsia="仿宋_GB2312"/>
          <w:b w:val="0"/>
          <w:sz w:val="32"/>
        </w:rPr>
        <w:t>二、《收入决算表》</w:t>
      </w:r>
    </w:p>
    <w:p w14:paraId="69405659">
      <w:pPr>
        <w:spacing w:line="240" w:lineRule="auto"/>
        <w:ind w:firstLine="640"/>
        <w:jc w:val="both"/>
      </w:pPr>
      <w:r>
        <w:rPr>
          <w:rFonts w:ascii="仿宋_GB2312" w:hAnsi="仿宋_GB2312" w:eastAsia="仿宋_GB2312"/>
          <w:b w:val="0"/>
          <w:sz w:val="32"/>
        </w:rPr>
        <w:t>三、《支出决算表》</w:t>
      </w:r>
    </w:p>
    <w:p w14:paraId="3BD0CE81">
      <w:pPr>
        <w:spacing w:line="240" w:lineRule="auto"/>
        <w:ind w:firstLine="640"/>
        <w:jc w:val="both"/>
      </w:pPr>
      <w:r>
        <w:rPr>
          <w:rFonts w:ascii="仿宋_GB2312" w:hAnsi="仿宋_GB2312" w:eastAsia="仿宋_GB2312"/>
          <w:b w:val="0"/>
          <w:sz w:val="32"/>
        </w:rPr>
        <w:t>四、《财政拨款收入支出决算总表》</w:t>
      </w:r>
    </w:p>
    <w:p w14:paraId="425B2B70">
      <w:pPr>
        <w:spacing w:line="240" w:lineRule="auto"/>
        <w:ind w:firstLine="640"/>
        <w:jc w:val="both"/>
      </w:pPr>
      <w:r>
        <w:rPr>
          <w:rFonts w:ascii="仿宋_GB2312" w:hAnsi="仿宋_GB2312" w:eastAsia="仿宋_GB2312"/>
          <w:b w:val="0"/>
          <w:sz w:val="32"/>
        </w:rPr>
        <w:t>五、《一般公共预算财政拨款支出决算表》</w:t>
      </w:r>
    </w:p>
    <w:p w14:paraId="48E75660">
      <w:pPr>
        <w:spacing w:line="240" w:lineRule="auto"/>
        <w:ind w:firstLine="640"/>
        <w:jc w:val="both"/>
      </w:pPr>
      <w:r>
        <w:rPr>
          <w:rFonts w:ascii="仿宋_GB2312" w:hAnsi="仿宋_GB2312" w:eastAsia="仿宋_GB2312"/>
          <w:b w:val="0"/>
          <w:sz w:val="32"/>
        </w:rPr>
        <w:t>六、《一般公共预算财政拨款基本支出决算表》</w:t>
      </w:r>
    </w:p>
    <w:p w14:paraId="4D523967">
      <w:pPr>
        <w:spacing w:line="240" w:lineRule="auto"/>
        <w:ind w:firstLine="640"/>
        <w:jc w:val="both"/>
      </w:pPr>
      <w:r>
        <w:rPr>
          <w:rFonts w:ascii="仿宋_GB2312" w:hAnsi="仿宋_GB2312" w:eastAsia="仿宋_GB2312"/>
          <w:b w:val="0"/>
          <w:sz w:val="32"/>
        </w:rPr>
        <w:t>七、《政府性基金预算财政拨款收入支出决算表》</w:t>
      </w:r>
    </w:p>
    <w:p w14:paraId="31B8E0B5">
      <w:pPr>
        <w:spacing w:line="240" w:lineRule="auto"/>
        <w:ind w:firstLine="640"/>
        <w:jc w:val="both"/>
      </w:pPr>
      <w:r>
        <w:rPr>
          <w:rFonts w:ascii="仿宋_GB2312" w:hAnsi="仿宋_GB2312" w:eastAsia="仿宋_GB2312"/>
          <w:b w:val="0"/>
          <w:sz w:val="32"/>
        </w:rPr>
        <w:t>八、《国有资本经营预算财政拨款收入支出决算表》</w:t>
      </w:r>
    </w:p>
    <w:p w14:paraId="51C4DFC9">
      <w:pPr>
        <w:spacing w:line="240" w:lineRule="auto"/>
        <w:ind w:firstLine="640"/>
        <w:jc w:val="both"/>
      </w:pPr>
      <w:r>
        <w:rPr>
          <w:rFonts w:ascii="仿宋_GB2312" w:hAnsi="仿宋_GB2312" w:eastAsia="仿宋_GB2312"/>
          <w:b w:val="0"/>
          <w:sz w:val="32"/>
        </w:rPr>
        <w:t>九、《财政拨款“三公”经费支出决算表》</w:t>
      </w:r>
    </w:p>
    <w:p w14:paraId="42E7B1FD">
      <w:pPr>
        <w:spacing w:line="240" w:lineRule="auto"/>
        <w:ind w:firstLine="640"/>
        <w:jc w:val="both"/>
      </w:pPr>
    </w:p>
    <w:p w14:paraId="55F4789B">
      <w:pPr>
        <w:spacing w:line="240" w:lineRule="auto"/>
        <w:ind w:firstLine="640"/>
        <w:jc w:val="both"/>
      </w:pPr>
    </w:p>
    <w:p w14:paraId="3FA61C05">
      <w:pPr>
        <w:spacing w:line="240" w:lineRule="auto"/>
        <w:ind w:firstLine="640"/>
        <w:jc w:val="both"/>
      </w:pPr>
    </w:p>
    <w:p w14:paraId="4B9A329A">
      <w:pPr>
        <w:spacing w:line="240" w:lineRule="auto"/>
        <w:ind w:firstLine="640"/>
        <w:jc w:val="both"/>
      </w:pPr>
    </w:p>
    <w:p w14:paraId="7D7732F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5D2F6D-1057-417F-A31F-81F4E50B4A5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C4266C0-1EE7-4F44-9CA0-B32093454B44}"/>
  </w:font>
  <w:font w:name="仿宋_GB2312">
    <w:altName w:val="仿宋"/>
    <w:panose1 w:val="02010609030101010101"/>
    <w:charset w:val="86"/>
    <w:family w:val="modern"/>
    <w:pitch w:val="default"/>
    <w:sig w:usb0="00000000" w:usb1="00000000" w:usb2="00000000" w:usb3="00000000" w:csb0="00040000" w:csb1="00000000"/>
    <w:embedRegular r:id="rId3" w:fontKey="{722442D5-E3BD-4229-8C3F-31ED2EBA6F56}"/>
  </w:font>
  <w:font w:name="楷体_GB2312">
    <w:altName w:val="楷体"/>
    <w:panose1 w:val="02010609030101010101"/>
    <w:charset w:val="86"/>
    <w:family w:val="auto"/>
    <w:pitch w:val="default"/>
    <w:sig w:usb0="00000000" w:usb1="00000000" w:usb2="00000000" w:usb3="00000000" w:csb0="00040000" w:csb1="00000000"/>
    <w:embedRegular r:id="rId4" w:fontKey="{AD1BAE78-960D-4328-AAC3-86A3A19766D8}"/>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6F32BE"/>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15264E"/>
    <w:rsid w:val="464B7E04"/>
    <w:rsid w:val="464F7E64"/>
    <w:rsid w:val="46901EEE"/>
    <w:rsid w:val="469C74D2"/>
    <w:rsid w:val="47445515"/>
    <w:rsid w:val="4B4C0111"/>
    <w:rsid w:val="4BB23021"/>
    <w:rsid w:val="4EF7463C"/>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FF5B11"/>
    <w:rsid w:val="71473612"/>
    <w:rsid w:val="718F7F65"/>
    <w:rsid w:val="73423603"/>
    <w:rsid w:val="737A5923"/>
    <w:rsid w:val="73DE4104"/>
    <w:rsid w:val="73FB6630"/>
    <w:rsid w:val="74106EA6"/>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4922</Words>
  <Characters>5641</Characters>
  <Lines>0</Lines>
  <Paragraphs>0</Paragraphs>
  <TotalTime>6</TotalTime>
  <ScaleCrop>false</ScaleCrop>
  <LinksUpToDate>false</LinksUpToDate>
  <CharactersWithSpaces>5649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2025-09-22T03:14:09Z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