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新疆巴音布鲁克国家级自然保护区管理局2024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28F0E4">
      <w:r>
        <w:br w:type="page"/>
      </w:r>
    </w:p>
    <w:p w14:paraId="7F4B5869">
      <w:pPr>
        <w:spacing w:line="640" w:lineRule="exact"/>
        <w:jc w:val="center"/>
        <w:outlineLvl w:val="1"/>
      </w:pPr>
      <w:r>
        <w:rPr>
          <w:rFonts w:ascii="黑体" w:hAnsi="黑体" w:eastAsia="黑体"/>
          <w:sz w:val="32"/>
        </w:rPr>
        <w:t>第一部分 单位概况</w:t>
      </w:r>
    </w:p>
    <w:p w14:paraId="18AEB9AE">
      <w:pPr>
        <w:spacing w:line="640" w:lineRule="exact"/>
        <w:ind w:firstLine="640"/>
        <w:jc w:val="both"/>
        <w:outlineLvl w:val="2"/>
      </w:pPr>
      <w:r>
        <w:rPr>
          <w:rFonts w:ascii="黑体" w:hAnsi="黑体" w:eastAsia="黑体"/>
          <w:sz w:val="32"/>
        </w:rPr>
        <w:t>一、主要职能</w:t>
      </w:r>
    </w:p>
    <w:p w14:paraId="75F329B1">
      <w:pPr>
        <w:spacing w:line="580" w:lineRule="exact"/>
        <w:ind w:firstLine="640"/>
        <w:jc w:val="both"/>
      </w:pPr>
      <w:r>
        <w:rPr>
          <w:rFonts w:ascii="仿宋_GB2312" w:hAnsi="仿宋_GB2312" w:eastAsia="仿宋_GB2312"/>
          <w:sz w:val="32"/>
        </w:rPr>
        <w:t>1.宣传、贯彻执行国家有关林业和自然保护的法律、法规和方针政策。</w:t>
      </w:r>
    </w:p>
    <w:p w14:paraId="5FB963F4">
      <w:pPr>
        <w:spacing w:line="580" w:lineRule="exact"/>
        <w:ind w:firstLine="640"/>
        <w:jc w:val="both"/>
      </w:pPr>
      <w:r>
        <w:rPr>
          <w:rFonts w:ascii="仿宋_GB2312" w:hAnsi="仿宋_GB2312" w:eastAsia="仿宋_GB2312"/>
          <w:sz w:val="32"/>
        </w:rPr>
        <w:t>2.保护和发展国家级自然保护区自然环境和自然资源,做好护林防火工作，依法查处破坏区内生物资源和自然环境的违法行为及其责任人。</w:t>
      </w:r>
    </w:p>
    <w:p w14:paraId="627CE17F">
      <w:pPr>
        <w:spacing w:line="580" w:lineRule="exact"/>
        <w:ind w:firstLine="640"/>
        <w:jc w:val="both"/>
      </w:pPr>
      <w:r>
        <w:rPr>
          <w:rFonts w:ascii="仿宋_GB2312" w:hAnsi="仿宋_GB2312" w:eastAsia="仿宋_GB2312"/>
          <w:sz w:val="32"/>
        </w:rPr>
        <w:t>3.编制国家级自然保护区的总体规划，抓好自然保护区各项建设；制定管理规则和岗位责任制度，统一管理自然环境和自然资源，统一管理和监督区内各项经营活动。</w:t>
      </w:r>
    </w:p>
    <w:p w14:paraId="351A6D1F">
      <w:pPr>
        <w:spacing w:line="580" w:lineRule="exact"/>
        <w:ind w:firstLine="640"/>
        <w:jc w:val="both"/>
      </w:pPr>
      <w:r>
        <w:rPr>
          <w:rFonts w:ascii="仿宋_GB2312" w:hAnsi="仿宋_GB2312" w:eastAsia="仿宋_GB2312"/>
          <w:sz w:val="32"/>
        </w:rPr>
        <w:t>4.定期组织自然环境和自然资源调查，建立自然资源档案制度；开展国家级自然保护区的科学研究、科普宣传教育，扩大对外科技交流，探索自然演变规律及合理利用、开发生物资源的科学途径。</w:t>
      </w:r>
    </w:p>
    <w:p w14:paraId="59CEB1E0">
      <w:pPr>
        <w:spacing w:line="580" w:lineRule="exact"/>
        <w:ind w:firstLine="640"/>
        <w:jc w:val="both"/>
      </w:pPr>
      <w:r>
        <w:rPr>
          <w:rFonts w:ascii="仿宋_GB2312" w:hAnsi="仿宋_GB2312" w:eastAsia="仿宋_GB2312"/>
          <w:sz w:val="32"/>
        </w:rPr>
        <w:t>5.依法开展自然保护区生态旅游和多种经营，增强保护区自我发展能力；扶持区内群众发展经济，正确处理保护与发展的关系，逐步建立自然保护区社区共管体系。</w:t>
      </w:r>
    </w:p>
    <w:p w14:paraId="59C29750">
      <w:pPr>
        <w:spacing w:line="580" w:lineRule="exact"/>
        <w:ind w:firstLine="640"/>
        <w:jc w:val="both"/>
      </w:pPr>
      <w:r>
        <w:rPr>
          <w:rFonts w:ascii="仿宋_GB2312" w:hAnsi="仿宋_GB2312" w:eastAsia="仿宋_GB2312"/>
          <w:sz w:val="32"/>
        </w:rPr>
        <w:t>6.做好区内林地管理，完善界桩、界碑，稳定林地权属。</w:t>
      </w:r>
    </w:p>
    <w:p w14:paraId="35C0ED1E">
      <w:pPr>
        <w:spacing w:line="640" w:lineRule="exact"/>
        <w:ind w:firstLine="640"/>
        <w:jc w:val="both"/>
        <w:outlineLvl w:val="2"/>
      </w:pPr>
      <w:r>
        <w:rPr>
          <w:rFonts w:ascii="黑体" w:hAnsi="黑体" w:eastAsia="黑体"/>
          <w:sz w:val="32"/>
        </w:rPr>
        <w:t>二、机构设置及人员情况</w:t>
      </w:r>
    </w:p>
    <w:p w14:paraId="460F95E2">
      <w:pPr>
        <w:spacing w:line="580" w:lineRule="exact"/>
        <w:ind w:firstLine="640"/>
        <w:jc w:val="both"/>
      </w:pPr>
      <w:r>
        <w:rPr>
          <w:rFonts w:ascii="仿宋_GB2312" w:hAnsi="仿宋_GB2312" w:eastAsia="仿宋_GB2312"/>
          <w:sz w:val="32"/>
        </w:rPr>
        <w:t>新疆巴音布鲁克国家级自然保护区管理局2024年度，实有人数5人，其中：在职人员1人，减少12人；离休人员0人，增加0人；退休人员4人,增加0人。</w:t>
      </w:r>
    </w:p>
    <w:p w14:paraId="0D93D12C">
      <w:pPr>
        <w:spacing w:line="580" w:lineRule="exact"/>
        <w:ind w:firstLine="640"/>
        <w:jc w:val="both"/>
      </w:pPr>
      <w:r>
        <w:rPr>
          <w:rFonts w:ascii="仿宋_GB2312" w:hAnsi="仿宋_GB2312" w:eastAsia="仿宋_GB2312"/>
          <w:sz w:val="32"/>
        </w:rPr>
        <w:t>新疆巴音布鲁克国家级自然保护区管理局无下属预算单位，下设3个科室，分别是：办公室、保护管理科、科研宣教科。</w:t>
      </w:r>
    </w:p>
    <w:p w14:paraId="615E6F76">
      <w:r>
        <w:br w:type="page"/>
      </w:r>
    </w:p>
    <w:p w14:paraId="69B15606">
      <w:pPr>
        <w:spacing w:line="240" w:lineRule="auto"/>
        <w:jc w:val="center"/>
        <w:outlineLvl w:val="1"/>
      </w:pPr>
      <w:r>
        <w:rPr>
          <w:rFonts w:ascii="黑体" w:hAnsi="黑体" w:eastAsia="黑体"/>
          <w:sz w:val="32"/>
        </w:rPr>
        <w:t>第二部分 部门决算情况说明</w:t>
      </w:r>
    </w:p>
    <w:p w14:paraId="50E40C8C">
      <w:pPr>
        <w:spacing w:line="640" w:lineRule="exact"/>
        <w:ind w:firstLine="640"/>
        <w:jc w:val="both"/>
        <w:outlineLvl w:val="2"/>
      </w:pPr>
      <w:r>
        <w:rPr>
          <w:rFonts w:ascii="黑体" w:hAnsi="黑体" w:eastAsia="黑体"/>
          <w:sz w:val="32"/>
        </w:rPr>
        <w:t>一、收入支出决算总体情况说明</w:t>
      </w:r>
    </w:p>
    <w:p w14:paraId="34FF08A2">
      <w:pPr>
        <w:spacing w:line="580" w:lineRule="exact"/>
        <w:ind w:firstLine="640"/>
        <w:jc w:val="both"/>
      </w:pPr>
      <w:r>
        <w:rPr>
          <w:rFonts w:ascii="仿宋_GB2312" w:hAnsi="仿宋_GB2312" w:eastAsia="仿宋_GB2312"/>
          <w:b/>
          <w:sz w:val="32"/>
        </w:rPr>
        <w:t>2024年度收入总计298.02万元，</w:t>
      </w:r>
      <w:r>
        <w:rPr>
          <w:rFonts w:ascii="仿宋_GB2312" w:hAnsi="仿宋_GB2312" w:eastAsia="仿宋_GB2312"/>
          <w:b w:val="0"/>
          <w:sz w:val="32"/>
        </w:rPr>
        <w:t>其中：本年收入合计297.66万元，使用非财政拨款结余（含专用结余）0.00万元，年初结转和结余0.36万元。</w:t>
      </w:r>
    </w:p>
    <w:p w14:paraId="0B141610">
      <w:pPr>
        <w:spacing w:line="580" w:lineRule="exact"/>
        <w:ind w:firstLine="640"/>
        <w:jc w:val="both"/>
      </w:pPr>
      <w:r>
        <w:rPr>
          <w:rFonts w:ascii="仿宋_GB2312" w:hAnsi="仿宋_GB2312" w:eastAsia="仿宋_GB2312"/>
          <w:b/>
          <w:sz w:val="32"/>
        </w:rPr>
        <w:t>2024年度支出总计298.02万元，</w:t>
      </w:r>
      <w:r>
        <w:rPr>
          <w:rFonts w:ascii="仿宋_GB2312" w:hAnsi="仿宋_GB2312" w:eastAsia="仿宋_GB2312"/>
          <w:b w:val="0"/>
          <w:sz w:val="32"/>
        </w:rPr>
        <w:t>其中：本年支出合计297.66万元，结余分配0.00万元，年末结转和结余0.36万元。</w:t>
      </w:r>
    </w:p>
    <w:p w14:paraId="17CC64CC">
      <w:pPr>
        <w:spacing w:line="580" w:lineRule="exact"/>
        <w:ind w:firstLine="640"/>
        <w:jc w:val="both"/>
      </w:pPr>
      <w:r>
        <w:rPr>
          <w:rFonts w:ascii="仿宋_GB2312" w:hAnsi="仿宋_GB2312" w:eastAsia="仿宋_GB2312"/>
          <w:b w:val="0"/>
          <w:sz w:val="32"/>
        </w:rPr>
        <w:t>收入支出总体与上年相比，减少287.81万元，下降49.13%，主要原因是：本年在职人员减少，相关人员经费减少，中央林业草原生态保护恢复项目资金较上年减少，造成收入支出总体比上年减少。</w:t>
      </w:r>
    </w:p>
    <w:p w14:paraId="6769EEF4">
      <w:pPr>
        <w:spacing w:line="640" w:lineRule="exact"/>
        <w:ind w:firstLine="640"/>
        <w:jc w:val="both"/>
        <w:outlineLvl w:val="2"/>
      </w:pPr>
      <w:r>
        <w:rPr>
          <w:rFonts w:ascii="黑体" w:hAnsi="黑体" w:eastAsia="黑体"/>
          <w:sz w:val="32"/>
        </w:rPr>
        <w:t>二、收入决算情况说明</w:t>
      </w:r>
    </w:p>
    <w:p w14:paraId="725F961D">
      <w:pPr>
        <w:spacing w:line="580" w:lineRule="exact"/>
        <w:ind w:firstLine="640"/>
        <w:jc w:val="both"/>
      </w:pPr>
      <w:r>
        <w:rPr>
          <w:rFonts w:ascii="仿宋_GB2312" w:hAnsi="仿宋_GB2312" w:eastAsia="仿宋_GB2312"/>
          <w:b/>
          <w:sz w:val="32"/>
        </w:rPr>
        <w:t>本年收入297.66万元，</w:t>
      </w:r>
      <w:r>
        <w:rPr>
          <w:rFonts w:ascii="仿宋_GB2312" w:hAnsi="仿宋_GB2312" w:eastAsia="仿宋_GB2312"/>
          <w:b w:val="0"/>
          <w:sz w:val="32"/>
        </w:rPr>
        <w:t>其中：财政拨款收入297.66万元，占100.00%；上级补助收入0.00万元，占0.00%；事业收入0.00万元，占0.00%；经营收入0.00万元，占0.00%；附属单位上缴收入0.00万元，占0.00%；其他收入0.00万元，占0.00%。</w:t>
      </w:r>
    </w:p>
    <w:p w14:paraId="50C27B79">
      <w:pPr>
        <w:spacing w:line="640" w:lineRule="exact"/>
        <w:ind w:firstLine="640"/>
        <w:jc w:val="both"/>
        <w:outlineLvl w:val="2"/>
      </w:pPr>
      <w:r>
        <w:rPr>
          <w:rFonts w:ascii="黑体" w:hAnsi="黑体" w:eastAsia="黑体"/>
          <w:sz w:val="32"/>
        </w:rPr>
        <w:t>三、支出决算情况说明</w:t>
      </w:r>
    </w:p>
    <w:p w14:paraId="58190457">
      <w:pPr>
        <w:spacing w:line="580" w:lineRule="exact"/>
        <w:ind w:firstLine="640"/>
        <w:jc w:val="both"/>
      </w:pPr>
      <w:r>
        <w:rPr>
          <w:rFonts w:ascii="仿宋_GB2312" w:hAnsi="仿宋_GB2312" w:eastAsia="仿宋_GB2312"/>
          <w:b/>
          <w:sz w:val="32"/>
        </w:rPr>
        <w:t>本年支出297.66万元，</w:t>
      </w:r>
      <w:r>
        <w:rPr>
          <w:rFonts w:ascii="仿宋_GB2312" w:hAnsi="仿宋_GB2312" w:eastAsia="仿宋_GB2312"/>
          <w:b w:val="0"/>
          <w:sz w:val="32"/>
        </w:rPr>
        <w:t>其中：基本支出165.68万元，占55.66%；项目支出131.98万元，占44.34%；上缴上级支出0.00万元，占0.00%；经营支出0.00万元，占0.00%；对附属单位补助支出0.00万元，占0.00%。</w:t>
      </w:r>
    </w:p>
    <w:p w14:paraId="31E7B3B2">
      <w:pPr>
        <w:spacing w:line="640" w:lineRule="exact"/>
        <w:ind w:firstLine="640"/>
        <w:jc w:val="both"/>
        <w:outlineLvl w:val="2"/>
      </w:pPr>
      <w:r>
        <w:rPr>
          <w:rFonts w:ascii="黑体" w:hAnsi="黑体" w:eastAsia="黑体"/>
          <w:sz w:val="32"/>
        </w:rPr>
        <w:t>四、财政拨款收入支出决算总体情况说明</w:t>
      </w:r>
    </w:p>
    <w:p w14:paraId="6F465CCB">
      <w:pPr>
        <w:spacing w:line="580" w:lineRule="exact"/>
        <w:ind w:firstLine="640"/>
        <w:jc w:val="both"/>
      </w:pPr>
      <w:r>
        <w:rPr>
          <w:rFonts w:ascii="仿宋_GB2312" w:hAnsi="仿宋_GB2312" w:eastAsia="仿宋_GB2312"/>
          <w:b/>
          <w:sz w:val="32"/>
        </w:rPr>
        <w:t>2024年度财政拨款收入总计297.66万元，</w:t>
      </w:r>
      <w:r>
        <w:rPr>
          <w:rFonts w:ascii="仿宋_GB2312" w:hAnsi="仿宋_GB2312" w:eastAsia="仿宋_GB2312"/>
          <w:b w:val="0"/>
          <w:sz w:val="32"/>
        </w:rPr>
        <w:t>其中：年初财政拨款结转和结余0.00万元，本年财政拨款收入297.66万元。</w:t>
      </w:r>
      <w:r>
        <w:rPr>
          <w:rFonts w:ascii="仿宋_GB2312" w:hAnsi="仿宋_GB2312" w:eastAsia="仿宋_GB2312"/>
          <w:b/>
          <w:sz w:val="32"/>
        </w:rPr>
        <w:t>财政拨款支出总计297.66万元，</w:t>
      </w:r>
      <w:r>
        <w:rPr>
          <w:rFonts w:ascii="仿宋_GB2312" w:hAnsi="仿宋_GB2312" w:eastAsia="仿宋_GB2312"/>
          <w:b w:val="0"/>
          <w:sz w:val="32"/>
        </w:rPr>
        <w:t>其中：年末财政拨款结转和结余0.00万元，本年财政拨款支出297.66万元。</w:t>
      </w:r>
    </w:p>
    <w:p w14:paraId="423E247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减少287.73万元，下降49.15%，主要原因是：本年在职人员减少，相关人员经费减少，中央林业草原生态保护恢复项目资金较上年减少，造成收入支出总体比上年减少。</w:t>
      </w:r>
      <w:r>
        <w:rPr>
          <w:rFonts w:ascii="仿宋_GB2312" w:hAnsi="仿宋_GB2312" w:eastAsia="仿宋_GB2312"/>
          <w:b/>
          <w:sz w:val="32"/>
        </w:rPr>
        <w:t>与年初预算相比，</w:t>
      </w:r>
      <w:r>
        <w:rPr>
          <w:rFonts w:ascii="仿宋_GB2312" w:hAnsi="仿宋_GB2312" w:eastAsia="仿宋_GB2312"/>
          <w:b w:val="0"/>
          <w:sz w:val="32"/>
        </w:rPr>
        <w:t>年初预算数405.95万元，决算数297.66万元，预决算差异率-26.68%，主要原因是：本年在职人员减少，年中调减人员经费，年中调减中央林业草原生态保护恢复项目资金，导致预决算存在差异。</w:t>
      </w:r>
    </w:p>
    <w:p w14:paraId="63557C16">
      <w:pPr>
        <w:spacing w:line="640" w:lineRule="exact"/>
        <w:ind w:firstLine="640"/>
        <w:jc w:val="both"/>
        <w:outlineLvl w:val="2"/>
      </w:pPr>
      <w:r>
        <w:rPr>
          <w:rFonts w:ascii="黑体" w:hAnsi="黑体" w:eastAsia="黑体"/>
          <w:sz w:val="32"/>
        </w:rPr>
        <w:t>五、一般公共预算财政拨款支出决算情况说明</w:t>
      </w:r>
    </w:p>
    <w:p w14:paraId="6FC2A1DF">
      <w:pPr>
        <w:spacing w:line="640" w:lineRule="exact"/>
        <w:ind w:firstLine="640"/>
        <w:jc w:val="both"/>
        <w:outlineLvl w:val="3"/>
      </w:pPr>
      <w:r>
        <w:rPr>
          <w:rFonts w:ascii="楷体_GB2312" w:hAnsi="楷体_GB2312" w:eastAsia="楷体_GB2312"/>
          <w:b/>
          <w:sz w:val="32"/>
        </w:rPr>
        <w:t>（一）一般公共预算财政拨款支出决算总体情况</w:t>
      </w:r>
    </w:p>
    <w:p w14:paraId="66DA48A3">
      <w:pPr>
        <w:spacing w:line="580" w:lineRule="exact"/>
        <w:ind w:firstLine="640"/>
        <w:jc w:val="both"/>
      </w:pPr>
      <w:r>
        <w:rPr>
          <w:rFonts w:ascii="仿宋_GB2312" w:hAnsi="仿宋_GB2312" w:eastAsia="仿宋_GB2312"/>
          <w:b/>
          <w:sz w:val="32"/>
        </w:rPr>
        <w:t>2024年度一般公共预算财政拨款支出297.66万元，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减少287.73万元，下降49.15%，主要原因是：本年在职人员减少，相关人员经费减少，中央林业草原生态保护恢复项目资金较上年减少，造成收入支出总体比上年减少。</w:t>
      </w:r>
      <w:r>
        <w:rPr>
          <w:rFonts w:ascii="仿宋_GB2312" w:hAnsi="仿宋_GB2312" w:eastAsia="仿宋_GB2312"/>
          <w:b/>
          <w:sz w:val="32"/>
        </w:rPr>
        <w:t>与年初预算相比,</w:t>
      </w:r>
      <w:r>
        <w:rPr>
          <w:rFonts w:ascii="仿宋_GB2312" w:hAnsi="仿宋_GB2312" w:eastAsia="仿宋_GB2312"/>
          <w:b w:val="0"/>
          <w:sz w:val="32"/>
        </w:rPr>
        <w:t>年初预算数405.95万元，决算数297.66万元，预决算差异率-26.68%，主要原因是：本年在职人员减少，年中调减人员经费，年中调减中央林业草原生态保护恢复项目资金，导致预决算存在差异。</w:t>
      </w:r>
    </w:p>
    <w:p w14:paraId="56764BEE">
      <w:pPr>
        <w:spacing w:line="640" w:lineRule="exact"/>
        <w:ind w:firstLine="640"/>
        <w:jc w:val="both"/>
        <w:outlineLvl w:val="3"/>
      </w:pPr>
      <w:r>
        <w:rPr>
          <w:rFonts w:ascii="楷体_GB2312" w:hAnsi="楷体_GB2312" w:eastAsia="楷体_GB2312"/>
          <w:b/>
          <w:sz w:val="32"/>
        </w:rPr>
        <w:t>（二）一般公共预算财政拨款支出决算结构情况</w:t>
      </w:r>
    </w:p>
    <w:p w14:paraId="364E304F">
      <w:pPr>
        <w:spacing w:line="580" w:lineRule="exact"/>
        <w:ind w:firstLine="640"/>
        <w:jc w:val="both"/>
      </w:pPr>
      <w:r>
        <w:rPr>
          <w:rFonts w:ascii="仿宋_GB2312" w:hAnsi="仿宋_GB2312" w:eastAsia="仿宋_GB2312"/>
          <w:b w:val="0"/>
          <w:sz w:val="32"/>
        </w:rPr>
        <w:t>1.社会保障和就业支出(类)20.72万元,占6.96%。</w:t>
      </w:r>
    </w:p>
    <w:p w14:paraId="2C750B86">
      <w:pPr>
        <w:spacing w:line="580" w:lineRule="exact"/>
        <w:ind w:firstLine="640"/>
        <w:jc w:val="both"/>
      </w:pPr>
      <w:r>
        <w:rPr>
          <w:rFonts w:ascii="仿宋_GB2312" w:hAnsi="仿宋_GB2312" w:eastAsia="仿宋_GB2312"/>
          <w:b w:val="0"/>
          <w:sz w:val="32"/>
        </w:rPr>
        <w:t>2.卫生健康支出(类)7.83万元,占2.63%。</w:t>
      </w:r>
    </w:p>
    <w:p w14:paraId="4401B65A">
      <w:pPr>
        <w:spacing w:line="580" w:lineRule="exact"/>
        <w:ind w:firstLine="640"/>
        <w:jc w:val="both"/>
      </w:pPr>
      <w:r>
        <w:rPr>
          <w:rFonts w:ascii="仿宋_GB2312" w:hAnsi="仿宋_GB2312" w:eastAsia="仿宋_GB2312"/>
          <w:b w:val="0"/>
          <w:sz w:val="32"/>
        </w:rPr>
        <w:t>3.节能环保支出(类)131.98万元,占44.34%。</w:t>
      </w:r>
    </w:p>
    <w:p w14:paraId="373C80B1">
      <w:pPr>
        <w:spacing w:line="580" w:lineRule="exact"/>
        <w:ind w:firstLine="640"/>
        <w:jc w:val="both"/>
      </w:pPr>
      <w:r>
        <w:rPr>
          <w:rFonts w:ascii="仿宋_GB2312" w:hAnsi="仿宋_GB2312" w:eastAsia="仿宋_GB2312"/>
          <w:b w:val="0"/>
          <w:sz w:val="32"/>
        </w:rPr>
        <w:t>4.农林水支出(类)123.79万元,占41.59%。</w:t>
      </w:r>
    </w:p>
    <w:p w14:paraId="260CC830">
      <w:pPr>
        <w:spacing w:line="580" w:lineRule="exact"/>
        <w:ind w:firstLine="640"/>
        <w:jc w:val="both"/>
      </w:pPr>
      <w:r>
        <w:rPr>
          <w:rFonts w:ascii="仿宋_GB2312" w:hAnsi="仿宋_GB2312" w:eastAsia="仿宋_GB2312"/>
          <w:b w:val="0"/>
          <w:sz w:val="32"/>
        </w:rPr>
        <w:t>5.住房保障支出(类)13.34万元,占4.48%。</w:t>
      </w:r>
    </w:p>
    <w:p w14:paraId="35619BA9">
      <w:pPr>
        <w:spacing w:line="640" w:lineRule="exact"/>
        <w:ind w:firstLine="640"/>
        <w:jc w:val="both"/>
        <w:outlineLvl w:val="3"/>
      </w:pPr>
      <w:r>
        <w:rPr>
          <w:rFonts w:ascii="楷体_GB2312" w:hAnsi="楷体_GB2312" w:eastAsia="楷体_GB2312"/>
          <w:b/>
          <w:sz w:val="32"/>
        </w:rPr>
        <w:t>（三）一般公共预算财政拨款支出决算具体情况</w:t>
      </w:r>
    </w:p>
    <w:p w14:paraId="131E3A24">
      <w:pPr>
        <w:spacing w:line="580" w:lineRule="exact"/>
        <w:ind w:firstLine="640"/>
        <w:jc w:val="both"/>
      </w:pPr>
      <w:r>
        <w:rPr>
          <w:rFonts w:ascii="仿宋_GB2312" w:hAnsi="仿宋_GB2312" w:eastAsia="仿宋_GB2312"/>
          <w:b w:val="0"/>
          <w:sz w:val="32"/>
        </w:rPr>
        <w:t>1.教育支出(类)进修及培训(款)培训支出(项):支出决算数为0.00万元，比上年决算减少0.36万元，下降100.00%,主要原因是：本年未安排培训业务活动，相关培训费减少。</w:t>
      </w:r>
    </w:p>
    <w:p w14:paraId="4EED0B4E">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2.社会保障和就业支出(类)行政事业单位养老支出(款)事业单位离退休(项):支出决算数为3.39万元，比上年决算增加0.82万元，增长31.91%,主要原因是：本年增加退休人员基础绩效奖，退休费支出增加。</w:t>
      </w:r>
    </w:p>
    <w:p w14:paraId="227CE723">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17.34万元，比上年决算减少5.81万元，下降25.10%,主要原因是：本年在职人员减少，机关事业单位基本养老保险缴费支出较上年决算减少。</w:t>
      </w:r>
    </w:p>
    <w:p w14:paraId="324CFC4E">
      <w:pPr>
        <w:spacing w:line="580" w:lineRule="exact"/>
        <w:ind w:firstLine="640"/>
        <w:jc w:val="both"/>
      </w:pPr>
      <w:r>
        <w:rPr>
          <w:rFonts w:ascii="仿宋_GB2312" w:hAnsi="仿宋_GB2312" w:eastAsia="仿宋_GB2312"/>
          <w:b w:val="0"/>
          <w:sz w:val="32"/>
        </w:rPr>
        <w:t>4.卫生健康支出(类)行政事业单位医疗(款)事业单位医疗(项):支出决算数为7.58万元，比上年决算减少2.55万元，下降25.17%,主要原因是：本年在职人员减少，事业单位医疗较上年决算减少。</w:t>
      </w:r>
    </w:p>
    <w:p w14:paraId="3A1441DF">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5.卫生健康支出(类)行政事业单位医疗(款)其他行政事业单位医疗支出(项):支出决算数为0.25万元，比上年决算减少0.16万元，下降39.02%,主要原因是：本年在职人员减少，其他行政事业单位医疗支出较上年决算减少。</w:t>
      </w:r>
    </w:p>
    <w:p w14:paraId="5694DB6F">
      <w:pPr>
        <w:spacing w:line="580" w:lineRule="exact"/>
        <w:ind w:firstLine="640"/>
        <w:jc w:val="both"/>
      </w:pPr>
      <w:r>
        <w:rPr>
          <w:rFonts w:ascii="仿宋_GB2312" w:hAnsi="仿宋_GB2312" w:eastAsia="仿宋_GB2312"/>
          <w:b w:val="0"/>
          <w:sz w:val="32"/>
        </w:rPr>
        <w:t>6.节能环保支出(类)自然生态保护(款)自然保护地(项):支出决算数为131.98万元，比上年决算减少207.77万元，下降61.15%,主要原因是：本年减少中央林业草原生态保护恢复项目资金，相关支出减少。</w:t>
      </w:r>
    </w:p>
    <w:p w14:paraId="1782A779">
      <w:pPr>
        <w:spacing w:line="580" w:lineRule="exact"/>
        <w:ind w:firstLine="640"/>
        <w:jc w:val="both"/>
      </w:pPr>
      <w:r>
        <w:rPr>
          <w:rFonts w:ascii="仿宋_GB2312" w:hAnsi="仿宋_GB2312" w:eastAsia="仿宋_GB2312"/>
          <w:b w:val="0"/>
          <w:sz w:val="32"/>
        </w:rPr>
        <w:t>7.农林水支出(类)林业和草原(款)事业机构(项):支出决算数为123.79万元，比上年决算减少68.39万元，下降35.59%,主要原因是：本年在职人员减少，相关支出减少。</w:t>
      </w:r>
    </w:p>
    <w:p w14:paraId="77DF5BDE">
      <w:pPr>
        <w:spacing w:line="580" w:lineRule="exact"/>
        <w:ind w:firstLine="640"/>
        <w:jc w:val="both"/>
      </w:pPr>
      <w:r>
        <w:rPr>
          <w:rFonts w:ascii="仿宋_GB2312" w:hAnsi="仿宋_GB2312" w:eastAsia="仿宋_GB2312"/>
          <w:b w:val="0"/>
          <w:sz w:val="32"/>
        </w:rPr>
        <w:t>8.住房保障支出(类)住房改革支出(款)住房公积金(项):支出决算数为13.34万元，比上年决算减少3.50万元，下降20.78%,主要原因是：本年在职人员减少，住房公积金缴费较上年减少。</w:t>
      </w:r>
    </w:p>
    <w:p w14:paraId="07EF908B">
      <w:pPr>
        <w:spacing w:line="640" w:lineRule="exact"/>
        <w:ind w:firstLine="640"/>
        <w:jc w:val="both"/>
        <w:outlineLvl w:val="2"/>
      </w:pPr>
      <w:r>
        <w:rPr>
          <w:rFonts w:ascii="黑体" w:hAnsi="黑体" w:eastAsia="黑体"/>
          <w:sz w:val="32"/>
        </w:rPr>
        <w:t>六、一般公共预算财政拨款基本支出决算情况说明</w:t>
      </w:r>
    </w:p>
    <w:p w14:paraId="3E0B3492">
      <w:pPr>
        <w:spacing w:line="580" w:lineRule="exact"/>
        <w:ind w:firstLine="640"/>
        <w:jc w:val="both"/>
      </w:pPr>
      <w:r>
        <w:rPr>
          <w:rFonts w:ascii="仿宋_GB2312" w:hAnsi="仿宋_GB2312" w:eastAsia="仿宋_GB2312"/>
          <w:b w:val="0"/>
          <w:sz w:val="32"/>
        </w:rPr>
        <w:t>2024年度一般公共预算财政拨款基本支出165.68万元，其中：</w:t>
      </w:r>
      <w:r>
        <w:rPr>
          <w:rFonts w:ascii="仿宋_GB2312" w:hAnsi="仿宋_GB2312" w:eastAsia="仿宋_GB2312"/>
          <w:b/>
          <w:sz w:val="32"/>
        </w:rPr>
        <w:t>人员经费159.22万元，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包括：基本工资、津贴补贴、奖金、伙食补助费、机关事业单位基本养老保险缴费、职工基本医疗保险缴费、其他社会保障缴费、住房公积金、退休费、奖励金。</w:t>
      </w:r>
    </w:p>
    <w:p w14:paraId="303C31BC">
      <w:pPr>
        <w:spacing w:line="580" w:lineRule="exact"/>
        <w:ind w:firstLine="640"/>
        <w:jc w:val="both"/>
      </w:pPr>
      <w:r>
        <w:rPr>
          <w:rFonts w:ascii="仿宋_GB2312" w:hAnsi="仿宋_GB2312" w:eastAsia="仿宋_GB2312"/>
          <w:b/>
          <w:sz w:val="32"/>
        </w:rPr>
        <w:t>公用经费6.47万元，</w:t>
      </w:r>
      <w:r>
        <w:rPr>
          <w:rFonts w:ascii="仿宋_GB2312" w:hAnsi="仿宋_GB2312" w:eastAsia="仿宋_GB2312"/>
          <w:b w:val="0"/>
          <w:sz w:val="32"/>
        </w:rPr>
        <w:t>包括：办公费、水费、电费、邮电费、物业管理费、差旅费、工会经费、福利费、公务用车运行维护费、税金及附加费用。</w:t>
      </w:r>
    </w:p>
    <w:p w14:paraId="1DCA4958">
      <w:pPr>
        <w:spacing w:line="640" w:lineRule="exact"/>
        <w:ind w:firstLine="640"/>
        <w:jc w:val="both"/>
        <w:outlineLvl w:val="2"/>
      </w:pPr>
      <w:r>
        <w:rPr>
          <w:rFonts w:ascii="黑体" w:hAnsi="黑体" w:eastAsia="黑体"/>
          <w:sz w:val="32"/>
        </w:rPr>
        <w:t>七、政府性基金预算财政拨款收入支出决算情况说明</w:t>
      </w:r>
    </w:p>
    <w:p w14:paraId="428A56D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3F269C5">
      <w:pPr>
        <w:spacing w:line="640" w:lineRule="exact"/>
        <w:ind w:firstLine="640"/>
        <w:jc w:val="both"/>
        <w:outlineLvl w:val="2"/>
      </w:pPr>
      <w:r>
        <w:rPr>
          <w:rFonts w:ascii="黑体" w:hAnsi="黑体" w:eastAsia="黑体"/>
          <w:sz w:val="32"/>
        </w:rPr>
        <w:t>八、国有资本经营预算财政拨款收入支出决算情况说明</w:t>
      </w:r>
    </w:p>
    <w:p w14:paraId="15A6EFF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C1D31E1">
      <w:pPr>
        <w:spacing w:line="640" w:lineRule="exact"/>
        <w:ind w:firstLine="640"/>
        <w:jc w:val="both"/>
        <w:outlineLvl w:val="2"/>
      </w:pPr>
      <w:r>
        <w:rPr>
          <w:rFonts w:ascii="黑体" w:hAnsi="黑体" w:eastAsia="黑体"/>
          <w:sz w:val="32"/>
        </w:rPr>
        <w:t>九、财政拨款“三公”经费支出决算情况说明</w:t>
      </w:r>
    </w:p>
    <w:p w14:paraId="37E043D5">
      <w:pPr>
        <w:spacing w:line="580" w:lineRule="exact"/>
        <w:ind w:firstLine="640"/>
        <w:jc w:val="both"/>
      </w:pPr>
      <w:r>
        <w:rPr>
          <w:rFonts w:ascii="仿宋_GB2312" w:hAnsi="仿宋_GB2312" w:eastAsia="仿宋_GB2312"/>
          <w:b/>
          <w:sz w:val="32"/>
        </w:rPr>
        <w:t>2024年度财政拨款“三公”经费支出0.81万元，</w:t>
      </w:r>
      <w:r>
        <w:rPr>
          <w:rFonts w:ascii="仿宋_GB2312" w:hAnsi="仿宋_GB2312" w:eastAsia="仿宋_GB2312"/>
          <w:b w:val="0"/>
          <w:sz w:val="32"/>
        </w:rPr>
        <w:t>比上年减少7.24万元，下降89.94%，主要原因是：本年业务减少，使用公务用车频次减少，公务用车运行经费减少。其中：因公出国（境）费支出0.00万元，占0.00%，比上年增加0.00万元，增长0.00%，主要原因是：2023年与2024年均未安排因公出国（境）费支出。公务用车购置及运行维护费支出0.81万元，占100.00%，比上年减少7.24万元，下降89.94%，主要原因是：本年业务减少，使用公务用车频次减少，公务用车运行经费减少。公务接待费支出0.00万元，占0.00%，比上年增加0.00万元，增长0.00%，主要原因是：2023年与2024年均未安排公务接待费支出。</w:t>
      </w:r>
    </w:p>
    <w:p w14:paraId="055F8C5F">
      <w:pPr>
        <w:spacing w:line="580" w:lineRule="exact"/>
        <w:ind w:firstLine="640"/>
        <w:jc w:val="both"/>
      </w:pPr>
      <w:r>
        <w:rPr>
          <w:rFonts w:ascii="仿宋_GB2312" w:hAnsi="仿宋_GB2312" w:eastAsia="仿宋_GB2312"/>
          <w:b/>
          <w:sz w:val="32"/>
        </w:rPr>
        <w:t>具体情况如下：</w:t>
      </w:r>
    </w:p>
    <w:p w14:paraId="3717A43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75B6FC0">
      <w:pPr>
        <w:spacing w:line="580" w:lineRule="exact"/>
        <w:ind w:firstLine="640"/>
        <w:jc w:val="both"/>
      </w:pPr>
      <w:r>
        <w:rPr>
          <w:rFonts w:ascii="仿宋_GB2312" w:hAnsi="仿宋_GB2312" w:eastAsia="仿宋_GB2312"/>
          <w:b w:val="0"/>
          <w:sz w:val="32"/>
        </w:rPr>
        <w:t>公务用车购置及运行维护费0.81万元，其中：公务用车购置费0.00万元，公务用车运行维护费0.81万元。公务用车运行维护费开支内容包括车辆保险费、审车费、过路费。公务用车购置数0辆，公务用车保有量2辆。国有资产占用情况中固定资产车辆2辆，与公务用车保有量差异原因是：本单位固定资产车辆与公务用车保有量一致无差异。</w:t>
      </w:r>
    </w:p>
    <w:p w14:paraId="2D3C68E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B52F8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0.81万元，预决算差异率-85.54%，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0.81万元，预决算差异率-85.54%，主要原因是：严格落实中央八项规定精神，厉行节约，减少公务用车使用频次，燃油费减少。公务接待费全年预算数0.00万元，决算数0.00万元，预决算差异率0.00%，主要原因是：本单位无公务接待费。</w:t>
      </w:r>
    </w:p>
    <w:p w14:paraId="4E3336F0">
      <w:pPr>
        <w:spacing w:line="640" w:lineRule="exact"/>
        <w:ind w:firstLine="640"/>
        <w:jc w:val="both"/>
        <w:outlineLvl w:val="2"/>
      </w:pPr>
      <w:r>
        <w:rPr>
          <w:rFonts w:ascii="黑体" w:hAnsi="黑体" w:eastAsia="黑体"/>
          <w:sz w:val="32"/>
        </w:rPr>
        <w:t>十、其他重要事项的情况说明</w:t>
      </w:r>
    </w:p>
    <w:p w14:paraId="033F6903">
      <w:pPr>
        <w:spacing w:line="640" w:lineRule="exact"/>
        <w:ind w:firstLine="640"/>
        <w:jc w:val="both"/>
        <w:outlineLvl w:val="3"/>
      </w:pPr>
      <w:r>
        <w:rPr>
          <w:rFonts w:ascii="楷体_GB2312" w:hAnsi="楷体_GB2312" w:eastAsia="楷体_GB2312"/>
          <w:b/>
          <w:sz w:val="32"/>
        </w:rPr>
        <w:t>（一）机关运行经费及公用经费支出情况</w:t>
      </w:r>
    </w:p>
    <w:p w14:paraId="18DBD59B">
      <w:pPr>
        <w:spacing w:line="580" w:lineRule="exact"/>
        <w:ind w:firstLine="640"/>
        <w:jc w:val="both"/>
      </w:pPr>
      <w:r>
        <w:rPr>
          <w:rFonts w:ascii="仿宋_GB2312" w:hAnsi="仿宋_GB2312" w:eastAsia="仿宋_GB2312"/>
          <w:b w:val="0"/>
          <w:sz w:val="32"/>
        </w:rPr>
        <w:t>2024年度新疆巴音布鲁克国家级自然保护区管理局（事业单位）公用经费支出6.47万元，比上年减少7.41万元，下降53.39%，主要原因是：本年减少办公费、培训费、取暖费、公务用车运行费等经费，公用经费支出减少。</w:t>
      </w:r>
    </w:p>
    <w:p w14:paraId="237E6EE9">
      <w:pPr>
        <w:spacing w:line="640" w:lineRule="exact"/>
        <w:ind w:firstLine="640"/>
        <w:jc w:val="both"/>
        <w:outlineLvl w:val="3"/>
      </w:pPr>
      <w:r>
        <w:rPr>
          <w:rFonts w:ascii="楷体_GB2312" w:hAnsi="楷体_GB2312" w:eastAsia="楷体_GB2312"/>
          <w:b/>
          <w:sz w:val="32"/>
        </w:rPr>
        <w:t>（二）政府采购情况</w:t>
      </w:r>
    </w:p>
    <w:p w14:paraId="31406527">
      <w:pPr>
        <w:spacing w:line="580" w:lineRule="exact"/>
        <w:ind w:firstLine="640"/>
        <w:jc w:val="both"/>
      </w:pPr>
      <w:r>
        <w:rPr>
          <w:rFonts w:ascii="仿宋_GB2312" w:hAnsi="仿宋_GB2312" w:eastAsia="仿宋_GB2312"/>
          <w:b w:val="0"/>
          <w:sz w:val="32"/>
        </w:rPr>
        <w:t>2024年度政府采购支出总额95.75万元，其中：政府采购货物支出0.00万元、政府采购工程支出94.99万元、政府采购服务支出0.76万元。</w:t>
      </w:r>
    </w:p>
    <w:p w14:paraId="0738EA55">
      <w:pPr>
        <w:spacing w:line="580" w:lineRule="exact"/>
        <w:ind w:firstLine="640"/>
        <w:jc w:val="both"/>
      </w:pPr>
      <w:r>
        <w:rPr>
          <w:rFonts w:ascii="仿宋_GB2312" w:hAnsi="仿宋_GB2312" w:eastAsia="仿宋_GB2312"/>
          <w:b w:val="0"/>
          <w:sz w:val="32"/>
        </w:rPr>
        <w:t>授予中小企业合同金额95.26万元，占政府采购支出总额的99.49%，其中：授予小微企业合同金额95.26万元，占政府采购支出总额的99.49%。</w:t>
      </w:r>
    </w:p>
    <w:p w14:paraId="12E92338">
      <w:pPr>
        <w:spacing w:line="640" w:lineRule="exact"/>
        <w:ind w:firstLine="640"/>
        <w:jc w:val="both"/>
        <w:outlineLvl w:val="3"/>
      </w:pPr>
      <w:r>
        <w:rPr>
          <w:rFonts w:ascii="楷体_GB2312" w:hAnsi="楷体_GB2312" w:eastAsia="楷体_GB2312"/>
          <w:b/>
          <w:sz w:val="32"/>
        </w:rPr>
        <w:t>（三）国有资产占用情况说明</w:t>
      </w:r>
    </w:p>
    <w:p w14:paraId="505D2C04">
      <w:pPr>
        <w:spacing w:line="580" w:lineRule="exact"/>
        <w:ind w:firstLine="640"/>
        <w:jc w:val="both"/>
      </w:pPr>
      <w:r>
        <w:rPr>
          <w:rFonts w:ascii="仿宋_GB2312" w:hAnsi="仿宋_GB2312" w:eastAsia="仿宋_GB2312"/>
          <w:b w:val="0"/>
          <w:sz w:val="32"/>
        </w:rPr>
        <w:t>截至2024年12月31日，房屋0.00平方米，价值0.00万元。车辆2辆，价值44.03万元，其中：副部（省）级及以上领导用车0辆、主要负责人用车0辆、机要通信用车0辆、应急保障用车0辆、执法执勤用车2辆、特种专业技术用车0辆、离退休干部服务用车0辆、其他用车0辆，其他用车主要是：本单位无其他用车。单价100万元（含）以上设备（不含车辆）1台（套）。</w:t>
      </w:r>
    </w:p>
    <w:p w14:paraId="5322AD2D">
      <w:pPr>
        <w:spacing w:line="640" w:lineRule="exact"/>
        <w:ind w:firstLine="640"/>
        <w:jc w:val="both"/>
        <w:outlineLvl w:val="2"/>
      </w:pPr>
      <w:r>
        <w:rPr>
          <w:rFonts w:ascii="黑体" w:hAnsi="黑体" w:eastAsia="黑体"/>
          <w:sz w:val="32"/>
        </w:rPr>
        <w:t>十一、预算绩效的情况说明</w:t>
      </w:r>
    </w:p>
    <w:p w14:paraId="3FDD761B">
      <w:pPr>
        <w:spacing w:line="580" w:lineRule="exact"/>
        <w:ind w:firstLine="640"/>
        <w:jc w:val="both"/>
      </w:pPr>
      <w:r>
        <w:rPr>
          <w:rFonts w:ascii="仿宋_GB2312" w:hAnsi="仿宋_GB2312" w:eastAsia="仿宋_GB2312"/>
          <w:b w:val="0"/>
          <w:sz w:val="32"/>
        </w:rPr>
        <w:t>根据预算绩效管理要求，本单位预算绩效评价项目1个，全年预算数136.80万元，全年执行数131.98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项目支出绩效自评表。</w:t>
      </w:r>
    </w:p>
    <w:p w14:paraId="1577618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1739CC20">
        <w:tblPrEx>
          <w:tblCellMar>
            <w:top w:w="0" w:type="dxa"/>
            <w:left w:w="108" w:type="dxa"/>
            <w:bottom w:w="0" w:type="dxa"/>
            <w:right w:w="108" w:type="dxa"/>
          </w:tblCellMar>
        </w:tblPrEx>
        <w:tc>
          <w:tcPr>
            <w:tcW w:w="8848" w:type="dxa"/>
            <w:gridSpan w:val="14"/>
            <w:vAlign w:val="center"/>
          </w:tcPr>
          <w:p w14:paraId="41BBEAD3">
            <w:pPr>
              <w:jc w:val="center"/>
            </w:pPr>
            <w:r>
              <w:rPr>
                <w:rFonts w:ascii="宋体" w:hAnsi="宋体" w:eastAsia="宋体"/>
                <w:sz w:val="24"/>
              </w:rPr>
              <w:t>项目支出绩效自评表</w:t>
            </w:r>
          </w:p>
        </w:tc>
      </w:tr>
      <w:tr w14:paraId="221F1C38">
        <w:tblPrEx>
          <w:tblCellMar>
            <w:top w:w="0" w:type="dxa"/>
            <w:left w:w="108" w:type="dxa"/>
            <w:bottom w:w="0" w:type="dxa"/>
            <w:right w:w="108" w:type="dxa"/>
          </w:tblCellMar>
        </w:tblPrEx>
        <w:tc>
          <w:tcPr>
            <w:tcW w:w="8848" w:type="dxa"/>
            <w:gridSpan w:val="14"/>
            <w:vAlign w:val="center"/>
          </w:tcPr>
          <w:p w14:paraId="02E280F3">
            <w:pPr>
              <w:jc w:val="center"/>
            </w:pPr>
            <w:r>
              <w:rPr>
                <w:rFonts w:ascii="宋体" w:hAnsi="宋体" w:eastAsia="宋体"/>
                <w:sz w:val="24"/>
              </w:rPr>
              <w:t>(2024年度)</w:t>
            </w:r>
          </w:p>
        </w:tc>
      </w:tr>
      <w:tr w14:paraId="37E9D7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42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8B2FEC">
            <w:pPr>
              <w:jc w:val="center"/>
            </w:pPr>
            <w:r>
              <w:rPr>
                <w:rFonts w:ascii="宋体" w:hAnsi="宋体" w:eastAsia="宋体"/>
                <w:sz w:val="16"/>
              </w:rPr>
              <w:t>2023年中央林业草原生态保护恢复资金(上年结转)</w:t>
            </w:r>
          </w:p>
        </w:tc>
      </w:tr>
      <w:tr w14:paraId="292A95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FD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FE38F">
            <w:pPr>
              <w:jc w:val="center"/>
            </w:pPr>
            <w:r>
              <w:rPr>
                <w:rFonts w:ascii="宋体" w:hAnsi="宋体" w:eastAsia="宋体"/>
                <w:sz w:val="16"/>
              </w:rPr>
              <w:t>新疆巴音布鲁克国家级自然保护区管理局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C1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EC2B0B">
            <w:pPr>
              <w:jc w:val="center"/>
            </w:pPr>
            <w:r>
              <w:rPr>
                <w:rFonts w:ascii="宋体" w:hAnsi="宋体" w:eastAsia="宋体"/>
                <w:sz w:val="16"/>
              </w:rPr>
              <w:t>新疆巴音布鲁克国家级自然保护区管理局</w:t>
            </w:r>
          </w:p>
        </w:tc>
      </w:tr>
      <w:tr w14:paraId="5196D5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9779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25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467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5C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E26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C922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C10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3AE3">
            <w:pPr>
              <w:jc w:val="center"/>
            </w:pPr>
            <w:r>
              <w:rPr>
                <w:rFonts w:ascii="宋体" w:hAnsi="宋体" w:eastAsia="宋体"/>
                <w:sz w:val="16"/>
              </w:rPr>
              <w:t>得分</w:t>
            </w:r>
          </w:p>
        </w:tc>
      </w:tr>
      <w:tr w14:paraId="3735B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215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A4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000F">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E13F">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3FCE7">
            <w:pPr>
              <w:jc w:val="center"/>
            </w:pPr>
            <w:r>
              <w:rPr>
                <w:rFonts w:ascii="宋体" w:hAnsi="宋体" w:eastAsia="宋体"/>
                <w:sz w:val="16"/>
              </w:rPr>
              <w:t>131.98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3B1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5A0FA">
            <w:pPr>
              <w:jc w:val="center"/>
            </w:pPr>
            <w:r>
              <w:rPr>
                <w:rFonts w:ascii="宋体" w:hAnsi="宋体" w:eastAsia="宋体"/>
                <w:sz w:val="16"/>
              </w:rPr>
              <w:t>96.48%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0C72">
            <w:pPr>
              <w:jc w:val="center"/>
            </w:pPr>
            <w:r>
              <w:rPr>
                <w:rFonts w:ascii="宋体" w:hAnsi="宋体" w:eastAsia="宋体"/>
                <w:sz w:val="16"/>
              </w:rPr>
              <w:t>9.12</w:t>
            </w:r>
          </w:p>
        </w:tc>
      </w:tr>
      <w:tr w14:paraId="46346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2B6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772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ACD05">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A7CBA">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9770F">
            <w:pPr>
              <w:jc w:val="center"/>
            </w:pPr>
            <w:r>
              <w:rPr>
                <w:rFonts w:ascii="宋体" w:hAnsi="宋体" w:eastAsia="宋体"/>
                <w:sz w:val="16"/>
              </w:rPr>
              <w:t>131.98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D1F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B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2A6A">
            <w:pPr>
              <w:jc w:val="center"/>
            </w:pPr>
            <w:r>
              <w:rPr>
                <w:rFonts w:ascii="宋体" w:hAnsi="宋体" w:eastAsia="宋体"/>
                <w:sz w:val="16"/>
              </w:rPr>
              <w:t>-</w:t>
            </w:r>
          </w:p>
        </w:tc>
      </w:tr>
      <w:tr w14:paraId="199B2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A1A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D0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10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AF2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23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5E3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7D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B5C8">
            <w:pPr>
              <w:jc w:val="center"/>
            </w:pPr>
            <w:r>
              <w:rPr>
                <w:rFonts w:ascii="宋体" w:hAnsi="宋体" w:eastAsia="宋体"/>
                <w:sz w:val="16"/>
              </w:rPr>
              <w:t>-</w:t>
            </w:r>
          </w:p>
        </w:tc>
      </w:tr>
      <w:tr w14:paraId="678C5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41F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192C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82351">
            <w:pPr>
              <w:jc w:val="center"/>
            </w:pPr>
            <w:r>
              <w:rPr>
                <w:rFonts w:ascii="宋体" w:hAnsi="宋体" w:eastAsia="宋体"/>
                <w:sz w:val="16"/>
              </w:rPr>
              <w:t>总体目标完成情况</w:t>
            </w:r>
          </w:p>
        </w:tc>
      </w:tr>
      <w:tr w14:paraId="2642F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F9B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B9229">
            <w:pPr>
              <w:jc w:val="both"/>
            </w:pPr>
            <w:r>
              <w:rPr>
                <w:rFonts w:ascii="宋体" w:hAnsi="宋体" w:eastAsia="宋体"/>
                <w:sz w:val="16"/>
              </w:rPr>
              <w:t>通过中心管护站修缮、聘用管护巡护人员、巡护设施维护等措施，加强保护区的管护工作，促进保护区管护事业健康发展</w:t>
            </w:r>
            <w:r>
              <w:rPr>
                <w:rFonts w:hint="eastAsia" w:ascii="宋体" w:hAnsi="宋体"/>
                <w:sz w:val="16"/>
                <w:lang w:eastAsia="zh-CN"/>
              </w:rPr>
              <w:t>；</w:t>
            </w:r>
            <w:r>
              <w:rPr>
                <w:rFonts w:ascii="宋体" w:hAnsi="宋体" w:eastAsia="宋体"/>
                <w:sz w:val="16"/>
              </w:rPr>
              <w:t>对国家级自然保护区开展一次生态环境保护成效评估，基本摸清国家级自然保护区生态环境状况和生态环境变化情况，建立自然保护区生态环境保护成效评估数据库和工作台账。推动建立各级各类自然保护地多尺度生态环境监测和评估体系，逐步规范自然保护地生态环境保护成效评估工作。进一步完善自然保护地生态环境保护成效评估标准体系强化生态环境部在新形势下的生态环境监管职能。进一步提升巴音布鲁克国家级自然保护区管理局的能力和保护成效。实施该项目，用于中心站维修1项，编制保护区生态环境保护成效评估报告1项，聘用10名巡护人员等支出，改善保护区中心</w:t>
            </w:r>
            <w:r>
              <w:rPr>
                <w:rFonts w:hint="eastAsia" w:ascii="宋体" w:hAnsi="宋体"/>
                <w:sz w:val="16"/>
                <w:lang w:eastAsia="zh-CN"/>
              </w:rPr>
              <w:t>管护</w:t>
            </w:r>
            <w:r>
              <w:rPr>
                <w:rFonts w:ascii="宋体" w:hAnsi="宋体" w:eastAsia="宋体"/>
                <w:sz w:val="16"/>
              </w:rPr>
              <w:t>站日常工作、生活需求，提升自然保护区视频监控和生态监测平台预警能力和巡护效率，保证巡护队伍的稳定，进一步提升保护区管理能力和保护成效。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A0A47C">
            <w:pPr>
              <w:jc w:val="both"/>
            </w:pPr>
            <w:r>
              <w:rPr>
                <w:rFonts w:ascii="宋体" w:hAnsi="宋体" w:eastAsia="宋体"/>
                <w:sz w:val="16"/>
              </w:rPr>
              <w:t>通过中心管护站修缮、聘用管护巡护人员、巡护设施维护等措施，加强保护区的管护工作，促进保护区管护事业健康发展</w:t>
            </w:r>
            <w:r>
              <w:rPr>
                <w:rFonts w:hint="eastAsia" w:ascii="宋体" w:hAnsi="宋体"/>
                <w:sz w:val="16"/>
                <w:lang w:eastAsia="zh-CN"/>
              </w:rPr>
              <w:t>；</w:t>
            </w:r>
            <w:r>
              <w:rPr>
                <w:rFonts w:ascii="宋体" w:hAnsi="宋体" w:eastAsia="宋体"/>
                <w:sz w:val="16"/>
              </w:rPr>
              <w:t>对国家级自然保护区开展一次生态环境保护成效评估，基本摸清国家级自然保护区生态环境状况和生态环境变化情况，建立自然保护区生态环境保护成效评估数据库和工作台账。推动建立各级各类自然保护地多尺度生态环境监测和评估体系，逐步规范自然保护地生态环境保护成效评估工作。进一步完善自然保护地生态环境保护成效评估标准体系强化生态环境部在新形势下的生态环境监管职能。进一步提升巴音布鲁克国家级自然保护区管理局的能力和保护成效。实施该项目，用于中心站维修1项，编制保护区生态环境保护成效评估报告1项，聘用11名巡护人员等支出，改善保护区中心</w:t>
            </w:r>
            <w:r>
              <w:rPr>
                <w:rFonts w:hint="eastAsia" w:ascii="宋体" w:hAnsi="宋体"/>
                <w:sz w:val="16"/>
                <w:lang w:eastAsia="zh-CN"/>
              </w:rPr>
              <w:t>管护</w:t>
            </w:r>
            <w:r>
              <w:rPr>
                <w:rFonts w:ascii="宋体" w:hAnsi="宋体" w:eastAsia="宋体"/>
                <w:sz w:val="16"/>
              </w:rPr>
              <w:t>站日常工作、生活需求，提升自然保护区视频监控和生态监测平台预警能力和巡护效率，保证巡护队伍的稳定，进一步提升保护区管理能力和保护成效。</w:t>
            </w:r>
          </w:p>
        </w:tc>
      </w:tr>
      <w:tr w14:paraId="61035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6F2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B0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8E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DC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B94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8B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79F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514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71D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7C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F79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56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A3D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08D4">
            <w:pPr>
              <w:jc w:val="center"/>
            </w:pPr>
            <w:r>
              <w:rPr>
                <w:rFonts w:ascii="宋体" w:hAnsi="宋体" w:eastAsia="宋体"/>
                <w:sz w:val="16"/>
              </w:rPr>
              <w:t>偏差原因分析及改进措施</w:t>
            </w:r>
          </w:p>
        </w:tc>
      </w:tr>
      <w:tr w14:paraId="2FFE1F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F4D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383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7FB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507A">
            <w:pPr>
              <w:jc w:val="center"/>
            </w:pPr>
            <w:r>
              <w:rPr>
                <w:rFonts w:ascii="宋体" w:hAnsi="宋体" w:eastAsia="宋体"/>
                <w:sz w:val="16"/>
              </w:rPr>
              <w:t>中心站维修数量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AE6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5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F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2C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3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15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68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7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54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32E2">
            <w:pPr>
              <w:jc w:val="center"/>
            </w:pPr>
          </w:p>
        </w:tc>
      </w:tr>
      <w:tr w14:paraId="697A3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F7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62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6D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9FEE">
            <w:pPr>
              <w:jc w:val="center"/>
            </w:pPr>
            <w:r>
              <w:rPr>
                <w:rFonts w:ascii="宋体" w:hAnsi="宋体" w:eastAsia="宋体"/>
                <w:sz w:val="16"/>
              </w:rPr>
              <w:t>保护区生态环境保护成效评估报告数量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C8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B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4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19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1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F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A8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5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C2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2254">
            <w:pPr>
              <w:jc w:val="center"/>
            </w:pPr>
          </w:p>
        </w:tc>
      </w:tr>
      <w:tr w14:paraId="41725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84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0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0D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328A">
            <w:pPr>
              <w:jc w:val="center"/>
            </w:pPr>
            <w:r>
              <w:rPr>
                <w:rFonts w:ascii="宋体" w:hAnsi="宋体" w:eastAsia="宋体"/>
                <w:sz w:val="16"/>
              </w:rPr>
              <w:t>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DF44">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8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5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73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7B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F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345D">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112E">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E73C">
            <w:pPr>
              <w:jc w:val="center"/>
            </w:pPr>
            <w:r>
              <w:rPr>
                <w:rFonts w:ascii="宋体" w:hAnsi="宋体" w:eastAsia="宋体"/>
                <w:sz w:val="16"/>
              </w:rPr>
              <w:t>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E436">
            <w:pPr>
              <w:jc w:val="center"/>
            </w:pPr>
          </w:p>
        </w:tc>
      </w:tr>
      <w:tr w14:paraId="41D02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A5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1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CD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55BE">
            <w:pPr>
              <w:jc w:val="center"/>
            </w:pPr>
            <w:r>
              <w:rPr>
                <w:rFonts w:ascii="宋体" w:hAnsi="宋体" w:eastAsia="宋体"/>
                <w:sz w:val="16"/>
              </w:rPr>
              <w:t>巡护人员工资发放次数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F07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8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A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86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1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E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9EED">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A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EB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B2CC">
            <w:pPr>
              <w:jc w:val="center"/>
            </w:pPr>
          </w:p>
        </w:tc>
      </w:tr>
      <w:tr w14:paraId="403E1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5F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54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30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1972">
            <w:pPr>
              <w:jc w:val="center"/>
            </w:pPr>
            <w:r>
              <w:rPr>
                <w:rFonts w:ascii="宋体" w:hAnsi="宋体" w:eastAsia="宋体"/>
                <w:sz w:val="16"/>
              </w:rPr>
              <w:t>保障日常巡护管理人数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3A6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C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F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ED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2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B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4788">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6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88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7692">
            <w:pPr>
              <w:jc w:val="center"/>
            </w:pPr>
          </w:p>
        </w:tc>
      </w:tr>
      <w:tr w14:paraId="7A9DD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E4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5A4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7E6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5133">
            <w:pPr>
              <w:jc w:val="center"/>
            </w:pPr>
            <w:r>
              <w:rPr>
                <w:rFonts w:ascii="宋体" w:hAnsi="宋体" w:eastAsia="宋体"/>
                <w:sz w:val="16"/>
              </w:rPr>
              <w:t>中心站维修竣工验收合格率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09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AB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62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50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1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A7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8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A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59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7DBC">
            <w:pPr>
              <w:jc w:val="center"/>
            </w:pPr>
            <w:r>
              <w:rPr>
                <w:rFonts w:ascii="宋体" w:hAnsi="宋体" w:eastAsia="宋体"/>
                <w:sz w:val="16"/>
              </w:rPr>
              <w:t>巴音布鲁克山区施工时间短，还剩最后一点结尾工程以及验收维修费用，待项目验收结束，按质保金要求于2025年支付完成。</w:t>
            </w:r>
          </w:p>
        </w:tc>
      </w:tr>
      <w:tr w14:paraId="19103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DD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07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37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53F7">
            <w:pPr>
              <w:jc w:val="center"/>
            </w:pPr>
            <w:r>
              <w:rPr>
                <w:rFonts w:ascii="宋体" w:hAnsi="宋体" w:eastAsia="宋体"/>
                <w:sz w:val="16"/>
              </w:rPr>
              <w:t>保护区生态环境保护成效评估报告编制合格率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C7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A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8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A4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0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3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8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5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B1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BCEB">
            <w:pPr>
              <w:jc w:val="center"/>
            </w:pPr>
          </w:p>
        </w:tc>
      </w:tr>
      <w:tr w14:paraId="477E8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83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A4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2E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9D35">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4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2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8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58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9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3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C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6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2C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67F9">
            <w:pPr>
              <w:jc w:val="center"/>
            </w:pPr>
          </w:p>
        </w:tc>
      </w:tr>
      <w:tr w14:paraId="15A1D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BC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0F2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7F0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FC20">
            <w:pPr>
              <w:jc w:val="center"/>
            </w:pPr>
            <w:r>
              <w:rPr>
                <w:rFonts w:ascii="宋体" w:hAnsi="宋体" w:eastAsia="宋体"/>
                <w:sz w:val="16"/>
              </w:rPr>
              <w:t>中心站维修完成时间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59EF">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3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EA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17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6C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1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8138">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BA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1F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3E26">
            <w:pPr>
              <w:jc w:val="center"/>
            </w:pPr>
            <w:r>
              <w:rPr>
                <w:rFonts w:ascii="宋体" w:hAnsi="宋体" w:eastAsia="宋体"/>
                <w:sz w:val="16"/>
              </w:rPr>
              <w:t>因该项目施工地点在高山、高寒地区项目地区，导致项目完成较晚。</w:t>
            </w:r>
          </w:p>
        </w:tc>
      </w:tr>
      <w:tr w14:paraId="37F18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EC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4F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4B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8E3F">
            <w:pPr>
              <w:jc w:val="center"/>
            </w:pPr>
            <w:r>
              <w:rPr>
                <w:rFonts w:ascii="宋体" w:hAnsi="宋体" w:eastAsia="宋体"/>
                <w:sz w:val="16"/>
              </w:rPr>
              <w:t>保护区生态环境保护成效评估报告编制完成时间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EDFB">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F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5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44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B8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57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1AA2">
            <w:pPr>
              <w:jc w:val="center"/>
            </w:pPr>
            <w:r>
              <w:rPr>
                <w:rFonts w:ascii="宋体" w:hAnsi="宋体" w:eastAsia="宋体"/>
                <w:sz w:val="16"/>
              </w:rPr>
              <w:t>=2024年9月22日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3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81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6908">
            <w:pPr>
              <w:jc w:val="center"/>
            </w:pPr>
          </w:p>
        </w:tc>
      </w:tr>
      <w:tr w14:paraId="45361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02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3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F7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478E">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D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1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B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CD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5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03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6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D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80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F13B">
            <w:pPr>
              <w:jc w:val="center"/>
            </w:pPr>
          </w:p>
        </w:tc>
      </w:tr>
      <w:tr w14:paraId="4540F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F0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CB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C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FB30">
            <w:pPr>
              <w:jc w:val="center"/>
            </w:pPr>
            <w:r>
              <w:rPr>
                <w:rFonts w:ascii="宋体" w:hAnsi="宋体" w:eastAsia="宋体"/>
                <w:sz w:val="16"/>
              </w:rPr>
              <w:t>日常巡护管理费用支出及时率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10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8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60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7A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C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EC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3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9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32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C495">
            <w:pPr>
              <w:jc w:val="center"/>
            </w:pPr>
          </w:p>
        </w:tc>
      </w:tr>
      <w:tr w14:paraId="64E10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DE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CC4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F1D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374D">
            <w:pPr>
              <w:jc w:val="center"/>
            </w:pPr>
            <w:r>
              <w:rPr>
                <w:rFonts w:ascii="宋体" w:hAnsi="宋体" w:eastAsia="宋体"/>
                <w:sz w:val="16"/>
              </w:rPr>
              <w:t>中心站维修费用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C102">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4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4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60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D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16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EB3A">
            <w:pPr>
              <w:jc w:val="center"/>
            </w:pPr>
            <w:r>
              <w:rPr>
                <w:rFonts w:ascii="宋体" w:hAnsi="宋体" w:eastAsia="宋体"/>
                <w:sz w:val="16"/>
              </w:rPr>
              <w:t>=98.18万元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9AD8">
            <w:pPr>
              <w:jc w:val="center"/>
            </w:pPr>
            <w:r>
              <w:rPr>
                <w:rFonts w:ascii="宋体" w:hAnsi="宋体" w:eastAsia="宋体"/>
                <w:sz w:val="16"/>
              </w:rPr>
              <w:t>98.18%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E3D8">
            <w:pPr>
              <w:jc w:val="center"/>
            </w:pPr>
            <w:r>
              <w:rPr>
                <w:rFonts w:ascii="宋体" w:hAnsi="宋体" w:eastAsia="宋体"/>
                <w:sz w:val="16"/>
              </w:rPr>
              <w:t>4.77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1338">
            <w:pPr>
              <w:jc w:val="center"/>
            </w:pPr>
            <w:r>
              <w:rPr>
                <w:rFonts w:ascii="宋体" w:hAnsi="宋体" w:eastAsia="宋体"/>
                <w:sz w:val="16"/>
              </w:rPr>
              <w:t>中心站维修招标有结余，加强资金管理。</w:t>
            </w:r>
          </w:p>
        </w:tc>
      </w:tr>
      <w:tr w14:paraId="4F67D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43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38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55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11F7">
            <w:pPr>
              <w:jc w:val="center"/>
            </w:pPr>
            <w:r>
              <w:rPr>
                <w:rFonts w:ascii="宋体" w:hAnsi="宋体" w:eastAsia="宋体"/>
                <w:sz w:val="16"/>
              </w:rPr>
              <w:t>保护区生态环境保护成效评估报告费用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6256">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D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7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62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E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6B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B659">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B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7F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E60D">
            <w:pPr>
              <w:jc w:val="center"/>
            </w:pPr>
          </w:p>
        </w:tc>
      </w:tr>
      <w:tr w14:paraId="05AE7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25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E9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275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EFD9">
            <w:pPr>
              <w:jc w:val="center"/>
            </w:pPr>
            <w:r>
              <w:rPr>
                <w:rFonts w:ascii="宋体" w:hAnsi="宋体" w:eastAsia="宋体"/>
                <w:sz w:val="16"/>
              </w:rPr>
              <w:t>巡护人员费用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9A5F">
            <w:pPr>
              <w:jc w:val="center"/>
            </w:pPr>
            <w:r>
              <w:rPr>
                <w:rFonts w:ascii="宋体" w:hAnsi="宋体" w:eastAsia="宋体"/>
                <w:sz w:val="16"/>
              </w:rPr>
              <w:t>&lt;=10.30万元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B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9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77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4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17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B11D">
            <w:pPr>
              <w:jc w:val="center"/>
            </w:pPr>
            <w:r>
              <w:rPr>
                <w:rFonts w:ascii="宋体" w:hAnsi="宋体" w:eastAsia="宋体"/>
                <w:sz w:val="16"/>
              </w:rPr>
              <w:t>=10.3万元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9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9C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4480">
            <w:pPr>
              <w:jc w:val="center"/>
            </w:pPr>
          </w:p>
        </w:tc>
      </w:tr>
      <w:tr w14:paraId="4C970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24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F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BE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B678">
            <w:pPr>
              <w:jc w:val="center"/>
            </w:pPr>
            <w:r>
              <w:rPr>
                <w:rFonts w:ascii="宋体" w:hAnsi="宋体" w:eastAsia="宋体"/>
                <w:sz w:val="16"/>
              </w:rPr>
              <w:t>日常巡护管理费用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83AD">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B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5C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7D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6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3D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D9B3">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5B55">
            <w:pPr>
              <w:jc w:val="center"/>
            </w:pPr>
            <w:r>
              <w:rPr>
                <w:rFonts w:ascii="宋体" w:hAnsi="宋体" w:eastAsia="宋体"/>
                <w:sz w:val="16"/>
              </w:rPr>
              <w:t>53.84%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68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7867">
            <w:pPr>
              <w:jc w:val="center"/>
            </w:pPr>
            <w:r>
              <w:rPr>
                <w:rFonts w:ascii="宋体" w:hAnsi="宋体" w:eastAsia="宋体"/>
                <w:sz w:val="16"/>
              </w:rPr>
              <w:t>因机构改革车辆费用未支出，资金年底财政收回</w:t>
            </w:r>
          </w:p>
        </w:tc>
      </w:tr>
      <w:tr w14:paraId="38D26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F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FA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75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0FA2">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F1A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2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4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F0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FA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CD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7D78">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B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12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E6F9">
            <w:pPr>
              <w:jc w:val="center"/>
            </w:pPr>
          </w:p>
        </w:tc>
      </w:tr>
      <w:tr w14:paraId="505BA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30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44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84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870C">
            <w:pPr>
              <w:jc w:val="center"/>
            </w:pPr>
            <w:r>
              <w:rPr>
                <w:rFonts w:ascii="宋体" w:hAnsi="宋体" w:eastAsia="宋体"/>
                <w:sz w:val="16"/>
              </w:rPr>
              <w:t>保护区内居民及周边社区群众满意度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42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6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D9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6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86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A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55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9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E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3D7A">
            <w:pPr>
              <w:jc w:val="center"/>
            </w:pPr>
          </w:p>
        </w:tc>
      </w:tr>
      <w:tr w14:paraId="576726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DF5D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FE6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53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14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1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EE5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BA16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9E3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65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F5D7">
            <w:pPr>
              <w:jc w:val="center"/>
            </w:pPr>
            <w:r>
              <w:rPr>
                <w:rFonts w:ascii="宋体" w:hAnsi="宋体" w:eastAsia="宋体"/>
                <w:sz w:val="16"/>
              </w:rPr>
              <w:t>90.49分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0214C"/>
        </w:tc>
      </w:tr>
    </w:tbl>
    <w:p w14:paraId="00F6576E">
      <w:r>
        <w:br w:type="page"/>
      </w:r>
    </w:p>
    <w:p w14:paraId="5D6EA984">
      <w:pPr>
        <w:spacing w:line="640" w:lineRule="exact"/>
        <w:ind w:firstLine="640"/>
        <w:jc w:val="both"/>
        <w:outlineLvl w:val="2"/>
      </w:pPr>
      <w:r>
        <w:rPr>
          <w:rFonts w:ascii="黑体" w:hAnsi="黑体" w:eastAsia="黑体"/>
          <w:sz w:val="32"/>
        </w:rPr>
        <w:t>十二、其他需说明的事项</w:t>
      </w:r>
    </w:p>
    <w:p w14:paraId="7CFDB5FE">
      <w:pPr>
        <w:spacing w:line="580" w:lineRule="exact"/>
        <w:ind w:firstLine="640"/>
        <w:jc w:val="both"/>
      </w:pPr>
      <w:r>
        <w:rPr>
          <w:rFonts w:ascii="仿宋_GB2312" w:hAnsi="仿宋_GB2312" w:eastAsia="仿宋_GB2312"/>
          <w:b w:val="0"/>
          <w:sz w:val="32"/>
        </w:rPr>
        <w:t>本年度本单位整体绩效自评表由主管部门编报并公开。</w:t>
      </w:r>
    </w:p>
    <w:p w14:paraId="1736C89C">
      <w:r>
        <w:br w:type="page"/>
      </w:r>
      <w:bookmarkStart w:id="0" w:name="_GoBack"/>
      <w:bookmarkEnd w:id="0"/>
    </w:p>
    <w:p w14:paraId="00B8B653">
      <w:pPr>
        <w:spacing w:line="240" w:lineRule="auto"/>
        <w:jc w:val="center"/>
        <w:outlineLvl w:val="1"/>
      </w:pPr>
      <w:r>
        <w:rPr>
          <w:rFonts w:ascii="黑体" w:hAnsi="黑体" w:eastAsia="黑体"/>
          <w:sz w:val="32"/>
        </w:rPr>
        <w:t>第三部分 专业名词解释</w:t>
      </w:r>
    </w:p>
    <w:p w14:paraId="5AC5A90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49C05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BB4DB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8A909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2B56E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A7E7B1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729E6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7FCB6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CB8A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2A2C5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43BC5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33E597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842540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3FB34B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29953C">
      <w:r>
        <w:br w:type="page"/>
      </w:r>
    </w:p>
    <w:p w14:paraId="7483A98C">
      <w:pPr>
        <w:spacing w:line="240" w:lineRule="auto"/>
        <w:jc w:val="center"/>
        <w:outlineLvl w:val="1"/>
      </w:pPr>
      <w:r>
        <w:rPr>
          <w:rFonts w:ascii="黑体" w:hAnsi="黑体" w:eastAsia="黑体"/>
          <w:sz w:val="32"/>
        </w:rPr>
        <w:t>第四部分 部门决算报表（见附表）</w:t>
      </w:r>
    </w:p>
    <w:p w14:paraId="13214938">
      <w:pPr>
        <w:spacing w:line="240" w:lineRule="auto"/>
        <w:ind w:firstLine="640"/>
        <w:jc w:val="both"/>
      </w:pPr>
      <w:r>
        <w:rPr>
          <w:rFonts w:ascii="仿宋_GB2312" w:hAnsi="仿宋_GB2312" w:eastAsia="仿宋_GB2312"/>
          <w:b w:val="0"/>
          <w:sz w:val="32"/>
        </w:rPr>
        <w:t>一、《收入支出决算总表》</w:t>
      </w:r>
    </w:p>
    <w:p w14:paraId="4779F20E">
      <w:pPr>
        <w:spacing w:line="240" w:lineRule="auto"/>
        <w:ind w:firstLine="640"/>
        <w:jc w:val="both"/>
      </w:pPr>
      <w:r>
        <w:rPr>
          <w:rFonts w:ascii="仿宋_GB2312" w:hAnsi="仿宋_GB2312" w:eastAsia="仿宋_GB2312"/>
          <w:b w:val="0"/>
          <w:sz w:val="32"/>
        </w:rPr>
        <w:t>二、《收入决算表》</w:t>
      </w:r>
    </w:p>
    <w:p w14:paraId="7B2A0A78">
      <w:pPr>
        <w:spacing w:line="240" w:lineRule="auto"/>
        <w:ind w:firstLine="640"/>
        <w:jc w:val="both"/>
      </w:pPr>
      <w:r>
        <w:rPr>
          <w:rFonts w:ascii="仿宋_GB2312" w:hAnsi="仿宋_GB2312" w:eastAsia="仿宋_GB2312"/>
          <w:b w:val="0"/>
          <w:sz w:val="32"/>
        </w:rPr>
        <w:t>三、《支出决算表》</w:t>
      </w:r>
    </w:p>
    <w:p w14:paraId="2B0073B5">
      <w:pPr>
        <w:spacing w:line="240" w:lineRule="auto"/>
        <w:ind w:firstLine="640"/>
        <w:jc w:val="both"/>
      </w:pPr>
      <w:r>
        <w:rPr>
          <w:rFonts w:ascii="仿宋_GB2312" w:hAnsi="仿宋_GB2312" w:eastAsia="仿宋_GB2312"/>
          <w:b w:val="0"/>
          <w:sz w:val="32"/>
        </w:rPr>
        <w:t>四、《财政拨款收入支出决算总表》</w:t>
      </w:r>
    </w:p>
    <w:p w14:paraId="78245EB8">
      <w:pPr>
        <w:spacing w:line="240" w:lineRule="auto"/>
        <w:ind w:firstLine="640"/>
        <w:jc w:val="both"/>
      </w:pPr>
      <w:r>
        <w:rPr>
          <w:rFonts w:ascii="仿宋_GB2312" w:hAnsi="仿宋_GB2312" w:eastAsia="仿宋_GB2312"/>
          <w:b w:val="0"/>
          <w:sz w:val="32"/>
        </w:rPr>
        <w:t>五、《一般公共预算财政拨款支出决算表》</w:t>
      </w:r>
    </w:p>
    <w:p w14:paraId="280FF5CD">
      <w:pPr>
        <w:spacing w:line="240" w:lineRule="auto"/>
        <w:ind w:firstLine="640"/>
        <w:jc w:val="both"/>
      </w:pPr>
      <w:r>
        <w:rPr>
          <w:rFonts w:ascii="仿宋_GB2312" w:hAnsi="仿宋_GB2312" w:eastAsia="仿宋_GB2312"/>
          <w:b w:val="0"/>
          <w:sz w:val="32"/>
        </w:rPr>
        <w:t>六、《一般公共预算财政拨款基本支出决算表》</w:t>
      </w:r>
    </w:p>
    <w:p w14:paraId="0E97491A">
      <w:pPr>
        <w:spacing w:line="240" w:lineRule="auto"/>
        <w:ind w:firstLine="640"/>
        <w:jc w:val="both"/>
      </w:pPr>
      <w:r>
        <w:rPr>
          <w:rFonts w:ascii="仿宋_GB2312" w:hAnsi="仿宋_GB2312" w:eastAsia="仿宋_GB2312"/>
          <w:b w:val="0"/>
          <w:sz w:val="32"/>
        </w:rPr>
        <w:t>七、《政府性基金预算财政拨款收入支出决算表》</w:t>
      </w:r>
    </w:p>
    <w:p w14:paraId="73B59FAD">
      <w:pPr>
        <w:spacing w:line="240" w:lineRule="auto"/>
        <w:ind w:firstLine="640"/>
        <w:jc w:val="both"/>
      </w:pPr>
      <w:r>
        <w:rPr>
          <w:rFonts w:ascii="仿宋_GB2312" w:hAnsi="仿宋_GB2312" w:eastAsia="仿宋_GB2312"/>
          <w:b w:val="0"/>
          <w:sz w:val="32"/>
        </w:rPr>
        <w:t>八、《国有资本经营预算财政拨款收入支出决算表》</w:t>
      </w:r>
    </w:p>
    <w:p w14:paraId="7D56723A">
      <w:pPr>
        <w:spacing w:line="240" w:lineRule="auto"/>
        <w:ind w:firstLine="640"/>
        <w:jc w:val="both"/>
      </w:pPr>
      <w:r>
        <w:rPr>
          <w:rFonts w:ascii="仿宋_GB2312" w:hAnsi="仿宋_GB2312" w:eastAsia="仿宋_GB2312"/>
          <w:b w:val="0"/>
          <w:sz w:val="32"/>
        </w:rPr>
        <w:t>九、《财政拨款“三公”经费支出决算表》</w:t>
      </w:r>
    </w:p>
    <w:p w14:paraId="1F4A9AB7">
      <w:pPr>
        <w:spacing w:line="240" w:lineRule="auto"/>
        <w:ind w:firstLine="640"/>
        <w:jc w:val="both"/>
      </w:pPr>
    </w:p>
    <w:p w14:paraId="4D672E68">
      <w:pPr>
        <w:spacing w:line="240" w:lineRule="auto"/>
        <w:ind w:firstLine="640"/>
        <w:jc w:val="both"/>
      </w:pPr>
    </w:p>
    <w:p w14:paraId="18F5C49C">
      <w:pPr>
        <w:spacing w:line="240" w:lineRule="auto"/>
        <w:ind w:firstLine="640"/>
        <w:jc w:val="both"/>
      </w:pPr>
    </w:p>
    <w:p w14:paraId="14246682">
      <w:pPr>
        <w:spacing w:line="240" w:lineRule="auto"/>
        <w:ind w:firstLine="640"/>
        <w:jc w:val="both"/>
      </w:pPr>
    </w:p>
    <w:p w14:paraId="0D27CD9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BB630E"/>
    <w:rsid w:val="1DAF458D"/>
    <w:rsid w:val="1E086ACE"/>
    <w:rsid w:val="1E4B5CA5"/>
    <w:rsid w:val="1E6B23BB"/>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4823</Words>
  <Characters>5487</Characters>
  <Lines>0</Lines>
  <Paragraphs>0</Paragraphs>
  <TotalTime>4</TotalTime>
  <ScaleCrop>false</ScaleCrop>
  <LinksUpToDate>false</LinksUpToDate>
  <CharactersWithSpaces>5495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