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新疆巴音郭楞蒙古自治州林果技术研究推广中心2024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C428702">
      <w:r>
        <w:br w:type="page"/>
      </w:r>
    </w:p>
    <w:p w14:paraId="26A341E4">
      <w:pPr>
        <w:spacing w:line="640" w:lineRule="exact"/>
        <w:jc w:val="center"/>
        <w:outlineLvl w:val="1"/>
      </w:pPr>
      <w:r>
        <w:rPr>
          <w:rFonts w:ascii="黑体" w:hAnsi="黑体" w:eastAsia="黑体"/>
          <w:sz w:val="32"/>
        </w:rPr>
        <w:t>第一部分 单位概况</w:t>
      </w:r>
    </w:p>
    <w:p w14:paraId="4A8F2B62">
      <w:pPr>
        <w:spacing w:line="640" w:lineRule="exact"/>
        <w:ind w:firstLine="640"/>
        <w:jc w:val="both"/>
        <w:outlineLvl w:val="2"/>
      </w:pPr>
      <w:r>
        <w:rPr>
          <w:rFonts w:ascii="黑体" w:hAnsi="黑体" w:eastAsia="黑体"/>
          <w:sz w:val="32"/>
        </w:rPr>
        <w:t>一、主要职能</w:t>
      </w:r>
    </w:p>
    <w:p w14:paraId="0E4C5E01">
      <w:pPr>
        <w:spacing w:line="580" w:lineRule="exact"/>
        <w:ind w:firstLine="640"/>
        <w:jc w:val="both"/>
      </w:pPr>
      <w:r>
        <w:rPr>
          <w:rFonts w:ascii="仿宋_GB2312" w:hAnsi="仿宋_GB2312" w:eastAsia="仿宋_GB2312"/>
          <w:sz w:val="32"/>
        </w:rPr>
        <w:t>1.根据国家和自治区有关法律、法规和政策，承担自治州林业先进技术、适用技术的推广，示范及应用和胡杨林科学研究等工作。</w:t>
      </w:r>
    </w:p>
    <w:p w14:paraId="344CF0B2">
      <w:pPr>
        <w:spacing w:line="580" w:lineRule="exact"/>
        <w:ind w:firstLine="640"/>
        <w:jc w:val="both"/>
      </w:pPr>
      <w:r>
        <w:rPr>
          <w:rFonts w:ascii="仿宋_GB2312" w:hAnsi="仿宋_GB2312" w:eastAsia="仿宋_GB2312"/>
          <w:sz w:val="32"/>
        </w:rPr>
        <w:t>2.负责全州林果业技术推广长远规划、年度计划，以及技术标准、技术规程制定、组织实施及贯彻执行。</w:t>
      </w:r>
    </w:p>
    <w:p w14:paraId="23E8B088">
      <w:pPr>
        <w:spacing w:line="580" w:lineRule="exact"/>
        <w:ind w:firstLine="640"/>
        <w:jc w:val="both"/>
      </w:pPr>
      <w:r>
        <w:rPr>
          <w:rFonts w:ascii="仿宋_GB2312" w:hAnsi="仿宋_GB2312" w:eastAsia="仿宋_GB2312"/>
          <w:sz w:val="32"/>
        </w:rPr>
        <w:t>3.负责林果业技术及科普知识的宣传工作，林果业科技情报和经济信息的搜集、整理、分析、储存和传递等技术服务工作。</w:t>
      </w:r>
    </w:p>
    <w:p w14:paraId="22339F69">
      <w:pPr>
        <w:spacing w:line="580" w:lineRule="exact"/>
        <w:ind w:firstLine="640"/>
        <w:jc w:val="both"/>
      </w:pPr>
      <w:r>
        <w:rPr>
          <w:rFonts w:ascii="仿宋_GB2312" w:hAnsi="仿宋_GB2312" w:eastAsia="仿宋_GB2312"/>
          <w:sz w:val="32"/>
        </w:rPr>
        <w:t>4.承担全州荒漠生态资源的</w:t>
      </w:r>
      <w:r>
        <w:rPr>
          <w:rFonts w:hint="eastAsia" w:ascii="仿宋_GB2312" w:hAnsi="仿宋_GB2312" w:eastAsia="仿宋_GB2312"/>
          <w:sz w:val="32"/>
          <w:lang w:eastAsia="zh-CN"/>
        </w:rPr>
        <w:t>恢复</w:t>
      </w:r>
      <w:r>
        <w:rPr>
          <w:rFonts w:ascii="仿宋_GB2312" w:hAnsi="仿宋_GB2312" w:eastAsia="仿宋_GB2312"/>
          <w:sz w:val="32"/>
        </w:rPr>
        <w:t>发展技术研究推广，以及动态监测管理。</w:t>
      </w:r>
    </w:p>
    <w:p w14:paraId="6EAE7934">
      <w:pPr>
        <w:spacing w:line="580" w:lineRule="exact"/>
        <w:ind w:firstLine="640"/>
        <w:jc w:val="both"/>
      </w:pPr>
      <w:r>
        <w:rPr>
          <w:rFonts w:ascii="仿宋_GB2312" w:hAnsi="仿宋_GB2312" w:eastAsia="仿宋_GB2312"/>
          <w:sz w:val="32"/>
        </w:rPr>
        <w:t>5.指导各县市林业技术推广工作。</w:t>
      </w:r>
    </w:p>
    <w:p w14:paraId="45897E30">
      <w:pPr>
        <w:spacing w:line="640" w:lineRule="exact"/>
        <w:ind w:firstLine="640"/>
        <w:jc w:val="both"/>
        <w:outlineLvl w:val="2"/>
      </w:pPr>
      <w:r>
        <w:rPr>
          <w:rFonts w:ascii="黑体" w:hAnsi="黑体" w:eastAsia="黑体"/>
          <w:sz w:val="32"/>
        </w:rPr>
        <w:t>二、机构设置及人员情况</w:t>
      </w:r>
    </w:p>
    <w:p w14:paraId="57C217DA">
      <w:pPr>
        <w:spacing w:line="580" w:lineRule="exact"/>
        <w:ind w:firstLine="640"/>
        <w:jc w:val="both"/>
      </w:pPr>
      <w:r>
        <w:rPr>
          <w:rFonts w:ascii="仿宋_GB2312" w:hAnsi="仿宋_GB2312" w:eastAsia="仿宋_GB2312"/>
          <w:sz w:val="32"/>
        </w:rPr>
        <w:t>新疆巴音郭楞蒙古自治州林果技术研究推广中心2024年度，实有人数30人，其中：在职人员19人，增加2人；离休人员0人，增加0人；退休人员11人,增加0人。</w:t>
      </w:r>
    </w:p>
    <w:p w14:paraId="0D3491A7">
      <w:pPr>
        <w:spacing w:line="580" w:lineRule="exact"/>
        <w:ind w:firstLine="640"/>
        <w:jc w:val="both"/>
      </w:pPr>
      <w:r>
        <w:rPr>
          <w:rFonts w:ascii="仿宋_GB2312" w:hAnsi="仿宋_GB2312" w:eastAsia="仿宋_GB2312"/>
          <w:sz w:val="32"/>
        </w:rPr>
        <w:t>新疆巴音郭楞蒙古自治州林果技术研究推广中心无下属预算单位，下设5个科室，分别是：综合办公室、规划与质量监督室、胡杨林监测室、林果技术推广室、生态林技术研究推广室。</w:t>
      </w:r>
    </w:p>
    <w:p w14:paraId="166698CC">
      <w:r>
        <w:br w:type="page"/>
      </w:r>
    </w:p>
    <w:p w14:paraId="67EAFA47">
      <w:pPr>
        <w:spacing w:line="240" w:lineRule="auto"/>
        <w:jc w:val="center"/>
        <w:outlineLvl w:val="1"/>
      </w:pPr>
      <w:r>
        <w:rPr>
          <w:rFonts w:ascii="黑体" w:hAnsi="黑体" w:eastAsia="黑体"/>
          <w:sz w:val="32"/>
        </w:rPr>
        <w:t>第二部分 部门决算情况说明</w:t>
      </w:r>
    </w:p>
    <w:p w14:paraId="59CE7F20">
      <w:pPr>
        <w:spacing w:line="640" w:lineRule="exact"/>
        <w:ind w:firstLine="640"/>
        <w:jc w:val="both"/>
        <w:outlineLvl w:val="2"/>
      </w:pPr>
      <w:r>
        <w:rPr>
          <w:rFonts w:ascii="黑体" w:hAnsi="黑体" w:eastAsia="黑体"/>
          <w:sz w:val="32"/>
        </w:rPr>
        <w:t>一、收入支出决算总体情况说明</w:t>
      </w:r>
    </w:p>
    <w:p w14:paraId="133DA8BF">
      <w:pPr>
        <w:spacing w:line="580" w:lineRule="exact"/>
        <w:ind w:firstLine="640"/>
        <w:jc w:val="both"/>
      </w:pPr>
      <w:r>
        <w:rPr>
          <w:rFonts w:ascii="仿宋_GB2312" w:hAnsi="仿宋_GB2312" w:eastAsia="仿宋_GB2312"/>
          <w:b/>
          <w:sz w:val="32"/>
        </w:rPr>
        <w:t>2024年度收入总计383.33万元，</w:t>
      </w:r>
      <w:r>
        <w:rPr>
          <w:rFonts w:ascii="仿宋_GB2312" w:hAnsi="仿宋_GB2312" w:eastAsia="仿宋_GB2312"/>
          <w:b w:val="0"/>
          <w:sz w:val="32"/>
        </w:rPr>
        <w:t>其中：本年收入合计383.14万元，使用非财政拨款结余（含专用结余）0.00万元，年初结转和结余0.19万元。</w:t>
      </w:r>
    </w:p>
    <w:p w14:paraId="22FFB5B3">
      <w:pPr>
        <w:spacing w:line="580" w:lineRule="exact"/>
        <w:ind w:firstLine="640"/>
        <w:jc w:val="both"/>
      </w:pPr>
      <w:r>
        <w:rPr>
          <w:rFonts w:ascii="仿宋_GB2312" w:hAnsi="仿宋_GB2312" w:eastAsia="仿宋_GB2312"/>
          <w:b/>
          <w:sz w:val="32"/>
        </w:rPr>
        <w:t>2024年度支出总计383.33万元，</w:t>
      </w:r>
      <w:r>
        <w:rPr>
          <w:rFonts w:ascii="仿宋_GB2312" w:hAnsi="仿宋_GB2312" w:eastAsia="仿宋_GB2312"/>
          <w:b w:val="0"/>
          <w:sz w:val="32"/>
        </w:rPr>
        <w:t>其中：本年支出合计383.33万元，结余分配0.00万元，年末结转和结余0.00万元。</w:t>
      </w:r>
    </w:p>
    <w:p w14:paraId="6BF29A0D">
      <w:pPr>
        <w:spacing w:line="580" w:lineRule="exact"/>
        <w:ind w:firstLine="640"/>
        <w:jc w:val="both"/>
      </w:pPr>
      <w:r>
        <w:rPr>
          <w:rFonts w:ascii="仿宋_GB2312" w:hAnsi="仿宋_GB2312" w:eastAsia="仿宋_GB2312"/>
          <w:b w:val="0"/>
          <w:sz w:val="32"/>
        </w:rPr>
        <w:t>收入支出总体与上年相比，减少113.53万元，下降22.85%，主要原因是：本年减少援疆资金结余-巴州青年科技英才（林果行业林果栽培管理）项目、援疆资金—巴州林草系统（特色林果）专业技术人员培养项目、天山英才计划三农骨干人才等项目，导致经费较上年减少。</w:t>
      </w:r>
    </w:p>
    <w:p w14:paraId="54FFC4D9">
      <w:pPr>
        <w:spacing w:line="640" w:lineRule="exact"/>
        <w:ind w:firstLine="640"/>
        <w:jc w:val="both"/>
        <w:outlineLvl w:val="2"/>
      </w:pPr>
      <w:r>
        <w:rPr>
          <w:rFonts w:ascii="黑体" w:hAnsi="黑体" w:eastAsia="黑体"/>
          <w:sz w:val="32"/>
        </w:rPr>
        <w:t>二、收入决算情况说明</w:t>
      </w:r>
    </w:p>
    <w:p w14:paraId="268A3D22">
      <w:pPr>
        <w:spacing w:line="580" w:lineRule="exact"/>
        <w:ind w:firstLine="640"/>
        <w:jc w:val="both"/>
      </w:pPr>
      <w:r>
        <w:rPr>
          <w:rFonts w:ascii="仿宋_GB2312" w:hAnsi="仿宋_GB2312" w:eastAsia="仿宋_GB2312"/>
          <w:b/>
          <w:sz w:val="32"/>
        </w:rPr>
        <w:t>本年收入383.14万元，</w:t>
      </w:r>
      <w:r>
        <w:rPr>
          <w:rFonts w:ascii="仿宋_GB2312" w:hAnsi="仿宋_GB2312" w:eastAsia="仿宋_GB2312"/>
          <w:b w:val="0"/>
          <w:sz w:val="32"/>
        </w:rPr>
        <w:t>其中：财政拨款收入383.14万元，占100.00%；上级补助收入0.00万元，占0.00%；事业收入0.00万元，占0.00%；经营收入0.00万元，占0.00%；附属单位上缴收入0.00万元，占0.00%；其他收入0.00万元，占0.00%。</w:t>
      </w:r>
    </w:p>
    <w:p w14:paraId="7FB7F958">
      <w:pPr>
        <w:spacing w:line="640" w:lineRule="exact"/>
        <w:ind w:firstLine="640"/>
        <w:jc w:val="both"/>
        <w:outlineLvl w:val="2"/>
      </w:pPr>
      <w:r>
        <w:rPr>
          <w:rFonts w:ascii="黑体" w:hAnsi="黑体" w:eastAsia="黑体"/>
          <w:sz w:val="32"/>
        </w:rPr>
        <w:t>三、支出决算情况说明</w:t>
      </w:r>
    </w:p>
    <w:p w14:paraId="65EC7D07">
      <w:pPr>
        <w:spacing w:line="580" w:lineRule="exact"/>
        <w:ind w:firstLine="640"/>
        <w:jc w:val="both"/>
      </w:pPr>
      <w:r>
        <w:rPr>
          <w:rFonts w:ascii="仿宋_GB2312" w:hAnsi="仿宋_GB2312" w:eastAsia="仿宋_GB2312"/>
          <w:b/>
          <w:sz w:val="32"/>
        </w:rPr>
        <w:t>本年支出383.33万元，</w:t>
      </w:r>
      <w:r>
        <w:rPr>
          <w:rFonts w:ascii="仿宋_GB2312" w:hAnsi="仿宋_GB2312" w:eastAsia="仿宋_GB2312"/>
          <w:b w:val="0"/>
          <w:sz w:val="32"/>
        </w:rPr>
        <w:t>其中：基本支出334.13万元，占87.17%；项目支出49.19万元，占12.83%；上缴上级支出0.00万元，占0.00%；经营支出0.00万元，占0.00%；对附属单位补助支出0.00万元，占0.00%。</w:t>
      </w:r>
    </w:p>
    <w:p w14:paraId="051D16BF">
      <w:pPr>
        <w:spacing w:line="640" w:lineRule="exact"/>
        <w:ind w:firstLine="640"/>
        <w:jc w:val="both"/>
        <w:outlineLvl w:val="2"/>
      </w:pPr>
      <w:r>
        <w:rPr>
          <w:rFonts w:ascii="黑体" w:hAnsi="黑体" w:eastAsia="黑体"/>
          <w:sz w:val="32"/>
        </w:rPr>
        <w:t>四、财政拨款收入支出决算总体情况说明</w:t>
      </w:r>
    </w:p>
    <w:p w14:paraId="0CF31E9C">
      <w:pPr>
        <w:spacing w:line="580" w:lineRule="exact"/>
        <w:ind w:firstLine="640"/>
        <w:jc w:val="both"/>
      </w:pPr>
      <w:r>
        <w:rPr>
          <w:rFonts w:ascii="仿宋_GB2312" w:hAnsi="仿宋_GB2312" w:eastAsia="仿宋_GB2312"/>
          <w:b/>
          <w:sz w:val="32"/>
        </w:rPr>
        <w:t>2024年度财政拨款收入总计383.14万元，</w:t>
      </w:r>
      <w:r>
        <w:rPr>
          <w:rFonts w:ascii="仿宋_GB2312" w:hAnsi="仿宋_GB2312" w:eastAsia="仿宋_GB2312"/>
          <w:b w:val="0"/>
          <w:sz w:val="32"/>
        </w:rPr>
        <w:t>其中：年初财政拨款结转和结余0.00万元，本年财政拨款收入383.14万元。</w:t>
      </w:r>
      <w:r>
        <w:rPr>
          <w:rFonts w:ascii="仿宋_GB2312" w:hAnsi="仿宋_GB2312" w:eastAsia="仿宋_GB2312"/>
          <w:b/>
          <w:sz w:val="32"/>
        </w:rPr>
        <w:t>财政拨款支出总计383.14万元，</w:t>
      </w:r>
      <w:r>
        <w:rPr>
          <w:rFonts w:ascii="仿宋_GB2312" w:hAnsi="仿宋_GB2312" w:eastAsia="仿宋_GB2312"/>
          <w:b w:val="0"/>
          <w:sz w:val="32"/>
        </w:rPr>
        <w:t>其中：年末财政拨款结转和结余0.00万元，本年财政拨款支出383.14万元。</w:t>
      </w:r>
    </w:p>
    <w:p w14:paraId="56C1E25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减少30.63万元，下降7.40%，主要原因是：本年减少天山英才计划三农骨干人才项目，</w:t>
      </w:r>
      <w:r>
        <w:rPr>
          <w:rFonts w:hint="eastAsia" w:ascii="仿宋_GB2312" w:hAnsi="仿宋_GB2312" w:eastAsia="仿宋_GB2312"/>
          <w:b w:val="0"/>
          <w:sz w:val="32"/>
          <w:lang w:val="en-US" w:eastAsia="zh-CN"/>
        </w:rPr>
        <w:t>本年</w:t>
      </w:r>
      <w:r>
        <w:rPr>
          <w:rFonts w:ascii="仿宋_GB2312" w:hAnsi="仿宋_GB2312" w:eastAsia="仿宋_GB2312"/>
          <w:b w:val="0"/>
          <w:sz w:val="32"/>
        </w:rPr>
        <w:t>无新增死亡人员，死亡抚恤支出较上年减少。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年初预算数386.37万元，决算数383.14万元，预决算差异率-0.84%，主要原因是：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天山英才计划三农骨干人才项目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导致预决算差异</w:t>
      </w:r>
      <w:r>
        <w:rPr>
          <w:rFonts w:ascii="仿宋_GB2312" w:hAnsi="仿宋_GB2312" w:eastAsia="仿宋_GB2312"/>
          <w:b w:val="0"/>
          <w:sz w:val="32"/>
        </w:rPr>
        <w:t>。</w:t>
      </w:r>
    </w:p>
    <w:p w14:paraId="2B0CAAC0">
      <w:pPr>
        <w:spacing w:line="640" w:lineRule="exact"/>
        <w:ind w:firstLine="640"/>
        <w:jc w:val="both"/>
        <w:outlineLvl w:val="2"/>
      </w:pPr>
      <w:r>
        <w:rPr>
          <w:rFonts w:ascii="黑体" w:hAnsi="黑体" w:eastAsia="黑体"/>
          <w:sz w:val="32"/>
        </w:rPr>
        <w:t>五、一般公共预算财政拨款支出决算情况说明</w:t>
      </w:r>
    </w:p>
    <w:p w14:paraId="275DAE23">
      <w:pPr>
        <w:spacing w:line="640" w:lineRule="exact"/>
        <w:ind w:firstLine="640"/>
        <w:jc w:val="both"/>
        <w:outlineLvl w:val="3"/>
      </w:pPr>
      <w:r>
        <w:rPr>
          <w:rFonts w:ascii="楷体_GB2312" w:hAnsi="楷体_GB2312" w:eastAsia="楷体_GB2312"/>
          <w:b/>
          <w:sz w:val="32"/>
        </w:rPr>
        <w:t>（一）一般公共预算财政拨款支出决算总体情况</w:t>
      </w:r>
    </w:p>
    <w:p w14:paraId="44FC12AA">
      <w:pPr>
        <w:spacing w:line="580" w:lineRule="exact"/>
        <w:ind w:firstLine="640"/>
        <w:jc w:val="both"/>
      </w:pPr>
      <w:r>
        <w:rPr>
          <w:rFonts w:ascii="仿宋_GB2312" w:hAnsi="仿宋_GB2312" w:eastAsia="仿宋_GB2312"/>
          <w:b/>
          <w:sz w:val="32"/>
        </w:rPr>
        <w:t>2024年度一般公共预算财政拨款支出383.14万元，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减少30.63万元，下降7.40%，主要原因是：本年减少天山英才计划三农骨干人才项目，</w:t>
      </w:r>
      <w:r>
        <w:rPr>
          <w:rFonts w:hint="eastAsia" w:ascii="仿宋_GB2312" w:hAnsi="仿宋_GB2312" w:eastAsia="仿宋_GB2312"/>
          <w:b w:val="0"/>
          <w:sz w:val="32"/>
          <w:lang w:val="en-US" w:eastAsia="zh-CN"/>
        </w:rPr>
        <w:t>本年</w:t>
      </w:r>
      <w:r>
        <w:rPr>
          <w:rFonts w:ascii="仿宋_GB2312" w:hAnsi="仿宋_GB2312" w:eastAsia="仿宋_GB2312"/>
          <w:b w:val="0"/>
          <w:sz w:val="32"/>
        </w:rPr>
        <w:t>无新增死亡人员，死亡抚恤支出较上年减少。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年初预算数386.37万元，决算数383.14万元，预决算差异率-0.84%，主要原因是：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天山英才计划三农骨干人才项目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导致预决算差异</w:t>
      </w:r>
      <w:r>
        <w:rPr>
          <w:rFonts w:ascii="仿宋_GB2312" w:hAnsi="仿宋_GB2312" w:eastAsia="仿宋_GB2312"/>
          <w:b w:val="0"/>
          <w:sz w:val="32"/>
        </w:rPr>
        <w:t>。</w:t>
      </w:r>
    </w:p>
    <w:p w14:paraId="735BD706">
      <w:pPr>
        <w:spacing w:line="640" w:lineRule="exact"/>
        <w:ind w:firstLine="640"/>
        <w:jc w:val="both"/>
        <w:outlineLvl w:val="3"/>
      </w:pPr>
      <w:r>
        <w:rPr>
          <w:rFonts w:ascii="楷体_GB2312" w:hAnsi="楷体_GB2312" w:eastAsia="楷体_GB2312"/>
          <w:b/>
          <w:sz w:val="32"/>
        </w:rPr>
        <w:t>（二）一般公共预算财政拨款支出决算结构情况</w:t>
      </w:r>
    </w:p>
    <w:p w14:paraId="7DD7C378">
      <w:pPr>
        <w:spacing w:line="580" w:lineRule="exact"/>
        <w:ind w:firstLine="640"/>
        <w:jc w:val="both"/>
      </w:pPr>
      <w:r>
        <w:rPr>
          <w:rFonts w:ascii="仿宋_GB2312" w:hAnsi="仿宋_GB2312" w:eastAsia="仿宋_GB2312"/>
          <w:b w:val="0"/>
          <w:sz w:val="32"/>
        </w:rPr>
        <w:t>1.教育支出(类)1.35万元,占0.35%。</w:t>
      </w:r>
    </w:p>
    <w:p w14:paraId="08988FEA">
      <w:pPr>
        <w:spacing w:line="580" w:lineRule="exact"/>
        <w:ind w:firstLine="640"/>
        <w:jc w:val="both"/>
      </w:pPr>
      <w:r>
        <w:rPr>
          <w:rFonts w:ascii="仿宋_GB2312" w:hAnsi="仿宋_GB2312" w:eastAsia="仿宋_GB2312"/>
          <w:b w:val="0"/>
          <w:sz w:val="32"/>
        </w:rPr>
        <w:t>2.科学技术支出(类)274.15万元,占71.55%。</w:t>
      </w:r>
    </w:p>
    <w:p w14:paraId="4CE28392">
      <w:pPr>
        <w:spacing w:line="580" w:lineRule="exact"/>
        <w:ind w:firstLine="640"/>
        <w:jc w:val="both"/>
      </w:pPr>
      <w:r>
        <w:rPr>
          <w:rFonts w:ascii="仿宋_GB2312" w:hAnsi="仿宋_GB2312" w:eastAsia="仿宋_GB2312"/>
          <w:b w:val="0"/>
          <w:sz w:val="32"/>
        </w:rPr>
        <w:t>3.社会保障和就业支出(类)45.04万元,占11.76%。</w:t>
      </w:r>
    </w:p>
    <w:p w14:paraId="035A5CDD">
      <w:pPr>
        <w:spacing w:line="580" w:lineRule="exact"/>
        <w:ind w:firstLine="640"/>
        <w:jc w:val="both"/>
      </w:pPr>
      <w:r>
        <w:rPr>
          <w:rFonts w:ascii="仿宋_GB2312" w:hAnsi="仿宋_GB2312" w:eastAsia="仿宋_GB2312"/>
          <w:b w:val="0"/>
          <w:sz w:val="32"/>
        </w:rPr>
        <w:t>4.卫生健康支出(类)14.36万元,占3.75%。</w:t>
      </w:r>
    </w:p>
    <w:p w14:paraId="7F577BF4">
      <w:pPr>
        <w:spacing w:line="580" w:lineRule="exact"/>
        <w:ind w:firstLine="640"/>
        <w:jc w:val="both"/>
      </w:pPr>
      <w:r>
        <w:rPr>
          <w:rFonts w:ascii="仿宋_GB2312" w:hAnsi="仿宋_GB2312" w:eastAsia="仿宋_GB2312"/>
          <w:b w:val="0"/>
          <w:sz w:val="32"/>
        </w:rPr>
        <w:t>5.农林水支出(类)23.44万元,占6.12%。</w:t>
      </w:r>
    </w:p>
    <w:p w14:paraId="7C03EF85">
      <w:pPr>
        <w:spacing w:line="580" w:lineRule="exact"/>
        <w:ind w:firstLine="640"/>
        <w:jc w:val="both"/>
      </w:pPr>
      <w:r>
        <w:rPr>
          <w:rFonts w:ascii="仿宋_GB2312" w:hAnsi="仿宋_GB2312" w:eastAsia="仿宋_GB2312"/>
          <w:b w:val="0"/>
          <w:sz w:val="32"/>
        </w:rPr>
        <w:t>6.住房保障支出(类)24.80万元,占6.47%。</w:t>
      </w:r>
    </w:p>
    <w:p w14:paraId="5C02EEE8">
      <w:pPr>
        <w:spacing w:line="640" w:lineRule="exact"/>
        <w:ind w:firstLine="640"/>
        <w:jc w:val="both"/>
        <w:outlineLvl w:val="3"/>
      </w:pPr>
      <w:r>
        <w:rPr>
          <w:rFonts w:ascii="楷体_GB2312" w:hAnsi="楷体_GB2312" w:eastAsia="楷体_GB2312"/>
          <w:b/>
          <w:sz w:val="32"/>
        </w:rPr>
        <w:t>（三）一般公共预算财政拨款支出决算具体情况</w:t>
      </w:r>
    </w:p>
    <w:p w14:paraId="1314488C">
      <w:pPr>
        <w:spacing w:line="580" w:lineRule="exact"/>
        <w:ind w:firstLine="640"/>
        <w:jc w:val="both"/>
      </w:pPr>
      <w:r>
        <w:rPr>
          <w:rFonts w:ascii="仿宋_GB2312" w:hAnsi="仿宋_GB2312" w:eastAsia="仿宋_GB2312"/>
          <w:b w:val="0"/>
          <w:sz w:val="32"/>
        </w:rPr>
        <w:t>1.教育支出(类)进修及培训(款)培训支出(项):支出决算数为1.35万元，比上年决算增加0.00万元，增长0.00%,主要原因是：本年培训费业务活动经费支出与上年一致无变化。</w:t>
      </w:r>
    </w:p>
    <w:p w14:paraId="10A235A6">
      <w:pPr>
        <w:spacing w:line="580" w:lineRule="exact"/>
        <w:ind w:firstLine="640"/>
        <w:jc w:val="both"/>
      </w:pPr>
      <w:r>
        <w:rPr>
          <w:rFonts w:ascii="仿宋_GB2312" w:hAnsi="仿宋_GB2312" w:eastAsia="仿宋_GB2312"/>
          <w:b w:val="0"/>
          <w:sz w:val="32"/>
        </w:rPr>
        <w:t>2.科学技术支出(类)基础研究(款)科技人才队伍建设(项):支出决算数为9.00万元，比上年决算增加9.00万元，增长100.00%,主要原因是：本年新增科技人才队伍建设项目新疆人才发展基金2024年度第一轮资金。</w:t>
      </w:r>
    </w:p>
    <w:p w14:paraId="14AFBB34">
      <w:pPr>
        <w:spacing w:line="580" w:lineRule="exact"/>
        <w:ind w:firstLine="640"/>
        <w:jc w:val="both"/>
      </w:pPr>
      <w:r>
        <w:rPr>
          <w:rFonts w:ascii="仿宋_GB2312" w:hAnsi="仿宋_GB2312" w:eastAsia="仿宋_GB2312"/>
          <w:b w:val="0"/>
          <w:sz w:val="32"/>
        </w:rPr>
        <w:t>3.科学技术支出(类)应用研究(款)其他应用研究支出(项):支出决算数为8.76万元，比上年决算减少12.48万元，下降58.76%,主要原因是：本年减少天山英才计划三农骨干人才项目资金，相关支出减少。</w:t>
      </w:r>
    </w:p>
    <w:p w14:paraId="473996C4">
      <w:pPr>
        <w:spacing w:line="580" w:lineRule="exact"/>
        <w:ind w:firstLine="640"/>
        <w:jc w:val="both"/>
      </w:pPr>
      <w:r>
        <w:rPr>
          <w:rFonts w:ascii="仿宋_GB2312" w:hAnsi="仿宋_GB2312" w:eastAsia="仿宋_GB2312"/>
          <w:b w:val="0"/>
          <w:sz w:val="32"/>
        </w:rPr>
        <w:t>4.科学技术支出(类)技术研究与开发(款)科技成果转化与扩散(项):支出决算数为7.80万元，比上年决算增加7.80万元，增长100.00%,主要原因是：本年新增自治州科技计划资金（红蜜油蟠桃品种推广）、自治区科技专项-库尔勒香梨优质高效关键技术示范推广等项目。功能科目调整，自治区科技计划专项--酿酒葡萄抗寒砧木应用示范及推广项目由其他科技条件与服务支出科目调整至科技成果转化与扩散科目列支，相关支出增加。</w:t>
      </w:r>
    </w:p>
    <w:p w14:paraId="46CF60AE">
      <w:pPr>
        <w:spacing w:line="580" w:lineRule="exact"/>
        <w:ind w:firstLine="640"/>
        <w:jc w:val="both"/>
      </w:pPr>
      <w:r>
        <w:rPr>
          <w:rFonts w:ascii="仿宋_GB2312" w:hAnsi="仿宋_GB2312" w:eastAsia="仿宋_GB2312"/>
          <w:b w:val="0"/>
          <w:sz w:val="32"/>
        </w:rPr>
        <w:t>5.科学技术支出(类)科技条件与服务(款)机构运行(项):支出决算数为248.59万元，比上年决算减少11.29万元，下降4.34%,主要原因是：本年减少办公费等经费，相关支出减少。</w:t>
      </w:r>
    </w:p>
    <w:p w14:paraId="08ABAD40">
      <w:pPr>
        <w:spacing w:line="580" w:lineRule="exact"/>
        <w:ind w:firstLine="640"/>
        <w:jc w:val="both"/>
      </w:pPr>
      <w:r>
        <w:rPr>
          <w:rFonts w:ascii="仿宋_GB2312" w:hAnsi="仿宋_GB2312" w:eastAsia="仿宋_GB2312"/>
          <w:b w:val="0"/>
          <w:sz w:val="32"/>
        </w:rPr>
        <w:t>6.科学技术支出(类)科技条件与服务(款)其他科技条件与服务支出(项):支出决算数为0.00万元，比上年决算减少2.70万元，下降100.00%,主要原因是：本年功能科目调整，自治区科技计划专项--酿酒葡萄抗寒砧木应用示范及推广项目由其他科技条件与服务支出科目调整至科技成果转化与扩散科目列支，相关支出减少。</w:t>
      </w:r>
    </w:p>
    <w:p w14:paraId="4058BEE4">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7.社会保障和就业支出(类)行政事业单位养老支出(款)事业单位离退休(项):支出决算数为13.31万元，比上年决算增加2.09万元，增长18.63%,主要原因是：本年增加退休人员基础绩效奖，退休费支出增加。</w:t>
      </w:r>
    </w:p>
    <w:p w14:paraId="0E976F93">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31.72万元，比上年决算增加1.47万元，增长4.86%,主要原因是：本年在职人员工资基数调增，养老缴费基数上涨，相应支出增加。</w:t>
      </w:r>
    </w:p>
    <w:p w14:paraId="7E176EB2">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9.社会保障和就业支出(类)行政事业单位养老支出(款)机关事业单位职业年金缴费支出(项):支出决算数为0.00万元，比上年决算减少5.43万元，下降100.00%,主要原因是：本年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6034DFD6">
      <w:pPr>
        <w:spacing w:line="580" w:lineRule="exact"/>
        <w:ind w:firstLine="640"/>
        <w:jc w:val="both"/>
      </w:pPr>
      <w:r>
        <w:rPr>
          <w:rFonts w:ascii="仿宋_GB2312" w:hAnsi="仿宋_GB2312" w:eastAsia="仿宋_GB2312"/>
          <w:b w:val="0"/>
          <w:sz w:val="32"/>
        </w:rPr>
        <w:t>10.社会保障和就业支出(类)抚恤(款)死亡抚恤(项):支出决算数为0.00万元，比上年决算减少14.27万元，下降100.00%,主要原因是：本年无新增死亡人员，死亡抚恤支出较上年减少。</w:t>
      </w:r>
    </w:p>
    <w:p w14:paraId="14B52818">
      <w:pPr>
        <w:spacing w:line="580" w:lineRule="exact"/>
        <w:ind w:firstLine="640"/>
        <w:jc w:val="both"/>
      </w:pPr>
      <w:r>
        <w:rPr>
          <w:rFonts w:ascii="仿宋_GB2312" w:hAnsi="仿宋_GB2312" w:eastAsia="仿宋_GB2312"/>
          <w:b w:val="0"/>
          <w:sz w:val="32"/>
        </w:rPr>
        <w:t>11.卫生健康支出(类)行政事业单位医疗(款)事业单位医疗(项):支出决算数为13.88万元，比上年决算增加0.36万元，增长2.66%,主要原因是：本年在职人员工资基数调增，医疗缴费基数上涨，相应支出增加。</w:t>
      </w:r>
    </w:p>
    <w:p w14:paraId="73225CF5">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0.48万元，比上年决算减少0.22万元，下降31.43%,主要原因是：本年在职人员调入调出，人员职级不同，缴费基数不同，导致其他行政事业单位医疗较上年减少。</w:t>
      </w:r>
    </w:p>
    <w:p w14:paraId="2AC5E9A8">
      <w:pPr>
        <w:spacing w:line="580" w:lineRule="exact"/>
        <w:ind w:firstLine="640"/>
        <w:jc w:val="both"/>
      </w:pPr>
      <w:r>
        <w:rPr>
          <w:rFonts w:ascii="仿宋_GB2312" w:hAnsi="仿宋_GB2312" w:eastAsia="仿宋_GB2312"/>
          <w:b w:val="0"/>
          <w:sz w:val="32"/>
        </w:rPr>
        <w:t>13.农林水支出(类)林业和草原(款)技术推广与转化(项):支出决算数为6.00万元，比上年决算减少1.50万元，下降20.00%,主要原因是：本年减少自治州科技专项-库尔勒香梨优质高效关键技术示范推广项目资金，相关支出减少。</w:t>
      </w:r>
    </w:p>
    <w:p w14:paraId="25F9EEE1">
      <w:pPr>
        <w:spacing w:line="580" w:lineRule="exact"/>
        <w:ind w:firstLine="640"/>
        <w:jc w:val="both"/>
      </w:pPr>
      <w:r>
        <w:rPr>
          <w:rFonts w:ascii="仿宋_GB2312" w:hAnsi="仿宋_GB2312" w:eastAsia="仿宋_GB2312"/>
          <w:b w:val="0"/>
          <w:sz w:val="32"/>
        </w:rPr>
        <w:t>14.农林水支出(类)林业和草原(款)其他林业和草原支出(项):支出决算数为17.44万元，比上年决算减少6.06万元，下降25.79%,主要原因是：本年减少自治区林草专项资金（森林植被恢复费）林果提质增效-林果全产业链提质增效专家技术服务补助资金，相关支出减少。</w:t>
      </w:r>
    </w:p>
    <w:p w14:paraId="2821E995">
      <w:pPr>
        <w:spacing w:line="580" w:lineRule="exact"/>
        <w:ind w:firstLine="640"/>
        <w:jc w:val="both"/>
      </w:pPr>
      <w:r>
        <w:rPr>
          <w:rFonts w:ascii="仿宋_GB2312" w:hAnsi="仿宋_GB2312" w:eastAsia="仿宋_GB2312"/>
          <w:b w:val="0"/>
          <w:sz w:val="32"/>
        </w:rPr>
        <w:t>15.住房保障支出(类)住房改革支出(款)住房公积金(项):支出决算数为24.80万元，比上年决算增加2.58万元，增长11.61%,主要原因是：本年在职人员工资基数调增，公积金缴费基数上涨，相应支出增加。</w:t>
      </w:r>
    </w:p>
    <w:p w14:paraId="18685B10">
      <w:pPr>
        <w:spacing w:line="640" w:lineRule="exact"/>
        <w:ind w:firstLine="640"/>
        <w:jc w:val="both"/>
        <w:outlineLvl w:val="2"/>
      </w:pPr>
      <w:r>
        <w:rPr>
          <w:rFonts w:ascii="黑体" w:hAnsi="黑体" w:eastAsia="黑体"/>
          <w:sz w:val="32"/>
        </w:rPr>
        <w:t>六、一般公共预算财政拨款基本支出决算情况说明</w:t>
      </w:r>
    </w:p>
    <w:p w14:paraId="356D8E73">
      <w:pPr>
        <w:spacing w:line="580" w:lineRule="exact"/>
        <w:ind w:firstLine="640"/>
        <w:jc w:val="both"/>
      </w:pPr>
      <w:r>
        <w:rPr>
          <w:rFonts w:ascii="仿宋_GB2312" w:hAnsi="仿宋_GB2312" w:eastAsia="仿宋_GB2312"/>
          <w:b w:val="0"/>
          <w:sz w:val="32"/>
        </w:rPr>
        <w:t>2024年度一般公共预算财政拨款基本支出334.13万元，其中：</w:t>
      </w:r>
      <w:r>
        <w:rPr>
          <w:rFonts w:ascii="仿宋_GB2312" w:hAnsi="仿宋_GB2312" w:eastAsia="仿宋_GB2312"/>
          <w:b/>
          <w:sz w:val="32"/>
        </w:rPr>
        <w:t>人员经费319.35万元，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包括：基本工资、津贴补贴、奖金、伙食补助费、机关事业单位基本养老保险缴费、职工基本医疗保险缴费、其他社会保障缴费、住房公积金、医疗费、退休费、生活补助、奖励金。</w:t>
      </w:r>
    </w:p>
    <w:p w14:paraId="7B372DDF">
      <w:pPr>
        <w:spacing w:line="580" w:lineRule="exact"/>
        <w:ind w:firstLine="640"/>
        <w:jc w:val="both"/>
      </w:pPr>
      <w:r>
        <w:rPr>
          <w:rFonts w:ascii="仿宋_GB2312" w:hAnsi="仿宋_GB2312" w:eastAsia="仿宋_GB2312"/>
          <w:b/>
          <w:sz w:val="32"/>
        </w:rPr>
        <w:t>公用经费14.78万元，</w:t>
      </w:r>
      <w:r>
        <w:rPr>
          <w:rFonts w:ascii="仿宋_GB2312" w:hAnsi="仿宋_GB2312" w:eastAsia="仿宋_GB2312"/>
          <w:b w:val="0"/>
          <w:sz w:val="32"/>
        </w:rPr>
        <w:t>包括：办公费、邮电费、差旅费、培训费、劳务费、工会经费、福利费、公务用车运行维护费、其他商品和服务支出、办公设备购置。</w:t>
      </w:r>
    </w:p>
    <w:p w14:paraId="65B07D87">
      <w:pPr>
        <w:spacing w:line="640" w:lineRule="exact"/>
        <w:ind w:firstLine="640"/>
        <w:jc w:val="both"/>
        <w:outlineLvl w:val="2"/>
      </w:pPr>
      <w:r>
        <w:rPr>
          <w:rFonts w:ascii="黑体" w:hAnsi="黑体" w:eastAsia="黑体"/>
          <w:sz w:val="32"/>
        </w:rPr>
        <w:t>七、政府性基金预算财政拨款收入支出决算情况说明</w:t>
      </w:r>
    </w:p>
    <w:p w14:paraId="755B28C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D1DD53D">
      <w:pPr>
        <w:spacing w:line="640" w:lineRule="exact"/>
        <w:ind w:firstLine="640"/>
        <w:jc w:val="both"/>
        <w:outlineLvl w:val="2"/>
      </w:pPr>
      <w:r>
        <w:rPr>
          <w:rFonts w:ascii="黑体" w:hAnsi="黑体" w:eastAsia="黑体"/>
          <w:sz w:val="32"/>
        </w:rPr>
        <w:t>八、国有资本经营预算财政拨款收入支出决算情况说明</w:t>
      </w:r>
    </w:p>
    <w:p w14:paraId="673F16A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065691">
      <w:pPr>
        <w:spacing w:line="640" w:lineRule="exact"/>
        <w:ind w:firstLine="640"/>
        <w:jc w:val="both"/>
        <w:outlineLvl w:val="2"/>
      </w:pPr>
      <w:r>
        <w:rPr>
          <w:rFonts w:ascii="黑体" w:hAnsi="黑体" w:eastAsia="黑体"/>
          <w:sz w:val="32"/>
        </w:rPr>
        <w:t>九、财政拨款“三公”经费支出决算情况说明</w:t>
      </w:r>
    </w:p>
    <w:p w14:paraId="0FDA9FDD">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单位公务用车运行维护费与上年一致无变化。公务接待费支出0.00万元，占0.00%，比上年增加0.00万元，增长0.00%，主要原因是：2023年与2024年均未安排公务接待费支出。</w:t>
      </w:r>
    </w:p>
    <w:p w14:paraId="283D21AE">
      <w:pPr>
        <w:spacing w:line="580" w:lineRule="exact"/>
        <w:ind w:firstLine="640"/>
        <w:jc w:val="both"/>
      </w:pPr>
      <w:r>
        <w:rPr>
          <w:rFonts w:ascii="仿宋_GB2312" w:hAnsi="仿宋_GB2312" w:eastAsia="仿宋_GB2312"/>
          <w:b/>
          <w:sz w:val="32"/>
        </w:rPr>
        <w:t>具体情况如下：</w:t>
      </w:r>
    </w:p>
    <w:p w14:paraId="3F3F5B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CFE8FB">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758DEE4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29CFB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2.80万元，预决算差异率0.00%，主要原因是：严格按照预算执行，预决算无差异。公务接待费全年预算数0.00万元，决算数0.00万元，预决算差异率0.00%，主要原因是：本单位无公务接待费。</w:t>
      </w:r>
    </w:p>
    <w:p w14:paraId="6CF14B5D">
      <w:pPr>
        <w:spacing w:line="640" w:lineRule="exact"/>
        <w:ind w:firstLine="640"/>
        <w:jc w:val="both"/>
        <w:outlineLvl w:val="2"/>
      </w:pPr>
      <w:r>
        <w:rPr>
          <w:rFonts w:ascii="黑体" w:hAnsi="黑体" w:eastAsia="黑体"/>
          <w:sz w:val="32"/>
        </w:rPr>
        <w:t>十、其他重要事项的情况说明</w:t>
      </w:r>
    </w:p>
    <w:p w14:paraId="22C6CF06">
      <w:pPr>
        <w:spacing w:line="640" w:lineRule="exact"/>
        <w:ind w:firstLine="640"/>
        <w:jc w:val="both"/>
        <w:outlineLvl w:val="3"/>
      </w:pPr>
      <w:r>
        <w:rPr>
          <w:rFonts w:ascii="楷体_GB2312" w:hAnsi="楷体_GB2312" w:eastAsia="楷体_GB2312"/>
          <w:b/>
          <w:sz w:val="32"/>
        </w:rPr>
        <w:t>（一）机关运行经费及公用经费支出情况</w:t>
      </w:r>
    </w:p>
    <w:p w14:paraId="17B0FD94">
      <w:pPr>
        <w:spacing w:line="580" w:lineRule="exact"/>
        <w:ind w:firstLine="640"/>
        <w:jc w:val="both"/>
      </w:pPr>
      <w:r>
        <w:rPr>
          <w:rFonts w:ascii="仿宋_GB2312" w:hAnsi="仿宋_GB2312" w:eastAsia="仿宋_GB2312"/>
          <w:b w:val="0"/>
          <w:sz w:val="32"/>
        </w:rPr>
        <w:t>2024年度新疆巴音郭楞蒙古自治州林果技术研究推广中心（事业单位）公用经费支出14.78万元，比上年减少0.22万元，下降1.47%，主要原因是：严格控制公用经费，合理节约办公用品，减少不必要开支。</w:t>
      </w:r>
    </w:p>
    <w:p w14:paraId="7ECE5C54">
      <w:pPr>
        <w:spacing w:line="640" w:lineRule="exact"/>
        <w:ind w:firstLine="640"/>
        <w:jc w:val="both"/>
        <w:outlineLvl w:val="3"/>
      </w:pPr>
      <w:r>
        <w:rPr>
          <w:rFonts w:ascii="楷体_GB2312" w:hAnsi="楷体_GB2312" w:eastAsia="楷体_GB2312"/>
          <w:b/>
          <w:sz w:val="32"/>
        </w:rPr>
        <w:t>（二）政府采购情况</w:t>
      </w:r>
    </w:p>
    <w:p w14:paraId="58C018E4">
      <w:pPr>
        <w:spacing w:line="580" w:lineRule="exact"/>
        <w:ind w:firstLine="640"/>
        <w:jc w:val="both"/>
      </w:pPr>
      <w:r>
        <w:rPr>
          <w:rFonts w:ascii="仿宋_GB2312" w:hAnsi="仿宋_GB2312" w:eastAsia="仿宋_GB2312"/>
          <w:b w:val="0"/>
          <w:sz w:val="32"/>
        </w:rPr>
        <w:t>2024年度政府采购支出总额5.57万元，其中：政府采购货物支出1.41万元、政府采购工程支出0.00万元、政府采购服务支出4.16万元。</w:t>
      </w:r>
    </w:p>
    <w:p w14:paraId="180477FC">
      <w:pPr>
        <w:spacing w:line="580" w:lineRule="exact"/>
        <w:ind w:firstLine="640"/>
        <w:jc w:val="both"/>
      </w:pPr>
      <w:r>
        <w:rPr>
          <w:rFonts w:ascii="仿宋_GB2312" w:hAnsi="仿宋_GB2312" w:eastAsia="仿宋_GB2312"/>
          <w:b w:val="0"/>
          <w:sz w:val="32"/>
        </w:rPr>
        <w:t>授予中小企业合同金额4.86万元，占政府采购支出总额的87.25%，其中：授予小微企业合同金额4.61万元，占政府采购支出总额的82.76%。</w:t>
      </w:r>
    </w:p>
    <w:p w14:paraId="0D4D5ECC">
      <w:pPr>
        <w:spacing w:line="640" w:lineRule="exact"/>
        <w:ind w:firstLine="640"/>
        <w:jc w:val="both"/>
        <w:outlineLvl w:val="3"/>
      </w:pPr>
      <w:r>
        <w:rPr>
          <w:rFonts w:ascii="楷体_GB2312" w:hAnsi="楷体_GB2312" w:eastAsia="楷体_GB2312"/>
          <w:b/>
          <w:sz w:val="32"/>
        </w:rPr>
        <w:t>（三）国有资产占用情况说明</w:t>
      </w:r>
    </w:p>
    <w:p w14:paraId="23C22B2C">
      <w:pPr>
        <w:spacing w:line="580" w:lineRule="exact"/>
        <w:ind w:firstLine="640"/>
        <w:jc w:val="both"/>
      </w:pPr>
      <w:r>
        <w:rPr>
          <w:rFonts w:ascii="仿宋_GB2312" w:hAnsi="仿宋_GB2312" w:eastAsia="仿宋_GB2312"/>
          <w:b w:val="0"/>
          <w:sz w:val="32"/>
        </w:rPr>
        <w:t>截至2024年12月31日，房屋527.56平方米，价值117.56万元。车辆2辆，价值31.50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186FCDDC">
      <w:pPr>
        <w:spacing w:line="640" w:lineRule="exact"/>
        <w:ind w:firstLine="640"/>
        <w:jc w:val="both"/>
        <w:outlineLvl w:val="2"/>
      </w:pPr>
      <w:r>
        <w:rPr>
          <w:rFonts w:ascii="黑体" w:hAnsi="黑体" w:eastAsia="黑体"/>
          <w:sz w:val="32"/>
        </w:rPr>
        <w:t>十一、预算绩效的情况说明</w:t>
      </w:r>
    </w:p>
    <w:p w14:paraId="74D37CD1">
      <w:pPr>
        <w:spacing w:line="580" w:lineRule="exact"/>
        <w:ind w:firstLine="640"/>
        <w:jc w:val="both"/>
      </w:pPr>
      <w:r>
        <w:rPr>
          <w:rFonts w:ascii="仿宋_GB2312" w:hAnsi="仿宋_GB2312" w:eastAsia="仿宋_GB2312"/>
          <w:b w:val="0"/>
          <w:sz w:val="32"/>
        </w:rPr>
        <w:t>根据预算绩效管理要求，本单位预算绩效评价项目9个，全年预算数48.99万元，全年执行数48.99万元。预算绩效管理取得的成效：一是通过绩效目标设定、过程监控和结果评价、部门和单位规范资金使用，避免“重投入、轻管理”“重分配、轻效益”的问题，杜绝不必要的铺张浪费和低效项目。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w:t>
      </w:r>
    </w:p>
    <w:p w14:paraId="4A51CAC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96"/>
        <w:gridCol w:w="632"/>
      </w:tblGrid>
      <w:tr w14:paraId="0679014C">
        <w:tblPrEx>
          <w:tblCellMar>
            <w:top w:w="0" w:type="dxa"/>
            <w:left w:w="108" w:type="dxa"/>
            <w:bottom w:w="0" w:type="dxa"/>
            <w:right w:w="108" w:type="dxa"/>
          </w:tblCellMar>
        </w:tblPrEx>
        <w:tc>
          <w:tcPr>
            <w:tcW w:w="8848" w:type="dxa"/>
            <w:gridSpan w:val="14"/>
            <w:vAlign w:val="center"/>
          </w:tcPr>
          <w:p w14:paraId="3DA825DD">
            <w:pPr>
              <w:jc w:val="center"/>
            </w:pPr>
            <w:r>
              <w:rPr>
                <w:rFonts w:ascii="宋体" w:hAnsi="宋体" w:eastAsia="宋体"/>
                <w:sz w:val="24"/>
              </w:rPr>
              <w:t>项目支出绩效自评表</w:t>
            </w:r>
          </w:p>
        </w:tc>
      </w:tr>
      <w:tr w14:paraId="42444014">
        <w:tblPrEx>
          <w:tblCellMar>
            <w:top w:w="0" w:type="dxa"/>
            <w:left w:w="108" w:type="dxa"/>
            <w:bottom w:w="0" w:type="dxa"/>
            <w:right w:w="108" w:type="dxa"/>
          </w:tblCellMar>
        </w:tblPrEx>
        <w:tc>
          <w:tcPr>
            <w:tcW w:w="8848" w:type="dxa"/>
            <w:gridSpan w:val="14"/>
            <w:vAlign w:val="center"/>
          </w:tcPr>
          <w:p w14:paraId="658B6AF5">
            <w:pPr>
              <w:jc w:val="center"/>
            </w:pPr>
            <w:r>
              <w:rPr>
                <w:rFonts w:ascii="宋体" w:hAnsi="宋体" w:eastAsia="宋体"/>
                <w:sz w:val="24"/>
              </w:rPr>
              <w:t>(2024年度)</w:t>
            </w:r>
          </w:p>
        </w:tc>
      </w:tr>
      <w:tr w14:paraId="4F31BD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5A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06BC87">
            <w:pPr>
              <w:jc w:val="center"/>
            </w:pPr>
            <w:r>
              <w:rPr>
                <w:rFonts w:ascii="宋体" w:hAnsi="宋体" w:eastAsia="宋体"/>
                <w:sz w:val="16"/>
              </w:rPr>
              <w:t>上级专项-提前下达2023年自治区林草专项资金（森林植被恢复费）-巴财建</w:t>
            </w:r>
            <w:r>
              <w:rPr>
                <w:rFonts w:hint="eastAsia" w:ascii="宋体" w:hAnsi="宋体"/>
                <w:sz w:val="16"/>
                <w:lang w:eastAsia="zh-CN"/>
              </w:rPr>
              <w:t>〔2022〕135号</w:t>
            </w:r>
            <w:r>
              <w:rPr>
                <w:rFonts w:ascii="宋体" w:hAnsi="宋体" w:eastAsia="宋体"/>
                <w:sz w:val="16"/>
              </w:rPr>
              <w:t>（上年结转）</w:t>
            </w:r>
          </w:p>
        </w:tc>
      </w:tr>
      <w:tr w14:paraId="63342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6E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48DD6">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F8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81469">
            <w:pPr>
              <w:jc w:val="center"/>
            </w:pPr>
            <w:r>
              <w:rPr>
                <w:rFonts w:ascii="宋体" w:hAnsi="宋体" w:eastAsia="宋体"/>
                <w:sz w:val="16"/>
              </w:rPr>
              <w:t>新疆巴音郭楞蒙古自治州林果技术研究推广中心</w:t>
            </w:r>
          </w:p>
        </w:tc>
      </w:tr>
      <w:tr w14:paraId="6625E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EFEF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7C2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91D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B1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EA9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7BF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C5B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7D44">
            <w:pPr>
              <w:jc w:val="center"/>
            </w:pPr>
            <w:r>
              <w:rPr>
                <w:rFonts w:ascii="宋体" w:hAnsi="宋体" w:eastAsia="宋体"/>
                <w:sz w:val="16"/>
              </w:rPr>
              <w:t>得分</w:t>
            </w:r>
          </w:p>
        </w:tc>
      </w:tr>
      <w:tr w14:paraId="20F23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026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9F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E4D9">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F5C19">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D855">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DD8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B8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5BFD">
            <w:pPr>
              <w:jc w:val="center"/>
            </w:pPr>
            <w:r>
              <w:rPr>
                <w:rFonts w:ascii="宋体" w:hAnsi="宋体" w:eastAsia="宋体"/>
                <w:sz w:val="16"/>
              </w:rPr>
              <w:t>10.00</w:t>
            </w:r>
          </w:p>
        </w:tc>
      </w:tr>
      <w:tr w14:paraId="3F51D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49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43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5F2C">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D8BB">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C9BC9">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F33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70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A6A3">
            <w:pPr>
              <w:jc w:val="center"/>
            </w:pPr>
            <w:r>
              <w:rPr>
                <w:rFonts w:ascii="宋体" w:hAnsi="宋体" w:eastAsia="宋体"/>
                <w:sz w:val="16"/>
              </w:rPr>
              <w:t>-</w:t>
            </w:r>
          </w:p>
        </w:tc>
      </w:tr>
      <w:tr w14:paraId="6B8DB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D7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3E5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7D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042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E6C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94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5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C49B">
            <w:pPr>
              <w:jc w:val="center"/>
            </w:pPr>
            <w:r>
              <w:rPr>
                <w:rFonts w:ascii="宋体" w:hAnsi="宋体" w:eastAsia="宋体"/>
                <w:sz w:val="16"/>
              </w:rPr>
              <w:t>-</w:t>
            </w:r>
          </w:p>
        </w:tc>
      </w:tr>
      <w:tr w14:paraId="48E7FB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9CF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8472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7A264A">
            <w:pPr>
              <w:jc w:val="center"/>
            </w:pPr>
            <w:r>
              <w:rPr>
                <w:rFonts w:ascii="宋体" w:hAnsi="宋体" w:eastAsia="宋体"/>
                <w:sz w:val="16"/>
              </w:rPr>
              <w:t>总体目标完成情况</w:t>
            </w:r>
          </w:p>
        </w:tc>
      </w:tr>
      <w:tr w14:paraId="5E804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782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CF40C0">
            <w:pPr>
              <w:jc w:val="both"/>
            </w:pPr>
            <w:r>
              <w:rPr>
                <w:rFonts w:ascii="宋体" w:hAnsi="宋体" w:eastAsia="宋体"/>
                <w:sz w:val="16"/>
              </w:rPr>
              <w:t>选派5名专业技术人员对八县一市开展林果技术服务，服务天数不少于50天通过开展技术服务，有效解决了果农在林果生产中遇到的难题，进一步加强了果农科技意识，提高了果园管理技术水平，增强了运用现代科技知识发展林果业的本领，使全州林果标准化栽培管理水平得到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463C8">
            <w:pPr>
              <w:jc w:val="both"/>
            </w:pPr>
            <w:r>
              <w:rPr>
                <w:rFonts w:ascii="宋体" w:hAnsi="宋体" w:eastAsia="宋体"/>
                <w:sz w:val="16"/>
              </w:rPr>
              <w:t>该项目在实施中选派专家5名对八县一市林果开展技术服务与指导，服务天数合计50天，通过技术服务，进一步加强果农科学管理果园的意识，为全州林果提质增效、林果高质量发展提供保障。</w:t>
            </w:r>
          </w:p>
        </w:tc>
      </w:tr>
      <w:tr w14:paraId="6949C6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950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3F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FB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DB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F4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61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54B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ED7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D06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76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29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C9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FCC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103E">
            <w:pPr>
              <w:jc w:val="center"/>
            </w:pPr>
            <w:r>
              <w:rPr>
                <w:rFonts w:ascii="宋体" w:hAnsi="宋体" w:eastAsia="宋体"/>
                <w:sz w:val="16"/>
              </w:rPr>
              <w:t>偏差原因分析及改进措施</w:t>
            </w:r>
          </w:p>
        </w:tc>
      </w:tr>
      <w:tr w14:paraId="513A78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1B8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97A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077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5051">
            <w:pPr>
              <w:jc w:val="center"/>
            </w:pPr>
            <w:r>
              <w:rPr>
                <w:rFonts w:ascii="宋体" w:hAnsi="宋体" w:eastAsia="宋体"/>
                <w:sz w:val="16"/>
              </w:rPr>
              <w:t>开展技术服务人数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1AFF">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5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9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1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8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1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314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C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F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B7C0">
            <w:pPr>
              <w:jc w:val="center"/>
            </w:pPr>
          </w:p>
        </w:tc>
      </w:tr>
      <w:tr w14:paraId="46AD9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14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CB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43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9449">
            <w:pPr>
              <w:jc w:val="center"/>
            </w:pPr>
            <w:r>
              <w:rPr>
                <w:rFonts w:ascii="宋体" w:hAnsi="宋体" w:eastAsia="宋体"/>
                <w:sz w:val="16"/>
              </w:rPr>
              <w:t>开展技术服务天数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906E">
            <w:pPr>
              <w:jc w:val="center"/>
            </w:pPr>
            <w:r>
              <w:rPr>
                <w:rFonts w:ascii="宋体" w:hAnsi="宋体" w:eastAsia="宋体"/>
                <w:sz w:val="16"/>
              </w:rPr>
              <w:t>&gt;=50天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7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4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DA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D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5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DEC0">
            <w:pPr>
              <w:jc w:val="center"/>
            </w:pPr>
            <w:r>
              <w:rPr>
                <w:rFonts w:ascii="宋体" w:hAnsi="宋体" w:eastAsia="宋体"/>
                <w:sz w:val="16"/>
              </w:rPr>
              <w: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E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F3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F4FE">
            <w:pPr>
              <w:jc w:val="center"/>
            </w:pPr>
          </w:p>
        </w:tc>
      </w:tr>
      <w:tr w14:paraId="411C1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17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FD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EF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720C">
            <w:pPr>
              <w:jc w:val="center"/>
            </w:pPr>
            <w:r>
              <w:rPr>
                <w:rFonts w:ascii="宋体" w:hAnsi="宋体" w:eastAsia="宋体"/>
                <w:sz w:val="16"/>
              </w:rPr>
              <w:t>技术服务人员差旅费发放正确率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A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7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F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4E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6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B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3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2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D6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6DE9">
            <w:pPr>
              <w:jc w:val="center"/>
            </w:pPr>
          </w:p>
        </w:tc>
      </w:tr>
      <w:tr w14:paraId="55193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C3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3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CD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47B8">
            <w:pPr>
              <w:jc w:val="center"/>
            </w:pPr>
            <w:r>
              <w:rPr>
                <w:rFonts w:ascii="宋体" w:hAnsi="宋体" w:eastAsia="宋体"/>
                <w:sz w:val="16"/>
              </w:rPr>
              <w:t>技术服务人员差旅费支付及时率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D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4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A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8D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3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E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B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3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C733">
            <w:pPr>
              <w:jc w:val="center"/>
            </w:pPr>
          </w:p>
        </w:tc>
      </w:tr>
      <w:tr w14:paraId="35225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B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EC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94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4144">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DF1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2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E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E7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2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1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3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7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4D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34CA">
            <w:pPr>
              <w:jc w:val="center"/>
            </w:pPr>
          </w:p>
        </w:tc>
      </w:tr>
      <w:tr w14:paraId="0F95A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78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38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6F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A396">
            <w:pPr>
              <w:jc w:val="center"/>
            </w:pPr>
            <w:r>
              <w:rPr>
                <w:rFonts w:ascii="宋体" w:hAnsi="宋体" w:eastAsia="宋体"/>
                <w:sz w:val="16"/>
              </w:rPr>
              <w:t>有效提高果农果园管理水平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EE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8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60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9B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A7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5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137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9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45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200A">
            <w:pPr>
              <w:jc w:val="center"/>
            </w:pPr>
          </w:p>
        </w:tc>
      </w:tr>
      <w:tr w14:paraId="15423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E0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55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E1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485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AE8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9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F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9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3C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D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B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1EF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8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1200">
            <w:pPr>
              <w:jc w:val="center"/>
            </w:pPr>
            <w:r>
              <w:rPr>
                <w:rFonts w:ascii="宋体" w:hAnsi="宋体" w:eastAsia="宋体"/>
                <w:sz w:val="16"/>
              </w:rPr>
              <w:t>偏离原因：通过满意度测评，十分满意。改进措施：继续按照实施方案做好技术服务工作。</w:t>
            </w:r>
          </w:p>
        </w:tc>
      </w:tr>
      <w:tr w14:paraId="74B0A3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FC44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8FE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695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50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8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E54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098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143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C4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0B2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789B5"/>
        </w:tc>
      </w:tr>
    </w:tbl>
    <w:p w14:paraId="046ECB80">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776"/>
        <w:gridCol w:w="607"/>
        <w:gridCol w:w="607"/>
        <w:gridCol w:w="615"/>
        <w:gridCol w:w="607"/>
        <w:gridCol w:w="607"/>
        <w:gridCol w:w="696"/>
        <w:gridCol w:w="776"/>
        <w:gridCol w:w="630"/>
        <w:gridCol w:w="696"/>
      </w:tblGrid>
      <w:tr w14:paraId="76A58562">
        <w:tblPrEx>
          <w:tblCellMar>
            <w:top w:w="0" w:type="dxa"/>
            <w:left w:w="108" w:type="dxa"/>
            <w:bottom w:w="0" w:type="dxa"/>
            <w:right w:w="108" w:type="dxa"/>
          </w:tblCellMar>
        </w:tblPrEx>
        <w:tc>
          <w:tcPr>
            <w:tcW w:w="8848" w:type="dxa"/>
            <w:gridSpan w:val="14"/>
            <w:vAlign w:val="center"/>
          </w:tcPr>
          <w:p w14:paraId="6A470D85">
            <w:pPr>
              <w:jc w:val="center"/>
            </w:pPr>
            <w:r>
              <w:rPr>
                <w:rFonts w:ascii="宋体" w:hAnsi="宋体" w:eastAsia="宋体"/>
                <w:sz w:val="24"/>
              </w:rPr>
              <w:t>项目支出绩效自评表</w:t>
            </w:r>
          </w:p>
        </w:tc>
      </w:tr>
      <w:tr w14:paraId="38F86640">
        <w:tblPrEx>
          <w:tblCellMar>
            <w:top w:w="0" w:type="dxa"/>
            <w:left w:w="108" w:type="dxa"/>
            <w:bottom w:w="0" w:type="dxa"/>
            <w:right w:w="108" w:type="dxa"/>
          </w:tblCellMar>
        </w:tblPrEx>
        <w:tc>
          <w:tcPr>
            <w:tcW w:w="8848" w:type="dxa"/>
            <w:gridSpan w:val="14"/>
            <w:vAlign w:val="center"/>
          </w:tcPr>
          <w:p w14:paraId="1CDF0854">
            <w:pPr>
              <w:jc w:val="center"/>
            </w:pPr>
            <w:r>
              <w:rPr>
                <w:rFonts w:ascii="宋体" w:hAnsi="宋体" w:eastAsia="宋体"/>
                <w:sz w:val="24"/>
              </w:rPr>
              <w:t>(2024年度)</w:t>
            </w:r>
          </w:p>
        </w:tc>
      </w:tr>
      <w:tr w14:paraId="34A247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2D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B238DC">
            <w:pPr>
              <w:jc w:val="center"/>
            </w:pPr>
            <w:r>
              <w:rPr>
                <w:rFonts w:ascii="宋体" w:hAnsi="宋体" w:eastAsia="宋体"/>
                <w:sz w:val="16"/>
              </w:rPr>
              <w:t>提前下达2024年自治区林草专项资金（森林植被恢复费）林果提质增效—林果全产业链提质增效专家技术服务补助</w:t>
            </w:r>
          </w:p>
        </w:tc>
      </w:tr>
      <w:tr w14:paraId="5C515E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68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92156">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D0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1FFD6">
            <w:pPr>
              <w:jc w:val="center"/>
            </w:pPr>
            <w:r>
              <w:rPr>
                <w:rFonts w:ascii="宋体" w:hAnsi="宋体" w:eastAsia="宋体"/>
                <w:sz w:val="16"/>
              </w:rPr>
              <w:t>新疆巴音郭楞蒙古自治州林果技术研究推广中心</w:t>
            </w:r>
          </w:p>
        </w:tc>
      </w:tr>
      <w:tr w14:paraId="7A5FFB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D171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68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E28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53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83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25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FB8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2B5E">
            <w:pPr>
              <w:jc w:val="center"/>
            </w:pPr>
            <w:r>
              <w:rPr>
                <w:rFonts w:ascii="宋体" w:hAnsi="宋体" w:eastAsia="宋体"/>
                <w:sz w:val="16"/>
              </w:rPr>
              <w:t>得分</w:t>
            </w:r>
          </w:p>
        </w:tc>
      </w:tr>
      <w:tr w14:paraId="0E908E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A7E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62D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8A8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4622">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E02D">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B78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73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8722">
            <w:pPr>
              <w:jc w:val="center"/>
            </w:pPr>
            <w:r>
              <w:rPr>
                <w:rFonts w:ascii="宋体" w:hAnsi="宋体" w:eastAsia="宋体"/>
                <w:sz w:val="16"/>
              </w:rPr>
              <w:t>10.00</w:t>
            </w:r>
          </w:p>
        </w:tc>
      </w:tr>
      <w:tr w14:paraId="1F7C3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C1E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FF4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A51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E440">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772C1">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99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B7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CA37">
            <w:pPr>
              <w:jc w:val="center"/>
            </w:pPr>
            <w:r>
              <w:rPr>
                <w:rFonts w:ascii="宋体" w:hAnsi="宋体" w:eastAsia="宋体"/>
                <w:sz w:val="16"/>
              </w:rPr>
              <w:t>-</w:t>
            </w:r>
          </w:p>
        </w:tc>
      </w:tr>
      <w:tr w14:paraId="24335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2D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B6B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00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594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A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B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6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1226">
            <w:pPr>
              <w:jc w:val="center"/>
            </w:pPr>
            <w:r>
              <w:rPr>
                <w:rFonts w:ascii="宋体" w:hAnsi="宋体" w:eastAsia="宋体"/>
                <w:sz w:val="16"/>
              </w:rPr>
              <w:t>-</w:t>
            </w:r>
          </w:p>
        </w:tc>
      </w:tr>
      <w:tr w14:paraId="472585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DCD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DD0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A7B4E">
            <w:pPr>
              <w:jc w:val="center"/>
            </w:pPr>
            <w:r>
              <w:rPr>
                <w:rFonts w:ascii="宋体" w:hAnsi="宋体" w:eastAsia="宋体"/>
                <w:sz w:val="16"/>
              </w:rPr>
              <w:t>总体目标完成情况</w:t>
            </w:r>
          </w:p>
        </w:tc>
      </w:tr>
      <w:tr w14:paraId="2A06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1CB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55AC9">
            <w:pPr>
              <w:jc w:val="both"/>
            </w:pPr>
            <w:r>
              <w:rPr>
                <w:rFonts w:ascii="宋体" w:hAnsi="宋体" w:eastAsia="宋体"/>
                <w:sz w:val="16"/>
              </w:rPr>
              <w:t>派出林果专家不少于10人对八县一市在林果基地示范园建设、关键技术措施、果品生产加工、市场信息收集分析、宣传推介等方面开展指导服务和培训工作；外出开展林果全产业链交流学习，参加林果展会对巴州林果产品开展宣传推介活动。累计技术服务天数不少于300天。通过技术服务，有效提高果农科学管理果园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FE28F">
            <w:pPr>
              <w:jc w:val="both"/>
            </w:pPr>
            <w:r>
              <w:rPr>
                <w:rFonts w:ascii="宋体" w:hAnsi="宋体" w:eastAsia="宋体"/>
                <w:sz w:val="16"/>
              </w:rPr>
              <w:t>巴州林果技术研究推广中心选派中心林果专业技术人员10人前往巴州八县一市，围绕林果业生产的关键技术环节，开展林果基地示范园建设、关键技术措施、果品生产加工、市场信息收集分析、宣传推介等方面开展实用、时效、通俗易懂的指导服务。通过外出开展林果全产业链交流学习，参加林果展会对巴州林果产品开展宣传推介活动共6次，进一步提升了巴州特色林果产品的品牌影响力，有力开拓了巴州特色林果的销售渠道。累计技术服务天数302天。通过对2024年特色林果基地示范园的实地查看与指导，有效提高了</w:t>
            </w:r>
            <w:r>
              <w:rPr>
                <w:rFonts w:hint="eastAsia" w:ascii="宋体" w:hAnsi="宋体"/>
                <w:sz w:val="16"/>
                <w:lang w:eastAsia="zh-CN"/>
              </w:rPr>
              <w:t>果农</w:t>
            </w:r>
            <w:r>
              <w:rPr>
                <w:rFonts w:ascii="宋体" w:hAnsi="宋体" w:eastAsia="宋体"/>
                <w:sz w:val="16"/>
              </w:rPr>
              <w:t>管理果园的技术水平。</w:t>
            </w:r>
          </w:p>
        </w:tc>
      </w:tr>
      <w:tr w14:paraId="7C199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27F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25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2B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A3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8B7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5A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13B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95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93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0B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F3F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C5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0A4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C4F1">
            <w:pPr>
              <w:jc w:val="center"/>
            </w:pPr>
            <w:r>
              <w:rPr>
                <w:rFonts w:ascii="宋体" w:hAnsi="宋体" w:eastAsia="宋体"/>
                <w:sz w:val="16"/>
              </w:rPr>
              <w:t>偏差原因分析及改进措施</w:t>
            </w:r>
          </w:p>
        </w:tc>
      </w:tr>
      <w:tr w14:paraId="3ECD80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ACA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2E4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1F2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813C">
            <w:pPr>
              <w:jc w:val="center"/>
            </w:pPr>
            <w:r>
              <w:rPr>
                <w:rFonts w:ascii="宋体" w:hAnsi="宋体" w:eastAsia="宋体"/>
                <w:sz w:val="16"/>
              </w:rPr>
              <w:t>累计开展技术服务天数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B519">
            <w:pPr>
              <w:jc w:val="center"/>
            </w:pPr>
            <w:r>
              <w:rPr>
                <w:rFonts w:ascii="宋体" w:hAnsi="宋体" w:eastAsia="宋体"/>
                <w:sz w:val="16"/>
              </w:rPr>
              <w:t>&gt;=300天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6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CD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4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5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6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A8E9">
            <w:pPr>
              <w:jc w:val="center"/>
            </w:pPr>
            <w:r>
              <w:rPr>
                <w:rFonts w:ascii="宋体" w:hAnsi="宋体" w:eastAsia="宋体"/>
                <w:sz w:val="16"/>
              </w:rPr>
              <w:t>=302天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4E1A">
            <w:pPr>
              <w:jc w:val="center"/>
            </w:pPr>
            <w:r>
              <w:rPr>
                <w:rFonts w:ascii="宋体" w:hAnsi="宋体" w:eastAsia="宋体"/>
                <w:sz w:val="16"/>
              </w:rPr>
              <w:t>100.67%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49A3">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1D8D">
            <w:pPr>
              <w:jc w:val="center"/>
            </w:pPr>
            <w:r>
              <w:rPr>
                <w:rFonts w:ascii="宋体" w:hAnsi="宋体" w:eastAsia="宋体"/>
                <w:sz w:val="16"/>
              </w:rPr>
              <w:t>巴州林果中心共派出专业技术人员14人前往巴州八县一市开展专业技术服务，累计天数308天。</w:t>
            </w:r>
          </w:p>
        </w:tc>
      </w:tr>
      <w:tr w14:paraId="0908C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A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99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BE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77F5">
            <w:pPr>
              <w:jc w:val="center"/>
            </w:pPr>
            <w:r>
              <w:rPr>
                <w:rFonts w:ascii="宋体" w:hAnsi="宋体" w:eastAsia="宋体"/>
                <w:sz w:val="16"/>
              </w:rPr>
              <w:t>选派专家开展技术服务指导人数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A5D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6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3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E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6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1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6EF7">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D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3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16CE">
            <w:pPr>
              <w:jc w:val="center"/>
            </w:pPr>
            <w:r>
              <w:rPr>
                <w:rFonts w:ascii="宋体" w:hAnsi="宋体" w:eastAsia="宋体"/>
                <w:sz w:val="16"/>
              </w:rPr>
              <w:t>巴州林果中心共派出专业技术人员14人前往巴州八县一市开展专业技术服务，累计天数308天。</w:t>
            </w:r>
          </w:p>
        </w:tc>
      </w:tr>
      <w:tr w14:paraId="12137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26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DD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27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D470">
            <w:pPr>
              <w:jc w:val="center"/>
            </w:pPr>
            <w:r>
              <w:rPr>
                <w:rFonts w:ascii="宋体" w:hAnsi="宋体" w:eastAsia="宋体"/>
                <w:sz w:val="16"/>
              </w:rPr>
              <w:t>技术服务人员差旅费发放正确率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E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6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E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C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F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E5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2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8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3C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4F2C">
            <w:pPr>
              <w:jc w:val="center"/>
            </w:pPr>
          </w:p>
        </w:tc>
      </w:tr>
      <w:tr w14:paraId="4F25F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0C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F2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85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7A97">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69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E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8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C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24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88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E67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7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2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BB62">
            <w:pPr>
              <w:jc w:val="center"/>
            </w:pPr>
          </w:p>
        </w:tc>
      </w:tr>
      <w:tr w14:paraId="13D3D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E76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183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6D5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77E7">
            <w:pPr>
              <w:jc w:val="center"/>
            </w:pPr>
            <w:r>
              <w:rPr>
                <w:rFonts w:ascii="宋体" w:hAnsi="宋体" w:eastAsia="宋体"/>
                <w:sz w:val="16"/>
              </w:rPr>
              <w:t>技术服务人员差旅费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B75C">
            <w:pPr>
              <w:jc w:val="center"/>
            </w:pPr>
            <w:r>
              <w:rPr>
                <w:rFonts w:ascii="宋体" w:hAnsi="宋体" w:eastAsia="宋体"/>
                <w:sz w:val="16"/>
              </w:rPr>
              <w:t>&lt;=14.44万元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5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1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A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E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93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1A84">
            <w:pPr>
              <w:jc w:val="center"/>
            </w:pPr>
            <w:r>
              <w:rPr>
                <w:rFonts w:ascii="宋体" w:hAnsi="宋体" w:eastAsia="宋体"/>
                <w:sz w:val="16"/>
              </w:rPr>
              <w:t>=14.44万元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2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9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AA97">
            <w:pPr>
              <w:jc w:val="center"/>
            </w:pPr>
          </w:p>
        </w:tc>
      </w:tr>
      <w:tr w14:paraId="49436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B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BD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80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4A4C">
            <w:pPr>
              <w:jc w:val="center"/>
            </w:pPr>
            <w:r>
              <w:rPr>
                <w:rFonts w:ascii="宋体" w:hAnsi="宋体" w:eastAsia="宋体"/>
                <w:sz w:val="16"/>
              </w:rPr>
              <w:t>其他交通费用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2E5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B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1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C0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9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D4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C40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7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5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1118">
            <w:pPr>
              <w:jc w:val="center"/>
            </w:pPr>
          </w:p>
        </w:tc>
      </w:tr>
      <w:tr w14:paraId="1DC40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FB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0E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2C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5EF6">
            <w:pPr>
              <w:jc w:val="center"/>
            </w:pPr>
            <w:r>
              <w:rPr>
                <w:rFonts w:ascii="宋体" w:hAnsi="宋体" w:eastAsia="宋体"/>
                <w:sz w:val="16"/>
              </w:rPr>
              <w:t>有效提高果园管理水平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95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3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1F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F4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6E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B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40F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B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FE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B8ED">
            <w:pPr>
              <w:jc w:val="center"/>
            </w:pPr>
          </w:p>
        </w:tc>
      </w:tr>
      <w:tr w14:paraId="61682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CB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B1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57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D90C">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A1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E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6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A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F4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5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A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F429">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4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94F3">
            <w:pPr>
              <w:jc w:val="center"/>
            </w:pPr>
            <w:r>
              <w:rPr>
                <w:rFonts w:ascii="宋体" w:hAnsi="宋体" w:eastAsia="宋体"/>
                <w:sz w:val="16"/>
              </w:rPr>
              <w:t>偏差原因：通过满意度调查表统计，林果服务对象满意度100%。改进措施：进一步从严从高制定绩效目标。</w:t>
            </w:r>
          </w:p>
        </w:tc>
      </w:tr>
      <w:tr w14:paraId="335BCA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A10A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42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FD5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13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12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8B47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669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45F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67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2BE7">
            <w:pPr>
              <w:jc w:val="center"/>
            </w:pPr>
            <w:r>
              <w:rPr>
                <w:rFonts w:ascii="宋体" w:hAnsi="宋体" w:eastAsia="宋体"/>
                <w:sz w:val="16"/>
              </w:rPr>
              <w:t>99.93分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53269"/>
        </w:tc>
      </w:tr>
    </w:tbl>
    <w:p w14:paraId="6DDC98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5D8E2683">
        <w:tblPrEx>
          <w:tblCellMar>
            <w:top w:w="0" w:type="dxa"/>
            <w:left w:w="108" w:type="dxa"/>
            <w:bottom w:w="0" w:type="dxa"/>
            <w:right w:w="108" w:type="dxa"/>
          </w:tblCellMar>
        </w:tblPrEx>
        <w:tc>
          <w:tcPr>
            <w:tcW w:w="8848" w:type="dxa"/>
            <w:gridSpan w:val="14"/>
            <w:vAlign w:val="center"/>
          </w:tcPr>
          <w:p w14:paraId="527A1853">
            <w:pPr>
              <w:jc w:val="center"/>
            </w:pPr>
            <w:r>
              <w:rPr>
                <w:rFonts w:ascii="宋体" w:hAnsi="宋体" w:eastAsia="宋体"/>
                <w:sz w:val="24"/>
              </w:rPr>
              <w:t>项目支出绩效自评表</w:t>
            </w:r>
          </w:p>
        </w:tc>
      </w:tr>
      <w:tr w14:paraId="3071DFEB">
        <w:tblPrEx>
          <w:tblCellMar>
            <w:top w:w="0" w:type="dxa"/>
            <w:left w:w="108" w:type="dxa"/>
            <w:bottom w:w="0" w:type="dxa"/>
            <w:right w:w="108" w:type="dxa"/>
          </w:tblCellMar>
        </w:tblPrEx>
        <w:tc>
          <w:tcPr>
            <w:tcW w:w="8848" w:type="dxa"/>
            <w:gridSpan w:val="14"/>
            <w:vAlign w:val="center"/>
          </w:tcPr>
          <w:p w14:paraId="48EBDC21">
            <w:pPr>
              <w:jc w:val="center"/>
            </w:pPr>
            <w:r>
              <w:rPr>
                <w:rFonts w:ascii="宋体" w:hAnsi="宋体" w:eastAsia="宋体"/>
                <w:sz w:val="24"/>
              </w:rPr>
              <w:t>(2024年度)</w:t>
            </w:r>
          </w:p>
        </w:tc>
      </w:tr>
      <w:tr w14:paraId="57A76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87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172731">
            <w:pPr>
              <w:jc w:val="center"/>
            </w:pPr>
            <w:r>
              <w:rPr>
                <w:rFonts w:ascii="宋体" w:hAnsi="宋体" w:eastAsia="宋体"/>
                <w:sz w:val="16"/>
              </w:rPr>
              <w:t>2023年天山英才计划--三农骨干人才项目（上年结转）</w:t>
            </w:r>
          </w:p>
        </w:tc>
      </w:tr>
      <w:tr w14:paraId="03CD7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D3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64AEC">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39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673BDB">
            <w:pPr>
              <w:jc w:val="center"/>
            </w:pPr>
            <w:r>
              <w:rPr>
                <w:rFonts w:ascii="宋体" w:hAnsi="宋体" w:eastAsia="宋体"/>
                <w:sz w:val="16"/>
              </w:rPr>
              <w:t>新疆巴音郭楞蒙古自治州林果技术研究推广中心</w:t>
            </w:r>
          </w:p>
        </w:tc>
      </w:tr>
      <w:tr w14:paraId="5DCF0B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EE49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23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07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1F4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BC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2A2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DD1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A6E9">
            <w:pPr>
              <w:jc w:val="center"/>
            </w:pPr>
            <w:r>
              <w:rPr>
                <w:rFonts w:ascii="宋体" w:hAnsi="宋体" w:eastAsia="宋体"/>
                <w:sz w:val="16"/>
              </w:rPr>
              <w:t>得分</w:t>
            </w:r>
          </w:p>
        </w:tc>
      </w:tr>
      <w:tr w14:paraId="310105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E0B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28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439B6">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43D55">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32C6">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52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C2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F0ED">
            <w:pPr>
              <w:jc w:val="center"/>
            </w:pPr>
            <w:r>
              <w:rPr>
                <w:rFonts w:ascii="宋体" w:hAnsi="宋体" w:eastAsia="宋体"/>
                <w:sz w:val="16"/>
              </w:rPr>
              <w:t>10.00</w:t>
            </w:r>
          </w:p>
        </w:tc>
      </w:tr>
      <w:tr w14:paraId="6196C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11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27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24C2">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F943">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94E32">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169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0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89C2">
            <w:pPr>
              <w:jc w:val="center"/>
            </w:pPr>
            <w:r>
              <w:rPr>
                <w:rFonts w:ascii="宋体" w:hAnsi="宋体" w:eastAsia="宋体"/>
                <w:sz w:val="16"/>
              </w:rPr>
              <w:t>-</w:t>
            </w:r>
          </w:p>
        </w:tc>
      </w:tr>
      <w:tr w14:paraId="60928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47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91DB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A7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D9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51F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81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D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2272">
            <w:pPr>
              <w:jc w:val="center"/>
            </w:pPr>
            <w:r>
              <w:rPr>
                <w:rFonts w:ascii="宋体" w:hAnsi="宋体" w:eastAsia="宋体"/>
                <w:sz w:val="16"/>
              </w:rPr>
              <w:t>-</w:t>
            </w:r>
          </w:p>
        </w:tc>
      </w:tr>
      <w:tr w14:paraId="54EB10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32E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BC6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0D7C6">
            <w:pPr>
              <w:jc w:val="center"/>
            </w:pPr>
            <w:r>
              <w:rPr>
                <w:rFonts w:ascii="宋体" w:hAnsi="宋体" w:eastAsia="宋体"/>
                <w:sz w:val="16"/>
              </w:rPr>
              <w:t>总体目标完成情况</w:t>
            </w:r>
          </w:p>
        </w:tc>
      </w:tr>
      <w:tr w14:paraId="37C25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876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25AF1D">
            <w:pPr>
              <w:jc w:val="both"/>
            </w:pPr>
            <w:r>
              <w:rPr>
                <w:rFonts w:ascii="宋体" w:hAnsi="宋体" w:eastAsia="宋体"/>
                <w:sz w:val="16"/>
              </w:rPr>
              <w:t>为了全方位培养引进用好留住人才，激发人才创新创业活力，选定试验区，开展库尔勒香梨根系状况对香梨品质的研究；在项目的实施中采购材料3批，聘用临时工6人，增加就业人员6人，果品检测1批次，检验项目实施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46048">
            <w:pPr>
              <w:jc w:val="both"/>
            </w:pPr>
            <w:r>
              <w:rPr>
                <w:rFonts w:ascii="宋体" w:hAnsi="宋体" w:eastAsia="宋体"/>
                <w:sz w:val="16"/>
              </w:rPr>
              <w:t>在库尔勒市阿吾提乡强布勒村选定了香梨根系研究试验区，</w:t>
            </w:r>
            <w:r>
              <w:rPr>
                <w:rFonts w:hint="eastAsia" w:ascii="宋体" w:hAnsi="宋体"/>
                <w:sz w:val="16"/>
                <w:lang w:eastAsia="zh-CN"/>
              </w:rPr>
              <w:t>开展</w:t>
            </w:r>
            <w:r>
              <w:rPr>
                <w:rFonts w:ascii="宋体" w:hAnsi="宋体" w:eastAsia="宋体"/>
                <w:sz w:val="16"/>
              </w:rPr>
              <w:t>库尔勒香梨根系状况对香梨品质的研究；采购了3批材料，聘用了临时工6人，增加了就业人数6人，开展林香梨果品检测一批次，试验初步筛选出一个促根的处理。</w:t>
            </w:r>
          </w:p>
        </w:tc>
      </w:tr>
      <w:tr w14:paraId="3626F2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69B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68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41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CD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6FD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B9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7C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525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59C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06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433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E7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DCD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EABF">
            <w:pPr>
              <w:jc w:val="center"/>
            </w:pPr>
            <w:r>
              <w:rPr>
                <w:rFonts w:ascii="宋体" w:hAnsi="宋体" w:eastAsia="宋体"/>
                <w:sz w:val="16"/>
              </w:rPr>
              <w:t>偏差原因分析及改进措施</w:t>
            </w:r>
          </w:p>
        </w:tc>
      </w:tr>
      <w:tr w14:paraId="0567CD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EE8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A09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079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9E95">
            <w:pPr>
              <w:jc w:val="center"/>
            </w:pPr>
            <w:r>
              <w:rPr>
                <w:rFonts w:ascii="宋体" w:hAnsi="宋体" w:eastAsia="宋体"/>
                <w:sz w:val="16"/>
              </w:rPr>
              <w:t>购买材料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0063">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1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D9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1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12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241E">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C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57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03B5">
            <w:pPr>
              <w:jc w:val="center"/>
            </w:pPr>
          </w:p>
        </w:tc>
      </w:tr>
      <w:tr w14:paraId="0A2E0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5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6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53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D9AC">
            <w:pPr>
              <w:jc w:val="center"/>
            </w:pPr>
            <w:r>
              <w:rPr>
                <w:rFonts w:ascii="宋体" w:hAnsi="宋体" w:eastAsia="宋体"/>
                <w:sz w:val="16"/>
              </w:rPr>
              <w:t>完成香梨质量检测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2A3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B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D0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13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1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56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20B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E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B9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2FE9">
            <w:pPr>
              <w:jc w:val="center"/>
            </w:pPr>
          </w:p>
        </w:tc>
      </w:tr>
      <w:tr w14:paraId="3DB67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0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C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6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CD38">
            <w:pPr>
              <w:jc w:val="center"/>
            </w:pPr>
            <w:r>
              <w:rPr>
                <w:rFonts w:ascii="宋体" w:hAnsi="宋体" w:eastAsia="宋体"/>
                <w:sz w:val="16"/>
              </w:rPr>
              <w:t>聘用临时用工人数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88C5">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1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C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3E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0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46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DB4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0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92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9FF7">
            <w:pPr>
              <w:jc w:val="center"/>
            </w:pPr>
          </w:p>
        </w:tc>
      </w:tr>
      <w:tr w14:paraId="7AADA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96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DE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2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9EC0">
            <w:pPr>
              <w:jc w:val="center"/>
            </w:pPr>
            <w:r>
              <w:rPr>
                <w:rFonts w:ascii="宋体" w:hAnsi="宋体" w:eastAsia="宋体"/>
                <w:sz w:val="16"/>
              </w:rPr>
              <w:t>开展有关根系的研究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5E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B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B7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5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D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27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5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9E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B1DD">
            <w:pPr>
              <w:jc w:val="center"/>
            </w:pPr>
          </w:p>
        </w:tc>
      </w:tr>
      <w:tr w14:paraId="52CCE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38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96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2B3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C0B2">
            <w:pPr>
              <w:jc w:val="center"/>
            </w:pPr>
            <w:r>
              <w:rPr>
                <w:rFonts w:ascii="宋体" w:hAnsi="宋体" w:eastAsia="宋体"/>
                <w:sz w:val="16"/>
              </w:rPr>
              <w:t>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8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C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8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06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C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3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9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9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E2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BC48">
            <w:pPr>
              <w:jc w:val="center"/>
            </w:pPr>
          </w:p>
        </w:tc>
      </w:tr>
      <w:tr w14:paraId="4B296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64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79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C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97A">
            <w:pPr>
              <w:jc w:val="center"/>
            </w:pPr>
            <w:r>
              <w:rPr>
                <w:rFonts w:ascii="宋体" w:hAnsi="宋体" w:eastAsia="宋体"/>
                <w:sz w:val="16"/>
              </w:rPr>
              <w:t>临时用工工作质量合格率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659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B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5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60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B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4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C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5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28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9A36">
            <w:pPr>
              <w:jc w:val="center"/>
            </w:pPr>
            <w:r>
              <w:rPr>
                <w:rFonts w:ascii="宋体" w:hAnsi="宋体" w:eastAsia="宋体"/>
                <w:sz w:val="16"/>
              </w:rPr>
              <w:t>用工验收合格后要发放临工工资，工人按照要求完成了工作任务，验收合格后足额发放了工资。</w:t>
            </w:r>
          </w:p>
        </w:tc>
      </w:tr>
      <w:tr w14:paraId="72933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5F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C3D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022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D6EE">
            <w:pPr>
              <w:jc w:val="center"/>
            </w:pPr>
            <w:r>
              <w:rPr>
                <w:rFonts w:ascii="宋体" w:hAnsi="宋体" w:eastAsia="宋体"/>
                <w:sz w:val="16"/>
              </w:rPr>
              <w:t>购买材料完成时间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549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8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7E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65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24D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C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63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CB42">
            <w:pPr>
              <w:jc w:val="center"/>
            </w:pPr>
          </w:p>
        </w:tc>
      </w:tr>
      <w:tr w14:paraId="7DCBC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1E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3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A1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76C7">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B1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3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9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E1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8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2A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8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F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FA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2EDE">
            <w:pPr>
              <w:jc w:val="center"/>
            </w:pPr>
            <w:r>
              <w:rPr>
                <w:rFonts w:ascii="宋体" w:hAnsi="宋体" w:eastAsia="宋体"/>
                <w:sz w:val="16"/>
              </w:rPr>
              <w:t>因绩效评价需要和财政支出调度要求，项目按照实施方案及时发放了各类资金。</w:t>
            </w:r>
          </w:p>
        </w:tc>
      </w:tr>
      <w:tr w14:paraId="7C890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17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707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DAD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C7AE">
            <w:pPr>
              <w:jc w:val="center"/>
            </w:pPr>
            <w:r>
              <w:rPr>
                <w:rFonts w:ascii="宋体" w:hAnsi="宋体" w:eastAsia="宋体"/>
                <w:sz w:val="16"/>
              </w:rPr>
              <w:t>实施项目所需材料及检测费用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D160">
            <w:pPr>
              <w:jc w:val="center"/>
            </w:pPr>
            <w:r>
              <w:rPr>
                <w:rFonts w:ascii="宋体" w:hAnsi="宋体" w:eastAsia="宋体"/>
                <w:sz w:val="16"/>
              </w:rPr>
              <w:t>&lt;=4.76万元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5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B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B4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4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A3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6301">
            <w:pPr>
              <w:jc w:val="center"/>
            </w:pPr>
            <w:r>
              <w:rPr>
                <w:rFonts w:ascii="宋体" w:hAnsi="宋体" w:eastAsia="宋体"/>
                <w:sz w:val="16"/>
              </w:rPr>
              <w: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B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4C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D75C">
            <w:pPr>
              <w:jc w:val="center"/>
            </w:pPr>
          </w:p>
        </w:tc>
      </w:tr>
      <w:tr w14:paraId="4B580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8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17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CA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72C3">
            <w:pPr>
              <w:jc w:val="center"/>
            </w:pPr>
            <w:r>
              <w:rPr>
                <w:rFonts w:ascii="宋体" w:hAnsi="宋体" w:eastAsia="宋体"/>
                <w:sz w:val="16"/>
              </w:rPr>
              <w:t>临时用工人员费用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343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5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39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D1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6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A2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773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4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4C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685E">
            <w:pPr>
              <w:jc w:val="center"/>
            </w:pPr>
          </w:p>
        </w:tc>
      </w:tr>
      <w:tr w14:paraId="664CF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06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E4C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A12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D6EB">
            <w:pPr>
              <w:jc w:val="center"/>
            </w:pPr>
            <w:r>
              <w:rPr>
                <w:rFonts w:ascii="宋体" w:hAnsi="宋体" w:eastAsia="宋体"/>
                <w:sz w:val="16"/>
              </w:rPr>
              <w:t>试验园每亩增收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4FC5">
            <w:pPr>
              <w:jc w:val="center"/>
            </w:pPr>
            <w:r>
              <w:rPr>
                <w:rFonts w:ascii="宋体" w:hAnsi="宋体" w:eastAsia="宋体"/>
                <w:sz w:val="16"/>
              </w:rPr>
              <w:t>&gt;=500元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D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1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E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4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3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22F7">
            <w:pPr>
              <w:jc w:val="center"/>
            </w:pPr>
            <w:r>
              <w:rPr>
                <w:rFonts w:ascii="宋体" w:hAnsi="宋体" w:eastAsia="宋体"/>
                <w:sz w:val="16"/>
              </w:rPr>
              <w:t>=839.5元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DC9B">
            <w:pPr>
              <w:jc w:val="center"/>
            </w:pPr>
            <w:r>
              <w:rPr>
                <w:rFonts w:ascii="宋体" w:hAnsi="宋体" w:eastAsia="宋体"/>
                <w:sz w:val="16"/>
              </w:rPr>
              <w:t>167.9%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BCCF">
            <w:pPr>
              <w:jc w:val="center"/>
            </w:pPr>
            <w:r>
              <w:rPr>
                <w:rFonts w:ascii="宋体" w:hAnsi="宋体" w:eastAsia="宋体"/>
                <w:sz w:val="16"/>
              </w:rPr>
              <w:t>3.21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21F1">
            <w:pPr>
              <w:jc w:val="center"/>
            </w:pPr>
            <w:r>
              <w:rPr>
                <w:rFonts w:ascii="宋体" w:hAnsi="宋体" w:eastAsia="宋体"/>
                <w:sz w:val="16"/>
              </w:rPr>
              <w:t>原因分析：今年花期天气好，坐果率高，肥料施</w:t>
            </w:r>
            <w:r>
              <w:rPr>
                <w:rFonts w:hint="eastAsia" w:ascii="宋体" w:hAnsi="宋体"/>
                <w:sz w:val="16"/>
                <w:lang w:eastAsia="zh-CN"/>
              </w:rPr>
              <w:t>得</w:t>
            </w:r>
            <w:r>
              <w:rPr>
                <w:rFonts w:ascii="宋体" w:hAnsi="宋体" w:eastAsia="宋体"/>
                <w:sz w:val="16"/>
              </w:rPr>
              <w:t>足，品质好，增收较明显。改进措施：科学合理制定绩效指标。</w:t>
            </w:r>
          </w:p>
        </w:tc>
      </w:tr>
      <w:tr w14:paraId="75E6FE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13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B1E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870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187E">
            <w:pPr>
              <w:jc w:val="center"/>
            </w:pPr>
            <w:r>
              <w:rPr>
                <w:rFonts w:ascii="宋体" w:hAnsi="宋体" w:eastAsia="宋体"/>
                <w:sz w:val="16"/>
              </w:rPr>
              <w:t>增加就业岗位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E64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6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D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8D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0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22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98AE">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B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B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130C">
            <w:pPr>
              <w:jc w:val="center"/>
            </w:pPr>
          </w:p>
        </w:tc>
      </w:tr>
      <w:tr w14:paraId="6B810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E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46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9B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F768">
            <w:pPr>
              <w:jc w:val="center"/>
            </w:pPr>
            <w:r>
              <w:rPr>
                <w:rFonts w:ascii="宋体" w:hAnsi="宋体" w:eastAsia="宋体"/>
                <w:sz w:val="16"/>
              </w:rPr>
              <w:t>促进项目区库尔勒香梨产业发展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0F3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2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A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F4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C3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F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196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5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8D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4B1A">
            <w:pPr>
              <w:jc w:val="center"/>
            </w:pPr>
          </w:p>
        </w:tc>
      </w:tr>
      <w:tr w14:paraId="27542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DA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A3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FA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5EDF">
            <w:pPr>
              <w:jc w:val="center"/>
            </w:pPr>
            <w:r>
              <w:rPr>
                <w:rFonts w:ascii="宋体" w:hAnsi="宋体" w:eastAsia="宋体"/>
                <w:sz w:val="16"/>
              </w:rPr>
              <w:t>项目试验区周边群众满意率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A4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B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1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FF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84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E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52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8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81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57B5">
            <w:pPr>
              <w:jc w:val="center"/>
            </w:pPr>
          </w:p>
        </w:tc>
      </w:tr>
      <w:tr w14:paraId="7BFEDE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424F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BBD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F8D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A7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B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200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34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B94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1B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58B3">
            <w:pPr>
              <w:jc w:val="center"/>
            </w:pPr>
            <w:r>
              <w:rPr>
                <w:rFonts w:ascii="宋体" w:hAnsi="宋体" w:eastAsia="宋体"/>
                <w:sz w:val="16"/>
              </w:rPr>
              <w:t>93.21分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9AC64"/>
        </w:tc>
      </w:tr>
    </w:tbl>
    <w:p w14:paraId="762BB9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523A469">
        <w:tblPrEx>
          <w:tblCellMar>
            <w:top w:w="0" w:type="dxa"/>
            <w:left w:w="108" w:type="dxa"/>
            <w:bottom w:w="0" w:type="dxa"/>
            <w:right w:w="108" w:type="dxa"/>
          </w:tblCellMar>
        </w:tblPrEx>
        <w:tc>
          <w:tcPr>
            <w:tcW w:w="8848" w:type="dxa"/>
            <w:gridSpan w:val="14"/>
            <w:vAlign w:val="center"/>
          </w:tcPr>
          <w:p w14:paraId="31505AE9">
            <w:pPr>
              <w:jc w:val="center"/>
            </w:pPr>
            <w:r>
              <w:rPr>
                <w:rFonts w:ascii="宋体" w:hAnsi="宋体" w:eastAsia="宋体"/>
                <w:sz w:val="24"/>
              </w:rPr>
              <w:t>项目支出绩效自评表</w:t>
            </w:r>
          </w:p>
        </w:tc>
      </w:tr>
      <w:tr w14:paraId="115E908D">
        <w:tblPrEx>
          <w:tblCellMar>
            <w:top w:w="0" w:type="dxa"/>
            <w:left w:w="108" w:type="dxa"/>
            <w:bottom w:w="0" w:type="dxa"/>
            <w:right w:w="108" w:type="dxa"/>
          </w:tblCellMar>
        </w:tblPrEx>
        <w:tc>
          <w:tcPr>
            <w:tcW w:w="8848" w:type="dxa"/>
            <w:gridSpan w:val="14"/>
            <w:vAlign w:val="center"/>
          </w:tcPr>
          <w:p w14:paraId="0F962596">
            <w:pPr>
              <w:jc w:val="center"/>
            </w:pPr>
            <w:r>
              <w:rPr>
                <w:rFonts w:ascii="宋体" w:hAnsi="宋体" w:eastAsia="宋体"/>
                <w:sz w:val="24"/>
              </w:rPr>
              <w:t>(2024年度)</w:t>
            </w:r>
          </w:p>
        </w:tc>
      </w:tr>
      <w:tr w14:paraId="44A722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45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D7EC7">
            <w:pPr>
              <w:jc w:val="center"/>
            </w:pPr>
            <w:r>
              <w:rPr>
                <w:rFonts w:ascii="宋体" w:hAnsi="宋体" w:eastAsia="宋体"/>
                <w:sz w:val="16"/>
              </w:rPr>
              <w:t>2023年自治区科技专项-库尔勒香梨优质高效关键技术示范推广（上年结转）</w:t>
            </w:r>
          </w:p>
        </w:tc>
      </w:tr>
      <w:tr w14:paraId="4C01D6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7D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B0ED7">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A6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3A4C9">
            <w:pPr>
              <w:jc w:val="center"/>
            </w:pPr>
            <w:r>
              <w:rPr>
                <w:rFonts w:ascii="宋体" w:hAnsi="宋体" w:eastAsia="宋体"/>
                <w:sz w:val="16"/>
              </w:rPr>
              <w:t>新疆巴音郭楞蒙古自治州林果技术研究推广中心</w:t>
            </w:r>
          </w:p>
        </w:tc>
      </w:tr>
      <w:tr w14:paraId="755CC7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DBF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04E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99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23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44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F5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788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4A71">
            <w:pPr>
              <w:jc w:val="center"/>
            </w:pPr>
            <w:r>
              <w:rPr>
                <w:rFonts w:ascii="宋体" w:hAnsi="宋体" w:eastAsia="宋体"/>
                <w:sz w:val="16"/>
              </w:rPr>
              <w:t>得分</w:t>
            </w:r>
          </w:p>
        </w:tc>
      </w:tr>
      <w:tr w14:paraId="701FF0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614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506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BD4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CED5">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A93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92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D1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B836">
            <w:pPr>
              <w:jc w:val="center"/>
            </w:pPr>
            <w:r>
              <w:rPr>
                <w:rFonts w:ascii="宋体" w:hAnsi="宋体" w:eastAsia="宋体"/>
                <w:sz w:val="16"/>
              </w:rPr>
              <w:t>10.00</w:t>
            </w:r>
          </w:p>
        </w:tc>
      </w:tr>
      <w:tr w14:paraId="44368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056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B4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E2C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62D5">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8C1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BC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BE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B64E">
            <w:pPr>
              <w:jc w:val="center"/>
            </w:pPr>
            <w:r>
              <w:rPr>
                <w:rFonts w:ascii="宋体" w:hAnsi="宋体" w:eastAsia="宋体"/>
                <w:sz w:val="16"/>
              </w:rPr>
              <w:t>-</w:t>
            </w:r>
          </w:p>
        </w:tc>
      </w:tr>
      <w:tr w14:paraId="207F3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E94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10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A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AC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7B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488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A6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F64F">
            <w:pPr>
              <w:jc w:val="center"/>
            </w:pPr>
            <w:r>
              <w:rPr>
                <w:rFonts w:ascii="宋体" w:hAnsi="宋体" w:eastAsia="宋体"/>
                <w:sz w:val="16"/>
              </w:rPr>
              <w:t>-</w:t>
            </w:r>
          </w:p>
        </w:tc>
      </w:tr>
      <w:tr w14:paraId="780AE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FF4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B176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0247C">
            <w:pPr>
              <w:jc w:val="center"/>
            </w:pPr>
            <w:r>
              <w:rPr>
                <w:rFonts w:ascii="宋体" w:hAnsi="宋体" w:eastAsia="宋体"/>
                <w:sz w:val="16"/>
              </w:rPr>
              <w:t>总体目标完成情况</w:t>
            </w:r>
          </w:p>
        </w:tc>
      </w:tr>
      <w:tr w14:paraId="5410C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CAB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8F4721">
            <w:pPr>
              <w:jc w:val="both"/>
            </w:pPr>
            <w:r>
              <w:rPr>
                <w:rFonts w:ascii="宋体" w:hAnsi="宋体" w:eastAsia="宋体"/>
                <w:sz w:val="16"/>
              </w:rPr>
              <w:t>建设300亩库尔勒香梨优质高效关键技术示范园，项目实施期内购买专用材料1批，通过培训带动周边村（分场）库尔勒香梨优质高效种植，提高果品附加值，带动农民增收，结成利益共同体，通过果品检测检验项目实施效果，助力库尔勒市香梨产业提质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A95D53">
            <w:pPr>
              <w:jc w:val="both"/>
            </w:pPr>
            <w:r>
              <w:rPr>
                <w:rFonts w:ascii="宋体" w:hAnsi="宋体" w:eastAsia="宋体"/>
                <w:sz w:val="16"/>
              </w:rPr>
              <w:t>项目建设完成了300亩库尔勒香梨优质高效关键技术示范园，项目实施周期内为农民购买了花粉（专用材料），并开展了技术培训，带动了周边果园的种植技术的提升，带动了农民增收。开展了一批香梨果品检测，验证了项目实施的成效，助力了库尔勒香梨的提质增效。</w:t>
            </w:r>
          </w:p>
        </w:tc>
      </w:tr>
      <w:tr w14:paraId="680060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8D2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6D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FB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31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3B2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B5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8A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25E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0F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9F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ACF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A6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32E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9B7F">
            <w:pPr>
              <w:jc w:val="center"/>
            </w:pPr>
            <w:r>
              <w:rPr>
                <w:rFonts w:ascii="宋体" w:hAnsi="宋体" w:eastAsia="宋体"/>
                <w:sz w:val="16"/>
              </w:rPr>
              <w:t>偏差原因分析及改进措施</w:t>
            </w:r>
          </w:p>
        </w:tc>
      </w:tr>
      <w:tr w14:paraId="05419E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369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6E2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078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CB8A">
            <w:pPr>
              <w:jc w:val="center"/>
            </w:pPr>
            <w:r>
              <w:rPr>
                <w:rFonts w:ascii="宋体" w:hAnsi="宋体" w:eastAsia="宋体"/>
                <w:sz w:val="16"/>
              </w:rPr>
              <w:t>建立香梨示范园面积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3E71">
            <w:pPr>
              <w:jc w:val="center"/>
            </w:pPr>
            <w:r>
              <w:rPr>
                <w:rFonts w:ascii="宋体" w:hAnsi="宋体" w:eastAsia="宋体"/>
                <w:sz w:val="16"/>
              </w:rPr>
              <w:t>&gt;=300亩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B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F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46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0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4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6CAA">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9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13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35CE">
            <w:pPr>
              <w:jc w:val="center"/>
            </w:pPr>
          </w:p>
        </w:tc>
      </w:tr>
      <w:tr w14:paraId="5CF1A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94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27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F3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2184">
            <w:pPr>
              <w:jc w:val="center"/>
            </w:pPr>
            <w:r>
              <w:rPr>
                <w:rFonts w:ascii="宋体" w:hAnsi="宋体" w:eastAsia="宋体"/>
                <w:sz w:val="16"/>
              </w:rPr>
              <w:t>果品检测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35F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6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D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2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4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D5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C35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B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C2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A367">
            <w:pPr>
              <w:jc w:val="center"/>
            </w:pPr>
          </w:p>
        </w:tc>
      </w:tr>
      <w:tr w14:paraId="60BBE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41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3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9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DB4D">
            <w:pPr>
              <w:jc w:val="center"/>
            </w:pPr>
            <w:r>
              <w:rPr>
                <w:rFonts w:ascii="宋体" w:hAnsi="宋体" w:eastAsia="宋体"/>
                <w:sz w:val="16"/>
              </w:rPr>
              <w:t>购置专用材料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BE4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1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F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6B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0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C4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9D6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5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B7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9E09">
            <w:pPr>
              <w:jc w:val="center"/>
            </w:pPr>
          </w:p>
        </w:tc>
      </w:tr>
      <w:tr w14:paraId="00B2B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2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8D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962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D7F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B6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5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0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FF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0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6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8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C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A3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AEF4">
            <w:pPr>
              <w:jc w:val="center"/>
            </w:pPr>
          </w:p>
        </w:tc>
      </w:tr>
      <w:tr w14:paraId="55682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F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42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A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0383">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F3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9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A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13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0A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3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F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0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00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6BBD">
            <w:pPr>
              <w:jc w:val="center"/>
            </w:pPr>
          </w:p>
        </w:tc>
      </w:tr>
      <w:tr w14:paraId="29370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06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C2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3D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C595">
            <w:pPr>
              <w:jc w:val="center"/>
            </w:pPr>
            <w:r>
              <w:rPr>
                <w:rFonts w:ascii="宋体" w:hAnsi="宋体" w:eastAsia="宋体"/>
                <w:sz w:val="16"/>
              </w:rPr>
              <w:t>专用材料验收质量合格率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31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3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8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30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F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7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F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6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5A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6D76">
            <w:pPr>
              <w:jc w:val="center"/>
            </w:pPr>
          </w:p>
        </w:tc>
      </w:tr>
      <w:tr w14:paraId="063B5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5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6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FF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34A4">
            <w:pPr>
              <w:jc w:val="center"/>
            </w:pPr>
            <w:r>
              <w:rPr>
                <w:rFonts w:ascii="宋体" w:hAnsi="宋体" w:eastAsia="宋体"/>
                <w:sz w:val="16"/>
              </w:rPr>
              <w:t>示范园商品果率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52E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7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D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D3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A9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7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941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F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39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62F5">
            <w:pPr>
              <w:jc w:val="center"/>
            </w:pPr>
          </w:p>
        </w:tc>
      </w:tr>
      <w:tr w14:paraId="03720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9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E2F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804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2EA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5524">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E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0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96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70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B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9A8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D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AE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28DD">
            <w:pPr>
              <w:jc w:val="center"/>
            </w:pPr>
          </w:p>
        </w:tc>
      </w:tr>
      <w:tr w14:paraId="74EB2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B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AB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1A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B512">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81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1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6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9F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A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C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6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2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6A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DE76">
            <w:pPr>
              <w:jc w:val="center"/>
            </w:pPr>
          </w:p>
        </w:tc>
      </w:tr>
      <w:tr w14:paraId="3A043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CE1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79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E45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6EF2">
            <w:pPr>
              <w:jc w:val="center"/>
            </w:pPr>
            <w:r>
              <w:rPr>
                <w:rFonts w:ascii="宋体" w:hAnsi="宋体" w:eastAsia="宋体"/>
                <w:sz w:val="16"/>
              </w:rPr>
              <w:t>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A52B">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1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A8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D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9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5E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8BBC">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1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6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E13D">
            <w:pPr>
              <w:jc w:val="center"/>
            </w:pPr>
          </w:p>
        </w:tc>
      </w:tr>
      <w:tr w14:paraId="2B90C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D5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0F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7C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F833">
            <w:pPr>
              <w:jc w:val="center"/>
            </w:pPr>
            <w:r>
              <w:rPr>
                <w:rFonts w:ascii="宋体" w:hAnsi="宋体" w:eastAsia="宋体"/>
                <w:sz w:val="16"/>
              </w:rPr>
              <w:t>检测成本费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826E">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2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4F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31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F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AF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26EC">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3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9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1205">
            <w:pPr>
              <w:jc w:val="center"/>
            </w:pPr>
          </w:p>
        </w:tc>
      </w:tr>
      <w:tr w14:paraId="3C2FB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B81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41F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351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4689">
            <w:pPr>
              <w:jc w:val="center"/>
            </w:pPr>
            <w:r>
              <w:rPr>
                <w:rFonts w:ascii="宋体" w:hAnsi="宋体" w:eastAsia="宋体"/>
                <w:sz w:val="16"/>
              </w:rPr>
              <w:t>专用材料利用率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2F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F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7EC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A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8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D0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1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9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0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4AF8">
            <w:pPr>
              <w:jc w:val="center"/>
            </w:pPr>
          </w:p>
        </w:tc>
      </w:tr>
      <w:tr w14:paraId="551B2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1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3E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70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3FE8">
            <w:pPr>
              <w:jc w:val="center"/>
            </w:pPr>
            <w:r>
              <w:rPr>
                <w:rFonts w:ascii="宋体" w:hAnsi="宋体" w:eastAsia="宋体"/>
                <w:sz w:val="16"/>
              </w:rPr>
              <w:t>香梨技术宣传知晓率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79A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1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E03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0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A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8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BA7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5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7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BDB8">
            <w:pPr>
              <w:jc w:val="center"/>
            </w:pPr>
          </w:p>
        </w:tc>
      </w:tr>
      <w:tr w14:paraId="10F60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9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0C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5E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CDF4">
            <w:pPr>
              <w:jc w:val="center"/>
            </w:pPr>
            <w:r>
              <w:rPr>
                <w:rFonts w:ascii="宋体" w:hAnsi="宋体" w:eastAsia="宋体"/>
                <w:sz w:val="16"/>
              </w:rPr>
              <w:t>物资使用人员满意率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6D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3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950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2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5A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B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4E9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8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1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C3C9">
            <w:pPr>
              <w:jc w:val="center"/>
            </w:pPr>
          </w:p>
        </w:tc>
      </w:tr>
      <w:tr w14:paraId="1F2A8B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FE07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99A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33B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1C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7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EE3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5D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674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F3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E5D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47A04"/>
        </w:tc>
      </w:tr>
    </w:tbl>
    <w:p w14:paraId="0F3091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BBA21EB">
        <w:tblPrEx>
          <w:tblCellMar>
            <w:top w:w="0" w:type="dxa"/>
            <w:left w:w="108" w:type="dxa"/>
            <w:bottom w:w="0" w:type="dxa"/>
            <w:right w:w="108" w:type="dxa"/>
          </w:tblCellMar>
        </w:tblPrEx>
        <w:tc>
          <w:tcPr>
            <w:tcW w:w="8848" w:type="dxa"/>
            <w:gridSpan w:val="14"/>
            <w:vAlign w:val="center"/>
          </w:tcPr>
          <w:p w14:paraId="26FC81F7">
            <w:pPr>
              <w:jc w:val="center"/>
            </w:pPr>
            <w:r>
              <w:rPr>
                <w:rFonts w:ascii="宋体" w:hAnsi="宋体" w:eastAsia="宋体"/>
                <w:sz w:val="24"/>
              </w:rPr>
              <w:t>项目支出绩效自评表</w:t>
            </w:r>
          </w:p>
        </w:tc>
      </w:tr>
      <w:tr w14:paraId="235AD0DB">
        <w:tblPrEx>
          <w:tblCellMar>
            <w:top w:w="0" w:type="dxa"/>
            <w:left w:w="108" w:type="dxa"/>
            <w:bottom w:w="0" w:type="dxa"/>
            <w:right w:w="108" w:type="dxa"/>
          </w:tblCellMar>
        </w:tblPrEx>
        <w:tc>
          <w:tcPr>
            <w:tcW w:w="8848" w:type="dxa"/>
            <w:gridSpan w:val="14"/>
            <w:vAlign w:val="center"/>
          </w:tcPr>
          <w:p w14:paraId="051CC1FE">
            <w:pPr>
              <w:jc w:val="center"/>
            </w:pPr>
            <w:r>
              <w:rPr>
                <w:rFonts w:ascii="宋体" w:hAnsi="宋体" w:eastAsia="宋体"/>
                <w:sz w:val="24"/>
              </w:rPr>
              <w:t>(2024年度)</w:t>
            </w:r>
          </w:p>
        </w:tc>
      </w:tr>
      <w:tr w14:paraId="64CCE9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45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19A1EB">
            <w:pPr>
              <w:jc w:val="center"/>
            </w:pPr>
            <w:r>
              <w:rPr>
                <w:rFonts w:ascii="宋体" w:hAnsi="宋体" w:eastAsia="宋体"/>
                <w:sz w:val="16"/>
              </w:rPr>
              <w:t>2023年自治区科技计划专项--酿酒葡萄抗寒砧木应用示范及推广（上年结转）</w:t>
            </w:r>
          </w:p>
        </w:tc>
      </w:tr>
      <w:tr w14:paraId="56973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11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CF0CA5">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F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86B3A6">
            <w:pPr>
              <w:jc w:val="center"/>
            </w:pPr>
            <w:r>
              <w:rPr>
                <w:rFonts w:ascii="宋体" w:hAnsi="宋体" w:eastAsia="宋体"/>
                <w:sz w:val="16"/>
              </w:rPr>
              <w:t>新疆巴音郭楞蒙古自治州林果技术研究推广中心</w:t>
            </w:r>
          </w:p>
        </w:tc>
      </w:tr>
      <w:tr w14:paraId="4DEBC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DFB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5BF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602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1B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38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85B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4B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DB29">
            <w:pPr>
              <w:jc w:val="center"/>
            </w:pPr>
            <w:r>
              <w:rPr>
                <w:rFonts w:ascii="宋体" w:hAnsi="宋体" w:eastAsia="宋体"/>
                <w:sz w:val="16"/>
              </w:rPr>
              <w:t>得分</w:t>
            </w:r>
          </w:p>
        </w:tc>
      </w:tr>
      <w:tr w14:paraId="5C96C2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CE3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D13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7E386">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6763">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E39BD">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ABB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1F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63E0">
            <w:pPr>
              <w:jc w:val="center"/>
            </w:pPr>
            <w:r>
              <w:rPr>
                <w:rFonts w:ascii="宋体" w:hAnsi="宋体" w:eastAsia="宋体"/>
                <w:sz w:val="16"/>
              </w:rPr>
              <w:t>10.00</w:t>
            </w:r>
          </w:p>
        </w:tc>
      </w:tr>
      <w:tr w14:paraId="13507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08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8E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F684">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8CD7">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774A">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E7A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DF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450B">
            <w:pPr>
              <w:jc w:val="center"/>
            </w:pPr>
            <w:r>
              <w:rPr>
                <w:rFonts w:ascii="宋体" w:hAnsi="宋体" w:eastAsia="宋体"/>
                <w:sz w:val="16"/>
              </w:rPr>
              <w:t>-</w:t>
            </w:r>
          </w:p>
        </w:tc>
      </w:tr>
      <w:tr w14:paraId="7B9CE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339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FF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1A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8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C5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42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5B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B0A4">
            <w:pPr>
              <w:jc w:val="center"/>
            </w:pPr>
            <w:r>
              <w:rPr>
                <w:rFonts w:ascii="宋体" w:hAnsi="宋体" w:eastAsia="宋体"/>
                <w:sz w:val="16"/>
              </w:rPr>
              <w:t>-</w:t>
            </w:r>
          </w:p>
        </w:tc>
      </w:tr>
      <w:tr w14:paraId="05478D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2870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687B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D8D28D">
            <w:pPr>
              <w:jc w:val="center"/>
            </w:pPr>
            <w:r>
              <w:rPr>
                <w:rFonts w:ascii="宋体" w:hAnsi="宋体" w:eastAsia="宋体"/>
                <w:sz w:val="16"/>
              </w:rPr>
              <w:t>总体目标完成情况</w:t>
            </w:r>
          </w:p>
        </w:tc>
      </w:tr>
      <w:tr w14:paraId="260D1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E2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C4BAA">
            <w:pPr>
              <w:jc w:val="both"/>
            </w:pPr>
            <w:r>
              <w:rPr>
                <w:rFonts w:ascii="宋体" w:hAnsi="宋体" w:eastAsia="宋体"/>
                <w:sz w:val="16"/>
              </w:rPr>
              <w:t>在和硕县曲惠镇（新疆佰年庄酒业有限公司基地）建立酿酒葡萄抗寒砧木示范基地300亩，集成整形修剪、肥水管理、病虫害综合防治等配套技术，提高酿酒葡萄抗寒能力。项目期内，以300亩抗寒砧木（贝达）酿酒葡萄标准化高效种植为示范，总结出抗寒砧木在酿酒葡萄栽培中的技术要点，项目实施期内，开展技术服务不少于4人，服务天数不少于15天。通过项目的实施，有效提高果农管理果园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4B3C4A">
            <w:pPr>
              <w:jc w:val="both"/>
            </w:pPr>
            <w:r>
              <w:rPr>
                <w:rFonts w:ascii="宋体" w:hAnsi="宋体" w:eastAsia="宋体"/>
                <w:sz w:val="16"/>
              </w:rPr>
              <w:t>已在和硕县曲惠镇（新疆佰年庄酒业有限公司基地）建立酿酒葡萄抗寒砧木示范园300亩，通过项目实施，酿酒葡萄越冬抗寒保存率达85%</w:t>
            </w:r>
            <w:r>
              <w:rPr>
                <w:rFonts w:hint="eastAsia" w:ascii="宋体" w:hAnsi="宋体"/>
                <w:sz w:val="16"/>
                <w:lang w:eastAsia="zh-CN"/>
              </w:rPr>
              <w:t>；</w:t>
            </w:r>
            <w:r>
              <w:rPr>
                <w:rFonts w:ascii="宋体" w:hAnsi="宋体" w:eastAsia="宋体"/>
                <w:sz w:val="16"/>
              </w:rPr>
              <w:t>商品果率达到90%</w:t>
            </w:r>
            <w:r>
              <w:rPr>
                <w:rFonts w:hint="eastAsia" w:ascii="宋体" w:hAnsi="宋体"/>
                <w:sz w:val="16"/>
                <w:lang w:eastAsia="zh-CN"/>
              </w:rPr>
              <w:t>；</w:t>
            </w:r>
            <w:r>
              <w:rPr>
                <w:rFonts w:ascii="宋体" w:hAnsi="宋体" w:eastAsia="宋体"/>
                <w:sz w:val="16"/>
              </w:rPr>
              <w:t>产量比非示范园增加10.3%</w:t>
            </w:r>
            <w:r>
              <w:rPr>
                <w:rFonts w:hint="eastAsia" w:ascii="宋体" w:hAnsi="宋体"/>
                <w:sz w:val="16"/>
                <w:lang w:eastAsia="zh-CN"/>
              </w:rPr>
              <w:t>；</w:t>
            </w:r>
            <w:r>
              <w:rPr>
                <w:rFonts w:ascii="宋体" w:hAnsi="宋体" w:eastAsia="宋体"/>
                <w:sz w:val="16"/>
              </w:rPr>
              <w:t>总结出了抗寒砧木在酿酒葡萄中的栽培关键技术</w:t>
            </w:r>
            <w:bookmarkStart w:id="0" w:name="_GoBack"/>
            <w:r>
              <w:rPr>
                <w:rFonts w:hint="eastAsia" w:ascii="宋体" w:hAnsi="宋体"/>
                <w:sz w:val="16"/>
                <w:lang w:eastAsia="zh-CN"/>
              </w:rPr>
              <w:t>；</w:t>
            </w:r>
            <w:bookmarkEnd w:id="0"/>
            <w:r>
              <w:rPr>
                <w:rFonts w:ascii="宋体" w:hAnsi="宋体" w:eastAsia="宋体"/>
                <w:sz w:val="16"/>
              </w:rPr>
              <w:t>开展技术服务5人,服务天数15天等，达到了既定目标任务。通过示范园技术示范引领，引导酒庄种植人员和果农加强科技管理，有效提高了果农果园管理水平，从而提升酿酒葡萄栽培管理的科技含量和技术水平，不断增强市场竞争力。</w:t>
            </w:r>
          </w:p>
        </w:tc>
      </w:tr>
      <w:tr w14:paraId="5F07EB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D0F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5E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05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1F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D72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A1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8A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C31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F5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3B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B16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C5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78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5C95">
            <w:pPr>
              <w:jc w:val="center"/>
            </w:pPr>
            <w:r>
              <w:rPr>
                <w:rFonts w:ascii="宋体" w:hAnsi="宋体" w:eastAsia="宋体"/>
                <w:sz w:val="16"/>
              </w:rPr>
              <w:t>偏差原因分析及改进措施</w:t>
            </w:r>
          </w:p>
        </w:tc>
      </w:tr>
      <w:tr w14:paraId="21277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AA8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83F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71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065C">
            <w:pPr>
              <w:jc w:val="center"/>
            </w:pPr>
            <w:r>
              <w:rPr>
                <w:rFonts w:ascii="宋体" w:hAnsi="宋体" w:eastAsia="宋体"/>
                <w:sz w:val="16"/>
              </w:rPr>
              <w:t>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90D9">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D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7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A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C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4C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B576">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21AE">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0CCD">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BDA9">
            <w:pPr>
              <w:jc w:val="center"/>
            </w:pPr>
            <w:r>
              <w:rPr>
                <w:rFonts w:ascii="宋体" w:hAnsi="宋体" w:eastAsia="宋体"/>
                <w:sz w:val="16"/>
              </w:rPr>
              <w:t>因工作需要，开展技术服务人数增加1人。改进措施：根据项目实际情况，精准预算。</w:t>
            </w:r>
          </w:p>
        </w:tc>
      </w:tr>
      <w:tr w14:paraId="412E7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8A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9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2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2333">
            <w:pPr>
              <w:jc w:val="center"/>
            </w:pPr>
            <w:r>
              <w:rPr>
                <w:rFonts w:ascii="宋体" w:hAnsi="宋体" w:eastAsia="宋体"/>
                <w:sz w:val="16"/>
              </w:rPr>
              <w:t>技术服务天数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1BA1">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7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B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1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4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64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E3BA">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D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4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48C1">
            <w:pPr>
              <w:jc w:val="center"/>
            </w:pPr>
          </w:p>
        </w:tc>
      </w:tr>
      <w:tr w14:paraId="36F4C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C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5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27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0DD2">
            <w:pPr>
              <w:jc w:val="center"/>
            </w:pPr>
            <w:r>
              <w:rPr>
                <w:rFonts w:ascii="宋体" w:hAnsi="宋体" w:eastAsia="宋体"/>
                <w:sz w:val="16"/>
              </w:rPr>
              <w:t>技术服务人员差旅费发放正确率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2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3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1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57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F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A9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3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6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2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EC2B">
            <w:pPr>
              <w:jc w:val="center"/>
            </w:pPr>
          </w:p>
        </w:tc>
      </w:tr>
      <w:tr w14:paraId="0F83D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84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17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D4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1FF3">
            <w:pPr>
              <w:jc w:val="center"/>
            </w:pPr>
            <w:r>
              <w:rPr>
                <w:rFonts w:ascii="宋体" w:hAnsi="宋体" w:eastAsia="宋体"/>
                <w:sz w:val="16"/>
              </w:rPr>
              <w:t>技术服务人员差旅费支付及时率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2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A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18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3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3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41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A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8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A1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2D85">
            <w:pPr>
              <w:jc w:val="center"/>
            </w:pPr>
          </w:p>
        </w:tc>
      </w:tr>
      <w:tr w14:paraId="3A4F2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56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2E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11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829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68B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D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1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E2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C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9B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B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B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A7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441F">
            <w:pPr>
              <w:jc w:val="center"/>
            </w:pPr>
          </w:p>
        </w:tc>
      </w:tr>
      <w:tr w14:paraId="234CC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BE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C1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6F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1A92">
            <w:pPr>
              <w:jc w:val="center"/>
            </w:pPr>
            <w:r>
              <w:rPr>
                <w:rFonts w:ascii="宋体" w:hAnsi="宋体" w:eastAsia="宋体"/>
                <w:sz w:val="16"/>
              </w:rPr>
              <w:t>有效提高果农果园管理水平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93A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D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1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FC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72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D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ED7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6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42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582E">
            <w:pPr>
              <w:jc w:val="center"/>
            </w:pPr>
          </w:p>
        </w:tc>
      </w:tr>
      <w:tr w14:paraId="0E1C1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0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D9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EC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52D9">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82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3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EA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D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96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0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5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2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F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4E11">
            <w:pPr>
              <w:jc w:val="center"/>
            </w:pPr>
          </w:p>
        </w:tc>
      </w:tr>
      <w:tr w14:paraId="70DD12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544A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208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E68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79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0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E26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1CB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D12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95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130A">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D9581"/>
        </w:tc>
      </w:tr>
    </w:tbl>
    <w:p w14:paraId="4EEB709B">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4"/>
        <w:gridCol w:w="574"/>
        <w:gridCol w:w="936"/>
        <w:gridCol w:w="574"/>
        <w:gridCol w:w="574"/>
        <w:gridCol w:w="592"/>
        <w:gridCol w:w="574"/>
        <w:gridCol w:w="592"/>
        <w:gridCol w:w="856"/>
        <w:gridCol w:w="776"/>
        <w:gridCol w:w="628"/>
        <w:gridCol w:w="628"/>
      </w:tblGrid>
      <w:tr w14:paraId="6B0CECAA">
        <w:tblPrEx>
          <w:tblCellMar>
            <w:top w:w="0" w:type="dxa"/>
            <w:left w:w="108" w:type="dxa"/>
            <w:bottom w:w="0" w:type="dxa"/>
            <w:right w:w="108" w:type="dxa"/>
          </w:tblCellMar>
        </w:tblPrEx>
        <w:tc>
          <w:tcPr>
            <w:tcW w:w="8848" w:type="dxa"/>
            <w:gridSpan w:val="14"/>
            <w:vAlign w:val="center"/>
          </w:tcPr>
          <w:p w14:paraId="58AC2A5C">
            <w:pPr>
              <w:jc w:val="center"/>
            </w:pPr>
            <w:r>
              <w:rPr>
                <w:rFonts w:ascii="宋体" w:hAnsi="宋体" w:eastAsia="宋体"/>
                <w:sz w:val="24"/>
              </w:rPr>
              <w:t>项目支出绩效自评表</w:t>
            </w:r>
          </w:p>
        </w:tc>
      </w:tr>
      <w:tr w14:paraId="6BF7FE26">
        <w:tblPrEx>
          <w:tblCellMar>
            <w:top w:w="0" w:type="dxa"/>
            <w:left w:w="108" w:type="dxa"/>
            <w:bottom w:w="0" w:type="dxa"/>
            <w:right w:w="108" w:type="dxa"/>
          </w:tblCellMar>
        </w:tblPrEx>
        <w:tc>
          <w:tcPr>
            <w:tcW w:w="8848" w:type="dxa"/>
            <w:gridSpan w:val="14"/>
            <w:vAlign w:val="center"/>
          </w:tcPr>
          <w:p w14:paraId="182D404F">
            <w:pPr>
              <w:jc w:val="center"/>
            </w:pPr>
            <w:r>
              <w:rPr>
                <w:rFonts w:ascii="宋体" w:hAnsi="宋体" w:eastAsia="宋体"/>
                <w:sz w:val="24"/>
              </w:rPr>
              <w:t>(2024年度)</w:t>
            </w:r>
          </w:p>
        </w:tc>
      </w:tr>
      <w:tr w14:paraId="1A707A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D5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EC0873">
            <w:pPr>
              <w:jc w:val="center"/>
            </w:pPr>
            <w:r>
              <w:rPr>
                <w:rFonts w:ascii="宋体" w:hAnsi="宋体" w:eastAsia="宋体"/>
                <w:sz w:val="16"/>
              </w:rPr>
              <w:t>库尔勒香梨标准化高效栽培技术应用与示范</w:t>
            </w:r>
          </w:p>
        </w:tc>
      </w:tr>
      <w:tr w14:paraId="65E74B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07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7E8B8">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41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1A039">
            <w:pPr>
              <w:jc w:val="center"/>
            </w:pPr>
            <w:r>
              <w:rPr>
                <w:rFonts w:ascii="宋体" w:hAnsi="宋体" w:eastAsia="宋体"/>
                <w:sz w:val="16"/>
              </w:rPr>
              <w:t>新疆巴音郭楞蒙古自治州林果技术研究推广中心</w:t>
            </w:r>
          </w:p>
        </w:tc>
      </w:tr>
      <w:tr w14:paraId="5978B5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5B7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48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858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6B9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DA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F75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E3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5EB8">
            <w:pPr>
              <w:jc w:val="center"/>
            </w:pPr>
            <w:r>
              <w:rPr>
                <w:rFonts w:ascii="宋体" w:hAnsi="宋体" w:eastAsia="宋体"/>
                <w:sz w:val="16"/>
              </w:rPr>
              <w:t>得分</w:t>
            </w:r>
          </w:p>
        </w:tc>
      </w:tr>
      <w:tr w14:paraId="1A6179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63A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29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B5FC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231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454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79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CA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4ED5">
            <w:pPr>
              <w:jc w:val="center"/>
            </w:pPr>
            <w:r>
              <w:rPr>
                <w:rFonts w:ascii="宋体" w:hAnsi="宋体" w:eastAsia="宋体"/>
                <w:sz w:val="16"/>
              </w:rPr>
              <w:t>10.00</w:t>
            </w:r>
          </w:p>
        </w:tc>
      </w:tr>
      <w:tr w14:paraId="6BECB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0A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B4A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C83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DE6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6836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F7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4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65D0">
            <w:pPr>
              <w:jc w:val="center"/>
            </w:pPr>
            <w:r>
              <w:rPr>
                <w:rFonts w:ascii="宋体" w:hAnsi="宋体" w:eastAsia="宋体"/>
                <w:sz w:val="16"/>
              </w:rPr>
              <w:t>-</w:t>
            </w:r>
          </w:p>
        </w:tc>
      </w:tr>
      <w:tr w14:paraId="26E40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0D7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62C7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07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91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BC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A4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1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5BFD">
            <w:pPr>
              <w:jc w:val="center"/>
            </w:pPr>
            <w:r>
              <w:rPr>
                <w:rFonts w:ascii="宋体" w:hAnsi="宋体" w:eastAsia="宋体"/>
                <w:sz w:val="16"/>
              </w:rPr>
              <w:t>-</w:t>
            </w:r>
          </w:p>
        </w:tc>
      </w:tr>
      <w:tr w14:paraId="0781CD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170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775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2F418">
            <w:pPr>
              <w:jc w:val="center"/>
            </w:pPr>
            <w:r>
              <w:rPr>
                <w:rFonts w:ascii="宋体" w:hAnsi="宋体" w:eastAsia="宋体"/>
                <w:sz w:val="16"/>
              </w:rPr>
              <w:t>总体目标完成情况</w:t>
            </w:r>
          </w:p>
        </w:tc>
      </w:tr>
      <w:tr w14:paraId="36694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F6F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81B20">
            <w:pPr>
              <w:jc w:val="both"/>
            </w:pPr>
            <w:r>
              <w:rPr>
                <w:rFonts w:ascii="宋体" w:hAnsi="宋体" w:eastAsia="宋体"/>
                <w:sz w:val="16"/>
              </w:rPr>
              <w:t>在库尔勒远古幽香种植家庭农场300亩香梨园，推广使用碳源微生物菌剂，购买生物菌剂1批，采取果园生草、节水灌溉等高效栽培技术措施，进一步提高香梨品质和产量，示范园商品果率达85%以上，实现提质增效、减本增效，促进香梨产业健康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CDD71">
            <w:pPr>
              <w:jc w:val="both"/>
            </w:pPr>
            <w:r>
              <w:rPr>
                <w:rFonts w:ascii="宋体" w:hAnsi="宋体" w:eastAsia="宋体"/>
                <w:sz w:val="16"/>
              </w:rPr>
              <w:t>已在库尔勒远古幽香种植家庭农场建设300亩香梨示范园，已购买专用材料1批次，采购碳源微生物菌剂29980.50元，甲哌鎓费19.50元，通过香梨果园清园、整形修剪等措施的落实，通过引进使用碳源微生物菌剂，能够增强树势，提高梨树抗寒能力，示范园商品果率达88%，不断提升花芽质量，大力林果业提质增效有所推动。</w:t>
            </w:r>
          </w:p>
        </w:tc>
      </w:tr>
      <w:tr w14:paraId="7BADD2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60E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13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5D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01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C2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E0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76E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D2A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F6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9F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00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0D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3F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48B2">
            <w:pPr>
              <w:jc w:val="center"/>
            </w:pPr>
            <w:r>
              <w:rPr>
                <w:rFonts w:ascii="宋体" w:hAnsi="宋体" w:eastAsia="宋体"/>
                <w:sz w:val="16"/>
              </w:rPr>
              <w:t>偏差原因分析及改进措施</w:t>
            </w:r>
          </w:p>
        </w:tc>
      </w:tr>
      <w:tr w14:paraId="434398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F4E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466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233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E801">
            <w:pPr>
              <w:jc w:val="center"/>
            </w:pPr>
            <w:r>
              <w:rPr>
                <w:rFonts w:ascii="宋体" w:hAnsi="宋体" w:eastAsia="宋体"/>
                <w:sz w:val="16"/>
              </w:rPr>
              <w:t>建立香梨标准化示范园面积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9115">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6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E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C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B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4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6DCA">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C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2E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CC5F">
            <w:pPr>
              <w:jc w:val="center"/>
            </w:pPr>
          </w:p>
        </w:tc>
      </w:tr>
      <w:tr w14:paraId="399CB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E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66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A0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B132">
            <w:pPr>
              <w:jc w:val="center"/>
            </w:pPr>
            <w:r>
              <w:rPr>
                <w:rFonts w:ascii="宋体" w:hAnsi="宋体" w:eastAsia="宋体"/>
                <w:sz w:val="16"/>
              </w:rPr>
              <w:t>购买专用材料批次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AD3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7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C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0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4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6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CB6C">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7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F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1CDC">
            <w:pPr>
              <w:jc w:val="center"/>
            </w:pPr>
          </w:p>
        </w:tc>
      </w:tr>
      <w:tr w14:paraId="58388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2D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EB5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607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D328">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A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4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6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CE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2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8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1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E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9D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B847">
            <w:pPr>
              <w:jc w:val="center"/>
            </w:pPr>
          </w:p>
        </w:tc>
      </w:tr>
      <w:tr w14:paraId="5ED7F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4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64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99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E227">
            <w:pPr>
              <w:jc w:val="center"/>
            </w:pPr>
            <w:r>
              <w:rPr>
                <w:rFonts w:ascii="宋体" w:hAnsi="宋体" w:eastAsia="宋体"/>
                <w:sz w:val="16"/>
              </w:rPr>
              <w:t>示范园商品果率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9D4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E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A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D5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E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E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B200">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6C33">
            <w:pPr>
              <w:jc w:val="center"/>
            </w:pPr>
            <w:r>
              <w:rPr>
                <w:rFonts w:ascii="宋体" w:hAnsi="宋体" w:eastAsia="宋体"/>
                <w:sz w:val="16"/>
              </w:rPr>
              <w:t>103.53%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28E1">
            <w:pPr>
              <w:jc w:val="center"/>
            </w:pPr>
            <w:r>
              <w:rPr>
                <w:rFonts w:ascii="宋体" w:hAnsi="宋体" w:eastAsia="宋体"/>
                <w:sz w:val="16"/>
              </w:rPr>
              <w:t>4.82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FD16">
            <w:pPr>
              <w:jc w:val="center"/>
            </w:pPr>
            <w:r>
              <w:rPr>
                <w:rFonts w:ascii="宋体" w:hAnsi="宋体" w:eastAsia="宋体"/>
                <w:sz w:val="16"/>
              </w:rPr>
              <w:t>原因分析：在示范园管理过程中，整形修剪等标准化措施落实到位，根据2024年果品售卖情况统计，商品果率为88%。</w:t>
            </w:r>
          </w:p>
        </w:tc>
      </w:tr>
      <w:tr w14:paraId="1B49B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8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BDD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A9E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57A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F7D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6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31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C9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D04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E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9BA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9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4D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1A82">
            <w:pPr>
              <w:jc w:val="center"/>
            </w:pPr>
          </w:p>
        </w:tc>
      </w:tr>
      <w:tr w14:paraId="47ECC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F7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0C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8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B63A">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5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1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2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52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D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1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1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8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7B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2688">
            <w:pPr>
              <w:jc w:val="center"/>
            </w:pPr>
          </w:p>
        </w:tc>
      </w:tr>
      <w:tr w14:paraId="6D9BF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39D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AD7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A6F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8D2B">
            <w:pPr>
              <w:jc w:val="center"/>
            </w:pPr>
            <w:r>
              <w:rPr>
                <w:rFonts w:ascii="宋体" w:hAnsi="宋体" w:eastAsia="宋体"/>
                <w:sz w:val="16"/>
              </w:rPr>
              <w:t>碳源微生物菌剂专用材料费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2664">
            <w:pPr>
              <w:jc w:val="center"/>
            </w:pPr>
            <w:r>
              <w:rPr>
                <w:rFonts w:ascii="宋体" w:hAnsi="宋体" w:eastAsia="宋体"/>
                <w:sz w:val="16"/>
              </w:rPr>
              <w:t>=29980.50元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B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2F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5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2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66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908A">
            <w:pPr>
              <w:jc w:val="center"/>
            </w:pPr>
            <w:r>
              <w:rPr>
                <w:rFonts w:ascii="宋体" w:hAnsi="宋体" w:eastAsia="宋体"/>
                <w:sz w:val="16"/>
              </w:rPr>
              <w:t>=29980.5元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3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30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A043">
            <w:pPr>
              <w:jc w:val="center"/>
            </w:pPr>
          </w:p>
        </w:tc>
      </w:tr>
      <w:tr w14:paraId="11237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39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86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6D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5527">
            <w:pPr>
              <w:jc w:val="center"/>
            </w:pPr>
            <w:r>
              <w:rPr>
                <w:rFonts w:ascii="宋体" w:hAnsi="宋体" w:eastAsia="宋体"/>
                <w:sz w:val="16"/>
              </w:rPr>
              <w:t>甲哌鎓专用材料费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1E04">
            <w:pPr>
              <w:jc w:val="center"/>
            </w:pPr>
            <w:r>
              <w:rPr>
                <w:rFonts w:ascii="宋体" w:hAnsi="宋体" w:eastAsia="宋体"/>
                <w:sz w:val="16"/>
              </w:rPr>
              <w:t>=19.50元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8A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8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8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8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39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2D24">
            <w:pPr>
              <w:jc w:val="center"/>
            </w:pPr>
            <w:r>
              <w:rPr>
                <w:rFonts w:ascii="宋体" w:hAnsi="宋体" w:eastAsia="宋体"/>
                <w:sz w:val="16"/>
              </w:rPr>
              <w:t>=19.5元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3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01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B78C">
            <w:pPr>
              <w:jc w:val="center"/>
            </w:pPr>
          </w:p>
        </w:tc>
      </w:tr>
      <w:tr w14:paraId="7A0E6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F5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AA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6F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D6CF">
            <w:pPr>
              <w:jc w:val="center"/>
            </w:pPr>
            <w:r>
              <w:rPr>
                <w:rFonts w:ascii="宋体" w:hAnsi="宋体" w:eastAsia="宋体"/>
                <w:sz w:val="16"/>
              </w:rPr>
              <w:t>大力推动林果业提质增效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53DB">
            <w:pPr>
              <w:jc w:val="center"/>
            </w:pPr>
            <w:r>
              <w:rPr>
                <w:rFonts w:ascii="宋体" w:hAnsi="宋体" w:eastAsia="宋体"/>
                <w:sz w:val="16"/>
              </w:rPr>
              <w:t>有所推动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8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8D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15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34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9EA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3AB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A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9A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632A">
            <w:pPr>
              <w:jc w:val="center"/>
            </w:pPr>
          </w:p>
        </w:tc>
      </w:tr>
      <w:tr w14:paraId="0718A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4C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A3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4D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160D">
            <w:pPr>
              <w:jc w:val="center"/>
            </w:pPr>
            <w:r>
              <w:rPr>
                <w:rFonts w:ascii="宋体" w:hAnsi="宋体" w:eastAsia="宋体"/>
                <w:sz w:val="16"/>
              </w:rPr>
              <w:t>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B6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7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C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1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4C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D56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1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C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66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E584">
            <w:pPr>
              <w:jc w:val="center"/>
            </w:pPr>
          </w:p>
        </w:tc>
      </w:tr>
      <w:tr w14:paraId="4C0B75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AE7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550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B1C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AA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1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D8D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D86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74B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B1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ED94">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FE2F8"/>
        </w:tc>
      </w:tr>
    </w:tbl>
    <w:p w14:paraId="641C58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3F06DCF">
        <w:tblPrEx>
          <w:tblCellMar>
            <w:top w:w="0" w:type="dxa"/>
            <w:left w:w="108" w:type="dxa"/>
            <w:bottom w:w="0" w:type="dxa"/>
            <w:right w:w="108" w:type="dxa"/>
          </w:tblCellMar>
        </w:tblPrEx>
        <w:tc>
          <w:tcPr>
            <w:tcW w:w="8848" w:type="dxa"/>
            <w:gridSpan w:val="14"/>
            <w:vAlign w:val="center"/>
          </w:tcPr>
          <w:p w14:paraId="4B2AD888">
            <w:pPr>
              <w:jc w:val="center"/>
            </w:pPr>
            <w:r>
              <w:rPr>
                <w:rFonts w:ascii="宋体" w:hAnsi="宋体" w:eastAsia="宋体"/>
                <w:sz w:val="24"/>
              </w:rPr>
              <w:t>项目支出绩效自评表</w:t>
            </w:r>
          </w:p>
        </w:tc>
      </w:tr>
      <w:tr w14:paraId="48B985A7">
        <w:tblPrEx>
          <w:tblCellMar>
            <w:top w:w="0" w:type="dxa"/>
            <w:left w:w="108" w:type="dxa"/>
            <w:bottom w:w="0" w:type="dxa"/>
            <w:right w:w="108" w:type="dxa"/>
          </w:tblCellMar>
        </w:tblPrEx>
        <w:tc>
          <w:tcPr>
            <w:tcW w:w="8848" w:type="dxa"/>
            <w:gridSpan w:val="14"/>
            <w:vAlign w:val="center"/>
          </w:tcPr>
          <w:p w14:paraId="4FE24C7B">
            <w:pPr>
              <w:jc w:val="center"/>
            </w:pPr>
            <w:r>
              <w:rPr>
                <w:rFonts w:ascii="宋体" w:hAnsi="宋体" w:eastAsia="宋体"/>
                <w:sz w:val="24"/>
              </w:rPr>
              <w:t>(2024年度)</w:t>
            </w:r>
          </w:p>
        </w:tc>
      </w:tr>
      <w:tr w14:paraId="3AC5DE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37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DC3578">
            <w:pPr>
              <w:jc w:val="center"/>
            </w:pPr>
            <w:r>
              <w:rPr>
                <w:rFonts w:ascii="宋体" w:hAnsi="宋体" w:eastAsia="宋体"/>
                <w:sz w:val="16"/>
              </w:rPr>
              <w:t>新疆人才发展基金2024年度第一轮</w:t>
            </w:r>
          </w:p>
        </w:tc>
      </w:tr>
      <w:tr w14:paraId="555DD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59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36EA2">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83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86562">
            <w:pPr>
              <w:jc w:val="center"/>
            </w:pPr>
            <w:r>
              <w:rPr>
                <w:rFonts w:ascii="宋体" w:hAnsi="宋体" w:eastAsia="宋体"/>
                <w:sz w:val="16"/>
              </w:rPr>
              <w:t>新疆巴音郭楞蒙古自治州林果技术研究推广中心</w:t>
            </w:r>
          </w:p>
        </w:tc>
      </w:tr>
      <w:tr w14:paraId="49EF7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D206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A3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6A6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4B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A0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821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73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5D10">
            <w:pPr>
              <w:jc w:val="center"/>
            </w:pPr>
            <w:r>
              <w:rPr>
                <w:rFonts w:ascii="宋体" w:hAnsi="宋体" w:eastAsia="宋体"/>
                <w:sz w:val="16"/>
              </w:rPr>
              <w:t>得分</w:t>
            </w:r>
          </w:p>
        </w:tc>
      </w:tr>
      <w:tr w14:paraId="1DD481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681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C62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1B9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5424A">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1A31">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DF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FF9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1661">
            <w:pPr>
              <w:jc w:val="center"/>
            </w:pPr>
            <w:r>
              <w:rPr>
                <w:rFonts w:ascii="宋体" w:hAnsi="宋体" w:eastAsia="宋体"/>
                <w:sz w:val="16"/>
              </w:rPr>
              <w:t>10.00</w:t>
            </w:r>
          </w:p>
        </w:tc>
      </w:tr>
      <w:tr w14:paraId="74B27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7C1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925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67999">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FA02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DB5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FCE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D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B266">
            <w:pPr>
              <w:jc w:val="center"/>
            </w:pPr>
            <w:r>
              <w:rPr>
                <w:rFonts w:ascii="宋体" w:hAnsi="宋体" w:eastAsia="宋体"/>
                <w:sz w:val="16"/>
              </w:rPr>
              <w:t>-</w:t>
            </w:r>
          </w:p>
        </w:tc>
      </w:tr>
      <w:tr w14:paraId="6BBAE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549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9BA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66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A3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284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DE4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9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A64A">
            <w:pPr>
              <w:jc w:val="center"/>
            </w:pPr>
            <w:r>
              <w:rPr>
                <w:rFonts w:ascii="宋体" w:hAnsi="宋体" w:eastAsia="宋体"/>
                <w:sz w:val="16"/>
              </w:rPr>
              <w:t>-</w:t>
            </w:r>
          </w:p>
        </w:tc>
      </w:tr>
      <w:tr w14:paraId="3EEC2A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70E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D47D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FB53BB">
            <w:pPr>
              <w:jc w:val="center"/>
            </w:pPr>
            <w:r>
              <w:rPr>
                <w:rFonts w:ascii="宋体" w:hAnsi="宋体" w:eastAsia="宋体"/>
                <w:sz w:val="16"/>
              </w:rPr>
              <w:t>总体目标完成情况</w:t>
            </w:r>
          </w:p>
        </w:tc>
      </w:tr>
      <w:tr w14:paraId="4A3BD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75A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8F9D2">
            <w:pPr>
              <w:jc w:val="both"/>
            </w:pPr>
            <w:r>
              <w:rPr>
                <w:rFonts w:ascii="宋体" w:hAnsi="宋体" w:eastAsia="宋体"/>
                <w:sz w:val="16"/>
              </w:rPr>
              <w:t>以《灰枣特异种质资源收集创新与利用》为重点课题，</w:t>
            </w:r>
            <w:r>
              <w:rPr>
                <w:rFonts w:hint="eastAsia" w:ascii="宋体" w:hAnsi="宋体"/>
                <w:sz w:val="16"/>
                <w:lang w:eastAsia="zh-CN"/>
              </w:rPr>
              <w:t>根据</w:t>
            </w:r>
            <w:r>
              <w:rPr>
                <w:rFonts w:ascii="宋体" w:hAnsi="宋体" w:eastAsia="宋体"/>
                <w:sz w:val="16"/>
              </w:rPr>
              <w:t>枣园管理需要，购买材料2批；1人开展选育灰枣优良新品种工作；6人开展整理、收集灰枣特异种质工作；临时聘用3人开展枣园日常管理、嫁接、病虫害防治等工作；通过新品种选育，从种质源头上实现增产、节本、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FAAFBA">
            <w:pPr>
              <w:jc w:val="both"/>
            </w:pPr>
            <w:r>
              <w:rPr>
                <w:rFonts w:ascii="宋体" w:hAnsi="宋体" w:eastAsia="宋体"/>
                <w:sz w:val="16"/>
              </w:rPr>
              <w:t>以《灰枣特异种质资源收集创新与利用》为重点课题，一是落实了项目建设地块，签订了项目合作协议，明确了项目参加人员分工。二是完成了接穗的采集工作，并完成了13个灰枣特异种质嫁接工作，嫁接成活率85%以上。三是采取政府采购方式，购买专用材料2批，政府采购率达到100%，并超前完成购买材料任务。四是按照计划准确、按时发放补助1人1次，</w:t>
            </w:r>
            <w:r>
              <w:rPr>
                <w:rFonts w:ascii="宋体" w:hAnsi="宋体" w:eastAsia="宋体"/>
                <w:sz w:val="16"/>
              </w:rPr>
              <w:br w:type="textWrapping"/>
            </w:r>
            <w:r>
              <w:rPr>
                <w:rFonts w:ascii="宋体" w:hAnsi="宋体" w:eastAsia="宋体"/>
                <w:sz w:val="16"/>
              </w:rPr>
              <w:t>补助发放准确率100%。五是在培养人的安排下，6名专业技术人员开展整理、收集灰枣特异种质工作，按时支付工作经费，保障工作正常运行，工作经费保障率和资金发放补助及时率均100%。六是基地临时聘用了3名工人，并按时</w:t>
            </w:r>
            <w:r>
              <w:rPr>
                <w:rFonts w:hint="eastAsia" w:ascii="宋体" w:hAnsi="宋体"/>
                <w:sz w:val="16"/>
                <w:lang w:eastAsia="zh-CN"/>
              </w:rPr>
              <w:t>发放</w:t>
            </w:r>
            <w:r>
              <w:rPr>
                <w:rFonts w:ascii="宋体" w:hAnsi="宋体" w:eastAsia="宋体"/>
                <w:sz w:val="16"/>
              </w:rPr>
              <w:t>劳务费，临时聘用人员劳务费发放及时率100%。</w:t>
            </w:r>
          </w:p>
        </w:tc>
      </w:tr>
      <w:tr w14:paraId="794D7C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EB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A9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49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33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AED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C7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50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7CF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293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05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93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0A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487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1819">
            <w:pPr>
              <w:jc w:val="center"/>
            </w:pPr>
            <w:r>
              <w:rPr>
                <w:rFonts w:ascii="宋体" w:hAnsi="宋体" w:eastAsia="宋体"/>
                <w:sz w:val="16"/>
              </w:rPr>
              <w:t>偏差原因分析及改进措施</w:t>
            </w:r>
          </w:p>
        </w:tc>
      </w:tr>
      <w:tr w14:paraId="7BE5EA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44D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853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E19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88CF">
            <w:pPr>
              <w:jc w:val="center"/>
            </w:pPr>
            <w:r>
              <w:rPr>
                <w:rFonts w:ascii="宋体" w:hAnsi="宋体" w:eastAsia="宋体"/>
                <w:sz w:val="16"/>
              </w:rPr>
              <w:t>购买材料数量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94CD">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D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4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27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D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DA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4299">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8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10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73E0">
            <w:pPr>
              <w:jc w:val="center"/>
            </w:pPr>
          </w:p>
        </w:tc>
      </w:tr>
      <w:tr w14:paraId="48CDC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1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AA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8E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BD0B">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DF57">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4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5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A6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0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B6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169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2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33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8128">
            <w:pPr>
              <w:jc w:val="center"/>
            </w:pPr>
          </w:p>
        </w:tc>
      </w:tr>
      <w:tr w14:paraId="36AD4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5E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D9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FF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9F65">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A2C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6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1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CC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A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AF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91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6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3E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495E">
            <w:pPr>
              <w:jc w:val="center"/>
            </w:pPr>
          </w:p>
        </w:tc>
      </w:tr>
      <w:tr w14:paraId="157CD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0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E9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A7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FCCE">
            <w:pPr>
              <w:jc w:val="center"/>
            </w:pPr>
            <w:r>
              <w:rPr>
                <w:rFonts w:ascii="宋体" w:hAnsi="宋体" w:eastAsia="宋体"/>
                <w:sz w:val="16"/>
              </w:rPr>
              <w:t>工作人员数量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BDD9">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2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1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30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F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ED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90C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A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D2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3C90">
            <w:pPr>
              <w:jc w:val="center"/>
            </w:pPr>
          </w:p>
        </w:tc>
      </w:tr>
      <w:tr w14:paraId="0573F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86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1C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45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9CDB">
            <w:pPr>
              <w:jc w:val="center"/>
            </w:pPr>
            <w:r>
              <w:rPr>
                <w:rFonts w:ascii="宋体" w:hAnsi="宋体" w:eastAsia="宋体"/>
                <w:sz w:val="16"/>
              </w:rPr>
              <w:t>临时聘用人员数量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CC08">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A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9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A4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F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3E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EB6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7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27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B9D3">
            <w:pPr>
              <w:jc w:val="center"/>
            </w:pPr>
          </w:p>
        </w:tc>
      </w:tr>
      <w:tr w14:paraId="3F6EB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09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69A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C68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26A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F2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E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A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DB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0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A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F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7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D2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255">
            <w:pPr>
              <w:jc w:val="center"/>
            </w:pPr>
          </w:p>
        </w:tc>
      </w:tr>
      <w:tr w14:paraId="08EDE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8C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7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1B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D7E4">
            <w:pPr>
              <w:jc w:val="center"/>
            </w:pPr>
            <w:r>
              <w:rPr>
                <w:rFonts w:ascii="宋体" w:hAnsi="宋体" w:eastAsia="宋体"/>
                <w:sz w:val="16"/>
              </w:rPr>
              <w:t>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F5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5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2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EF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D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4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0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8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86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F15D">
            <w:pPr>
              <w:jc w:val="center"/>
            </w:pPr>
          </w:p>
        </w:tc>
      </w:tr>
      <w:tr w14:paraId="10C54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DB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86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FF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26A1">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2C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9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1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BF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5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5B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9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8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5F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87D7">
            <w:pPr>
              <w:jc w:val="center"/>
            </w:pPr>
          </w:p>
        </w:tc>
      </w:tr>
      <w:tr w14:paraId="08E00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58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39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01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BB14">
            <w:pPr>
              <w:jc w:val="center"/>
            </w:pPr>
            <w:r>
              <w:rPr>
                <w:rFonts w:ascii="宋体" w:hAnsi="宋体" w:eastAsia="宋体"/>
                <w:sz w:val="16"/>
              </w:rPr>
              <w:t>工作经费保障率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73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B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D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FA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C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B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B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B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33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20A1">
            <w:pPr>
              <w:jc w:val="center"/>
            </w:pPr>
          </w:p>
        </w:tc>
      </w:tr>
      <w:tr w14:paraId="246E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E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BA4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FD8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3220">
            <w:pPr>
              <w:jc w:val="center"/>
            </w:pPr>
            <w:r>
              <w:rPr>
                <w:rFonts w:ascii="宋体" w:hAnsi="宋体" w:eastAsia="宋体"/>
                <w:sz w:val="16"/>
              </w:rPr>
              <w:t>购买材料完成时间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C5FA">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9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E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C6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5A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4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2F8">
            <w:pPr>
              <w:jc w:val="center"/>
            </w:pPr>
            <w:r>
              <w:rPr>
                <w:rFonts w:ascii="宋体" w:hAnsi="宋体" w:eastAsia="宋体"/>
                <w:sz w:val="16"/>
              </w:rPr>
              <w:t>2024年5月27日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B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CF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E1B8">
            <w:pPr>
              <w:jc w:val="center"/>
            </w:pPr>
          </w:p>
        </w:tc>
      </w:tr>
      <w:tr w14:paraId="28A87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C6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D8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C5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ED91">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0E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0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5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53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D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E9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E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B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79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A3E5">
            <w:pPr>
              <w:jc w:val="center"/>
            </w:pPr>
          </w:p>
        </w:tc>
      </w:tr>
      <w:tr w14:paraId="39ADE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14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32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FC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6A78">
            <w:pPr>
              <w:jc w:val="center"/>
            </w:pPr>
            <w:r>
              <w:rPr>
                <w:rFonts w:ascii="宋体" w:hAnsi="宋体" w:eastAsia="宋体"/>
                <w:sz w:val="16"/>
              </w:rPr>
              <w:t>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11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32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4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79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B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36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A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C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68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19E8">
            <w:pPr>
              <w:jc w:val="center"/>
            </w:pPr>
          </w:p>
        </w:tc>
      </w:tr>
      <w:tr w14:paraId="7C25C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A9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E8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1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90DA">
            <w:pPr>
              <w:jc w:val="center"/>
            </w:pPr>
            <w:r>
              <w:rPr>
                <w:rFonts w:ascii="宋体" w:hAnsi="宋体" w:eastAsia="宋体"/>
                <w:sz w:val="16"/>
              </w:rPr>
              <w:t>临时聘用人员劳务费发放及时率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BE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8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D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F2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1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15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3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6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EF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EE62">
            <w:pPr>
              <w:jc w:val="center"/>
            </w:pPr>
          </w:p>
        </w:tc>
      </w:tr>
      <w:tr w14:paraId="67731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48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53D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3B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A60C">
            <w:pPr>
              <w:jc w:val="center"/>
            </w:pPr>
            <w:r>
              <w:rPr>
                <w:rFonts w:ascii="宋体" w:hAnsi="宋体" w:eastAsia="宋体"/>
                <w:sz w:val="16"/>
              </w:rPr>
              <w:t>购买材料控制成本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D1D9">
            <w:pPr>
              <w:jc w:val="center"/>
            </w:pPr>
            <w:r>
              <w:rPr>
                <w:rFonts w:ascii="宋体" w:hAnsi="宋体" w:eastAsia="宋体"/>
                <w:sz w:val="16"/>
              </w:rPr>
              <w:t>&lt;=2.87万元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3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F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A5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2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8B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FFC7">
            <w:pPr>
              <w:jc w:val="center"/>
            </w:pPr>
            <w:r>
              <w:rPr>
                <w:rFonts w:ascii="宋体" w:hAnsi="宋体" w:eastAsia="宋体"/>
                <w:sz w:val="16"/>
              </w:rPr>
              <w:t>=2.87万元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8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60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6FB3">
            <w:pPr>
              <w:jc w:val="center"/>
            </w:pPr>
          </w:p>
        </w:tc>
      </w:tr>
      <w:tr w14:paraId="66F99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B45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5B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86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F593">
            <w:pPr>
              <w:jc w:val="center"/>
            </w:pPr>
            <w:r>
              <w:rPr>
                <w:rFonts w:ascii="宋体" w:hAnsi="宋体" w:eastAsia="宋体"/>
                <w:sz w:val="16"/>
              </w:rPr>
              <w:t>发放补助资金数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26AB">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8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F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ED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3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7C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9282">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A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64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3104">
            <w:pPr>
              <w:jc w:val="center"/>
            </w:pPr>
          </w:p>
        </w:tc>
      </w:tr>
      <w:tr w14:paraId="4A31A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33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23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A8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6243">
            <w:pPr>
              <w:jc w:val="center"/>
            </w:pPr>
            <w:r>
              <w:rPr>
                <w:rFonts w:ascii="宋体" w:hAnsi="宋体" w:eastAsia="宋体"/>
                <w:sz w:val="16"/>
              </w:rPr>
              <w:t>工作经费数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499D">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B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A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A1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1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5A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2C8B">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6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E7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47E0">
            <w:pPr>
              <w:jc w:val="center"/>
            </w:pPr>
          </w:p>
        </w:tc>
      </w:tr>
      <w:tr w14:paraId="30B72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0E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F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AA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1D4E">
            <w:pPr>
              <w:jc w:val="center"/>
            </w:pPr>
            <w:r>
              <w:rPr>
                <w:rFonts w:ascii="宋体" w:hAnsi="宋体" w:eastAsia="宋体"/>
                <w:sz w:val="16"/>
              </w:rPr>
              <w:t>临时聘用人员发放劳务费资金数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547C">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C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D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B9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9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4B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6C9A">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5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F5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2526">
            <w:pPr>
              <w:jc w:val="center"/>
            </w:pPr>
          </w:p>
        </w:tc>
      </w:tr>
      <w:tr w14:paraId="741A1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C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A2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CD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66D1">
            <w:pPr>
              <w:jc w:val="center"/>
            </w:pPr>
            <w:r>
              <w:rPr>
                <w:rFonts w:ascii="宋体" w:hAnsi="宋体" w:eastAsia="宋体"/>
                <w:sz w:val="16"/>
              </w:rPr>
              <w:t>提高灰枣嫁接成活率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865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7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1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CA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FF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A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6301">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B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E3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18A4">
            <w:pPr>
              <w:jc w:val="center"/>
            </w:pPr>
          </w:p>
        </w:tc>
      </w:tr>
      <w:tr w14:paraId="58486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5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BA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61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79A3">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5C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C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5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7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6F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F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F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E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792C">
            <w:pPr>
              <w:jc w:val="center"/>
            </w:pPr>
          </w:p>
        </w:tc>
      </w:tr>
      <w:tr w14:paraId="16CEBE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1406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BD0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45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D1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D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4DA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DB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9730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F9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BD5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07BA5"/>
        </w:tc>
      </w:tr>
    </w:tbl>
    <w:p w14:paraId="65963A5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36"/>
        <w:gridCol w:w="528"/>
        <w:gridCol w:w="632"/>
        <w:gridCol w:w="632"/>
        <w:gridCol w:w="632"/>
        <w:gridCol w:w="632"/>
        <w:gridCol w:w="632"/>
        <w:gridCol w:w="632"/>
        <w:gridCol w:w="632"/>
        <w:gridCol w:w="632"/>
        <w:gridCol w:w="632"/>
      </w:tblGrid>
      <w:tr w14:paraId="44258B19">
        <w:tblPrEx>
          <w:tblCellMar>
            <w:top w:w="0" w:type="dxa"/>
            <w:left w:w="108" w:type="dxa"/>
            <w:bottom w:w="0" w:type="dxa"/>
            <w:right w:w="108" w:type="dxa"/>
          </w:tblCellMar>
        </w:tblPrEx>
        <w:tc>
          <w:tcPr>
            <w:tcW w:w="8848" w:type="dxa"/>
            <w:gridSpan w:val="14"/>
            <w:vAlign w:val="center"/>
          </w:tcPr>
          <w:p w14:paraId="7B61CA45">
            <w:pPr>
              <w:jc w:val="center"/>
            </w:pPr>
            <w:r>
              <w:rPr>
                <w:rFonts w:ascii="宋体" w:hAnsi="宋体" w:eastAsia="宋体"/>
                <w:sz w:val="24"/>
              </w:rPr>
              <w:t>项目支出绩效自评表</w:t>
            </w:r>
          </w:p>
        </w:tc>
      </w:tr>
      <w:tr w14:paraId="7698CC92">
        <w:tblPrEx>
          <w:tblCellMar>
            <w:top w:w="0" w:type="dxa"/>
            <w:left w:w="108" w:type="dxa"/>
            <w:bottom w:w="0" w:type="dxa"/>
            <w:right w:w="108" w:type="dxa"/>
          </w:tblCellMar>
        </w:tblPrEx>
        <w:tc>
          <w:tcPr>
            <w:tcW w:w="8848" w:type="dxa"/>
            <w:gridSpan w:val="14"/>
            <w:vAlign w:val="center"/>
          </w:tcPr>
          <w:p w14:paraId="73707972">
            <w:pPr>
              <w:jc w:val="center"/>
            </w:pPr>
            <w:r>
              <w:rPr>
                <w:rFonts w:ascii="宋体" w:hAnsi="宋体" w:eastAsia="宋体"/>
                <w:sz w:val="24"/>
              </w:rPr>
              <w:t>(2024年度)</w:t>
            </w:r>
          </w:p>
        </w:tc>
      </w:tr>
      <w:tr w14:paraId="06D9A6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DD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2CD839">
            <w:pPr>
              <w:jc w:val="center"/>
            </w:pPr>
            <w:r>
              <w:rPr>
                <w:rFonts w:ascii="宋体" w:hAnsi="宋体" w:eastAsia="宋体"/>
                <w:sz w:val="16"/>
              </w:rPr>
              <w:t>自治州科技特派员工作补助经费（红蜜油蟠桃新品种推广）</w:t>
            </w:r>
          </w:p>
        </w:tc>
      </w:tr>
      <w:tr w14:paraId="2B7BCA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D1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6B448">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A8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A5D3C5">
            <w:pPr>
              <w:jc w:val="center"/>
            </w:pPr>
            <w:r>
              <w:rPr>
                <w:rFonts w:ascii="宋体" w:hAnsi="宋体" w:eastAsia="宋体"/>
                <w:sz w:val="16"/>
              </w:rPr>
              <w:t>新疆巴音郭楞蒙古自治州林果技术研究推广中心</w:t>
            </w:r>
          </w:p>
        </w:tc>
      </w:tr>
      <w:tr w14:paraId="7B72D8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8526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03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498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B91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0A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78D1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59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B29A">
            <w:pPr>
              <w:jc w:val="center"/>
            </w:pPr>
            <w:r>
              <w:rPr>
                <w:rFonts w:ascii="宋体" w:hAnsi="宋体" w:eastAsia="宋体"/>
                <w:sz w:val="16"/>
              </w:rPr>
              <w:t>得分</w:t>
            </w:r>
          </w:p>
        </w:tc>
      </w:tr>
      <w:tr w14:paraId="738F1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19E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27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E0E6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51E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F244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617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EA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D356">
            <w:pPr>
              <w:jc w:val="center"/>
            </w:pPr>
            <w:r>
              <w:rPr>
                <w:rFonts w:ascii="宋体" w:hAnsi="宋体" w:eastAsia="宋体"/>
                <w:sz w:val="16"/>
              </w:rPr>
              <w:t>10.00</w:t>
            </w:r>
          </w:p>
        </w:tc>
      </w:tr>
      <w:tr w14:paraId="168D5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F6B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A2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6D1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176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C2A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FCE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B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49E3">
            <w:pPr>
              <w:jc w:val="center"/>
            </w:pPr>
            <w:r>
              <w:rPr>
                <w:rFonts w:ascii="宋体" w:hAnsi="宋体" w:eastAsia="宋体"/>
                <w:sz w:val="16"/>
              </w:rPr>
              <w:t>-</w:t>
            </w:r>
          </w:p>
        </w:tc>
      </w:tr>
      <w:tr w14:paraId="221AF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30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46A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3E2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1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619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FA6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5B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B49D">
            <w:pPr>
              <w:jc w:val="center"/>
            </w:pPr>
            <w:r>
              <w:rPr>
                <w:rFonts w:ascii="宋体" w:hAnsi="宋体" w:eastAsia="宋体"/>
                <w:sz w:val="16"/>
              </w:rPr>
              <w:t>-</w:t>
            </w:r>
          </w:p>
        </w:tc>
      </w:tr>
      <w:tr w14:paraId="0E7476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F20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0C9A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5E94F">
            <w:pPr>
              <w:jc w:val="center"/>
            </w:pPr>
            <w:r>
              <w:rPr>
                <w:rFonts w:ascii="宋体" w:hAnsi="宋体" w:eastAsia="宋体"/>
                <w:sz w:val="16"/>
              </w:rPr>
              <w:t>总体目标完成情况</w:t>
            </w:r>
          </w:p>
        </w:tc>
      </w:tr>
      <w:tr w14:paraId="3F8BB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01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E4CDB">
            <w:pPr>
              <w:jc w:val="both"/>
            </w:pPr>
            <w:r>
              <w:rPr>
                <w:rFonts w:ascii="宋体" w:hAnsi="宋体" w:eastAsia="宋体"/>
                <w:sz w:val="16"/>
              </w:rPr>
              <w:t>建立300亩红蜜油蟠桃新品种示范园，购买有机肥专用材料（棉粕）1批，通过施用有机肥，开展精细化管理，示范园优果率达50%以上，不断提升优质果品供给能力，推动林果业高质量发展。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531F5">
            <w:pPr>
              <w:jc w:val="both"/>
            </w:pPr>
            <w:r>
              <w:rPr>
                <w:rFonts w:ascii="宋体" w:hAnsi="宋体" w:eastAsia="宋体"/>
                <w:sz w:val="16"/>
              </w:rPr>
              <w:t>已建立300亩红蜜油蟠桃新品种示范园，购买有机肥专用材料（棉粕）1批，通过项目实施，施用有机肥增加土壤肥力，结合树体整形修剪等果园管理措施落实，示范园优质果率达55%，示范园示范带动作用与助农增收效果良好，不断提升优质果品供给能力，推动林果业高质量发展。</w:t>
            </w:r>
          </w:p>
        </w:tc>
      </w:tr>
      <w:tr w14:paraId="1DFC01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51D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DC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7F81">
            <w:pPr>
              <w:jc w:val="center"/>
            </w:pPr>
            <w:r>
              <w:rPr>
                <w:rFonts w:ascii="宋体" w:hAnsi="宋体" w:eastAsia="宋体"/>
                <w:sz w:val="16"/>
              </w:rPr>
              <w:t>二级指标</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5EA04131">
            <w:pPr>
              <w:jc w:val="center"/>
            </w:pPr>
            <w:r>
              <w:rPr>
                <w:rFonts w:ascii="宋体" w:hAnsi="宋体" w:eastAsia="宋体"/>
                <w:sz w:val="16"/>
              </w:rPr>
              <w:t>三级指标</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2D34266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5F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CA5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392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EB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57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031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98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6F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FE3F">
            <w:pPr>
              <w:jc w:val="center"/>
            </w:pPr>
            <w:r>
              <w:rPr>
                <w:rFonts w:ascii="宋体" w:hAnsi="宋体" w:eastAsia="宋体"/>
                <w:sz w:val="16"/>
              </w:rPr>
              <w:t>偏差原因分析及改进措施</w:t>
            </w:r>
          </w:p>
        </w:tc>
      </w:tr>
      <w:tr w14:paraId="21A8A3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21F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FC2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C1D7C">
            <w:pPr>
              <w:jc w:val="center"/>
            </w:pPr>
            <w:r>
              <w:rPr>
                <w:rFonts w:ascii="宋体" w:hAnsi="宋体" w:eastAsia="宋体"/>
                <w:sz w:val="16"/>
              </w:rPr>
              <w:t>数量指标</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661C6FE4">
            <w:pPr>
              <w:jc w:val="center"/>
            </w:pPr>
            <w:r>
              <w:rPr>
                <w:rFonts w:ascii="宋体" w:hAnsi="宋体" w:eastAsia="宋体"/>
                <w:sz w:val="16"/>
              </w:rPr>
              <w:t>示范园建设面积</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7468A91A">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1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2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8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0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0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187E">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A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B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E8B5">
            <w:pPr>
              <w:jc w:val="center"/>
            </w:pPr>
          </w:p>
        </w:tc>
      </w:tr>
      <w:tr w14:paraId="26081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F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F4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9CF79"/>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43530936">
            <w:pPr>
              <w:jc w:val="center"/>
            </w:pPr>
            <w:r>
              <w:rPr>
                <w:rFonts w:ascii="宋体" w:hAnsi="宋体" w:eastAsia="宋体"/>
                <w:sz w:val="16"/>
              </w:rPr>
              <w:t>购买专用材料数量</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46B79B9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D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A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8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8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7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AC7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5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4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8281">
            <w:pPr>
              <w:jc w:val="center"/>
            </w:pPr>
          </w:p>
        </w:tc>
      </w:tr>
      <w:tr w14:paraId="00248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55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C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03DA5">
            <w:pPr>
              <w:jc w:val="center"/>
            </w:pPr>
            <w:r>
              <w:rPr>
                <w:rFonts w:ascii="宋体" w:hAnsi="宋体" w:eastAsia="宋体"/>
                <w:sz w:val="16"/>
              </w:rPr>
              <w:t>质量指标</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80BBB08">
            <w:pPr>
              <w:jc w:val="center"/>
            </w:pPr>
            <w:r>
              <w:rPr>
                <w:rFonts w:ascii="宋体" w:hAnsi="宋体" w:eastAsia="宋体"/>
                <w:sz w:val="16"/>
              </w:rPr>
              <w:t>示范园优质果率</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74420A2B">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9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2C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1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6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D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C4FD">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30E0">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898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F6CA">
            <w:pPr>
              <w:jc w:val="center"/>
            </w:pPr>
            <w:r>
              <w:rPr>
                <w:rFonts w:ascii="宋体" w:hAnsi="宋体" w:eastAsia="宋体"/>
                <w:sz w:val="16"/>
              </w:rPr>
              <w:t>原因分析：因在果园管理过程中，项目组成员指导到位，果园各项管理</w:t>
            </w:r>
            <w:r>
              <w:rPr>
                <w:rFonts w:hint="eastAsia" w:ascii="宋体" w:hAnsi="宋体"/>
                <w:sz w:val="16"/>
                <w:lang w:eastAsia="zh-CN"/>
              </w:rPr>
              <w:t>落实</w:t>
            </w:r>
            <w:r>
              <w:rPr>
                <w:rFonts w:ascii="宋体" w:hAnsi="宋体" w:eastAsia="宋体"/>
                <w:sz w:val="16"/>
              </w:rPr>
              <w:t>到位，故示范园优质果率为55%。</w:t>
            </w:r>
          </w:p>
        </w:tc>
      </w:tr>
      <w:tr w14:paraId="379AA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2D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73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9A7A3"/>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63283DD5">
            <w:pPr>
              <w:jc w:val="center"/>
            </w:pPr>
            <w:r>
              <w:rPr>
                <w:rFonts w:ascii="宋体" w:hAnsi="宋体" w:eastAsia="宋体"/>
                <w:sz w:val="16"/>
              </w:rPr>
              <w:t>专用材料质量合格率</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48753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0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E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0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8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6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8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7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A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83DC">
            <w:pPr>
              <w:jc w:val="center"/>
            </w:pPr>
          </w:p>
        </w:tc>
      </w:tr>
      <w:tr w14:paraId="669F7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7F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7B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D400A">
            <w:pPr>
              <w:jc w:val="center"/>
            </w:pPr>
            <w:r>
              <w:rPr>
                <w:rFonts w:ascii="宋体" w:hAnsi="宋体" w:eastAsia="宋体"/>
                <w:sz w:val="16"/>
              </w:rPr>
              <w:t>时效指标</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5B18D560">
            <w:pPr>
              <w:jc w:val="center"/>
            </w:pPr>
            <w:r>
              <w:rPr>
                <w:rFonts w:ascii="宋体" w:hAnsi="宋体" w:eastAsia="宋体"/>
                <w:sz w:val="16"/>
              </w:rPr>
              <w:t>任务完成时限</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7BEA3A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D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4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B2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F3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0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D5D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0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31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641B">
            <w:pPr>
              <w:jc w:val="center"/>
            </w:pPr>
          </w:p>
        </w:tc>
      </w:tr>
      <w:tr w14:paraId="652B4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7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3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3F391"/>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6CA2C8D">
            <w:pPr>
              <w:jc w:val="center"/>
            </w:pPr>
            <w:r>
              <w:rPr>
                <w:rFonts w:ascii="宋体" w:hAnsi="宋体" w:eastAsia="宋体"/>
                <w:sz w:val="16"/>
              </w:rPr>
              <w:t>专用材料发放及时率</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58803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D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F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8A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D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7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5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3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18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44DA">
            <w:pPr>
              <w:jc w:val="center"/>
            </w:pPr>
          </w:p>
        </w:tc>
      </w:tr>
      <w:tr w14:paraId="26A23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07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6D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662C">
            <w:pPr>
              <w:jc w:val="center"/>
            </w:pPr>
            <w:r>
              <w:rPr>
                <w:rFonts w:ascii="宋体" w:hAnsi="宋体" w:eastAsia="宋体"/>
                <w:sz w:val="16"/>
              </w:rPr>
              <w:t>经济效益指标</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4FC03E9B">
            <w:pPr>
              <w:jc w:val="center"/>
            </w:pPr>
            <w:r>
              <w:rPr>
                <w:rFonts w:ascii="宋体" w:hAnsi="宋体" w:eastAsia="宋体"/>
                <w:sz w:val="16"/>
              </w:rPr>
              <w:t>示范园促进农民增收</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443034E5">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8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D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CB4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9E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88C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4EC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7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F04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325A">
            <w:pPr>
              <w:jc w:val="center"/>
            </w:pPr>
          </w:p>
        </w:tc>
      </w:tr>
      <w:tr w14:paraId="1A77D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CA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3F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82C3">
            <w:pPr>
              <w:jc w:val="center"/>
            </w:pPr>
            <w:r>
              <w:rPr>
                <w:rFonts w:ascii="宋体" w:hAnsi="宋体" w:eastAsia="宋体"/>
                <w:sz w:val="16"/>
              </w:rPr>
              <w:t>满意度指标</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31180D44">
            <w:pPr>
              <w:jc w:val="center"/>
            </w:pPr>
            <w:r>
              <w:rPr>
                <w:rFonts w:ascii="宋体" w:hAnsi="宋体" w:eastAsia="宋体"/>
                <w:sz w:val="16"/>
              </w:rPr>
              <w:t>服务果农满意度</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3DD7AE4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6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3B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D4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F3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E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1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1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3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93DC">
            <w:pPr>
              <w:jc w:val="center"/>
            </w:pPr>
          </w:p>
        </w:tc>
      </w:tr>
      <w:tr w14:paraId="4B1C9345">
        <w:tblPrEx>
          <w:tblCellMar>
            <w:top w:w="0" w:type="dxa"/>
            <w:left w:w="108" w:type="dxa"/>
            <w:bottom w:w="0" w:type="dxa"/>
            <w:right w:w="108" w:type="dxa"/>
          </w:tblCellMar>
        </w:tblPrEx>
        <w:tc>
          <w:tcPr>
            <w:tcW w:w="26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D2CC26">
            <w:pPr>
              <w:jc w:val="center"/>
            </w:pPr>
            <w:r>
              <w:rPr>
                <w:rFonts w:ascii="宋体" w:hAnsi="宋体" w:eastAsia="宋体"/>
                <w:sz w:val="16"/>
              </w:rPr>
              <w:t>总分</w:t>
            </w:r>
          </w:p>
        </w:tc>
        <w:tc>
          <w:tcPr>
            <w:tcW w:w="528" w:type="dxa"/>
            <w:tcBorders>
              <w:top w:val="single" w:color="auto" w:sz="10" w:space="0"/>
              <w:left w:val="single" w:color="auto" w:sz="10" w:space="0"/>
              <w:bottom w:val="single" w:color="auto" w:sz="10" w:space="0"/>
              <w:right w:val="single" w:color="auto" w:sz="10" w:space="0"/>
              <w:insideV w:val="single" w:sz="10" w:space="0"/>
            </w:tcBorders>
          </w:tcPr>
          <w:p w14:paraId="03F9FF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030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EC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A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E21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5A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3C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BC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D034">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CDEC0"/>
        </w:tc>
      </w:tr>
    </w:tbl>
    <w:p w14:paraId="5725EF4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96"/>
        <w:gridCol w:w="606"/>
        <w:gridCol w:w="606"/>
        <w:gridCol w:w="614"/>
        <w:gridCol w:w="606"/>
        <w:gridCol w:w="614"/>
        <w:gridCol w:w="696"/>
        <w:gridCol w:w="776"/>
        <w:gridCol w:w="630"/>
        <w:gridCol w:w="776"/>
      </w:tblGrid>
      <w:tr w14:paraId="3C6CE524">
        <w:tblPrEx>
          <w:tblCellMar>
            <w:top w:w="0" w:type="dxa"/>
            <w:left w:w="108" w:type="dxa"/>
            <w:bottom w:w="0" w:type="dxa"/>
            <w:right w:w="108" w:type="dxa"/>
          </w:tblCellMar>
        </w:tblPrEx>
        <w:tc>
          <w:tcPr>
            <w:tcW w:w="8848" w:type="dxa"/>
            <w:gridSpan w:val="14"/>
            <w:vAlign w:val="center"/>
          </w:tcPr>
          <w:p w14:paraId="250118BF">
            <w:pPr>
              <w:jc w:val="center"/>
            </w:pPr>
            <w:r>
              <w:rPr>
                <w:rFonts w:ascii="宋体" w:hAnsi="宋体" w:eastAsia="宋体"/>
                <w:sz w:val="24"/>
              </w:rPr>
              <w:t>项目支出绩效自评表</w:t>
            </w:r>
          </w:p>
        </w:tc>
      </w:tr>
      <w:tr w14:paraId="685A0F48">
        <w:tblPrEx>
          <w:tblCellMar>
            <w:top w:w="0" w:type="dxa"/>
            <w:left w:w="108" w:type="dxa"/>
            <w:bottom w:w="0" w:type="dxa"/>
            <w:right w:w="108" w:type="dxa"/>
          </w:tblCellMar>
        </w:tblPrEx>
        <w:tc>
          <w:tcPr>
            <w:tcW w:w="8848" w:type="dxa"/>
            <w:gridSpan w:val="14"/>
            <w:vAlign w:val="center"/>
          </w:tcPr>
          <w:p w14:paraId="7BCE0154">
            <w:pPr>
              <w:jc w:val="center"/>
            </w:pPr>
            <w:r>
              <w:rPr>
                <w:rFonts w:ascii="宋体" w:hAnsi="宋体" w:eastAsia="宋体"/>
                <w:sz w:val="24"/>
              </w:rPr>
              <w:t>(2024年度)</w:t>
            </w:r>
          </w:p>
        </w:tc>
      </w:tr>
      <w:tr w14:paraId="137F51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7A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FB1F29">
            <w:pPr>
              <w:jc w:val="center"/>
            </w:pPr>
            <w:r>
              <w:rPr>
                <w:rFonts w:ascii="宋体" w:hAnsi="宋体" w:eastAsia="宋体"/>
                <w:sz w:val="16"/>
              </w:rPr>
              <w:t>巴州林果标准化示范园建设项目</w:t>
            </w:r>
          </w:p>
        </w:tc>
      </w:tr>
      <w:tr w14:paraId="54F5A5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C4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4D7D0">
            <w:pPr>
              <w:jc w:val="center"/>
            </w:pPr>
            <w:r>
              <w:rPr>
                <w:rFonts w:hint="eastAsia" w:ascii="宋体" w:hAnsi="宋体"/>
                <w:sz w:val="16"/>
                <w:lang w:eastAsia="zh-CN"/>
              </w:rPr>
              <w:t>新疆巴音郭楞蒙古自治州</w:t>
            </w:r>
            <w:r>
              <w:rPr>
                <w:rFonts w:ascii="宋体" w:hAnsi="宋体" w:eastAsia="宋体"/>
                <w:sz w:val="16"/>
              </w:rPr>
              <w:t>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40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38008">
            <w:pPr>
              <w:jc w:val="center"/>
            </w:pPr>
            <w:r>
              <w:rPr>
                <w:rFonts w:hint="eastAsia" w:ascii="宋体" w:hAnsi="宋体"/>
                <w:sz w:val="16"/>
                <w:lang w:eastAsia="zh-CN"/>
              </w:rPr>
              <w:t>新疆巴音郭楞蒙古自治州</w:t>
            </w:r>
            <w:r>
              <w:rPr>
                <w:rFonts w:ascii="宋体" w:hAnsi="宋体" w:eastAsia="宋体"/>
                <w:sz w:val="16"/>
              </w:rPr>
              <w:t>林果技术研究推广中心</w:t>
            </w:r>
          </w:p>
        </w:tc>
      </w:tr>
      <w:tr w14:paraId="6B2D02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B651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DC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1B9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076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6C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856C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30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8B63">
            <w:pPr>
              <w:jc w:val="center"/>
            </w:pPr>
            <w:r>
              <w:rPr>
                <w:rFonts w:ascii="宋体" w:hAnsi="宋体" w:eastAsia="宋体"/>
                <w:sz w:val="16"/>
              </w:rPr>
              <w:t>得分</w:t>
            </w:r>
          </w:p>
        </w:tc>
      </w:tr>
      <w:tr w14:paraId="6CB6CE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32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481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65C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933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AD8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F10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B29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EE01">
            <w:pPr>
              <w:jc w:val="center"/>
            </w:pPr>
            <w:r>
              <w:rPr>
                <w:rFonts w:ascii="宋体" w:hAnsi="宋体" w:eastAsia="宋体"/>
                <w:sz w:val="16"/>
              </w:rPr>
              <w:t>10.00</w:t>
            </w:r>
          </w:p>
        </w:tc>
      </w:tr>
      <w:tr w14:paraId="0EAA9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D2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CE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BAB2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3FB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41E8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85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38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8AB8">
            <w:pPr>
              <w:jc w:val="center"/>
            </w:pPr>
            <w:r>
              <w:rPr>
                <w:rFonts w:ascii="宋体" w:hAnsi="宋体" w:eastAsia="宋体"/>
                <w:sz w:val="16"/>
              </w:rPr>
              <w:t>-</w:t>
            </w:r>
          </w:p>
        </w:tc>
      </w:tr>
      <w:tr w14:paraId="10ADC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607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D66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008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3B5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02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10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2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D404">
            <w:pPr>
              <w:jc w:val="center"/>
            </w:pPr>
            <w:r>
              <w:rPr>
                <w:rFonts w:ascii="宋体" w:hAnsi="宋体" w:eastAsia="宋体"/>
                <w:sz w:val="16"/>
              </w:rPr>
              <w:t>-</w:t>
            </w:r>
          </w:p>
        </w:tc>
      </w:tr>
      <w:tr w14:paraId="147231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98B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0E5E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796E22">
            <w:pPr>
              <w:jc w:val="center"/>
            </w:pPr>
            <w:r>
              <w:rPr>
                <w:rFonts w:ascii="宋体" w:hAnsi="宋体" w:eastAsia="宋体"/>
                <w:sz w:val="16"/>
              </w:rPr>
              <w:t>总体目标完成情况</w:t>
            </w:r>
          </w:p>
        </w:tc>
      </w:tr>
      <w:tr w14:paraId="42082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58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A96FB5">
            <w:pPr>
              <w:jc w:val="both"/>
            </w:pPr>
            <w:r>
              <w:rPr>
                <w:rFonts w:ascii="宋体" w:hAnsi="宋体" w:eastAsia="宋体"/>
                <w:sz w:val="16"/>
              </w:rPr>
              <w:t>在库尔勒市阿瓦提农场建立50亩香梨标准化示范园，集成整形修剪、肥水管理、病虫害综合防治等配套技术，实施过程中购买专用材料花粉和肥料2批次，通过授粉方式提高果园商品果率，达到示范园商品果率85%以上，施入肥料增加树势，进一步提高香梨品质和产量，增加果农种植效益。通过检测果品质量，判断示范园的实施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209C11">
            <w:pPr>
              <w:jc w:val="both"/>
            </w:pPr>
            <w:r>
              <w:rPr>
                <w:rFonts w:ascii="宋体" w:hAnsi="宋体" w:eastAsia="宋体"/>
                <w:sz w:val="16"/>
              </w:rPr>
              <w:t>已在库尔勒市阿瓦提农场建立示范园1个，面积为50亩，主栽品种库尔勒香梨，授粉品种为砀山梨、鸭梨。在项目实施中，购置商品花粉，购买肥料2批次。通过项目实施，指导果农落实果园清园、人工授粉、增施有机肥、整形修剪、病虫害防控、适期采收等技术措施，示范园亩均产量1.96吨、优等果率85.3%、商品果率88.2%，达到了既定目标任务。通过示范园技术示范引领，引导农民加强科技管理，进一步提高香梨品质和产量，增加了果农种植效益。</w:t>
            </w:r>
          </w:p>
        </w:tc>
      </w:tr>
      <w:tr w14:paraId="306FE1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62C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0E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DB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2A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A0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67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AF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AC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1D8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C8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BAC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12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275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00D6">
            <w:pPr>
              <w:jc w:val="center"/>
            </w:pPr>
            <w:r>
              <w:rPr>
                <w:rFonts w:ascii="宋体" w:hAnsi="宋体" w:eastAsia="宋体"/>
                <w:sz w:val="16"/>
              </w:rPr>
              <w:t>偏差原因分析及改进措施</w:t>
            </w:r>
          </w:p>
        </w:tc>
      </w:tr>
      <w:tr w14:paraId="1463B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429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931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604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1ACD">
            <w:pPr>
              <w:jc w:val="center"/>
            </w:pPr>
            <w:r>
              <w:rPr>
                <w:rFonts w:ascii="宋体" w:hAnsi="宋体" w:eastAsia="宋体"/>
                <w:sz w:val="16"/>
              </w:rPr>
              <w:t>建立香梨标准化示范园面积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E71B">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0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E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18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8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160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3F87">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1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25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D954">
            <w:pPr>
              <w:jc w:val="center"/>
            </w:pPr>
          </w:p>
        </w:tc>
      </w:tr>
      <w:tr w14:paraId="77FFF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47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E2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F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77AF">
            <w:pPr>
              <w:jc w:val="center"/>
            </w:pPr>
            <w:r>
              <w:rPr>
                <w:rFonts w:ascii="宋体" w:hAnsi="宋体" w:eastAsia="宋体"/>
                <w:sz w:val="16"/>
              </w:rPr>
              <w:t>果品检测批次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1B8F">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8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B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25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4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9D8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1CE0">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B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FB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2A70">
            <w:pPr>
              <w:jc w:val="center"/>
            </w:pPr>
          </w:p>
        </w:tc>
      </w:tr>
      <w:tr w14:paraId="475CD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D2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D0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B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F4E5">
            <w:pPr>
              <w:jc w:val="center"/>
            </w:pPr>
            <w:r>
              <w:rPr>
                <w:rFonts w:ascii="宋体" w:hAnsi="宋体" w:eastAsia="宋体"/>
                <w:sz w:val="16"/>
              </w:rPr>
              <w:t>购买专用材料批次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7707">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6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C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88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3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2DD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D301">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3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6F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B1AB">
            <w:pPr>
              <w:jc w:val="center"/>
            </w:pPr>
          </w:p>
        </w:tc>
      </w:tr>
      <w:tr w14:paraId="41D94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2E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4E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8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973E">
            <w:pPr>
              <w:jc w:val="center"/>
            </w:pPr>
            <w:r>
              <w:rPr>
                <w:rFonts w:ascii="宋体" w:hAnsi="宋体" w:eastAsia="宋体"/>
                <w:sz w:val="16"/>
              </w:rPr>
              <w:t>房屋租赁数量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331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A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8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A0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6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9FB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103E">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ACBF">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6B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E7D4">
            <w:pPr>
              <w:jc w:val="center"/>
            </w:pPr>
            <w:r>
              <w:rPr>
                <w:rFonts w:ascii="宋体" w:hAnsi="宋体" w:eastAsia="宋体"/>
                <w:sz w:val="16"/>
              </w:rPr>
              <w:t>偏差原因：因工作需要，原计划聘用疆外技术专家1名，聘用期2年。在实施中，在项目实施中，工作人员不足，为更好将项目保质保量完成，达到预期目标，相继聘用西部计划志愿者1名，研究生2名参与该项目。所以公租房租赁由1套变为2套。改进措施：进一步从严从高设置绩效指标</w:t>
            </w:r>
          </w:p>
        </w:tc>
      </w:tr>
      <w:tr w14:paraId="61CB8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B6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BCE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72E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A1C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E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D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A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ED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5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D2A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7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7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8C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B548">
            <w:pPr>
              <w:jc w:val="center"/>
            </w:pPr>
          </w:p>
        </w:tc>
      </w:tr>
      <w:tr w14:paraId="56F16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1F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4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9C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B803">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E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1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9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E3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6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5E5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D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3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D0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05FB">
            <w:pPr>
              <w:jc w:val="center"/>
            </w:pPr>
          </w:p>
        </w:tc>
      </w:tr>
      <w:tr w14:paraId="687C0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E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E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3B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7AAC">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E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A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2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13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3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EDE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1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2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58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B919">
            <w:pPr>
              <w:jc w:val="center"/>
            </w:pPr>
          </w:p>
        </w:tc>
      </w:tr>
      <w:tr w14:paraId="3B83F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8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CA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3A8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E2CB">
            <w:pPr>
              <w:jc w:val="center"/>
            </w:pPr>
            <w:r>
              <w:rPr>
                <w:rFonts w:ascii="宋体" w:hAnsi="宋体" w:eastAsia="宋体"/>
                <w:sz w:val="16"/>
              </w:rPr>
              <w:t>示范园商品果率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CEB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2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E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BA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E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08C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A6A1">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20D8">
            <w:pPr>
              <w:jc w:val="center"/>
            </w:pPr>
            <w:r>
              <w:rPr>
                <w:rFonts w:ascii="宋体" w:hAnsi="宋体" w:eastAsia="宋体"/>
                <w:sz w:val="16"/>
              </w:rPr>
              <w:t>103.76%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001F">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22BA">
            <w:pPr>
              <w:jc w:val="center"/>
            </w:pPr>
            <w:r>
              <w:rPr>
                <w:rFonts w:ascii="宋体" w:hAnsi="宋体" w:eastAsia="宋体"/>
                <w:sz w:val="16"/>
              </w:rPr>
              <w:t>偏差原因：因今年香梨产量高，管理达到精细化，所以商品果率相对提升。商品果率为88.2%。改进措施：进一步加强示范园果品质量监督。</w:t>
            </w:r>
          </w:p>
        </w:tc>
      </w:tr>
      <w:tr w14:paraId="10619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21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23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2A9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1E9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F000">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F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E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6F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96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B21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342A">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2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87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4170">
            <w:pPr>
              <w:jc w:val="center"/>
            </w:pPr>
          </w:p>
        </w:tc>
      </w:tr>
      <w:tr w14:paraId="1E680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4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06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78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66A5">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2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C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7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92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EA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C7A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3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1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61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DECA">
            <w:pPr>
              <w:jc w:val="center"/>
            </w:pPr>
          </w:p>
        </w:tc>
      </w:tr>
      <w:tr w14:paraId="06447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8C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DEC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6F9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0C26">
            <w:pPr>
              <w:jc w:val="center"/>
            </w:pPr>
            <w:r>
              <w:rPr>
                <w:rFonts w:ascii="宋体" w:hAnsi="宋体" w:eastAsia="宋体"/>
                <w:sz w:val="16"/>
              </w:rPr>
              <w:t>专用材料发放数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D86D">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1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7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DC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9D9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D6B1">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F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21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C4F2">
            <w:pPr>
              <w:jc w:val="center"/>
            </w:pPr>
          </w:p>
        </w:tc>
      </w:tr>
      <w:tr w14:paraId="5574D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39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8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D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6872">
            <w:pPr>
              <w:jc w:val="center"/>
            </w:pPr>
            <w:r>
              <w:rPr>
                <w:rFonts w:ascii="宋体" w:hAnsi="宋体" w:eastAsia="宋体"/>
                <w:sz w:val="16"/>
              </w:rPr>
              <w:t>房屋租赁费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2B81">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B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2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DD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A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043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A914">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7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64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3ED4">
            <w:pPr>
              <w:jc w:val="center"/>
            </w:pPr>
          </w:p>
        </w:tc>
      </w:tr>
      <w:tr w14:paraId="31D71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D9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3C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53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87D3">
            <w:pPr>
              <w:jc w:val="center"/>
            </w:pPr>
            <w:r>
              <w:rPr>
                <w:rFonts w:ascii="宋体" w:hAnsi="宋体" w:eastAsia="宋体"/>
                <w:sz w:val="16"/>
              </w:rPr>
              <w:t>果品检测费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3175">
            <w:pPr>
              <w:jc w:val="center"/>
            </w:pPr>
            <w:r>
              <w:rPr>
                <w:rFonts w:ascii="宋体" w:hAnsi="宋体" w:eastAsia="宋体"/>
                <w:sz w:val="16"/>
              </w:rPr>
              <w:t>&lt;=1.17万元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9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E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21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E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EE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A9C3">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F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72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D9FB">
            <w:pPr>
              <w:jc w:val="center"/>
            </w:pPr>
          </w:p>
        </w:tc>
      </w:tr>
      <w:tr w14:paraId="1A99F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EA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2B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96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81BF">
            <w:pPr>
              <w:jc w:val="center"/>
            </w:pPr>
            <w:r>
              <w:rPr>
                <w:rFonts w:ascii="宋体" w:hAnsi="宋体" w:eastAsia="宋体"/>
                <w:sz w:val="16"/>
              </w:rPr>
              <w:t>推动林果业提质增效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97FE">
            <w:pPr>
              <w:jc w:val="center"/>
            </w:pPr>
            <w:r>
              <w:rPr>
                <w:rFonts w:ascii="宋体" w:hAnsi="宋体" w:eastAsia="宋体"/>
                <w:sz w:val="16"/>
              </w:rPr>
              <w:t>有所推动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B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2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CC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94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1D3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769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6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CE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9B15">
            <w:pPr>
              <w:jc w:val="center"/>
            </w:pPr>
          </w:p>
        </w:tc>
      </w:tr>
      <w:tr w14:paraId="768BA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4A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16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37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875E">
            <w:pPr>
              <w:jc w:val="center"/>
            </w:pPr>
            <w:r>
              <w:rPr>
                <w:rFonts w:ascii="宋体" w:hAnsi="宋体" w:eastAsia="宋体"/>
                <w:sz w:val="16"/>
              </w:rPr>
              <w:t>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E5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E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7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4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F0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DAF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F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6069">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D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055E">
            <w:pPr>
              <w:jc w:val="center"/>
            </w:pPr>
            <w:r>
              <w:rPr>
                <w:rFonts w:ascii="宋体" w:hAnsi="宋体" w:eastAsia="宋体"/>
                <w:sz w:val="16"/>
              </w:rPr>
              <w:t>偏差原因：经过对示范园果农的指导和培训，果农们纷纷表示满意，经过满意度测评报告，果农满意度为100%。改进措施：进一步从严从高设置绩效指标。</w:t>
            </w:r>
          </w:p>
        </w:tc>
      </w:tr>
      <w:tr w14:paraId="6AFB44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5597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C0C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C1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F2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5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861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3C3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F20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EB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5174">
            <w:pPr>
              <w:jc w:val="center"/>
            </w:pPr>
            <w:r>
              <w:rPr>
                <w:rFonts w:ascii="宋体" w:hAnsi="宋体" w:eastAsia="宋体"/>
                <w:sz w:val="16"/>
              </w:rPr>
              <w:t>95.85分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60BE19"/>
        </w:tc>
      </w:tr>
    </w:tbl>
    <w:p w14:paraId="50D0B0D5">
      <w:r>
        <w:br w:type="page"/>
      </w:r>
    </w:p>
    <w:p w14:paraId="55949083">
      <w:pPr>
        <w:spacing w:line="640" w:lineRule="exact"/>
        <w:ind w:firstLine="640"/>
        <w:jc w:val="both"/>
        <w:outlineLvl w:val="2"/>
      </w:pPr>
      <w:r>
        <w:rPr>
          <w:rFonts w:ascii="黑体" w:hAnsi="黑体" w:eastAsia="黑体"/>
          <w:sz w:val="32"/>
        </w:rPr>
        <w:t>十二、其他需说明的事项</w:t>
      </w:r>
    </w:p>
    <w:p w14:paraId="52C17510">
      <w:pPr>
        <w:spacing w:line="580" w:lineRule="exact"/>
        <w:ind w:firstLine="640"/>
        <w:jc w:val="both"/>
      </w:pPr>
      <w:r>
        <w:rPr>
          <w:rFonts w:ascii="仿宋_GB2312" w:hAnsi="仿宋_GB2312" w:eastAsia="仿宋_GB2312"/>
          <w:b w:val="0"/>
          <w:sz w:val="32"/>
        </w:rPr>
        <w:t>本年度本单位整体绩效自评表由主管部门编报并公开。</w:t>
      </w:r>
    </w:p>
    <w:p w14:paraId="4F185431">
      <w:r>
        <w:br w:type="page"/>
      </w:r>
    </w:p>
    <w:p w14:paraId="03C8AA0C">
      <w:pPr>
        <w:spacing w:line="240" w:lineRule="auto"/>
        <w:jc w:val="center"/>
        <w:outlineLvl w:val="1"/>
      </w:pPr>
      <w:r>
        <w:rPr>
          <w:rFonts w:ascii="黑体" w:hAnsi="黑体" w:eastAsia="黑体"/>
          <w:sz w:val="32"/>
        </w:rPr>
        <w:t>第三部分 专业名词解释</w:t>
      </w:r>
    </w:p>
    <w:p w14:paraId="3050D39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0F67D4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87D76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3FD66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075F2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A2443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6C6E4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9B58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AD2A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41492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D34F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A9304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E297B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713ED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E323A7">
      <w:r>
        <w:br w:type="page"/>
      </w:r>
    </w:p>
    <w:p w14:paraId="7B65F277">
      <w:pPr>
        <w:spacing w:line="240" w:lineRule="auto"/>
        <w:jc w:val="center"/>
        <w:outlineLvl w:val="1"/>
      </w:pPr>
      <w:r>
        <w:rPr>
          <w:rFonts w:ascii="黑体" w:hAnsi="黑体" w:eastAsia="黑体"/>
          <w:sz w:val="32"/>
        </w:rPr>
        <w:t>第四部分 部门决算报表（见附表）</w:t>
      </w:r>
    </w:p>
    <w:p w14:paraId="5933D019">
      <w:pPr>
        <w:spacing w:line="240" w:lineRule="auto"/>
        <w:ind w:firstLine="640"/>
        <w:jc w:val="both"/>
      </w:pPr>
      <w:r>
        <w:rPr>
          <w:rFonts w:ascii="仿宋_GB2312" w:hAnsi="仿宋_GB2312" w:eastAsia="仿宋_GB2312"/>
          <w:b w:val="0"/>
          <w:sz w:val="32"/>
        </w:rPr>
        <w:t>一、《收入支出决算总表》</w:t>
      </w:r>
    </w:p>
    <w:p w14:paraId="6D213138">
      <w:pPr>
        <w:spacing w:line="240" w:lineRule="auto"/>
        <w:ind w:firstLine="640"/>
        <w:jc w:val="both"/>
      </w:pPr>
      <w:r>
        <w:rPr>
          <w:rFonts w:ascii="仿宋_GB2312" w:hAnsi="仿宋_GB2312" w:eastAsia="仿宋_GB2312"/>
          <w:b w:val="0"/>
          <w:sz w:val="32"/>
        </w:rPr>
        <w:t>二、《收入决算表》</w:t>
      </w:r>
    </w:p>
    <w:p w14:paraId="0874B742">
      <w:pPr>
        <w:spacing w:line="240" w:lineRule="auto"/>
        <w:ind w:firstLine="640"/>
        <w:jc w:val="both"/>
      </w:pPr>
      <w:r>
        <w:rPr>
          <w:rFonts w:ascii="仿宋_GB2312" w:hAnsi="仿宋_GB2312" w:eastAsia="仿宋_GB2312"/>
          <w:b w:val="0"/>
          <w:sz w:val="32"/>
        </w:rPr>
        <w:t>三、《支出决算表》</w:t>
      </w:r>
    </w:p>
    <w:p w14:paraId="00D7FC4F">
      <w:pPr>
        <w:spacing w:line="240" w:lineRule="auto"/>
        <w:ind w:firstLine="640"/>
        <w:jc w:val="both"/>
      </w:pPr>
      <w:r>
        <w:rPr>
          <w:rFonts w:ascii="仿宋_GB2312" w:hAnsi="仿宋_GB2312" w:eastAsia="仿宋_GB2312"/>
          <w:b w:val="0"/>
          <w:sz w:val="32"/>
        </w:rPr>
        <w:t>四、《财政拨款收入支出决算总表》</w:t>
      </w:r>
    </w:p>
    <w:p w14:paraId="7C89450C">
      <w:pPr>
        <w:spacing w:line="240" w:lineRule="auto"/>
        <w:ind w:firstLine="640"/>
        <w:jc w:val="both"/>
      </w:pPr>
      <w:r>
        <w:rPr>
          <w:rFonts w:ascii="仿宋_GB2312" w:hAnsi="仿宋_GB2312" w:eastAsia="仿宋_GB2312"/>
          <w:b w:val="0"/>
          <w:sz w:val="32"/>
        </w:rPr>
        <w:t>五、《一般公共预算财政拨款支出决算表》</w:t>
      </w:r>
    </w:p>
    <w:p w14:paraId="6D590D36">
      <w:pPr>
        <w:spacing w:line="240" w:lineRule="auto"/>
        <w:ind w:firstLine="640"/>
        <w:jc w:val="both"/>
      </w:pPr>
      <w:r>
        <w:rPr>
          <w:rFonts w:ascii="仿宋_GB2312" w:hAnsi="仿宋_GB2312" w:eastAsia="仿宋_GB2312"/>
          <w:b w:val="0"/>
          <w:sz w:val="32"/>
        </w:rPr>
        <w:t>六、《一般公共预算财政拨款基本支出决算表》</w:t>
      </w:r>
    </w:p>
    <w:p w14:paraId="6CD84C45">
      <w:pPr>
        <w:spacing w:line="240" w:lineRule="auto"/>
        <w:ind w:firstLine="640"/>
        <w:jc w:val="both"/>
      </w:pPr>
      <w:r>
        <w:rPr>
          <w:rFonts w:ascii="仿宋_GB2312" w:hAnsi="仿宋_GB2312" w:eastAsia="仿宋_GB2312"/>
          <w:b w:val="0"/>
          <w:sz w:val="32"/>
        </w:rPr>
        <w:t>七、《政府性基金预算财政拨款收入支出决算表》</w:t>
      </w:r>
    </w:p>
    <w:p w14:paraId="65340770">
      <w:pPr>
        <w:spacing w:line="240" w:lineRule="auto"/>
        <w:ind w:firstLine="640"/>
        <w:jc w:val="both"/>
      </w:pPr>
      <w:r>
        <w:rPr>
          <w:rFonts w:ascii="仿宋_GB2312" w:hAnsi="仿宋_GB2312" w:eastAsia="仿宋_GB2312"/>
          <w:b w:val="0"/>
          <w:sz w:val="32"/>
        </w:rPr>
        <w:t>八、《国有资本经营预算财政拨款收入支出决算表》</w:t>
      </w:r>
    </w:p>
    <w:p w14:paraId="607BA52B">
      <w:pPr>
        <w:spacing w:line="240" w:lineRule="auto"/>
        <w:ind w:firstLine="640"/>
        <w:jc w:val="both"/>
      </w:pPr>
      <w:r>
        <w:rPr>
          <w:rFonts w:ascii="仿宋_GB2312" w:hAnsi="仿宋_GB2312" w:eastAsia="仿宋_GB2312"/>
          <w:b w:val="0"/>
          <w:sz w:val="32"/>
        </w:rPr>
        <w:t>九、《财政拨款“三公”经费支出决算表》</w:t>
      </w:r>
    </w:p>
    <w:p w14:paraId="13D9DC80">
      <w:pPr>
        <w:spacing w:line="240" w:lineRule="auto"/>
        <w:ind w:firstLine="640"/>
        <w:jc w:val="both"/>
      </w:pPr>
    </w:p>
    <w:p w14:paraId="53859FD1">
      <w:pPr>
        <w:spacing w:line="240" w:lineRule="auto"/>
        <w:ind w:firstLine="640"/>
        <w:jc w:val="both"/>
      </w:pPr>
    </w:p>
    <w:p w14:paraId="436C3D42">
      <w:pPr>
        <w:spacing w:line="240" w:lineRule="auto"/>
        <w:ind w:firstLine="640"/>
        <w:jc w:val="both"/>
      </w:pPr>
    </w:p>
    <w:p w14:paraId="7A8DEC18">
      <w:pPr>
        <w:spacing w:line="240" w:lineRule="auto"/>
        <w:ind w:firstLine="640"/>
        <w:jc w:val="both"/>
      </w:pPr>
    </w:p>
    <w:p w14:paraId="0BBB418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1B1C74-ED06-42D6-87EB-82AE1E5FCB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11A3E1-D40C-4ABC-8A61-BBC234DE2214}"/>
  </w:font>
  <w:font w:name="仿宋_GB2312">
    <w:panose1 w:val="02010609030101010101"/>
    <w:charset w:val="86"/>
    <w:family w:val="modern"/>
    <w:pitch w:val="default"/>
    <w:sig w:usb0="00000001" w:usb1="080E0000" w:usb2="00000000" w:usb3="00000000" w:csb0="00040000" w:csb1="00000000"/>
    <w:embedRegular r:id="rId3" w:fontKey="{6B5E83E0-D817-4D1A-BDF6-596A82CDD343}"/>
  </w:font>
  <w:font w:name="楷体_GB2312">
    <w:panose1 w:val="02010609030101010101"/>
    <w:charset w:val="86"/>
    <w:family w:val="auto"/>
    <w:pitch w:val="default"/>
    <w:sig w:usb0="00000001" w:usb1="080E0000" w:usb2="00000000" w:usb3="00000000" w:csb0="00040000" w:csb1="00000000"/>
    <w:embedRegular r:id="rId4" w:fontKey="{14CF176E-90C4-49AA-8762-9A6DB799F35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6A4B3D"/>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FB2DCC"/>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5641</Words>
  <Characters>6410</Characters>
  <Lines>0</Lines>
  <Paragraphs>0</Paragraphs>
  <TotalTime>5</TotalTime>
  <ScaleCrop>false</ScaleCrop>
  <LinksUpToDate>false</LinksUpToDate>
  <CharactersWithSpaces>6418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2025-09-11T11:28:23Z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