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巴音郭楞蒙古自治州政务服务和公共资源交易中心2024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D0C1DB6">
      <w:r>
        <w:br w:type="page"/>
      </w:r>
    </w:p>
    <w:p w14:paraId="231A61B4">
      <w:pPr>
        <w:spacing w:line="640" w:lineRule="exact"/>
        <w:jc w:val="center"/>
        <w:outlineLvl w:val="1"/>
      </w:pPr>
      <w:r>
        <w:rPr>
          <w:rFonts w:ascii="黑体" w:hAnsi="黑体" w:eastAsia="黑体"/>
          <w:sz w:val="32"/>
        </w:rPr>
        <w:t>第一部分 单位概况</w:t>
      </w:r>
    </w:p>
    <w:p w14:paraId="7D961F59">
      <w:pPr>
        <w:spacing w:line="640" w:lineRule="exact"/>
        <w:ind w:firstLine="640"/>
        <w:jc w:val="both"/>
        <w:outlineLvl w:val="2"/>
      </w:pPr>
      <w:r>
        <w:rPr>
          <w:rFonts w:ascii="黑体" w:hAnsi="黑体" w:eastAsia="黑体"/>
          <w:sz w:val="32"/>
        </w:rPr>
        <w:t>一、主要职能</w:t>
      </w:r>
    </w:p>
    <w:p w14:paraId="2D6D06DA">
      <w:pPr>
        <w:spacing w:line="580" w:lineRule="exact"/>
        <w:ind w:firstLine="640"/>
        <w:jc w:val="both"/>
      </w:pPr>
      <w:r>
        <w:rPr>
          <w:rFonts w:ascii="仿宋_GB2312" w:hAnsi="仿宋_GB2312" w:eastAsia="仿宋_GB2312"/>
          <w:sz w:val="32"/>
        </w:rPr>
        <w:t>(一)贯彻执行国家、</w:t>
      </w:r>
      <w:r>
        <w:rPr>
          <w:rFonts w:hint="eastAsia" w:ascii="仿宋_GB2312" w:hAnsi="仿宋_GB2312" w:eastAsia="仿宋_GB2312"/>
          <w:sz w:val="32"/>
          <w:lang w:eastAsia="zh-CN"/>
        </w:rPr>
        <w:t>自治区</w:t>
      </w:r>
      <w:r>
        <w:rPr>
          <w:rFonts w:ascii="仿宋_GB2312" w:hAnsi="仿宋_GB2312" w:eastAsia="仿宋_GB2312"/>
          <w:sz w:val="32"/>
        </w:rPr>
        <w:t>公共资源交易的方针、政策和法律、法规，拟定自治州公共资源交易有关规范性文件、制度，研究提出加强和规范公共资源交易市场管理的意见建议。</w:t>
      </w:r>
    </w:p>
    <w:p w14:paraId="000E8F25">
      <w:pPr>
        <w:spacing w:line="580" w:lineRule="exact"/>
        <w:ind w:firstLine="640"/>
        <w:jc w:val="both"/>
      </w:pPr>
      <w:r>
        <w:rPr>
          <w:rFonts w:ascii="仿宋_GB2312" w:hAnsi="仿宋_GB2312" w:eastAsia="仿宋_GB2312"/>
          <w:sz w:val="32"/>
        </w:rPr>
        <w:t>(二)负责拟订公共资源交易目录及公共资源交易各项管理制度、业务规则和办理流程，制定公共资源交易中心的运行规程和管理制度，并组织实施。</w:t>
      </w:r>
    </w:p>
    <w:p w14:paraId="0EE678EC">
      <w:pPr>
        <w:spacing w:line="580" w:lineRule="exact"/>
        <w:ind w:firstLine="640"/>
        <w:jc w:val="both"/>
      </w:pPr>
      <w:r>
        <w:rPr>
          <w:rFonts w:ascii="仿宋_GB2312" w:hAnsi="仿宋_GB2312" w:eastAsia="仿宋_GB2312"/>
          <w:sz w:val="32"/>
        </w:rPr>
        <w:t>(三)会同有关行政监督部门建立和完善公共资源交易市场信用监督管理机制。</w:t>
      </w:r>
    </w:p>
    <w:p w14:paraId="33977B32">
      <w:pPr>
        <w:spacing w:line="580" w:lineRule="exact"/>
        <w:ind w:firstLine="640"/>
        <w:jc w:val="both"/>
      </w:pPr>
      <w:r>
        <w:rPr>
          <w:rFonts w:ascii="仿宋_GB2312" w:hAnsi="仿宋_GB2312" w:eastAsia="仿宋_GB2312"/>
          <w:sz w:val="32"/>
        </w:rPr>
        <w:t>(四)承担自治州公共资源交易服务平台管理和维护工作，负责自治州公共资源交易平台的电子化交易系统、信用评价体系和中介机构库等的建设管理工作。</w:t>
      </w:r>
    </w:p>
    <w:p w14:paraId="263DDCCE">
      <w:pPr>
        <w:spacing w:line="580" w:lineRule="exact"/>
        <w:ind w:firstLine="640"/>
        <w:jc w:val="both"/>
      </w:pPr>
      <w:r>
        <w:rPr>
          <w:rFonts w:ascii="仿宋_GB2312" w:hAnsi="仿宋_GB2312" w:eastAsia="仿宋_GB2312"/>
          <w:sz w:val="32"/>
        </w:rPr>
        <w:t>(五)为进入自治州公共资源交易平台的交易活动提供场所、设施、信息和现场组织服务；负责按规定实施现场秩序管理和监督工作，记录、制止违反现场管理制度的行为；建立公共资源交易从业者现场行为公开制度，开展场内信用信息记录、评价并对外发布。</w:t>
      </w:r>
    </w:p>
    <w:p w14:paraId="65D11B41">
      <w:pPr>
        <w:spacing w:line="580" w:lineRule="exact"/>
        <w:ind w:firstLine="640"/>
        <w:jc w:val="both"/>
      </w:pPr>
      <w:r>
        <w:rPr>
          <w:rFonts w:ascii="仿宋_GB2312" w:hAnsi="仿宋_GB2312" w:eastAsia="仿宋_GB2312"/>
          <w:sz w:val="32"/>
        </w:rPr>
        <w:t>(六)负责公共资源交易综合评审专家库的建设和管理；会同有关部门对评审专家的评标行为进行监督、考核。</w:t>
      </w:r>
    </w:p>
    <w:p w14:paraId="20EFA869">
      <w:pPr>
        <w:spacing w:line="580" w:lineRule="exact"/>
        <w:ind w:firstLine="640"/>
        <w:jc w:val="both"/>
      </w:pPr>
      <w:r>
        <w:rPr>
          <w:rFonts w:ascii="仿宋_GB2312" w:hAnsi="仿宋_GB2312" w:eastAsia="仿宋_GB2312"/>
          <w:sz w:val="32"/>
        </w:rPr>
        <w:t>(七)负责公共资源交易情况的汇总、统计和分析工作。</w:t>
      </w:r>
    </w:p>
    <w:p w14:paraId="314E577A">
      <w:pPr>
        <w:spacing w:line="580" w:lineRule="exact"/>
        <w:ind w:firstLine="640"/>
        <w:jc w:val="both"/>
      </w:pPr>
      <w:r>
        <w:rPr>
          <w:rFonts w:ascii="仿宋_GB2312" w:hAnsi="仿宋_GB2312" w:eastAsia="仿宋_GB2312"/>
          <w:sz w:val="32"/>
        </w:rPr>
        <w:t>(八)承办州党委、州人民政府交办的其他事项。</w:t>
      </w:r>
    </w:p>
    <w:p w14:paraId="64C6A553">
      <w:pPr>
        <w:spacing w:line="640" w:lineRule="exact"/>
        <w:ind w:firstLine="640"/>
        <w:jc w:val="both"/>
        <w:outlineLvl w:val="2"/>
      </w:pPr>
      <w:r>
        <w:rPr>
          <w:rFonts w:ascii="黑体" w:hAnsi="黑体" w:eastAsia="黑体"/>
          <w:sz w:val="32"/>
        </w:rPr>
        <w:t>二、机构设置及人员情况</w:t>
      </w:r>
    </w:p>
    <w:p w14:paraId="03F953B6">
      <w:pPr>
        <w:spacing w:line="580" w:lineRule="exact"/>
        <w:ind w:firstLine="640"/>
        <w:jc w:val="both"/>
      </w:pPr>
      <w:r>
        <w:rPr>
          <w:rFonts w:ascii="仿宋_GB2312" w:hAnsi="仿宋_GB2312" w:eastAsia="仿宋_GB2312"/>
          <w:sz w:val="32"/>
        </w:rPr>
        <w:t>巴音郭楞蒙古自治州政务服务和公共资源交易中心2024年度，实有人数28人，其中：在职人员28人，增加1人；离休人员0人，增加0人；退休人员0人,增加0人。</w:t>
      </w:r>
    </w:p>
    <w:p w14:paraId="58304107">
      <w:pPr>
        <w:spacing w:line="580" w:lineRule="exact"/>
        <w:ind w:firstLine="640"/>
        <w:jc w:val="both"/>
      </w:pPr>
      <w:r>
        <w:rPr>
          <w:rFonts w:ascii="仿宋_GB2312" w:hAnsi="仿宋_GB2312" w:eastAsia="仿宋_GB2312"/>
          <w:sz w:val="32"/>
        </w:rPr>
        <w:t>巴音郭楞蒙古自治州政务服务和公共资源交易中心无下属预算单位，下设8个科室，分别是：综合科、政务服务科、受理科、工程交易科、政府采购交易科、自然资源及国有产权交易科、评审监督科、信息档案科。</w:t>
      </w:r>
    </w:p>
    <w:p w14:paraId="1202CCC3">
      <w:r>
        <w:br w:type="page"/>
      </w:r>
    </w:p>
    <w:p w14:paraId="7A766742">
      <w:pPr>
        <w:spacing w:line="240" w:lineRule="auto"/>
        <w:jc w:val="center"/>
        <w:outlineLvl w:val="1"/>
      </w:pPr>
      <w:r>
        <w:rPr>
          <w:rFonts w:ascii="黑体" w:hAnsi="黑体" w:eastAsia="黑体"/>
          <w:sz w:val="32"/>
        </w:rPr>
        <w:t>第二部分 部门决算情况说明</w:t>
      </w:r>
    </w:p>
    <w:p w14:paraId="50BC3285">
      <w:pPr>
        <w:spacing w:line="640" w:lineRule="exact"/>
        <w:ind w:firstLine="640"/>
        <w:jc w:val="both"/>
        <w:outlineLvl w:val="2"/>
      </w:pPr>
      <w:r>
        <w:rPr>
          <w:rFonts w:ascii="黑体" w:hAnsi="黑体" w:eastAsia="黑体"/>
          <w:sz w:val="32"/>
        </w:rPr>
        <w:t>一、收入支出决算总体情况说明</w:t>
      </w:r>
    </w:p>
    <w:p w14:paraId="7A4850FF">
      <w:pPr>
        <w:spacing w:line="580" w:lineRule="exact"/>
        <w:ind w:firstLine="640"/>
        <w:jc w:val="both"/>
      </w:pPr>
      <w:r>
        <w:rPr>
          <w:rFonts w:ascii="仿宋_GB2312" w:hAnsi="仿宋_GB2312" w:eastAsia="仿宋_GB2312"/>
          <w:b/>
          <w:sz w:val="32"/>
        </w:rPr>
        <w:t>2024年度收入总计3,073.08万元，</w:t>
      </w:r>
      <w:r>
        <w:rPr>
          <w:rFonts w:ascii="仿宋_GB2312" w:hAnsi="仿宋_GB2312" w:eastAsia="仿宋_GB2312"/>
          <w:b w:val="0"/>
          <w:sz w:val="32"/>
        </w:rPr>
        <w:t>其中：本年收入合计3,073.08万元，使用非财政拨款结余（含专用结余）0.00万元，年初结转和结余0.00万元。</w:t>
      </w:r>
    </w:p>
    <w:p w14:paraId="1E107C9F">
      <w:pPr>
        <w:spacing w:line="580" w:lineRule="exact"/>
        <w:ind w:firstLine="640"/>
        <w:jc w:val="both"/>
      </w:pPr>
      <w:r>
        <w:rPr>
          <w:rFonts w:ascii="仿宋_GB2312" w:hAnsi="仿宋_GB2312" w:eastAsia="仿宋_GB2312"/>
          <w:b/>
          <w:sz w:val="32"/>
        </w:rPr>
        <w:t>2024年度支出总计3,073.08万元，</w:t>
      </w:r>
      <w:r>
        <w:rPr>
          <w:rFonts w:ascii="仿宋_GB2312" w:hAnsi="仿宋_GB2312" w:eastAsia="仿宋_GB2312"/>
          <w:b w:val="0"/>
          <w:sz w:val="32"/>
        </w:rPr>
        <w:t>其中：本年支出合计1,197.45万元，结余分配1,875.63万元，年末结转和结余0.00万元。</w:t>
      </w:r>
    </w:p>
    <w:p w14:paraId="160DDDBD">
      <w:pPr>
        <w:spacing w:line="580" w:lineRule="exact"/>
        <w:ind w:firstLine="640"/>
        <w:jc w:val="both"/>
      </w:pPr>
      <w:r>
        <w:rPr>
          <w:rFonts w:ascii="仿宋_GB2312" w:hAnsi="仿宋_GB2312" w:eastAsia="仿宋_GB2312"/>
          <w:b w:val="0"/>
          <w:sz w:val="32"/>
        </w:rPr>
        <w:t>收入支出总体与上年相比，增加424.16万元，增长16.01%，主要原因是：本年新增土地交易项目资金，导致经费较上年增加。</w:t>
      </w:r>
    </w:p>
    <w:p w14:paraId="1B63033F">
      <w:pPr>
        <w:spacing w:line="640" w:lineRule="exact"/>
        <w:ind w:firstLine="640"/>
        <w:jc w:val="both"/>
        <w:outlineLvl w:val="2"/>
      </w:pPr>
      <w:r>
        <w:rPr>
          <w:rFonts w:ascii="黑体" w:hAnsi="黑体" w:eastAsia="黑体"/>
          <w:sz w:val="32"/>
        </w:rPr>
        <w:t>二、收入决算情况说明</w:t>
      </w:r>
    </w:p>
    <w:p w14:paraId="1F604D75">
      <w:pPr>
        <w:spacing w:line="580" w:lineRule="exact"/>
        <w:ind w:firstLine="640"/>
        <w:jc w:val="both"/>
      </w:pPr>
      <w:r>
        <w:rPr>
          <w:rFonts w:ascii="仿宋_GB2312" w:hAnsi="仿宋_GB2312" w:eastAsia="仿宋_GB2312"/>
          <w:b/>
          <w:sz w:val="32"/>
        </w:rPr>
        <w:t>本年收入3,073.08万元，</w:t>
      </w:r>
      <w:r>
        <w:rPr>
          <w:rFonts w:ascii="仿宋_GB2312" w:hAnsi="仿宋_GB2312" w:eastAsia="仿宋_GB2312"/>
          <w:b w:val="0"/>
          <w:sz w:val="32"/>
        </w:rPr>
        <w:t>其中：财政拨款收入203.68万元，占6.63%；上级补助收入0.00万元，占0.00%；事业收入2,869.04万元，占93.36%；经营收入0.00万元，占0.00%；附属单位上缴收入0.00万元，占0.00%；其他收入0.36万元，占0.01%。</w:t>
      </w:r>
    </w:p>
    <w:p w14:paraId="75EF3AC3">
      <w:pPr>
        <w:spacing w:line="640" w:lineRule="exact"/>
        <w:ind w:firstLine="640"/>
        <w:jc w:val="both"/>
        <w:outlineLvl w:val="2"/>
      </w:pPr>
      <w:r>
        <w:rPr>
          <w:rFonts w:ascii="黑体" w:hAnsi="黑体" w:eastAsia="黑体"/>
          <w:sz w:val="32"/>
        </w:rPr>
        <w:t>三、支出决算情况说明</w:t>
      </w:r>
    </w:p>
    <w:p w14:paraId="672BDECE">
      <w:pPr>
        <w:spacing w:line="580" w:lineRule="exact"/>
        <w:ind w:firstLine="640"/>
        <w:jc w:val="both"/>
      </w:pPr>
      <w:r>
        <w:rPr>
          <w:rFonts w:ascii="仿宋_GB2312" w:hAnsi="仿宋_GB2312" w:eastAsia="仿宋_GB2312"/>
          <w:b/>
          <w:sz w:val="32"/>
        </w:rPr>
        <w:t>本年支出1,197.45万元，</w:t>
      </w:r>
      <w:r>
        <w:rPr>
          <w:rFonts w:ascii="仿宋_GB2312" w:hAnsi="仿宋_GB2312" w:eastAsia="仿宋_GB2312"/>
          <w:b w:val="0"/>
          <w:sz w:val="32"/>
        </w:rPr>
        <w:t>其中：基本支出1,197.45万元，占100.00%；项目支出0.00万元，占0.00%；上缴上级支出0.00万元，占0.00%；经营支出0.00万元，占0.00%；对附属单位补助支出0.00万元，占0.00%。</w:t>
      </w:r>
    </w:p>
    <w:p w14:paraId="0D508D39">
      <w:pPr>
        <w:spacing w:line="640" w:lineRule="exact"/>
        <w:ind w:firstLine="640"/>
        <w:jc w:val="both"/>
        <w:outlineLvl w:val="2"/>
      </w:pPr>
      <w:r>
        <w:rPr>
          <w:rFonts w:ascii="黑体" w:hAnsi="黑体" w:eastAsia="黑体"/>
          <w:sz w:val="32"/>
        </w:rPr>
        <w:t>四、财政拨款收入支出决算总体情况说明</w:t>
      </w:r>
    </w:p>
    <w:p w14:paraId="1203183A">
      <w:pPr>
        <w:spacing w:line="580" w:lineRule="exact"/>
        <w:ind w:firstLine="640"/>
        <w:jc w:val="both"/>
      </w:pPr>
      <w:r>
        <w:rPr>
          <w:rFonts w:ascii="仿宋_GB2312" w:hAnsi="仿宋_GB2312" w:eastAsia="仿宋_GB2312"/>
          <w:b/>
          <w:sz w:val="32"/>
        </w:rPr>
        <w:t>2024年度财政拨款收入总计203.68万元，</w:t>
      </w:r>
      <w:r>
        <w:rPr>
          <w:rFonts w:ascii="仿宋_GB2312" w:hAnsi="仿宋_GB2312" w:eastAsia="仿宋_GB2312"/>
          <w:b w:val="0"/>
          <w:sz w:val="32"/>
        </w:rPr>
        <w:t>其中：年初财政拨款结转和结余0.00万元，本年财政拨款收入203.68万元。</w:t>
      </w:r>
      <w:r>
        <w:rPr>
          <w:rFonts w:ascii="仿宋_GB2312" w:hAnsi="仿宋_GB2312" w:eastAsia="仿宋_GB2312"/>
          <w:b/>
          <w:sz w:val="32"/>
        </w:rPr>
        <w:t>财政拨款支出总计203.68万元，</w:t>
      </w:r>
      <w:r>
        <w:rPr>
          <w:rFonts w:ascii="仿宋_GB2312" w:hAnsi="仿宋_GB2312" w:eastAsia="仿宋_GB2312"/>
          <w:b w:val="0"/>
          <w:sz w:val="32"/>
        </w:rPr>
        <w:t>其中：年末财政拨款结转和结余0.00万元，本年财政拨款支出203.68万元。</w:t>
      </w:r>
    </w:p>
    <w:p w14:paraId="18F4AE3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增加24.79万元，增长13.86%，主要原因是：本年在职人员增加，在职人员工资调增、社保、公积金基数调增，人员经费增加。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年初预算数198.81万元，决算数203.68万元，预决算差异率2.45%，主要原因是：年中追加人员工资、社保、公积金基数调增部分资金，导致预决算存在差异。</w:t>
      </w:r>
    </w:p>
    <w:p w14:paraId="2C345F2F">
      <w:pPr>
        <w:spacing w:line="640" w:lineRule="exact"/>
        <w:ind w:firstLine="640"/>
        <w:jc w:val="both"/>
        <w:outlineLvl w:val="2"/>
      </w:pPr>
      <w:r>
        <w:rPr>
          <w:rFonts w:ascii="黑体" w:hAnsi="黑体" w:eastAsia="黑体"/>
          <w:sz w:val="32"/>
        </w:rPr>
        <w:t>五、一般公共预算财政拨款支出决算情况说明</w:t>
      </w:r>
    </w:p>
    <w:p w14:paraId="62FA26F6">
      <w:pPr>
        <w:spacing w:line="640" w:lineRule="exact"/>
        <w:ind w:firstLine="640"/>
        <w:jc w:val="both"/>
        <w:outlineLvl w:val="3"/>
      </w:pPr>
      <w:r>
        <w:rPr>
          <w:rFonts w:ascii="楷体_GB2312" w:hAnsi="楷体_GB2312" w:eastAsia="楷体_GB2312"/>
          <w:b/>
          <w:sz w:val="32"/>
        </w:rPr>
        <w:t>（一）一般公共预算财政拨款支出决算总体情况</w:t>
      </w:r>
    </w:p>
    <w:p w14:paraId="34698186">
      <w:pPr>
        <w:spacing w:line="580" w:lineRule="exact"/>
        <w:ind w:firstLine="640"/>
        <w:jc w:val="both"/>
      </w:pPr>
      <w:r>
        <w:rPr>
          <w:rFonts w:ascii="仿宋_GB2312" w:hAnsi="仿宋_GB2312" w:eastAsia="仿宋_GB2312"/>
          <w:b/>
          <w:sz w:val="32"/>
        </w:rPr>
        <w:t>2024年度一般公共预算财政拨款支出203.68万元，</w:t>
      </w:r>
      <w:r>
        <w:rPr>
          <w:rFonts w:ascii="仿宋_GB2312" w:hAnsi="仿宋_GB2312" w:eastAsia="仿宋_GB2312"/>
          <w:b w:val="0"/>
          <w:sz w:val="32"/>
        </w:rPr>
        <w:t>占本年支出合计的17.01%。</w:t>
      </w:r>
      <w:r>
        <w:rPr>
          <w:rFonts w:ascii="仿宋_GB2312" w:hAnsi="仿宋_GB2312" w:eastAsia="仿宋_GB2312"/>
          <w:b/>
          <w:sz w:val="32"/>
        </w:rPr>
        <w:t>与上年相比，</w:t>
      </w:r>
      <w:r>
        <w:rPr>
          <w:rFonts w:ascii="仿宋_GB2312" w:hAnsi="仿宋_GB2312" w:eastAsia="仿宋_GB2312"/>
          <w:b w:val="0"/>
          <w:sz w:val="32"/>
        </w:rPr>
        <w:t>增加24.79万元，增长13.86%，主要原因是：本年在职人员增加，在职人员工资调增、社保、公积金基数调增，人员经费增加。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年初预算数198.81万元，决算数203.68万元，预决算差异率2.45%，主要原因是：年中追加人员工资、社保、公积金基数调增部分资金，导致预决算存在差异。</w:t>
      </w:r>
    </w:p>
    <w:p w14:paraId="453B18D8">
      <w:pPr>
        <w:spacing w:line="640" w:lineRule="exact"/>
        <w:ind w:firstLine="640"/>
        <w:jc w:val="both"/>
        <w:outlineLvl w:val="3"/>
      </w:pPr>
      <w:r>
        <w:rPr>
          <w:rFonts w:ascii="楷体_GB2312" w:hAnsi="楷体_GB2312" w:eastAsia="楷体_GB2312"/>
          <w:b/>
          <w:sz w:val="32"/>
        </w:rPr>
        <w:t>（二）一般公共预算财政拨款支出决算结构情况</w:t>
      </w:r>
    </w:p>
    <w:p w14:paraId="67E1669C">
      <w:pPr>
        <w:spacing w:line="580" w:lineRule="exact"/>
        <w:ind w:firstLine="640"/>
        <w:jc w:val="both"/>
      </w:pPr>
      <w:r>
        <w:rPr>
          <w:rFonts w:ascii="仿宋_GB2312" w:hAnsi="仿宋_GB2312" w:eastAsia="仿宋_GB2312"/>
          <w:b w:val="0"/>
          <w:sz w:val="32"/>
        </w:rPr>
        <w:t>1.一般公共服务支出(类)163.76万元,占80.40%。</w:t>
      </w:r>
    </w:p>
    <w:p w14:paraId="792829AE">
      <w:pPr>
        <w:spacing w:line="580" w:lineRule="exact"/>
        <w:ind w:firstLine="640"/>
        <w:jc w:val="both"/>
      </w:pPr>
      <w:r>
        <w:rPr>
          <w:rFonts w:ascii="仿宋_GB2312" w:hAnsi="仿宋_GB2312" w:eastAsia="仿宋_GB2312"/>
          <w:b w:val="0"/>
          <w:sz w:val="32"/>
        </w:rPr>
        <w:t>2.社会保障和就业支出(类)17.67万元,占8.68%。</w:t>
      </w:r>
    </w:p>
    <w:p w14:paraId="22A5665E">
      <w:pPr>
        <w:spacing w:line="580" w:lineRule="exact"/>
        <w:ind w:firstLine="640"/>
        <w:jc w:val="both"/>
      </w:pPr>
      <w:r>
        <w:rPr>
          <w:rFonts w:ascii="仿宋_GB2312" w:hAnsi="仿宋_GB2312" w:eastAsia="仿宋_GB2312"/>
          <w:b w:val="0"/>
          <w:sz w:val="32"/>
        </w:rPr>
        <w:t>3.卫生健康支出(类)8.15万元,占4.00%。</w:t>
      </w:r>
    </w:p>
    <w:p w14:paraId="296E4C12">
      <w:pPr>
        <w:spacing w:line="580" w:lineRule="exact"/>
        <w:ind w:firstLine="640"/>
        <w:jc w:val="both"/>
      </w:pPr>
      <w:r>
        <w:rPr>
          <w:rFonts w:ascii="仿宋_GB2312" w:hAnsi="仿宋_GB2312" w:eastAsia="仿宋_GB2312"/>
          <w:b w:val="0"/>
          <w:sz w:val="32"/>
        </w:rPr>
        <w:t>4.住房保障支出(类)14.10万元,占6.92%。</w:t>
      </w:r>
    </w:p>
    <w:p w14:paraId="6D0A67F4">
      <w:pPr>
        <w:spacing w:line="640" w:lineRule="exact"/>
        <w:ind w:firstLine="640"/>
        <w:jc w:val="both"/>
        <w:outlineLvl w:val="3"/>
      </w:pPr>
      <w:r>
        <w:rPr>
          <w:rFonts w:ascii="楷体_GB2312" w:hAnsi="楷体_GB2312" w:eastAsia="楷体_GB2312"/>
          <w:b/>
          <w:sz w:val="32"/>
        </w:rPr>
        <w:t>（三）一般公共预算财政拨款支出决算具体情况</w:t>
      </w:r>
    </w:p>
    <w:p w14:paraId="5E215342">
      <w:pPr>
        <w:spacing w:line="580" w:lineRule="exact"/>
        <w:ind w:firstLine="640"/>
        <w:jc w:val="both"/>
      </w:pPr>
      <w:r>
        <w:rPr>
          <w:rFonts w:ascii="仿宋_GB2312" w:hAnsi="仿宋_GB2312" w:eastAsia="仿宋_GB2312"/>
          <w:b w:val="0"/>
          <w:sz w:val="32"/>
        </w:rPr>
        <w:t>1.一般公共服务支出(类)政府办公厅（室）及相关机构事务(款)事业运行(项):支出决算数为163.76万元，比上年决算增加16.00万元，增长10.83%,主要原因是：本年新增在职人员，人员经费增加，导致经费较上年有所增加。</w:t>
      </w:r>
    </w:p>
    <w:p w14:paraId="2AE178F1">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17.67万元，比上年决算增加3.14万元，增长21.61%,主要原因是：本年在职人员增加，人员工资调增，养老保险缴费较上年增加。</w:t>
      </w:r>
    </w:p>
    <w:p w14:paraId="36958047">
      <w:pPr>
        <w:spacing w:line="580" w:lineRule="exact"/>
        <w:ind w:firstLine="640"/>
        <w:jc w:val="both"/>
      </w:pPr>
      <w:r>
        <w:rPr>
          <w:rFonts w:ascii="仿宋_GB2312" w:hAnsi="仿宋_GB2312" w:eastAsia="仿宋_GB2312"/>
          <w:b w:val="0"/>
          <w:sz w:val="32"/>
        </w:rPr>
        <w:t>3.卫生健康支出(类)行政事业单位医疗(款)事业单位医疗(项):支出决算数为7.87万元，比上年决算增加1.51万元，增长23.74%,主要原因是：本年在职人员增加，人员工资调增，事业单位医疗支出较上年增加。</w:t>
      </w:r>
    </w:p>
    <w:p w14:paraId="20A33072">
      <w:pPr>
        <w:spacing w:line="580" w:lineRule="exact"/>
        <w:ind w:firstLine="640"/>
        <w:jc w:val="both"/>
      </w:pPr>
      <w:r>
        <w:rPr>
          <w:rFonts w:ascii="仿宋_GB2312" w:hAnsi="仿宋_GB2312" w:eastAsia="仿宋_GB2312"/>
          <w:b w:val="0"/>
          <w:sz w:val="32"/>
        </w:rPr>
        <w:t>4.卫生健康支出(类)行政事业单位医疗(款)其他行政事业单位医疗支出(项):支出决算数为0.28万元，比上年决算增加0.28万元，增长100.00%,主要原因是：本年功能科目调整，大额医疗保险支出上年度在事业单位医疗科目列支，本年单独列支，导致经费较上年增加。</w:t>
      </w:r>
    </w:p>
    <w:p w14:paraId="015C4E63">
      <w:pPr>
        <w:spacing w:line="580" w:lineRule="exact"/>
        <w:ind w:firstLine="640"/>
        <w:jc w:val="both"/>
      </w:pPr>
      <w:r>
        <w:rPr>
          <w:rFonts w:ascii="仿宋_GB2312" w:hAnsi="仿宋_GB2312" w:eastAsia="仿宋_GB2312"/>
          <w:b w:val="0"/>
          <w:sz w:val="32"/>
        </w:rPr>
        <w:t>5.住房保障支出(类)住房改革支出(款)住房公积金(项):支出决算数为14.10万元，比上年决算增加3.86万元，增长37.70%,主要原因是：本年在职人员增加，人员工资调增，住房公积金支出较上年增加。</w:t>
      </w:r>
    </w:p>
    <w:p w14:paraId="6451B163">
      <w:pPr>
        <w:spacing w:line="640" w:lineRule="exact"/>
        <w:ind w:firstLine="640"/>
        <w:jc w:val="both"/>
        <w:outlineLvl w:val="2"/>
      </w:pPr>
      <w:r>
        <w:rPr>
          <w:rFonts w:ascii="黑体" w:hAnsi="黑体" w:eastAsia="黑体"/>
          <w:sz w:val="32"/>
        </w:rPr>
        <w:t>六、一般公共预算财政拨款基本支出决算情况说明</w:t>
      </w:r>
    </w:p>
    <w:p w14:paraId="195B0AB8">
      <w:pPr>
        <w:spacing w:line="580" w:lineRule="exact"/>
        <w:ind w:firstLine="640"/>
        <w:jc w:val="both"/>
      </w:pPr>
      <w:r>
        <w:rPr>
          <w:rFonts w:ascii="仿宋_GB2312" w:hAnsi="仿宋_GB2312" w:eastAsia="仿宋_GB2312"/>
          <w:b w:val="0"/>
          <w:sz w:val="32"/>
        </w:rPr>
        <w:t>2024年度一般公共预算财政拨款基本支出203.68万元，其中：</w:t>
      </w:r>
      <w:r>
        <w:rPr>
          <w:rFonts w:ascii="仿宋_GB2312" w:hAnsi="仿宋_GB2312" w:eastAsia="仿宋_GB2312"/>
          <w:b/>
          <w:sz w:val="32"/>
        </w:rPr>
        <w:t>人员经费156.11万元，</w:t>
      </w:r>
      <w:r>
        <w:rPr>
          <w:rFonts w:ascii="仿宋_GB2312" w:hAnsi="仿宋_GB2312" w:eastAsia="仿宋_GB2312"/>
          <w:b w:val="0"/>
          <w:sz w:val="32"/>
        </w:rPr>
        <w:t>包括：基本工资、津贴补贴、奖金、伙食补助费、机关事业单位基本养老保险缴费、职工基本医疗保险缴费、其他社会保障缴费、住房公积金。</w:t>
      </w:r>
    </w:p>
    <w:p w14:paraId="283A61B7">
      <w:pPr>
        <w:spacing w:line="580" w:lineRule="exact"/>
        <w:ind w:firstLine="640"/>
        <w:jc w:val="both"/>
      </w:pPr>
      <w:r>
        <w:rPr>
          <w:rFonts w:ascii="仿宋_GB2312" w:hAnsi="仿宋_GB2312" w:eastAsia="仿宋_GB2312"/>
          <w:b/>
          <w:sz w:val="32"/>
        </w:rPr>
        <w:t>公用经费47.57万元，</w:t>
      </w:r>
      <w:r>
        <w:rPr>
          <w:rFonts w:ascii="仿宋_GB2312" w:hAnsi="仿宋_GB2312" w:eastAsia="仿宋_GB2312"/>
          <w:b w:val="0"/>
          <w:sz w:val="32"/>
        </w:rPr>
        <w:t>包括：办公费、水费、电费、邮电费、取暖费、物业管理费、差旅费、劳务费、工会经费、福利费、公务用车运行维护费、其他交通费用。</w:t>
      </w:r>
    </w:p>
    <w:p w14:paraId="34C11149">
      <w:pPr>
        <w:spacing w:line="640" w:lineRule="exact"/>
        <w:ind w:firstLine="640"/>
        <w:jc w:val="both"/>
        <w:outlineLvl w:val="2"/>
      </w:pPr>
      <w:r>
        <w:rPr>
          <w:rFonts w:ascii="黑体" w:hAnsi="黑体" w:eastAsia="黑体"/>
          <w:sz w:val="32"/>
        </w:rPr>
        <w:t>七、政府性基金预算财政拨款收入支出决算情况说明</w:t>
      </w:r>
    </w:p>
    <w:p w14:paraId="2F3F164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6BA23DE">
      <w:pPr>
        <w:spacing w:line="640" w:lineRule="exact"/>
        <w:ind w:firstLine="640"/>
        <w:jc w:val="both"/>
        <w:outlineLvl w:val="2"/>
      </w:pPr>
      <w:r>
        <w:rPr>
          <w:rFonts w:ascii="黑体" w:hAnsi="黑体" w:eastAsia="黑体"/>
          <w:sz w:val="32"/>
        </w:rPr>
        <w:t>八、国有资本经营预算财政拨款收入支出决算情况说明</w:t>
      </w:r>
    </w:p>
    <w:p w14:paraId="27BE816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5B6843A">
      <w:pPr>
        <w:spacing w:line="640" w:lineRule="exact"/>
        <w:ind w:firstLine="640"/>
        <w:jc w:val="both"/>
        <w:outlineLvl w:val="2"/>
      </w:pPr>
      <w:r>
        <w:rPr>
          <w:rFonts w:ascii="黑体" w:hAnsi="黑体" w:eastAsia="黑体"/>
          <w:sz w:val="32"/>
        </w:rPr>
        <w:t>九、财政拨款“三公”经费支出决算情况说明</w:t>
      </w:r>
    </w:p>
    <w:p w14:paraId="04C7237A">
      <w:pPr>
        <w:spacing w:line="580" w:lineRule="exact"/>
        <w:ind w:firstLine="640"/>
        <w:jc w:val="both"/>
      </w:pPr>
      <w:r>
        <w:rPr>
          <w:rFonts w:ascii="仿宋_GB2312" w:hAnsi="仿宋_GB2312" w:eastAsia="仿宋_GB2312"/>
          <w:b/>
          <w:sz w:val="32"/>
        </w:rPr>
        <w:t>2024年度财政拨款“三公”经费支出0.44万元，</w:t>
      </w:r>
      <w:r>
        <w:rPr>
          <w:rFonts w:ascii="仿宋_GB2312" w:hAnsi="仿宋_GB2312" w:eastAsia="仿宋_GB2312"/>
          <w:b w:val="0"/>
          <w:sz w:val="32"/>
        </w:rPr>
        <w:t>比上年减少1.91万元，下降81.28%，主要原因是：严格落实中央八项规定，减少公务用车使用频次，减少公车运行维护费。其中：因公出国（境）费支出0.00万元，占0.00%，比上年增加0.00万元，增长0.00%，主要原因是：2023年与2024年均未安排因公出国（境）费支出。公务用车购置及运行维护费支出0.44万元，占100.00%，比上年减少1.91万元，下降81.28%，主要原因是：严格落实中央八项规定，减少公务用车使用频次，减少公车运行维护费。公务接待费支出0.00万元，占0.00%，比上年增加0.00万元，增长0.00%，主要原因是：2023年与2024年均未安排公务接待费支出。</w:t>
      </w:r>
    </w:p>
    <w:p w14:paraId="5CC2C0A0">
      <w:pPr>
        <w:spacing w:line="580" w:lineRule="exact"/>
        <w:ind w:firstLine="640"/>
        <w:jc w:val="both"/>
      </w:pPr>
      <w:r>
        <w:rPr>
          <w:rFonts w:ascii="仿宋_GB2312" w:hAnsi="仿宋_GB2312" w:eastAsia="仿宋_GB2312"/>
          <w:b/>
          <w:sz w:val="32"/>
        </w:rPr>
        <w:t>具体情况如下：</w:t>
      </w:r>
    </w:p>
    <w:p w14:paraId="4D032F2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36D7A29">
      <w:pPr>
        <w:spacing w:line="580" w:lineRule="exact"/>
        <w:ind w:firstLine="640"/>
        <w:jc w:val="both"/>
      </w:pPr>
      <w:r>
        <w:rPr>
          <w:rFonts w:ascii="仿宋_GB2312" w:hAnsi="仿宋_GB2312" w:eastAsia="仿宋_GB2312"/>
          <w:b w:val="0"/>
          <w:sz w:val="32"/>
        </w:rPr>
        <w:t>公务用车购置及运行维护费0.44万元，其中：公务用车购置费0.00万元，公务用车运行维护费0.44万元。公务用车运行维护费开支内容包括车辆保险费、过路费、维修费。公务用车购置数0辆，公务用车保有量1辆。国有资产占用情况中固定资产车辆1辆，与公务用车保有量差异原因是：本单位固定资产车辆与公务用车保有量一致无差异。</w:t>
      </w:r>
    </w:p>
    <w:p w14:paraId="445F92C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E1ED94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0.44万元，决算数0.44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0.44万元，决算数0.44万元，预决算差异率0.00%，主要原因是：严格按照预算执行，预决算无差异。公务接待费全年预算数0.00万元，决算数0.00万元，预决算差异率0.00%，主要原因是：本单位无公务接待费。</w:t>
      </w:r>
    </w:p>
    <w:p w14:paraId="49EE4707">
      <w:pPr>
        <w:spacing w:line="640" w:lineRule="exact"/>
        <w:ind w:firstLine="640"/>
        <w:jc w:val="both"/>
        <w:outlineLvl w:val="2"/>
      </w:pPr>
      <w:r>
        <w:rPr>
          <w:rFonts w:ascii="黑体" w:hAnsi="黑体" w:eastAsia="黑体"/>
          <w:sz w:val="32"/>
        </w:rPr>
        <w:t>十、其他重要事项的情况说明</w:t>
      </w:r>
    </w:p>
    <w:p w14:paraId="15F81A76">
      <w:pPr>
        <w:spacing w:line="640" w:lineRule="exact"/>
        <w:ind w:firstLine="640"/>
        <w:jc w:val="both"/>
        <w:outlineLvl w:val="3"/>
      </w:pPr>
      <w:r>
        <w:rPr>
          <w:rFonts w:ascii="楷体_GB2312" w:hAnsi="楷体_GB2312" w:eastAsia="楷体_GB2312"/>
          <w:b/>
          <w:sz w:val="32"/>
        </w:rPr>
        <w:t>（一）机关运行经费及公用经费支出情况</w:t>
      </w:r>
    </w:p>
    <w:p w14:paraId="65FBA800">
      <w:pPr>
        <w:spacing w:line="580" w:lineRule="exact"/>
        <w:ind w:firstLine="640"/>
        <w:jc w:val="both"/>
      </w:pPr>
      <w:r>
        <w:rPr>
          <w:rFonts w:ascii="仿宋_GB2312" w:hAnsi="仿宋_GB2312" w:eastAsia="仿宋_GB2312"/>
          <w:b w:val="0"/>
          <w:sz w:val="32"/>
        </w:rPr>
        <w:t>2024年度巴音郭楞蒙古自治州政务服务和公共资源交易中心（事业单位）公用经费支出47.57万元，比上年增加12.14万元，增长34.26%，主要原因是：本年服务业务增加，办公费增加、专家评审费增加，相应公用经费增加。</w:t>
      </w:r>
    </w:p>
    <w:p w14:paraId="2629906C">
      <w:pPr>
        <w:spacing w:line="640" w:lineRule="exact"/>
        <w:ind w:firstLine="640"/>
        <w:jc w:val="both"/>
        <w:outlineLvl w:val="3"/>
      </w:pPr>
      <w:r>
        <w:rPr>
          <w:rFonts w:ascii="楷体_GB2312" w:hAnsi="楷体_GB2312" w:eastAsia="楷体_GB2312"/>
          <w:b/>
          <w:sz w:val="32"/>
        </w:rPr>
        <w:t>（二）政府采购情况</w:t>
      </w:r>
    </w:p>
    <w:p w14:paraId="468986BB">
      <w:pPr>
        <w:spacing w:line="580" w:lineRule="exact"/>
        <w:ind w:firstLine="640"/>
        <w:jc w:val="both"/>
      </w:pPr>
      <w:r>
        <w:rPr>
          <w:rFonts w:ascii="仿宋_GB2312" w:hAnsi="仿宋_GB2312" w:eastAsia="仿宋_GB2312"/>
          <w:b w:val="0"/>
          <w:sz w:val="32"/>
        </w:rPr>
        <w:t>2024年度政府采购支出总额7.95万元，其中：政府采购货物支出7.69万元、政府采购工程支出0.00万元、政府采购服务支出0.26万元。</w:t>
      </w:r>
    </w:p>
    <w:p w14:paraId="3E972978">
      <w:pPr>
        <w:spacing w:line="580" w:lineRule="exact"/>
        <w:ind w:firstLine="640"/>
        <w:jc w:val="both"/>
      </w:pPr>
      <w:r>
        <w:rPr>
          <w:rFonts w:ascii="仿宋_GB2312" w:hAnsi="仿宋_GB2312" w:eastAsia="仿宋_GB2312"/>
          <w:b w:val="0"/>
          <w:sz w:val="32"/>
        </w:rPr>
        <w:t>授予中小企业合同金额7.95万元，占政府采购支出总额的100.00%，其中：授予小微企业合同金额4.77万元，占政府采购支出总额的60.00%。</w:t>
      </w:r>
    </w:p>
    <w:p w14:paraId="626F5BA0">
      <w:pPr>
        <w:spacing w:line="640" w:lineRule="exact"/>
        <w:ind w:firstLine="640"/>
        <w:jc w:val="both"/>
        <w:outlineLvl w:val="3"/>
      </w:pPr>
      <w:r>
        <w:rPr>
          <w:rFonts w:ascii="楷体_GB2312" w:hAnsi="楷体_GB2312" w:eastAsia="楷体_GB2312"/>
          <w:b/>
          <w:sz w:val="32"/>
        </w:rPr>
        <w:t>（三）国有资产占用情况说明</w:t>
      </w:r>
    </w:p>
    <w:p w14:paraId="7FC9EFDB">
      <w:pPr>
        <w:spacing w:line="580" w:lineRule="exact"/>
        <w:ind w:firstLine="640"/>
        <w:jc w:val="both"/>
      </w:pPr>
      <w:r>
        <w:rPr>
          <w:rFonts w:ascii="仿宋_GB2312" w:hAnsi="仿宋_GB2312" w:eastAsia="仿宋_GB2312"/>
          <w:b w:val="0"/>
          <w:sz w:val="32"/>
        </w:rPr>
        <w:t>截至2024年12月31日，房屋0.00平方米，价值0.00万元。车辆1辆，价值15.24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5F46CDCC">
      <w:pPr>
        <w:spacing w:line="640" w:lineRule="exact"/>
        <w:ind w:firstLine="640"/>
        <w:jc w:val="both"/>
        <w:outlineLvl w:val="2"/>
      </w:pPr>
      <w:r>
        <w:rPr>
          <w:rFonts w:ascii="黑体" w:hAnsi="黑体" w:eastAsia="黑体"/>
          <w:sz w:val="32"/>
        </w:rPr>
        <w:t>十一、预算绩效的情况说明</w:t>
      </w:r>
    </w:p>
    <w:p w14:paraId="6249C363">
      <w:pPr>
        <w:spacing w:line="580" w:lineRule="exact"/>
        <w:ind w:firstLine="640"/>
        <w:jc w:val="both"/>
      </w:pPr>
      <w:r>
        <w:rPr>
          <w:rFonts w:ascii="仿宋_GB2312" w:hAnsi="仿宋_GB2312" w:eastAsia="仿宋_GB2312"/>
          <w:b w:val="0"/>
          <w:sz w:val="32"/>
        </w:rPr>
        <w:t>根据预算绩效管理要求，本单位预算绩效评价项目6个，全年预算数311.00万元，全年执行数118.01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大单位各项目负责人员专业能力培训的力度，对绩效自评管理这项工作引起重视，设立定岗定责，要求各庭室建立权界清晰，分工合理，权责一致，协调配合，建立健全监督机制，发现问题及时报告，大胆履职，开展定期或不定期检查，确保绩效自评工作顺利开展。二是严格按照要求对项目资金列入部门预算、进一步规范项目绩效管理工作及时规范收支账务处理和会计核算等工作。确保项目资金合理、高效使用到位。三是深化学习，努力提高思想理论水平，加强事业心和责任感，并坚持理论联系实际，注重学习以致用。具体附项目支出绩效自评表和评价报告。</w:t>
      </w:r>
    </w:p>
    <w:p w14:paraId="3311A5A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7B8E7090">
        <w:tc>
          <w:tcPr>
            <w:tcW w:w="8848" w:type="dxa"/>
            <w:gridSpan w:val="14"/>
            <w:vAlign w:val="center"/>
          </w:tcPr>
          <w:p w14:paraId="488915AE">
            <w:pPr>
              <w:jc w:val="center"/>
            </w:pPr>
            <w:r>
              <w:rPr>
                <w:rFonts w:ascii="宋体" w:hAnsi="宋体" w:eastAsia="宋体"/>
                <w:sz w:val="24"/>
              </w:rPr>
              <w:t>项目支出绩效自评表</w:t>
            </w:r>
          </w:p>
        </w:tc>
      </w:tr>
      <w:tr w14:paraId="2E7A1E3F">
        <w:tblPrEx>
          <w:tblCellMar>
            <w:top w:w="0" w:type="dxa"/>
            <w:left w:w="108" w:type="dxa"/>
            <w:bottom w:w="0" w:type="dxa"/>
            <w:right w:w="108" w:type="dxa"/>
          </w:tblCellMar>
        </w:tblPrEx>
        <w:tc>
          <w:tcPr>
            <w:tcW w:w="8848" w:type="dxa"/>
            <w:gridSpan w:val="14"/>
            <w:vAlign w:val="center"/>
          </w:tcPr>
          <w:p w14:paraId="508A9FBD">
            <w:pPr>
              <w:jc w:val="center"/>
            </w:pPr>
            <w:r>
              <w:rPr>
                <w:rFonts w:ascii="宋体" w:hAnsi="宋体" w:eastAsia="宋体"/>
                <w:sz w:val="24"/>
              </w:rPr>
              <w:t>(2024年度)</w:t>
            </w:r>
          </w:p>
        </w:tc>
      </w:tr>
      <w:tr w14:paraId="594131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B5B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FE88CC">
            <w:pPr>
              <w:jc w:val="center"/>
            </w:pPr>
            <w:r>
              <w:rPr>
                <w:rFonts w:ascii="宋体" w:hAnsi="宋体" w:eastAsia="宋体"/>
                <w:sz w:val="16"/>
              </w:rPr>
              <w:t>2024年运转保障项目</w:t>
            </w:r>
          </w:p>
        </w:tc>
      </w:tr>
      <w:tr w14:paraId="76E0FC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5C62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BA6C56">
            <w:pPr>
              <w:jc w:val="center"/>
            </w:pPr>
            <w:r>
              <w:rPr>
                <w:rFonts w:ascii="宋体" w:hAnsi="宋体" w:eastAsia="宋体"/>
                <w:sz w:val="16"/>
              </w:rPr>
              <w:t>巴音郭楞蒙古自治州政务服务和公共资源交易中心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7A1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1AEED2">
            <w:pPr>
              <w:jc w:val="center"/>
            </w:pPr>
            <w:r>
              <w:rPr>
                <w:rFonts w:ascii="宋体" w:hAnsi="宋体" w:eastAsia="宋体"/>
                <w:sz w:val="16"/>
              </w:rPr>
              <w:t>巴音郭楞蒙古自治州政务服务和公共资源交易中心</w:t>
            </w:r>
          </w:p>
        </w:tc>
      </w:tr>
      <w:tr w14:paraId="4A4B1F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55E5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B3F1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E7B8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B4D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B532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3E16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3EF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38851">
            <w:pPr>
              <w:jc w:val="center"/>
            </w:pPr>
            <w:r>
              <w:rPr>
                <w:rFonts w:ascii="宋体" w:hAnsi="宋体" w:eastAsia="宋体"/>
                <w:sz w:val="16"/>
              </w:rPr>
              <w:t>得分</w:t>
            </w:r>
          </w:p>
        </w:tc>
      </w:tr>
      <w:tr w14:paraId="57A0E7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F8725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CAE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DBB18">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117DB">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5FDB7">
            <w:pPr>
              <w:jc w:val="center"/>
            </w:pPr>
            <w:r>
              <w:rPr>
                <w:rFonts w:ascii="宋体" w:hAnsi="宋体" w:eastAsia="宋体"/>
                <w:sz w:val="16"/>
              </w:rPr>
              <w:t>32.02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A2E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8A7E4">
            <w:pPr>
              <w:jc w:val="center"/>
            </w:pPr>
            <w:r>
              <w:rPr>
                <w:rFonts w:ascii="宋体" w:hAnsi="宋体" w:eastAsia="宋体"/>
                <w:sz w:val="16"/>
              </w:rPr>
              <w:t>80.05%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567F">
            <w:pPr>
              <w:jc w:val="center"/>
            </w:pPr>
            <w:r>
              <w:rPr>
                <w:rFonts w:ascii="宋体" w:hAnsi="宋体" w:eastAsia="宋体"/>
                <w:sz w:val="16"/>
              </w:rPr>
              <w:t>5.01</w:t>
            </w:r>
          </w:p>
        </w:tc>
      </w:tr>
      <w:tr w14:paraId="38E014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0AF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E342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CE5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65A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BDC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87B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3D9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0CE6">
            <w:pPr>
              <w:jc w:val="center"/>
            </w:pPr>
            <w:r>
              <w:rPr>
                <w:rFonts w:ascii="宋体" w:hAnsi="宋体" w:eastAsia="宋体"/>
                <w:sz w:val="16"/>
              </w:rPr>
              <w:t>-</w:t>
            </w:r>
          </w:p>
        </w:tc>
      </w:tr>
      <w:tr w14:paraId="31F593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B6E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B8E8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7F548">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7CCBB">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CC08A">
            <w:pPr>
              <w:jc w:val="center"/>
            </w:pPr>
            <w:r>
              <w:rPr>
                <w:rFonts w:ascii="宋体" w:hAnsi="宋体" w:eastAsia="宋体"/>
                <w:sz w:val="16"/>
              </w:rPr>
              <w:t>32.02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1A8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289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A8ED">
            <w:pPr>
              <w:jc w:val="center"/>
            </w:pPr>
            <w:r>
              <w:rPr>
                <w:rFonts w:ascii="宋体" w:hAnsi="宋体" w:eastAsia="宋体"/>
                <w:sz w:val="16"/>
              </w:rPr>
              <w:t>-</w:t>
            </w:r>
          </w:p>
        </w:tc>
      </w:tr>
      <w:tr w14:paraId="713886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F5D7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8DACB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766AA6">
            <w:pPr>
              <w:jc w:val="center"/>
            </w:pPr>
            <w:r>
              <w:rPr>
                <w:rFonts w:ascii="宋体" w:hAnsi="宋体" w:eastAsia="宋体"/>
                <w:sz w:val="16"/>
              </w:rPr>
              <w:t>总体目标完成情况</w:t>
            </w:r>
          </w:p>
        </w:tc>
      </w:tr>
      <w:tr w14:paraId="5957F1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219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945E0B">
            <w:pPr>
              <w:jc w:val="both"/>
            </w:pPr>
            <w:r>
              <w:rPr>
                <w:rFonts w:ascii="宋体" w:hAnsi="宋体" w:eastAsia="宋体"/>
                <w:sz w:val="16"/>
              </w:rPr>
              <w:t>依据历史支付资料及结合中心工作。按照建设廉洁、高效、务实、便民的要求，坚持科学统筹、突出重点、量入为出、略有结余的原则，统筹兼顾地安排好各项经费，为中心正常运转和各项事业发展提供保障。及时发放丧葬费、抚恤金；保安摊派费及电路改造费，预算资金40万元，支付丧葬费、抚恤金11万元；保安摊派费12万元及电路改造费17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CBE0E9">
            <w:pPr>
              <w:jc w:val="both"/>
            </w:pPr>
            <w:r>
              <w:rPr>
                <w:rFonts w:ascii="宋体" w:hAnsi="宋体" w:eastAsia="宋体"/>
                <w:sz w:val="16"/>
              </w:rPr>
              <w:t>2024年度使用自有资金32.02万元，完成1人丧葬费发放、2022年-2023年保安费分摊及5层6层11层电路改造，达到科学统筹、略有结余的原则。</w:t>
            </w:r>
          </w:p>
        </w:tc>
      </w:tr>
      <w:tr w14:paraId="002147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A8D9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2A76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6AD2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4BD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703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92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D30A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951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EB7B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27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429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0DF2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ED03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F4D4E">
            <w:pPr>
              <w:jc w:val="center"/>
            </w:pPr>
            <w:r>
              <w:rPr>
                <w:rFonts w:ascii="宋体" w:hAnsi="宋体" w:eastAsia="宋体"/>
                <w:sz w:val="16"/>
              </w:rPr>
              <w:t>偏差原因分析及改进措施</w:t>
            </w:r>
          </w:p>
        </w:tc>
      </w:tr>
      <w:tr w14:paraId="4FCE18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91D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0C4B5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1A4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9A1D4">
            <w:pPr>
              <w:jc w:val="center"/>
            </w:pPr>
            <w:r>
              <w:rPr>
                <w:rFonts w:ascii="宋体" w:hAnsi="宋体" w:eastAsia="宋体"/>
                <w:sz w:val="16"/>
              </w:rPr>
              <w:t>保障发放丧葬费人数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4A21">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DC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2EF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69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51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77B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9651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A2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E86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CA518">
            <w:pPr>
              <w:jc w:val="center"/>
            </w:pPr>
          </w:p>
        </w:tc>
      </w:tr>
      <w:tr w14:paraId="3092EC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E3A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BCC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E3D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C915">
            <w:pPr>
              <w:jc w:val="center"/>
            </w:pPr>
            <w:r>
              <w:rPr>
                <w:rFonts w:ascii="宋体" w:hAnsi="宋体" w:eastAsia="宋体"/>
                <w:sz w:val="16"/>
              </w:rPr>
              <w:t>保安分摊费涉及年度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E32E">
            <w:pPr>
              <w:jc w:val="center"/>
            </w:pPr>
            <w:r>
              <w:rPr>
                <w:rFonts w:ascii="宋体" w:hAnsi="宋体" w:eastAsia="宋体"/>
                <w:sz w:val="16"/>
              </w:rPr>
              <w:t>&gt;=2年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AB7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93D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858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EF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E54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520E">
            <w:pPr>
              <w:jc w:val="center"/>
            </w:pPr>
            <w:r>
              <w:rPr>
                <w:rFonts w:ascii="宋体" w:hAnsi="宋体" w:eastAsia="宋体"/>
                <w:sz w:val="16"/>
              </w:rPr>
              <w:t>=2年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658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1B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3E1E">
            <w:pPr>
              <w:jc w:val="center"/>
            </w:pPr>
          </w:p>
        </w:tc>
      </w:tr>
      <w:tr w14:paraId="58D999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B04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79A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F09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54A89">
            <w:pPr>
              <w:jc w:val="center"/>
            </w:pPr>
            <w:r>
              <w:rPr>
                <w:rFonts w:ascii="宋体" w:hAnsi="宋体" w:eastAsia="宋体"/>
                <w:sz w:val="16"/>
              </w:rPr>
              <w:t>线路改造楼层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ADE2B">
            <w:pPr>
              <w:jc w:val="center"/>
            </w:pPr>
            <w:r>
              <w:rPr>
                <w:rFonts w:ascii="宋体" w:hAnsi="宋体" w:eastAsia="宋体"/>
                <w:sz w:val="16"/>
              </w:rPr>
              <w:t>&gt;=3层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08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5E4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5BC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250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8B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60FE">
            <w:pPr>
              <w:jc w:val="center"/>
            </w:pPr>
            <w:r>
              <w:rPr>
                <w:rFonts w:ascii="宋体" w:hAnsi="宋体" w:eastAsia="宋体"/>
                <w:sz w:val="16"/>
              </w:rPr>
              <w:t>=3层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68F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239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E711">
            <w:pPr>
              <w:jc w:val="center"/>
            </w:pPr>
          </w:p>
        </w:tc>
      </w:tr>
      <w:tr w14:paraId="256A39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6AB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B1E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D182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9C14A">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9F48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1E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42B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E9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24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86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22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3D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6F0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58808">
            <w:pPr>
              <w:jc w:val="center"/>
            </w:pPr>
            <w:r>
              <w:rPr>
                <w:rFonts w:ascii="宋体" w:hAnsi="宋体" w:eastAsia="宋体"/>
                <w:sz w:val="16"/>
              </w:rPr>
              <w:t>改造装修工程待验收后于次年支付，导致实际支付较预算偏差较大</w:t>
            </w:r>
          </w:p>
        </w:tc>
      </w:tr>
      <w:tr w14:paraId="690907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FB2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1F7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CD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B767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9D1E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5C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B2F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418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39B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D9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1CC6C">
            <w:pPr>
              <w:jc w:val="center"/>
            </w:pPr>
            <w:r>
              <w:rPr>
                <w:rFonts w:ascii="宋体" w:hAnsi="宋体" w:eastAsia="宋体"/>
                <w:sz w:val="16"/>
              </w:rPr>
              <w:t>=80.05%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C9796">
            <w:pPr>
              <w:jc w:val="center"/>
            </w:pPr>
            <w:r>
              <w:rPr>
                <w:rFonts w:ascii="宋体" w:hAnsi="宋体" w:eastAsia="宋体"/>
                <w:sz w:val="16"/>
              </w:rPr>
              <w:t>88.94%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BC602">
            <w:pPr>
              <w:jc w:val="center"/>
            </w:pPr>
            <w:r>
              <w:rPr>
                <w:rFonts w:ascii="宋体" w:hAnsi="宋体" w:eastAsia="宋体"/>
                <w:sz w:val="16"/>
              </w:rPr>
              <w:t>3.62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F3683">
            <w:pPr>
              <w:jc w:val="center"/>
            </w:pPr>
            <w:r>
              <w:rPr>
                <w:rFonts w:ascii="宋体" w:hAnsi="宋体" w:eastAsia="宋体"/>
                <w:sz w:val="16"/>
              </w:rPr>
              <w:t>改造装修工程待验收后于次年支付，导致实际支付较预算偏差较大</w:t>
            </w:r>
            <w:r>
              <w:rPr>
                <w:rFonts w:hint="eastAsia" w:ascii="宋体" w:hAnsi="宋体"/>
                <w:sz w:val="16"/>
                <w:lang w:eastAsia="zh-CN"/>
              </w:rPr>
              <w:t>。</w:t>
            </w:r>
            <w:r>
              <w:rPr>
                <w:rFonts w:ascii="宋体" w:hAnsi="宋体" w:eastAsia="宋体"/>
                <w:sz w:val="16"/>
              </w:rPr>
              <w:t>改进措施：加强预算编报水平，使预算更精准、更科学</w:t>
            </w:r>
          </w:p>
        </w:tc>
      </w:tr>
      <w:tr w14:paraId="43606C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CF9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F42C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5A89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CEA4D">
            <w:pPr>
              <w:jc w:val="center"/>
            </w:pPr>
            <w:r>
              <w:rPr>
                <w:rFonts w:ascii="宋体" w:hAnsi="宋体" w:eastAsia="宋体"/>
                <w:sz w:val="16"/>
              </w:rPr>
              <w:t>丧葬费及抚恤金发放金额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7A55">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0C3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754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1EE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D5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65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96A3">
            <w:pPr>
              <w:jc w:val="center"/>
            </w:pPr>
            <w:r>
              <w:rPr>
                <w:rFonts w:ascii="宋体" w:hAnsi="宋体" w:eastAsia="宋体"/>
                <w:sz w:val="16"/>
              </w:rPr>
              <w:t>=11.37万元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464D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DA1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77A2">
            <w:pPr>
              <w:jc w:val="center"/>
            </w:pPr>
            <w:r>
              <w:rPr>
                <w:rFonts w:ascii="宋体" w:hAnsi="宋体" w:eastAsia="宋体"/>
                <w:sz w:val="16"/>
              </w:rPr>
              <w:t>去世职工为高级技工，预算不足。改进措施，加强预算编报水平，使预算更合理科学。</w:t>
            </w:r>
          </w:p>
        </w:tc>
      </w:tr>
      <w:tr w14:paraId="7247A9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733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A1E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87C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8E298">
            <w:pPr>
              <w:jc w:val="center"/>
            </w:pPr>
            <w:r>
              <w:rPr>
                <w:rFonts w:ascii="宋体" w:hAnsi="宋体" w:eastAsia="宋体"/>
                <w:sz w:val="16"/>
              </w:rPr>
              <w:t>保安费摊派金额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A880">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F3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4D2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234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DB5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A3B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9B770">
            <w:pPr>
              <w:jc w:val="center"/>
            </w:pPr>
            <w:r>
              <w:rPr>
                <w:rFonts w:ascii="宋体" w:hAnsi="宋体" w:eastAsia="宋体"/>
                <w:sz w:val="16"/>
              </w:rPr>
              <w:t>=12.01万元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D01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7EE8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E5000">
            <w:pPr>
              <w:jc w:val="center"/>
            </w:pPr>
            <w:r>
              <w:rPr>
                <w:rFonts w:ascii="宋体" w:hAnsi="宋体" w:eastAsia="宋体"/>
                <w:sz w:val="16"/>
              </w:rPr>
              <w:t>涉及摊派年限长单位多，导致预算资金不足。改进措施，加强预算编报水平，使预算更合理科学。</w:t>
            </w:r>
          </w:p>
        </w:tc>
      </w:tr>
      <w:tr w14:paraId="07321A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F68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504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092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55C9D">
            <w:pPr>
              <w:jc w:val="center"/>
            </w:pPr>
            <w:r>
              <w:rPr>
                <w:rFonts w:ascii="宋体" w:hAnsi="宋体" w:eastAsia="宋体"/>
                <w:sz w:val="16"/>
              </w:rPr>
              <w:t>线路改造费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6F49F">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849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30C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121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EE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67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210F">
            <w:pPr>
              <w:jc w:val="center"/>
            </w:pPr>
            <w:r>
              <w:rPr>
                <w:rFonts w:ascii="宋体" w:hAnsi="宋体" w:eastAsia="宋体"/>
                <w:sz w:val="16"/>
              </w:rPr>
              <w:t>=8.64万元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3FFE">
            <w:pPr>
              <w:jc w:val="center"/>
            </w:pPr>
            <w:r>
              <w:rPr>
                <w:rFonts w:ascii="宋体" w:hAnsi="宋体" w:eastAsia="宋体"/>
                <w:sz w:val="16"/>
              </w:rPr>
              <w:t>50.82%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6BE8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BD2C">
            <w:pPr>
              <w:jc w:val="center"/>
            </w:pPr>
            <w:r>
              <w:rPr>
                <w:rFonts w:ascii="宋体" w:hAnsi="宋体" w:eastAsia="宋体"/>
                <w:sz w:val="16"/>
              </w:rPr>
              <w:t>改造装修工程待验收后于次年支付，导致实际支付较预算偏差较大。改进措施：加强支付进度及预算编报水平。</w:t>
            </w:r>
          </w:p>
        </w:tc>
      </w:tr>
      <w:tr w14:paraId="58276C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321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4DC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F2C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9809F">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9CB0">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5D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88E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A3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DDA8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B2E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2FC87">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A1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D6A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5F4D3">
            <w:pPr>
              <w:jc w:val="center"/>
            </w:pPr>
          </w:p>
        </w:tc>
      </w:tr>
      <w:tr w14:paraId="2CFA85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419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0E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990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B598F">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E51D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13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371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D5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51E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0E3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58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A4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09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A0043">
            <w:pPr>
              <w:jc w:val="center"/>
            </w:pPr>
          </w:p>
        </w:tc>
      </w:tr>
      <w:tr w14:paraId="55C27E6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72347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B7DD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3703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19E6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0F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CEB2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B817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BFA0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6169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6668">
            <w:pPr>
              <w:jc w:val="center"/>
            </w:pPr>
            <w:r>
              <w:rPr>
                <w:rFonts w:ascii="宋体" w:hAnsi="宋体" w:eastAsia="宋体"/>
                <w:sz w:val="16"/>
              </w:rPr>
              <w:t>73.63分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B44D9E"/>
        </w:tc>
      </w:tr>
    </w:tbl>
    <w:p w14:paraId="2092C93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1D2079F9">
        <w:tblPrEx>
          <w:tblCellMar>
            <w:top w:w="0" w:type="dxa"/>
            <w:left w:w="108" w:type="dxa"/>
            <w:bottom w:w="0" w:type="dxa"/>
            <w:right w:w="108" w:type="dxa"/>
          </w:tblCellMar>
        </w:tblPrEx>
        <w:tc>
          <w:tcPr>
            <w:tcW w:w="8848" w:type="dxa"/>
            <w:gridSpan w:val="14"/>
            <w:vAlign w:val="center"/>
          </w:tcPr>
          <w:p w14:paraId="6A9AA0A9">
            <w:pPr>
              <w:jc w:val="center"/>
            </w:pPr>
            <w:r>
              <w:rPr>
                <w:rFonts w:ascii="宋体" w:hAnsi="宋体" w:eastAsia="宋体"/>
                <w:sz w:val="24"/>
              </w:rPr>
              <w:t>项目支出绩效自评表</w:t>
            </w:r>
          </w:p>
        </w:tc>
      </w:tr>
      <w:tr w14:paraId="53A4950D">
        <w:tblPrEx>
          <w:tblCellMar>
            <w:top w:w="0" w:type="dxa"/>
            <w:left w:w="108" w:type="dxa"/>
            <w:bottom w:w="0" w:type="dxa"/>
            <w:right w:w="108" w:type="dxa"/>
          </w:tblCellMar>
        </w:tblPrEx>
        <w:tc>
          <w:tcPr>
            <w:tcW w:w="8848" w:type="dxa"/>
            <w:gridSpan w:val="14"/>
            <w:vAlign w:val="center"/>
          </w:tcPr>
          <w:p w14:paraId="3A8B9EE0">
            <w:pPr>
              <w:jc w:val="center"/>
            </w:pPr>
            <w:r>
              <w:rPr>
                <w:rFonts w:ascii="宋体" w:hAnsi="宋体" w:eastAsia="宋体"/>
                <w:sz w:val="24"/>
              </w:rPr>
              <w:t>(2024年度)</w:t>
            </w:r>
          </w:p>
        </w:tc>
      </w:tr>
      <w:tr w14:paraId="70B5C2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26C8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090FD8">
            <w:pPr>
              <w:jc w:val="center"/>
            </w:pPr>
            <w:r>
              <w:rPr>
                <w:rFonts w:ascii="宋体" w:hAnsi="宋体" w:eastAsia="宋体"/>
                <w:sz w:val="16"/>
              </w:rPr>
              <w:t>专家评审费</w:t>
            </w:r>
          </w:p>
        </w:tc>
      </w:tr>
      <w:tr w14:paraId="181FC9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22E1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219DF2">
            <w:pPr>
              <w:jc w:val="center"/>
            </w:pPr>
            <w:r>
              <w:rPr>
                <w:rFonts w:ascii="宋体" w:hAnsi="宋体" w:eastAsia="宋体"/>
                <w:sz w:val="16"/>
              </w:rPr>
              <w:t>巴音郭楞蒙古自治州政务服务和公共资源交易中心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13D5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0DF144">
            <w:pPr>
              <w:jc w:val="center"/>
            </w:pPr>
            <w:r>
              <w:rPr>
                <w:rFonts w:ascii="宋体" w:hAnsi="宋体" w:eastAsia="宋体"/>
                <w:sz w:val="16"/>
              </w:rPr>
              <w:t>巴音郭楞蒙古自治州政务服务和公共资源交易中心</w:t>
            </w:r>
          </w:p>
        </w:tc>
      </w:tr>
      <w:tr w14:paraId="719713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97B4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8F8F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FDA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FF6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888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F9BA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5AD0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5BE1">
            <w:pPr>
              <w:jc w:val="center"/>
            </w:pPr>
            <w:r>
              <w:rPr>
                <w:rFonts w:ascii="宋体" w:hAnsi="宋体" w:eastAsia="宋体"/>
                <w:sz w:val="16"/>
              </w:rPr>
              <w:t>得分</w:t>
            </w:r>
          </w:p>
        </w:tc>
      </w:tr>
      <w:tr w14:paraId="21CF9B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23C2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72F6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9DBC8">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6E330">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0A6DA">
            <w:pPr>
              <w:jc w:val="center"/>
            </w:pPr>
            <w:r>
              <w:rPr>
                <w:rFonts w:ascii="宋体" w:hAnsi="宋体" w:eastAsia="宋体"/>
                <w:sz w:val="16"/>
              </w:rPr>
              <w:t>4.07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521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76CE9">
            <w:pPr>
              <w:jc w:val="center"/>
            </w:pPr>
            <w:r>
              <w:rPr>
                <w:rFonts w:ascii="宋体" w:hAnsi="宋体" w:eastAsia="宋体"/>
                <w:sz w:val="16"/>
              </w:rPr>
              <w:t>67.83%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1CFA4">
            <w:pPr>
              <w:jc w:val="center"/>
            </w:pPr>
            <w:r>
              <w:rPr>
                <w:rFonts w:ascii="宋体" w:hAnsi="宋体" w:eastAsia="宋体"/>
                <w:sz w:val="16"/>
              </w:rPr>
              <w:t>1.96</w:t>
            </w:r>
          </w:p>
        </w:tc>
      </w:tr>
      <w:tr w14:paraId="1B7C39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8D4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56FE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55D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9A0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DE6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F6C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29E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FF19F">
            <w:pPr>
              <w:jc w:val="center"/>
            </w:pPr>
            <w:r>
              <w:rPr>
                <w:rFonts w:ascii="宋体" w:hAnsi="宋体" w:eastAsia="宋体"/>
                <w:sz w:val="16"/>
              </w:rPr>
              <w:t>-</w:t>
            </w:r>
          </w:p>
        </w:tc>
      </w:tr>
      <w:tr w14:paraId="20904F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2C1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4F6E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AA058">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D1DC2">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9A5B9">
            <w:pPr>
              <w:jc w:val="center"/>
            </w:pPr>
            <w:r>
              <w:rPr>
                <w:rFonts w:ascii="宋体" w:hAnsi="宋体" w:eastAsia="宋体"/>
                <w:sz w:val="16"/>
              </w:rPr>
              <w:t>4.07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3D8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3C8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D793">
            <w:pPr>
              <w:jc w:val="center"/>
            </w:pPr>
            <w:r>
              <w:rPr>
                <w:rFonts w:ascii="宋体" w:hAnsi="宋体" w:eastAsia="宋体"/>
                <w:sz w:val="16"/>
              </w:rPr>
              <w:t>-</w:t>
            </w:r>
          </w:p>
        </w:tc>
      </w:tr>
      <w:tr w14:paraId="1AEF5B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9A57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574EA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434988">
            <w:pPr>
              <w:jc w:val="center"/>
            </w:pPr>
            <w:r>
              <w:rPr>
                <w:rFonts w:ascii="宋体" w:hAnsi="宋体" w:eastAsia="宋体"/>
                <w:sz w:val="16"/>
              </w:rPr>
              <w:t>总体目标完成情况</w:t>
            </w:r>
          </w:p>
        </w:tc>
      </w:tr>
      <w:tr w14:paraId="056DF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6CC6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85970A">
            <w:pPr>
              <w:jc w:val="both"/>
            </w:pPr>
            <w:r>
              <w:rPr>
                <w:rFonts w:ascii="宋体" w:hAnsi="宋体" w:eastAsia="宋体"/>
                <w:sz w:val="16"/>
              </w:rPr>
              <w:t>根据新财购</w:t>
            </w:r>
            <w:r>
              <w:rPr>
                <w:rFonts w:hint="eastAsia" w:ascii="宋体" w:hAnsi="宋体"/>
                <w:sz w:val="16"/>
                <w:lang w:eastAsia="zh-CN"/>
              </w:rPr>
              <w:t>〔2015〕26号</w:t>
            </w:r>
            <w:r>
              <w:rPr>
                <w:rFonts w:ascii="宋体" w:hAnsi="宋体" w:eastAsia="宋体"/>
                <w:sz w:val="16"/>
              </w:rPr>
              <w:t>和巴财购</w:t>
            </w:r>
            <w:r>
              <w:rPr>
                <w:rFonts w:hint="eastAsia" w:ascii="宋体" w:hAnsi="宋体"/>
                <w:sz w:val="16"/>
                <w:lang w:eastAsia="zh-CN"/>
              </w:rPr>
              <w:t>〔2018〕6号</w:t>
            </w:r>
            <w:r>
              <w:rPr>
                <w:rFonts w:ascii="宋体" w:hAnsi="宋体" w:eastAsia="宋体"/>
                <w:sz w:val="16"/>
              </w:rPr>
              <w:t>文件精神。2024年追加6万元专家评审费资金，预计聘请150人，人均400元，待项目结束后及时、足额支付费用。从而不断提升评审专家满意度。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CE87B0">
            <w:pPr>
              <w:jc w:val="both"/>
            </w:pPr>
            <w:r>
              <w:rPr>
                <w:rFonts w:ascii="宋体" w:hAnsi="宋体" w:eastAsia="宋体"/>
                <w:sz w:val="16"/>
              </w:rPr>
              <w:t>2024年度使用自有资金4.0723万元，完成聘请人员115人，人均评审费354.11元，保障项目结束后及时、足额支付费用。从而不断提升评审专家满意度。</w:t>
            </w:r>
          </w:p>
        </w:tc>
      </w:tr>
      <w:tr w14:paraId="6B3965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F521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16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8C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ABF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F04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03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2ADC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11BC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B88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7FC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D003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D0F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9ED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15C9">
            <w:pPr>
              <w:jc w:val="center"/>
            </w:pPr>
            <w:r>
              <w:rPr>
                <w:rFonts w:ascii="宋体" w:hAnsi="宋体" w:eastAsia="宋体"/>
                <w:sz w:val="16"/>
              </w:rPr>
              <w:t>偏差原因分析及改进措施</w:t>
            </w:r>
          </w:p>
        </w:tc>
      </w:tr>
      <w:tr w14:paraId="4EB901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BDD2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D3DB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FD9F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F4C5E">
            <w:pPr>
              <w:jc w:val="center"/>
            </w:pPr>
            <w:r>
              <w:rPr>
                <w:rFonts w:ascii="宋体" w:hAnsi="宋体" w:eastAsia="宋体"/>
                <w:sz w:val="16"/>
              </w:rPr>
              <w:t>聘请专家人数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778CD">
            <w:pPr>
              <w:jc w:val="center"/>
            </w:pPr>
            <w:r>
              <w:rPr>
                <w:rFonts w:ascii="宋体" w:hAnsi="宋体" w:eastAsia="宋体"/>
                <w:sz w:val="16"/>
              </w:rPr>
              <w:t>&gt;=150人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7D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81F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46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D0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AC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1EEC7">
            <w:pPr>
              <w:jc w:val="center"/>
            </w:pPr>
            <w:r>
              <w:rPr>
                <w:rFonts w:ascii="宋体" w:hAnsi="宋体" w:eastAsia="宋体"/>
                <w:sz w:val="16"/>
              </w:rPr>
              <w:t>=115人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4A4C3">
            <w:pPr>
              <w:jc w:val="center"/>
            </w:pPr>
            <w:r>
              <w:rPr>
                <w:rFonts w:ascii="宋体" w:hAnsi="宋体" w:eastAsia="宋体"/>
                <w:sz w:val="16"/>
              </w:rPr>
              <w:t>76.67%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F2C56">
            <w:pPr>
              <w:jc w:val="center"/>
            </w:pPr>
            <w:r>
              <w:rPr>
                <w:rFonts w:ascii="宋体" w:hAnsi="宋体" w:eastAsia="宋体"/>
                <w:sz w:val="16"/>
              </w:rPr>
              <w:t>4.17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E00A">
            <w:pPr>
              <w:jc w:val="center"/>
            </w:pPr>
            <w:r>
              <w:rPr>
                <w:rFonts w:ascii="宋体" w:hAnsi="宋体" w:eastAsia="宋体"/>
                <w:sz w:val="16"/>
              </w:rPr>
              <w:t>引入新业务，宣传力度不够，导致交易量不多，聘请人员不足。改进措施：加大业务宣传力度，提升业务量。</w:t>
            </w:r>
          </w:p>
        </w:tc>
      </w:tr>
      <w:tr w14:paraId="758B2E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C4C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987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015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5B6BE">
            <w:pPr>
              <w:jc w:val="center"/>
            </w:pPr>
            <w:r>
              <w:rPr>
                <w:rFonts w:ascii="宋体" w:hAnsi="宋体" w:eastAsia="宋体"/>
                <w:sz w:val="16"/>
              </w:rPr>
              <w:t>评审资金使用率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CBE8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9AB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AC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CD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EF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D8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8A97D">
            <w:pPr>
              <w:jc w:val="center"/>
            </w:pPr>
            <w:r>
              <w:rPr>
                <w:rFonts w:ascii="宋体" w:hAnsi="宋体" w:eastAsia="宋体"/>
                <w:sz w:val="16"/>
              </w:rPr>
              <w:t>=67.83%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2FA9">
            <w:pPr>
              <w:jc w:val="center"/>
            </w:pPr>
            <w:r>
              <w:rPr>
                <w:rFonts w:ascii="宋体" w:hAnsi="宋体" w:eastAsia="宋体"/>
                <w:sz w:val="16"/>
              </w:rPr>
              <w:t>75.37%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9CEA">
            <w:pPr>
              <w:jc w:val="center"/>
            </w:pPr>
            <w:r>
              <w:rPr>
                <w:rFonts w:ascii="宋体" w:hAnsi="宋体" w:eastAsia="宋体"/>
                <w:sz w:val="16"/>
              </w:rPr>
              <w:t>3.84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19718">
            <w:pPr>
              <w:jc w:val="center"/>
            </w:pPr>
            <w:r>
              <w:rPr>
                <w:rFonts w:ascii="宋体" w:hAnsi="宋体" w:eastAsia="宋体"/>
                <w:sz w:val="16"/>
              </w:rPr>
              <w:t>引入新业务，宣传力度不够，导致交易量不多，资金使用率不足。改进措施：加大业务宣传力度，提升业务量。</w:t>
            </w:r>
          </w:p>
        </w:tc>
      </w:tr>
      <w:tr w14:paraId="718B50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05E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374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16AD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BF60C">
            <w:pPr>
              <w:jc w:val="center"/>
            </w:pPr>
            <w:r>
              <w:rPr>
                <w:rFonts w:ascii="宋体" w:hAnsi="宋体" w:eastAsia="宋体"/>
                <w:sz w:val="16"/>
              </w:rPr>
              <w:t>专家评审费支付及时率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1DDC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B7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63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FCF2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51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7D9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CDB6">
            <w:pPr>
              <w:jc w:val="center"/>
            </w:pPr>
            <w:r>
              <w:rPr>
                <w:rFonts w:ascii="宋体" w:hAnsi="宋体" w:eastAsia="宋体"/>
                <w:sz w:val="16"/>
              </w:rPr>
              <w:t>=88.53%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A887A">
            <w:pPr>
              <w:jc w:val="center"/>
            </w:pPr>
            <w:r>
              <w:rPr>
                <w:rFonts w:ascii="宋体" w:hAnsi="宋体" w:eastAsia="宋体"/>
                <w:sz w:val="16"/>
              </w:rPr>
              <w:t>98.37%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1840">
            <w:pPr>
              <w:jc w:val="center"/>
            </w:pPr>
            <w:r>
              <w:rPr>
                <w:rFonts w:ascii="宋体" w:hAnsi="宋体" w:eastAsia="宋体"/>
                <w:sz w:val="16"/>
              </w:rPr>
              <w:t>19.19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1049E">
            <w:pPr>
              <w:jc w:val="center"/>
            </w:pPr>
            <w:r>
              <w:rPr>
                <w:rFonts w:ascii="宋体" w:hAnsi="宋体" w:eastAsia="宋体"/>
                <w:sz w:val="16"/>
              </w:rPr>
              <w:t>引入新业务，宣传力度不够，导致交易量不多，资金支付及时率不足。改进措施：加大业务宣传力度，提升业务量，加大支付及时率。</w:t>
            </w:r>
          </w:p>
        </w:tc>
      </w:tr>
      <w:tr w14:paraId="605A15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E0A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695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5D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EA26">
            <w:pPr>
              <w:jc w:val="center"/>
            </w:pPr>
            <w:r>
              <w:rPr>
                <w:rFonts w:ascii="宋体" w:hAnsi="宋体" w:eastAsia="宋体"/>
                <w:sz w:val="16"/>
              </w:rPr>
              <w:t>人均评审费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FB0B8">
            <w:pPr>
              <w:jc w:val="center"/>
            </w:pPr>
            <w:r>
              <w:rPr>
                <w:rFonts w:ascii="宋体" w:hAnsi="宋体" w:eastAsia="宋体"/>
                <w:sz w:val="16"/>
              </w:rPr>
              <w:t>&lt;=400元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3E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D2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110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046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D31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334B">
            <w:pPr>
              <w:jc w:val="center"/>
            </w:pPr>
            <w:r>
              <w:rPr>
                <w:rFonts w:ascii="宋体" w:hAnsi="宋体" w:eastAsia="宋体"/>
                <w:sz w:val="16"/>
              </w:rPr>
              <w:t>=354.11元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56AA">
            <w:pPr>
              <w:jc w:val="center"/>
            </w:pPr>
            <w:r>
              <w:rPr>
                <w:rFonts w:ascii="宋体" w:hAnsi="宋体" w:eastAsia="宋体"/>
                <w:sz w:val="16"/>
              </w:rPr>
              <w:t>88.53%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BE399">
            <w:pPr>
              <w:jc w:val="center"/>
            </w:pPr>
            <w:r>
              <w:rPr>
                <w:rFonts w:ascii="宋体" w:hAnsi="宋体" w:eastAsia="宋体"/>
                <w:sz w:val="16"/>
              </w:rPr>
              <w:t>14.27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FD17">
            <w:pPr>
              <w:jc w:val="center"/>
            </w:pPr>
            <w:r>
              <w:rPr>
                <w:rFonts w:ascii="宋体" w:hAnsi="宋体" w:eastAsia="宋体"/>
                <w:sz w:val="16"/>
              </w:rPr>
              <w:t>引入新业务，宣传力度不够，导致交易量不多，人均评审费未达到预期目标。改进措施：加大业务宣传力度，提升业务量。</w:t>
            </w:r>
          </w:p>
        </w:tc>
      </w:tr>
      <w:tr w14:paraId="1AAADF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75C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D0361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EF24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90465">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230D">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D7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80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F5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BC0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8B2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DEF7">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9D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AF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0455">
            <w:pPr>
              <w:jc w:val="center"/>
            </w:pPr>
          </w:p>
        </w:tc>
      </w:tr>
      <w:tr w14:paraId="2DE77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3AF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E21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2AB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78909">
            <w:pPr>
              <w:jc w:val="center"/>
            </w:pPr>
            <w:r>
              <w:rPr>
                <w:rFonts w:ascii="宋体" w:hAnsi="宋体" w:eastAsia="宋体"/>
                <w:sz w:val="16"/>
              </w:rPr>
              <w:t>促进社会公平公正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FEB7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64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6D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1C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D22C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9F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593A0">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8D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4E9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511EF">
            <w:pPr>
              <w:jc w:val="center"/>
            </w:pPr>
          </w:p>
        </w:tc>
      </w:tr>
      <w:tr w14:paraId="140F19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039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01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79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6370">
            <w:pPr>
              <w:jc w:val="center"/>
            </w:pPr>
            <w:r>
              <w:rPr>
                <w:rFonts w:ascii="宋体" w:hAnsi="宋体" w:eastAsia="宋体"/>
                <w:sz w:val="16"/>
              </w:rPr>
              <w:t>参加评审会人员满意度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9E1A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02B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A74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F2F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5596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221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25B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3E0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ED8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B798">
            <w:pPr>
              <w:jc w:val="center"/>
            </w:pPr>
          </w:p>
        </w:tc>
      </w:tr>
      <w:tr w14:paraId="01D9DE0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9E1E5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519D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2B0C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49CE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B2E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9A92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A9FE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CCDE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9B38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D44DA">
            <w:pPr>
              <w:jc w:val="center"/>
            </w:pPr>
            <w:r>
              <w:rPr>
                <w:rFonts w:ascii="宋体" w:hAnsi="宋体" w:eastAsia="宋体"/>
                <w:sz w:val="16"/>
              </w:rPr>
              <w:t>73.43分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EBE035"/>
        </w:tc>
      </w:tr>
    </w:tbl>
    <w:p w14:paraId="1B68C4C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2711D1EE">
        <w:tc>
          <w:tcPr>
            <w:tcW w:w="8848" w:type="dxa"/>
            <w:gridSpan w:val="14"/>
            <w:vAlign w:val="center"/>
          </w:tcPr>
          <w:p w14:paraId="40FC85D3">
            <w:pPr>
              <w:jc w:val="center"/>
            </w:pPr>
            <w:r>
              <w:rPr>
                <w:rFonts w:ascii="宋体" w:hAnsi="宋体" w:eastAsia="宋体"/>
                <w:sz w:val="24"/>
              </w:rPr>
              <w:t>项目支出绩效自评表</w:t>
            </w:r>
          </w:p>
        </w:tc>
      </w:tr>
      <w:tr w14:paraId="00EAEC92">
        <w:tblPrEx>
          <w:tblCellMar>
            <w:top w:w="0" w:type="dxa"/>
            <w:left w:w="108" w:type="dxa"/>
            <w:bottom w:w="0" w:type="dxa"/>
            <w:right w:w="108" w:type="dxa"/>
          </w:tblCellMar>
        </w:tblPrEx>
        <w:tc>
          <w:tcPr>
            <w:tcW w:w="8848" w:type="dxa"/>
            <w:gridSpan w:val="14"/>
            <w:vAlign w:val="center"/>
          </w:tcPr>
          <w:p w14:paraId="34C7ED8E">
            <w:pPr>
              <w:jc w:val="center"/>
            </w:pPr>
            <w:r>
              <w:rPr>
                <w:rFonts w:ascii="宋体" w:hAnsi="宋体" w:eastAsia="宋体"/>
                <w:sz w:val="24"/>
              </w:rPr>
              <w:t>(2024年度)</w:t>
            </w:r>
          </w:p>
        </w:tc>
      </w:tr>
      <w:tr w14:paraId="2C9E48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2E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61C86A">
            <w:pPr>
              <w:jc w:val="center"/>
            </w:pPr>
            <w:r>
              <w:rPr>
                <w:rFonts w:ascii="宋体" w:hAnsi="宋体" w:eastAsia="宋体"/>
                <w:sz w:val="16"/>
              </w:rPr>
              <w:t>政采云平台医疗馆服务项目</w:t>
            </w:r>
          </w:p>
        </w:tc>
      </w:tr>
      <w:tr w14:paraId="61FE2A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0C3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915E29">
            <w:pPr>
              <w:jc w:val="center"/>
            </w:pPr>
            <w:r>
              <w:rPr>
                <w:rFonts w:ascii="宋体" w:hAnsi="宋体" w:eastAsia="宋体"/>
                <w:sz w:val="16"/>
              </w:rPr>
              <w:t>巴音郭楞蒙古自治州政务服务和公共资源交易中心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6990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6C3E51">
            <w:pPr>
              <w:jc w:val="center"/>
            </w:pPr>
            <w:r>
              <w:rPr>
                <w:rFonts w:ascii="宋体" w:hAnsi="宋体" w:eastAsia="宋体"/>
                <w:sz w:val="16"/>
              </w:rPr>
              <w:t>巴音郭楞蒙古自治州政务服务和公共资源交易中心</w:t>
            </w:r>
          </w:p>
        </w:tc>
      </w:tr>
      <w:tr w14:paraId="112FF0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66EE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7B70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C89C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DAB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DDC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9532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3683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0FB7B">
            <w:pPr>
              <w:jc w:val="center"/>
            </w:pPr>
            <w:r>
              <w:rPr>
                <w:rFonts w:ascii="宋体" w:hAnsi="宋体" w:eastAsia="宋体"/>
                <w:sz w:val="16"/>
              </w:rPr>
              <w:t>得分</w:t>
            </w:r>
          </w:p>
        </w:tc>
      </w:tr>
      <w:tr w14:paraId="2809B9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B8D6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9D7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9CFD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BD39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C43C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D15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1974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E2BB">
            <w:pPr>
              <w:jc w:val="center"/>
            </w:pPr>
            <w:r>
              <w:rPr>
                <w:rFonts w:ascii="宋体" w:hAnsi="宋体" w:eastAsia="宋体"/>
                <w:sz w:val="16"/>
              </w:rPr>
              <w:t>10.00</w:t>
            </w:r>
          </w:p>
        </w:tc>
      </w:tr>
      <w:tr w14:paraId="4D917D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CB8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B295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D91A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26F8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46FF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59E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628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5E80D">
            <w:pPr>
              <w:jc w:val="center"/>
            </w:pPr>
            <w:r>
              <w:rPr>
                <w:rFonts w:ascii="宋体" w:hAnsi="宋体" w:eastAsia="宋体"/>
                <w:sz w:val="16"/>
              </w:rPr>
              <w:t>-</w:t>
            </w:r>
          </w:p>
        </w:tc>
      </w:tr>
      <w:tr w14:paraId="007EB2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F32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9480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45F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14E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912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279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9F9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FA3F4">
            <w:pPr>
              <w:jc w:val="center"/>
            </w:pPr>
            <w:r>
              <w:rPr>
                <w:rFonts w:ascii="宋体" w:hAnsi="宋体" w:eastAsia="宋体"/>
                <w:sz w:val="16"/>
              </w:rPr>
              <w:t>-</w:t>
            </w:r>
          </w:p>
        </w:tc>
      </w:tr>
      <w:tr w14:paraId="68F76E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5530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DA319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C1FCE2">
            <w:pPr>
              <w:jc w:val="center"/>
            </w:pPr>
            <w:r>
              <w:rPr>
                <w:rFonts w:ascii="宋体" w:hAnsi="宋体" w:eastAsia="宋体"/>
                <w:sz w:val="16"/>
              </w:rPr>
              <w:t>总体目标完成情况</w:t>
            </w:r>
          </w:p>
        </w:tc>
      </w:tr>
      <w:tr w14:paraId="4F8312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DC1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D3EE9F">
            <w:pPr>
              <w:jc w:val="both"/>
            </w:pPr>
            <w:r>
              <w:rPr>
                <w:rFonts w:ascii="宋体" w:hAnsi="宋体" w:eastAsia="宋体"/>
                <w:sz w:val="16"/>
              </w:rPr>
              <w:t>2024年预计使用资金5万元，用于保障政采云平台医疗馆系统正常运行，提高平台使用人的满意度，促进社会公平公正和提高政府公信力。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F50CBB">
            <w:pPr>
              <w:jc w:val="both"/>
            </w:pPr>
            <w:r>
              <w:rPr>
                <w:rFonts w:ascii="宋体" w:hAnsi="宋体" w:eastAsia="宋体"/>
                <w:sz w:val="16"/>
              </w:rPr>
              <w:t>2024年度完成使用财政资金5万元，用于保障政采云平台医疗馆系统正常运行，提高平台使用人的满意度，促进社会公平公正和提高政府公信力。</w:t>
            </w:r>
          </w:p>
        </w:tc>
      </w:tr>
      <w:tr w14:paraId="400051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B732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03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1D3F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9980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AFAA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DD3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FFAD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B42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B8D0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053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4E0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639B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012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B903">
            <w:pPr>
              <w:jc w:val="center"/>
            </w:pPr>
            <w:r>
              <w:rPr>
                <w:rFonts w:ascii="宋体" w:hAnsi="宋体" w:eastAsia="宋体"/>
                <w:sz w:val="16"/>
              </w:rPr>
              <w:t>偏差原因分析及改进措施</w:t>
            </w:r>
          </w:p>
        </w:tc>
      </w:tr>
      <w:tr w14:paraId="1DFBC5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F2B0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23811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23ED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187C1">
            <w:pPr>
              <w:jc w:val="center"/>
            </w:pPr>
            <w:r>
              <w:rPr>
                <w:rFonts w:ascii="宋体" w:hAnsi="宋体" w:eastAsia="宋体"/>
                <w:sz w:val="16"/>
              </w:rPr>
              <w:t>平台个数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B025C">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3B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421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731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C12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98B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D5D9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72A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9D7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D5593">
            <w:pPr>
              <w:jc w:val="center"/>
            </w:pPr>
          </w:p>
        </w:tc>
      </w:tr>
      <w:tr w14:paraId="2CCC8A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85B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3BD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E6D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F7E6E">
            <w:pPr>
              <w:jc w:val="center"/>
            </w:pPr>
            <w:r>
              <w:rPr>
                <w:rFonts w:ascii="宋体" w:hAnsi="宋体" w:eastAsia="宋体"/>
                <w:sz w:val="16"/>
              </w:rPr>
              <w:t>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A8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88F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537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D48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5F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4D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356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B5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0C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65F7">
            <w:pPr>
              <w:jc w:val="center"/>
            </w:pPr>
          </w:p>
        </w:tc>
      </w:tr>
      <w:tr w14:paraId="0D0DC1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8E7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A3A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77D4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A0A0">
            <w:pPr>
              <w:jc w:val="center"/>
            </w:pPr>
            <w:r>
              <w:rPr>
                <w:rFonts w:ascii="宋体" w:hAnsi="宋体" w:eastAsia="宋体"/>
                <w:sz w:val="16"/>
              </w:rPr>
              <w:t>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D5C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0F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73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E05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CA3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4E2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31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56B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87A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AD50">
            <w:pPr>
              <w:jc w:val="center"/>
            </w:pPr>
          </w:p>
        </w:tc>
      </w:tr>
      <w:tr w14:paraId="290CF9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2A7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FC9C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64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B80E5">
            <w:pPr>
              <w:jc w:val="center"/>
            </w:pPr>
            <w:r>
              <w:rPr>
                <w:rFonts w:ascii="宋体" w:hAnsi="宋体" w:eastAsia="宋体"/>
                <w:sz w:val="16"/>
              </w:rPr>
              <w:t>年政采云平台医疗馆系统使用资金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7CB46">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5C2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B8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88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02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D5B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2301">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C00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571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853F">
            <w:pPr>
              <w:jc w:val="center"/>
            </w:pPr>
          </w:p>
        </w:tc>
      </w:tr>
      <w:tr w14:paraId="741CD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917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66203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5511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8278">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880C0">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E0A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81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9AA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2A75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66D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9D59F">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D65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11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8EDC3">
            <w:pPr>
              <w:jc w:val="center"/>
            </w:pPr>
          </w:p>
        </w:tc>
      </w:tr>
      <w:tr w14:paraId="1D651D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617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475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F28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20D5">
            <w:pPr>
              <w:jc w:val="center"/>
            </w:pPr>
            <w:r>
              <w:rPr>
                <w:rFonts w:ascii="宋体" w:hAnsi="宋体" w:eastAsia="宋体"/>
                <w:sz w:val="16"/>
              </w:rPr>
              <w:t>促进社会公平公正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1E98C">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69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01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F9F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631B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3D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1FA9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9A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8CB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8D642">
            <w:pPr>
              <w:jc w:val="center"/>
            </w:pPr>
          </w:p>
        </w:tc>
      </w:tr>
      <w:tr w14:paraId="001148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F73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ADC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013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878F3">
            <w:pPr>
              <w:jc w:val="center"/>
            </w:pPr>
            <w:r>
              <w:rPr>
                <w:rFonts w:ascii="宋体" w:hAnsi="宋体" w:eastAsia="宋体"/>
                <w:sz w:val="16"/>
              </w:rPr>
              <w:t>平台使用人满意度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3057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502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04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026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3ACC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DA9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1A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49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F5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99B7E">
            <w:pPr>
              <w:jc w:val="center"/>
            </w:pPr>
            <w:r>
              <w:rPr>
                <w:rFonts w:ascii="宋体" w:hAnsi="宋体" w:eastAsia="宋体"/>
                <w:sz w:val="16"/>
              </w:rPr>
              <w:t>由于使用人业务水平参差不齐，对平台使用不够熟练，改进措施：加大业务流程培训</w:t>
            </w:r>
          </w:p>
        </w:tc>
      </w:tr>
      <w:tr w14:paraId="251820D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147A3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2257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CFBC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5B95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F7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2AF7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EFFE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BCE1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CEC1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EA98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6973C7"/>
        </w:tc>
      </w:tr>
    </w:tbl>
    <w:p w14:paraId="2600A70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14458B0">
        <w:tblPrEx>
          <w:tblCellMar>
            <w:top w:w="0" w:type="dxa"/>
            <w:left w:w="108" w:type="dxa"/>
            <w:bottom w:w="0" w:type="dxa"/>
            <w:right w:w="108" w:type="dxa"/>
          </w:tblCellMar>
        </w:tblPrEx>
        <w:tc>
          <w:tcPr>
            <w:tcW w:w="8848" w:type="dxa"/>
            <w:gridSpan w:val="14"/>
            <w:vAlign w:val="center"/>
          </w:tcPr>
          <w:p w14:paraId="53488E88">
            <w:pPr>
              <w:jc w:val="center"/>
            </w:pPr>
            <w:r>
              <w:rPr>
                <w:rFonts w:ascii="宋体" w:hAnsi="宋体" w:eastAsia="宋体"/>
                <w:sz w:val="24"/>
              </w:rPr>
              <w:t>项目支出绩效自评表</w:t>
            </w:r>
          </w:p>
        </w:tc>
      </w:tr>
      <w:tr w14:paraId="4D33D443">
        <w:tblPrEx>
          <w:tblCellMar>
            <w:top w:w="0" w:type="dxa"/>
            <w:left w:w="108" w:type="dxa"/>
            <w:bottom w:w="0" w:type="dxa"/>
            <w:right w:w="108" w:type="dxa"/>
          </w:tblCellMar>
        </w:tblPrEx>
        <w:tc>
          <w:tcPr>
            <w:tcW w:w="8848" w:type="dxa"/>
            <w:gridSpan w:val="14"/>
            <w:vAlign w:val="center"/>
          </w:tcPr>
          <w:p w14:paraId="6C724834">
            <w:pPr>
              <w:jc w:val="center"/>
            </w:pPr>
            <w:r>
              <w:rPr>
                <w:rFonts w:ascii="宋体" w:hAnsi="宋体" w:eastAsia="宋体"/>
                <w:sz w:val="24"/>
              </w:rPr>
              <w:t>(2024年度)</w:t>
            </w:r>
          </w:p>
        </w:tc>
      </w:tr>
      <w:tr w14:paraId="53E2D5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092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3F9507">
            <w:pPr>
              <w:jc w:val="center"/>
            </w:pPr>
            <w:r>
              <w:rPr>
                <w:rFonts w:ascii="宋体" w:hAnsi="宋体" w:eastAsia="宋体"/>
                <w:sz w:val="16"/>
              </w:rPr>
              <w:t>2024年电子档案存储管理系统项目</w:t>
            </w:r>
          </w:p>
        </w:tc>
      </w:tr>
      <w:tr w14:paraId="109B0D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EA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B30C33">
            <w:pPr>
              <w:jc w:val="center"/>
            </w:pPr>
            <w:r>
              <w:rPr>
                <w:rFonts w:ascii="宋体" w:hAnsi="宋体" w:eastAsia="宋体"/>
                <w:sz w:val="16"/>
              </w:rPr>
              <w:t>新疆巴州政务服务和公共资源交易中心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C7CB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8498BC">
            <w:pPr>
              <w:jc w:val="center"/>
            </w:pPr>
            <w:r>
              <w:rPr>
                <w:rFonts w:ascii="宋体" w:hAnsi="宋体" w:eastAsia="宋体"/>
                <w:sz w:val="16"/>
              </w:rPr>
              <w:t>新疆巴州政务服务和公共资源交易中心</w:t>
            </w:r>
          </w:p>
        </w:tc>
      </w:tr>
      <w:tr w14:paraId="34684F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9489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409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306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673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098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552F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723C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4B56">
            <w:pPr>
              <w:jc w:val="center"/>
            </w:pPr>
            <w:r>
              <w:rPr>
                <w:rFonts w:ascii="宋体" w:hAnsi="宋体" w:eastAsia="宋体"/>
                <w:sz w:val="16"/>
              </w:rPr>
              <w:t>得分</w:t>
            </w:r>
          </w:p>
        </w:tc>
      </w:tr>
      <w:tr w14:paraId="18FF12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508E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2567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9ECC1">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6FF5E">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C8A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FAF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68301">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48CE">
            <w:pPr>
              <w:jc w:val="center"/>
            </w:pPr>
            <w:r>
              <w:rPr>
                <w:rFonts w:ascii="宋体" w:hAnsi="宋体" w:eastAsia="宋体"/>
                <w:sz w:val="16"/>
              </w:rPr>
              <w:t>0.00</w:t>
            </w:r>
          </w:p>
        </w:tc>
      </w:tr>
      <w:tr w14:paraId="32280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458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796D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08C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C62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979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C54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283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0B9A">
            <w:pPr>
              <w:jc w:val="center"/>
            </w:pPr>
            <w:r>
              <w:rPr>
                <w:rFonts w:ascii="宋体" w:hAnsi="宋体" w:eastAsia="宋体"/>
                <w:sz w:val="16"/>
              </w:rPr>
              <w:t>-</w:t>
            </w:r>
          </w:p>
        </w:tc>
      </w:tr>
      <w:tr w14:paraId="61E2AD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417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A484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BBAE6">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EF8F7">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90F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CE1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3C8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3DBA3">
            <w:pPr>
              <w:jc w:val="center"/>
            </w:pPr>
            <w:r>
              <w:rPr>
                <w:rFonts w:ascii="宋体" w:hAnsi="宋体" w:eastAsia="宋体"/>
                <w:sz w:val="16"/>
              </w:rPr>
              <w:t>-</w:t>
            </w:r>
          </w:p>
        </w:tc>
      </w:tr>
      <w:tr w14:paraId="7B93C8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CC02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25EB5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49CCA0">
            <w:pPr>
              <w:jc w:val="center"/>
            </w:pPr>
            <w:r>
              <w:rPr>
                <w:rFonts w:ascii="宋体" w:hAnsi="宋体" w:eastAsia="宋体"/>
                <w:sz w:val="16"/>
              </w:rPr>
              <w:t>总体目标完成情况</w:t>
            </w:r>
          </w:p>
        </w:tc>
      </w:tr>
      <w:tr w14:paraId="4DFB5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1C63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28F45C">
            <w:pPr>
              <w:jc w:val="both"/>
            </w:pPr>
            <w:r>
              <w:rPr>
                <w:rFonts w:ascii="宋体" w:hAnsi="宋体" w:eastAsia="宋体"/>
                <w:sz w:val="16"/>
              </w:rPr>
              <w:t>按照国家法律、法规及相关政策规定的程序和方式，通过统一数据交换平台，按照单位交易项目类型，中心拟建设一套完善的电子档案存储管理系统，用于硬件采购及信息系统应用软件采购1套，实现档案的自动化、智能化管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7A848B">
            <w:pPr>
              <w:jc w:val="both"/>
            </w:pPr>
            <w:r>
              <w:rPr>
                <w:rFonts w:ascii="宋体" w:hAnsi="宋体" w:eastAsia="宋体"/>
                <w:sz w:val="16"/>
              </w:rPr>
              <w:t>2023年3月20日中心党委第38次党委会研究，同意了公共资源交易平台电子档案存储系统建设方案。2024年12月3日发布了《2024年电子档案存储管理系统项目招标公告》，公告期为12月3日至12月24日10点。</w:t>
            </w:r>
            <w:r>
              <w:rPr>
                <w:rFonts w:ascii="宋体" w:hAnsi="宋体" w:eastAsia="宋体"/>
                <w:sz w:val="16"/>
              </w:rPr>
              <w:br w:type="textWrapping"/>
            </w:r>
            <w:r>
              <w:rPr>
                <w:rFonts w:ascii="宋体" w:hAnsi="宋体" w:eastAsia="宋体"/>
                <w:sz w:val="16"/>
              </w:rPr>
              <w:t>中心于2024年12月9日收到了投标单位河钢数字技术股份有限公司的质疑函，提出电子档案平台建设需要和中心服务系统进行对接（国泰新点软件股份有限公司承建），对接服务费用不明确，费用过高的问题。</w:t>
            </w:r>
            <w:r>
              <w:rPr>
                <w:rFonts w:ascii="宋体" w:hAnsi="宋体" w:eastAsia="宋体"/>
                <w:sz w:val="16"/>
              </w:rPr>
              <w:br w:type="textWrapping"/>
            </w:r>
            <w:r>
              <w:rPr>
                <w:rFonts w:ascii="宋体" w:hAnsi="宋体" w:eastAsia="宋体"/>
                <w:sz w:val="16"/>
              </w:rPr>
              <w:t>中心接到质疑函后，多次与国泰新点软件股份有限公司协商，要求其明确对接服务费用，并承诺后期不再产生其他费用，最终没有得到准确回复。</w:t>
            </w:r>
            <w:r>
              <w:rPr>
                <w:rFonts w:ascii="宋体" w:hAnsi="宋体" w:eastAsia="宋体"/>
                <w:sz w:val="16"/>
              </w:rPr>
              <w:br w:type="textWrapping"/>
            </w: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待自治区新的平台建设方案明确后，再开展该项工作。</w:t>
            </w:r>
          </w:p>
        </w:tc>
      </w:tr>
      <w:tr w14:paraId="121F1C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8530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7A5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952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52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9ED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187E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736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BB54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FE1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DD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1F6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14F4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0B0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E8CB">
            <w:pPr>
              <w:jc w:val="center"/>
            </w:pPr>
            <w:r>
              <w:rPr>
                <w:rFonts w:ascii="宋体" w:hAnsi="宋体" w:eastAsia="宋体"/>
                <w:sz w:val="16"/>
              </w:rPr>
              <w:t>偏差原因分析及改进措施</w:t>
            </w:r>
          </w:p>
        </w:tc>
      </w:tr>
      <w:tr w14:paraId="3E03C5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6698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6429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8884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4AE50">
            <w:pPr>
              <w:jc w:val="center"/>
            </w:pPr>
            <w:r>
              <w:rPr>
                <w:rFonts w:ascii="宋体" w:hAnsi="宋体" w:eastAsia="宋体"/>
                <w:sz w:val="16"/>
              </w:rPr>
              <w:t>硬件采购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92A0">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CE0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1F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F2A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F30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DD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0AF4">
            <w:pPr>
              <w:jc w:val="center"/>
            </w:pPr>
            <w:r>
              <w:rPr>
                <w:rFonts w:ascii="宋体" w:hAnsi="宋体" w:eastAsia="宋体"/>
                <w:sz w:val="16"/>
              </w:rPr>
              <w:t>=0套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B42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85F7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44765">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4C53C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7C4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7F7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BF3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A75A">
            <w:pPr>
              <w:jc w:val="center"/>
            </w:pPr>
            <w:r>
              <w:rPr>
                <w:rFonts w:ascii="宋体" w:hAnsi="宋体" w:eastAsia="宋体"/>
                <w:sz w:val="16"/>
              </w:rPr>
              <w:t>信息系统应用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9624">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01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D7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1B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11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8C9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A72EA">
            <w:pPr>
              <w:jc w:val="center"/>
            </w:pPr>
            <w:r>
              <w:rPr>
                <w:rFonts w:ascii="宋体" w:hAnsi="宋体" w:eastAsia="宋体"/>
                <w:sz w:val="16"/>
              </w:rPr>
              <w:t>=0套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F5E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988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B4329">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337F48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2B0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5B5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9541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C669">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2A49">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3B3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6F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07D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FC8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58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C34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5D08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7653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6E09">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5C0F9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6D7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05F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0BA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60C41">
            <w:pPr>
              <w:jc w:val="center"/>
            </w:pPr>
            <w:r>
              <w:rPr>
                <w:rFonts w:ascii="宋体" w:hAnsi="宋体" w:eastAsia="宋体"/>
                <w:sz w:val="16"/>
              </w:rPr>
              <w:t>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A86C9">
            <w:pPr>
              <w:jc w:val="center"/>
            </w:pPr>
            <w:r>
              <w:rPr>
                <w:rFonts w:ascii="宋体" w:hAnsi="宋体" w:eastAsia="宋体"/>
                <w:sz w:val="16"/>
              </w:rPr>
              <w:t>&lt;=2%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1DC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69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A71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045F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F5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CD0D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C2D6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5D43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6BCCA">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1BCF5B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4EE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695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2F8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C025">
            <w:pPr>
              <w:jc w:val="center"/>
            </w:pPr>
            <w:r>
              <w:rPr>
                <w:rFonts w:ascii="宋体" w:hAnsi="宋体" w:eastAsia="宋体"/>
                <w:sz w:val="16"/>
              </w:rPr>
              <w:t>系统故障修复处理时间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EA1F7">
            <w:pPr>
              <w:jc w:val="center"/>
            </w:pPr>
            <w:r>
              <w:rPr>
                <w:rFonts w:ascii="宋体" w:hAnsi="宋体" w:eastAsia="宋体"/>
                <w:sz w:val="16"/>
              </w:rPr>
              <w:t>&lt;=24小时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EFD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CF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597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5B5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743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518AC">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785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051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333D7">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78FB9C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D22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BE7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5E4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86E16">
            <w:pPr>
              <w:jc w:val="center"/>
            </w:pPr>
            <w:r>
              <w:rPr>
                <w:rFonts w:ascii="宋体" w:hAnsi="宋体" w:eastAsia="宋体"/>
                <w:sz w:val="16"/>
              </w:rPr>
              <w:t>系统运行维护响应时间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979F">
            <w:pPr>
              <w:jc w:val="center"/>
            </w:pPr>
            <w:r>
              <w:rPr>
                <w:rFonts w:ascii="宋体" w:hAnsi="宋体" w:eastAsia="宋体"/>
                <w:sz w:val="16"/>
              </w:rPr>
              <w:t>&lt;=5小时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E7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7C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67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2FB8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99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4D615">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525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B94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C946">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11E4D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631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AA57F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409EF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BC92E">
            <w:pPr>
              <w:jc w:val="center"/>
            </w:pPr>
            <w:r>
              <w:rPr>
                <w:rFonts w:ascii="宋体" w:hAnsi="宋体" w:eastAsia="宋体"/>
                <w:sz w:val="16"/>
              </w:rPr>
              <w:t>电子档案存储系统建设成本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AA08">
            <w:pPr>
              <w:jc w:val="center"/>
            </w:pPr>
            <w:r>
              <w:rPr>
                <w:rFonts w:ascii="宋体" w:hAnsi="宋体" w:eastAsia="宋体"/>
                <w:sz w:val="16"/>
              </w:rPr>
              <w:t>&lt;=162万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008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26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42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BA2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5FB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0F1EF">
            <w:pPr>
              <w:jc w:val="center"/>
            </w:pPr>
            <w:r>
              <w:rPr>
                <w:rFonts w:ascii="宋体" w:hAnsi="宋体" w:eastAsia="宋体"/>
                <w:sz w:val="16"/>
              </w:rPr>
              <w:t>=0万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71F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2E4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F41AF">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624C3F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F3B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D3F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544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5496E">
            <w:pPr>
              <w:jc w:val="center"/>
            </w:pPr>
            <w:r>
              <w:rPr>
                <w:rFonts w:ascii="宋体" w:hAnsi="宋体" w:eastAsia="宋体"/>
                <w:sz w:val="16"/>
              </w:rPr>
              <w:t>电子档案存储系统建设质保金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149B1">
            <w:pPr>
              <w:jc w:val="center"/>
            </w:pPr>
            <w:r>
              <w:rPr>
                <w:rFonts w:ascii="宋体" w:hAnsi="宋体" w:eastAsia="宋体"/>
                <w:sz w:val="16"/>
              </w:rPr>
              <w:t>&lt;=18万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C60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ADA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DB4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D46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DC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807C">
            <w:pPr>
              <w:jc w:val="center"/>
            </w:pPr>
            <w:r>
              <w:rPr>
                <w:rFonts w:ascii="宋体" w:hAnsi="宋体" w:eastAsia="宋体"/>
                <w:sz w:val="16"/>
              </w:rPr>
              <w:t>=0万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78AD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C4BA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D7FC">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29ACF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B5A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717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71F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AA29">
            <w:pPr>
              <w:jc w:val="center"/>
            </w:pPr>
            <w:r>
              <w:rPr>
                <w:rFonts w:ascii="宋体" w:hAnsi="宋体" w:eastAsia="宋体"/>
                <w:sz w:val="16"/>
              </w:rPr>
              <w:t>系统正常使用年限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D0C7B">
            <w:pPr>
              <w:jc w:val="center"/>
            </w:pPr>
            <w:r>
              <w:rPr>
                <w:rFonts w:ascii="宋体" w:hAnsi="宋体" w:eastAsia="宋体"/>
                <w:sz w:val="16"/>
              </w:rPr>
              <w:t>&gt;=3年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394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9BE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12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57F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29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8983">
            <w:pPr>
              <w:jc w:val="center"/>
            </w:pPr>
            <w:r>
              <w:rPr>
                <w:rFonts w:ascii="宋体" w:hAnsi="宋体" w:eastAsia="宋体"/>
                <w:sz w:val="16"/>
              </w:rPr>
              <w:t>=0年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538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ACE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A44A">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49015F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986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D25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3ED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CC82">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86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908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DA1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FFC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094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796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D46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B04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4A52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7F1A">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5CAF212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B26E7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2184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71C6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6615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DF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DC1E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175D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769B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C5FD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678B">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62297B"/>
        </w:tc>
      </w:tr>
    </w:tbl>
    <w:p w14:paraId="2377CEA8">
      <w:r>
        <w:br w:type="page"/>
      </w:r>
    </w:p>
    <w:tbl>
      <w:tblPr>
        <w:tblStyle w:val="9"/>
        <w:tblW w:w="0" w:type="auto"/>
        <w:tblInd w:w="0" w:type="dxa"/>
        <w:tblLayout w:type="autofit"/>
        <w:tblCellMar>
          <w:top w:w="0" w:type="dxa"/>
          <w:left w:w="108" w:type="dxa"/>
          <w:bottom w:w="0" w:type="dxa"/>
          <w:right w:w="108" w:type="dxa"/>
        </w:tblCellMar>
      </w:tblPr>
      <w:tblGrid>
        <w:gridCol w:w="622"/>
        <w:gridCol w:w="604"/>
        <w:gridCol w:w="604"/>
        <w:gridCol w:w="604"/>
        <w:gridCol w:w="856"/>
        <w:gridCol w:w="604"/>
        <w:gridCol w:w="604"/>
        <w:gridCol w:w="613"/>
        <w:gridCol w:w="604"/>
        <w:gridCol w:w="604"/>
        <w:gridCol w:w="856"/>
        <w:gridCol w:w="631"/>
        <w:gridCol w:w="631"/>
        <w:gridCol w:w="623"/>
      </w:tblGrid>
      <w:tr w14:paraId="62938C51">
        <w:tblPrEx>
          <w:tblCellMar>
            <w:top w:w="0" w:type="dxa"/>
            <w:left w:w="108" w:type="dxa"/>
            <w:bottom w:w="0" w:type="dxa"/>
            <w:right w:w="108" w:type="dxa"/>
          </w:tblCellMar>
        </w:tblPrEx>
        <w:tc>
          <w:tcPr>
            <w:tcW w:w="8848" w:type="dxa"/>
            <w:gridSpan w:val="14"/>
            <w:vAlign w:val="center"/>
          </w:tcPr>
          <w:p w14:paraId="50AA2F4F">
            <w:pPr>
              <w:jc w:val="center"/>
            </w:pPr>
            <w:r>
              <w:rPr>
                <w:rFonts w:ascii="宋体" w:hAnsi="宋体" w:eastAsia="宋体"/>
                <w:sz w:val="24"/>
              </w:rPr>
              <w:t>项目支出绩效自评表</w:t>
            </w:r>
          </w:p>
        </w:tc>
      </w:tr>
      <w:tr w14:paraId="44B85BC7">
        <w:tblPrEx>
          <w:tblCellMar>
            <w:top w:w="0" w:type="dxa"/>
            <w:left w:w="108" w:type="dxa"/>
            <w:bottom w:w="0" w:type="dxa"/>
            <w:right w:w="108" w:type="dxa"/>
          </w:tblCellMar>
        </w:tblPrEx>
        <w:tc>
          <w:tcPr>
            <w:tcW w:w="8848" w:type="dxa"/>
            <w:gridSpan w:val="14"/>
            <w:vAlign w:val="center"/>
          </w:tcPr>
          <w:p w14:paraId="11DC7F5D">
            <w:pPr>
              <w:jc w:val="center"/>
            </w:pPr>
            <w:r>
              <w:rPr>
                <w:rFonts w:ascii="宋体" w:hAnsi="宋体" w:eastAsia="宋体"/>
                <w:sz w:val="24"/>
              </w:rPr>
              <w:t>(2024年度)</w:t>
            </w:r>
          </w:p>
        </w:tc>
      </w:tr>
      <w:tr w14:paraId="47DCF9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C9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56429B">
            <w:pPr>
              <w:jc w:val="center"/>
            </w:pPr>
            <w:r>
              <w:rPr>
                <w:rFonts w:ascii="宋体" w:hAnsi="宋体" w:eastAsia="宋体"/>
                <w:sz w:val="16"/>
              </w:rPr>
              <w:t>2024年运行保障项目</w:t>
            </w:r>
          </w:p>
        </w:tc>
      </w:tr>
      <w:tr w14:paraId="2282F1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1D88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2A2C36">
            <w:pPr>
              <w:jc w:val="center"/>
            </w:pPr>
            <w:r>
              <w:rPr>
                <w:rFonts w:ascii="宋体" w:hAnsi="宋体" w:eastAsia="宋体"/>
                <w:sz w:val="16"/>
              </w:rPr>
              <w:t>新疆巴州政务服务和公共资源交易中心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A088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C96728">
            <w:pPr>
              <w:jc w:val="center"/>
            </w:pPr>
            <w:r>
              <w:rPr>
                <w:rFonts w:ascii="宋体" w:hAnsi="宋体" w:eastAsia="宋体"/>
                <w:sz w:val="16"/>
              </w:rPr>
              <w:t>新疆巴州政务服务和公共资源交易中心</w:t>
            </w:r>
          </w:p>
        </w:tc>
      </w:tr>
      <w:tr w14:paraId="730057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821E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8595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CA3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FA5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16D3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C1D4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C48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1F9E">
            <w:pPr>
              <w:jc w:val="center"/>
            </w:pPr>
            <w:r>
              <w:rPr>
                <w:rFonts w:ascii="宋体" w:hAnsi="宋体" w:eastAsia="宋体"/>
                <w:sz w:val="16"/>
              </w:rPr>
              <w:t>得分</w:t>
            </w:r>
          </w:p>
        </w:tc>
      </w:tr>
      <w:tr w14:paraId="45E820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ED5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1CE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B4703">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D3424">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E6A9F">
            <w:pPr>
              <w:jc w:val="center"/>
            </w:pPr>
            <w:r>
              <w:rPr>
                <w:rFonts w:ascii="宋体" w:hAnsi="宋体" w:eastAsia="宋体"/>
                <w:sz w:val="16"/>
              </w:rPr>
              <w:t>66.92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4B8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1D2EF">
            <w:pPr>
              <w:jc w:val="center"/>
            </w:pPr>
            <w:r>
              <w:rPr>
                <w:rFonts w:ascii="宋体" w:hAnsi="宋体" w:eastAsia="宋体"/>
                <w:sz w:val="16"/>
              </w:rPr>
              <w:t>95.60%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3BCDA">
            <w:pPr>
              <w:jc w:val="center"/>
            </w:pPr>
            <w:r>
              <w:rPr>
                <w:rFonts w:ascii="宋体" w:hAnsi="宋体" w:eastAsia="宋体"/>
                <w:sz w:val="16"/>
              </w:rPr>
              <w:t>8.90</w:t>
            </w:r>
          </w:p>
        </w:tc>
      </w:tr>
      <w:tr w14:paraId="381E19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A59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30E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6E8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18C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273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01C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0F4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3CAA5">
            <w:pPr>
              <w:jc w:val="center"/>
            </w:pPr>
            <w:r>
              <w:rPr>
                <w:rFonts w:ascii="宋体" w:hAnsi="宋体" w:eastAsia="宋体"/>
                <w:sz w:val="16"/>
              </w:rPr>
              <w:t>-</w:t>
            </w:r>
          </w:p>
        </w:tc>
      </w:tr>
      <w:tr w14:paraId="7BA5A2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8E8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F71E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81B70">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8B314">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C0DDA">
            <w:pPr>
              <w:jc w:val="center"/>
            </w:pPr>
            <w:r>
              <w:rPr>
                <w:rFonts w:ascii="宋体" w:hAnsi="宋体" w:eastAsia="宋体"/>
                <w:sz w:val="16"/>
              </w:rPr>
              <w:t>66.92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DB7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F22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9D850">
            <w:pPr>
              <w:jc w:val="center"/>
            </w:pPr>
            <w:r>
              <w:rPr>
                <w:rFonts w:ascii="宋体" w:hAnsi="宋体" w:eastAsia="宋体"/>
                <w:sz w:val="16"/>
              </w:rPr>
              <w:t>-</w:t>
            </w:r>
          </w:p>
        </w:tc>
      </w:tr>
      <w:tr w14:paraId="27032E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DE27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15018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9F0FA1">
            <w:pPr>
              <w:jc w:val="center"/>
            </w:pPr>
            <w:r>
              <w:rPr>
                <w:rFonts w:ascii="宋体" w:hAnsi="宋体" w:eastAsia="宋体"/>
                <w:sz w:val="16"/>
              </w:rPr>
              <w:t>总体目标完成情况</w:t>
            </w:r>
          </w:p>
        </w:tc>
      </w:tr>
      <w:tr w14:paraId="5D510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4FEE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8FCD25">
            <w:pPr>
              <w:jc w:val="both"/>
            </w:pPr>
            <w:r>
              <w:rPr>
                <w:rFonts w:ascii="宋体" w:hAnsi="宋体" w:eastAsia="宋体"/>
                <w:sz w:val="16"/>
              </w:rPr>
              <w:t>根据单位工作安排，组织召开会议，要求综合科负责具体实施。办公经费使用支付严格遵照财务管理制度执行。加强对公用经费的监管，确保公用经费的合理分配和使用。按照建设廉洁、高效、务实、便民的要求，统筹兼顾地安排好各项经费，为中心正常运转和各项事业发展提供保障。提高政府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F440B5">
            <w:pPr>
              <w:jc w:val="both"/>
            </w:pPr>
            <w:r>
              <w:rPr>
                <w:rFonts w:ascii="宋体" w:hAnsi="宋体" w:eastAsia="宋体"/>
                <w:sz w:val="16"/>
              </w:rPr>
              <w:t>本年度完成使用单位资金66.92万元，保障28名职工办公经费按时足额发放，保障物业费、水、电费等按时足额发放，保障了公用车辆费用及时发放等工作。</w:t>
            </w:r>
            <w:bookmarkStart w:id="0" w:name="_GoBack"/>
            <w:r>
              <w:rPr>
                <w:rFonts w:hint="eastAsia" w:ascii="宋体" w:hAnsi="宋体"/>
                <w:sz w:val="16"/>
                <w:lang w:eastAsia="zh-CN"/>
              </w:rPr>
              <w:t>发放</w:t>
            </w:r>
            <w:bookmarkEnd w:id="0"/>
            <w:r>
              <w:rPr>
                <w:rFonts w:hint="eastAsia" w:ascii="宋体" w:hAnsi="宋体"/>
                <w:sz w:val="16"/>
                <w:lang w:eastAsia="zh-CN"/>
              </w:rPr>
              <w:t>及</w:t>
            </w:r>
            <w:r>
              <w:rPr>
                <w:rFonts w:ascii="宋体" w:hAnsi="宋体" w:eastAsia="宋体"/>
                <w:sz w:val="16"/>
              </w:rPr>
              <w:t>时率达100%，职工满意度为100%，</w:t>
            </w:r>
          </w:p>
        </w:tc>
      </w:tr>
      <w:tr w14:paraId="24535A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E767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8E6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EC6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8F3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105F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A4D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5FCD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40DE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88C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44A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975F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725E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074A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FB83">
            <w:pPr>
              <w:jc w:val="center"/>
            </w:pPr>
            <w:r>
              <w:rPr>
                <w:rFonts w:ascii="宋体" w:hAnsi="宋体" w:eastAsia="宋体"/>
                <w:sz w:val="16"/>
              </w:rPr>
              <w:t>偏差原因分析及改进措施</w:t>
            </w:r>
          </w:p>
        </w:tc>
      </w:tr>
      <w:tr w14:paraId="6CA974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B09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02028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62B9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75CA2">
            <w:pPr>
              <w:jc w:val="center"/>
            </w:pPr>
            <w:r>
              <w:rPr>
                <w:rFonts w:ascii="宋体" w:hAnsi="宋体" w:eastAsia="宋体"/>
                <w:sz w:val="16"/>
              </w:rPr>
              <w:t>保障办公人员人数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60C39">
            <w:pPr>
              <w:jc w:val="center"/>
            </w:pPr>
            <w:r>
              <w:rPr>
                <w:rFonts w:ascii="宋体" w:hAnsi="宋体" w:eastAsia="宋体"/>
                <w:sz w:val="16"/>
              </w:rPr>
              <w:t>&gt;=28人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030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61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C5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0E0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EF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A58C">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21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BC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77493">
            <w:pPr>
              <w:jc w:val="center"/>
            </w:pPr>
          </w:p>
        </w:tc>
      </w:tr>
      <w:tr w14:paraId="6FD3C6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D9C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BC1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11F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0124">
            <w:pPr>
              <w:jc w:val="center"/>
            </w:pPr>
            <w:r>
              <w:rPr>
                <w:rFonts w:ascii="宋体" w:hAnsi="宋体" w:eastAsia="宋体"/>
                <w:sz w:val="16"/>
              </w:rPr>
              <w:t>公务保障用车数量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092A">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D5F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A71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D6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918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A0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5AE85">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0BB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BE4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E8D8">
            <w:pPr>
              <w:jc w:val="center"/>
            </w:pPr>
          </w:p>
        </w:tc>
      </w:tr>
      <w:tr w14:paraId="7D3980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67F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DC2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A22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AA619">
            <w:pPr>
              <w:jc w:val="center"/>
            </w:pPr>
            <w:r>
              <w:rPr>
                <w:rFonts w:ascii="宋体" w:hAnsi="宋体" w:eastAsia="宋体"/>
                <w:sz w:val="16"/>
              </w:rPr>
              <w:t>房屋建筑供暖面积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8CFA2">
            <w:pPr>
              <w:jc w:val="center"/>
            </w:pPr>
            <w:r>
              <w:rPr>
                <w:rFonts w:ascii="宋体" w:hAnsi="宋体" w:eastAsia="宋体"/>
                <w:sz w:val="16"/>
              </w:rPr>
              <w:t>=3491.64平方米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7BA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C91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34F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21E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03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D1B0">
            <w:pPr>
              <w:jc w:val="center"/>
            </w:pPr>
            <w:r>
              <w:rPr>
                <w:rFonts w:ascii="宋体" w:hAnsi="宋体" w:eastAsia="宋体"/>
                <w:sz w:val="16"/>
              </w:rPr>
              <w:t>=3491.64平方米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38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20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DA6A">
            <w:pPr>
              <w:jc w:val="center"/>
            </w:pPr>
          </w:p>
        </w:tc>
      </w:tr>
      <w:tr w14:paraId="164806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B01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442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5E9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27933">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4D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24B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916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DB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C8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E7B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ACAF">
            <w:pPr>
              <w:jc w:val="center"/>
            </w:pPr>
            <w:r>
              <w:rPr>
                <w:rFonts w:ascii="宋体" w:hAnsi="宋体" w:eastAsia="宋体"/>
                <w:sz w:val="16"/>
              </w:rPr>
              <w:t>=95.6%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8B9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CEF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A771">
            <w:pPr>
              <w:jc w:val="center"/>
            </w:pPr>
          </w:p>
        </w:tc>
      </w:tr>
      <w:tr w14:paraId="4AE43E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4B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86D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DD2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B773D">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0B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F8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70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E8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7A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12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CFC3F">
            <w:pPr>
              <w:jc w:val="center"/>
            </w:pPr>
            <w:r>
              <w:rPr>
                <w:rFonts w:ascii="宋体" w:hAnsi="宋体" w:eastAsia="宋体"/>
                <w:sz w:val="16"/>
              </w:rPr>
              <w:t>=95.6%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ADF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F39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B1595">
            <w:pPr>
              <w:jc w:val="center"/>
            </w:pPr>
          </w:p>
        </w:tc>
      </w:tr>
      <w:tr w14:paraId="0D04A8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1BA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B4FA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A6F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6042">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8388E">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2D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7A8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D7A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2B0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A3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E59EA">
            <w:pPr>
              <w:jc w:val="center"/>
            </w:pPr>
            <w:r>
              <w:rPr>
                <w:rFonts w:ascii="宋体" w:hAnsi="宋体" w:eastAsia="宋体"/>
                <w:sz w:val="16"/>
              </w:rPr>
              <w:t>=2.39万元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E1F6B">
            <w:pPr>
              <w:jc w:val="center"/>
            </w:pPr>
            <w:r>
              <w:rPr>
                <w:rFonts w:ascii="宋体" w:hAnsi="宋体" w:eastAsia="宋体"/>
                <w:sz w:val="16"/>
              </w:rPr>
              <w:t>95.6%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8021">
            <w:pPr>
              <w:jc w:val="center"/>
            </w:pPr>
            <w:r>
              <w:rPr>
                <w:rFonts w:ascii="宋体" w:hAnsi="宋体" w:eastAsia="宋体"/>
                <w:sz w:val="16"/>
              </w:rPr>
              <w:t>17.8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C11F">
            <w:pPr>
              <w:jc w:val="center"/>
            </w:pPr>
            <w:r>
              <w:rPr>
                <w:rFonts w:ascii="宋体" w:hAnsi="宋体" w:eastAsia="宋体"/>
                <w:sz w:val="16"/>
              </w:rPr>
              <w:t>本年度加大内部管理力度，为节约成本通常只用新能源汽车，使车辆燃油费维修费节约力度大。改进措施：根据单位实际更加科学、精准编报预算。</w:t>
            </w:r>
          </w:p>
        </w:tc>
      </w:tr>
      <w:tr w14:paraId="34CCEE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1F9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4E4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52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6325">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9190">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EF5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1D8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2C9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741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970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D2D41">
            <w:pPr>
              <w:jc w:val="center"/>
            </w:pPr>
            <w:r>
              <w:rPr>
                <w:rFonts w:ascii="宋体" w:hAnsi="宋体" w:eastAsia="宋体"/>
                <w:sz w:val="16"/>
              </w:rPr>
              <w:tab/>
            </w: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62C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823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59831">
            <w:pPr>
              <w:jc w:val="center"/>
            </w:pPr>
          </w:p>
        </w:tc>
      </w:tr>
      <w:tr w14:paraId="784389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7F3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BD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B8D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39179">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BDD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56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06C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586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FF5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D8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DE0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10F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9DF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78DD">
            <w:pPr>
              <w:jc w:val="center"/>
            </w:pPr>
          </w:p>
        </w:tc>
      </w:tr>
      <w:tr w14:paraId="6061C11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3E3ED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B7EB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8D3C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746E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FF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4DC5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4857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0679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24CE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00165">
            <w:pPr>
              <w:jc w:val="center"/>
            </w:pPr>
            <w:r>
              <w:rPr>
                <w:rFonts w:ascii="宋体" w:hAnsi="宋体" w:eastAsia="宋体"/>
                <w:sz w:val="16"/>
              </w:rPr>
              <w:t>96.70分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ECE060"/>
        </w:tc>
      </w:tr>
    </w:tbl>
    <w:p w14:paraId="206B764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109C8762">
        <w:tblPrEx>
          <w:tblCellMar>
            <w:top w:w="0" w:type="dxa"/>
            <w:left w:w="108" w:type="dxa"/>
            <w:bottom w:w="0" w:type="dxa"/>
            <w:right w:w="108" w:type="dxa"/>
          </w:tblCellMar>
        </w:tblPrEx>
        <w:tc>
          <w:tcPr>
            <w:tcW w:w="8848" w:type="dxa"/>
            <w:gridSpan w:val="14"/>
            <w:vAlign w:val="center"/>
          </w:tcPr>
          <w:p w14:paraId="7A0BC007">
            <w:pPr>
              <w:jc w:val="center"/>
            </w:pPr>
            <w:r>
              <w:rPr>
                <w:rFonts w:ascii="宋体" w:hAnsi="宋体" w:eastAsia="宋体"/>
                <w:sz w:val="24"/>
              </w:rPr>
              <w:t>项目支出绩效自评表</w:t>
            </w:r>
          </w:p>
        </w:tc>
      </w:tr>
      <w:tr w14:paraId="70329C86">
        <w:tblPrEx>
          <w:tblCellMar>
            <w:top w:w="0" w:type="dxa"/>
            <w:left w:w="108" w:type="dxa"/>
            <w:bottom w:w="0" w:type="dxa"/>
            <w:right w:w="108" w:type="dxa"/>
          </w:tblCellMar>
        </w:tblPrEx>
        <w:tc>
          <w:tcPr>
            <w:tcW w:w="8848" w:type="dxa"/>
            <w:gridSpan w:val="14"/>
            <w:vAlign w:val="center"/>
          </w:tcPr>
          <w:p w14:paraId="06CC0DAD">
            <w:pPr>
              <w:jc w:val="center"/>
            </w:pPr>
            <w:r>
              <w:rPr>
                <w:rFonts w:ascii="宋体" w:hAnsi="宋体" w:eastAsia="宋体"/>
                <w:sz w:val="24"/>
              </w:rPr>
              <w:t>(2024年度)</w:t>
            </w:r>
          </w:p>
        </w:tc>
      </w:tr>
      <w:tr w14:paraId="4ABB74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C0A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9E4C57">
            <w:pPr>
              <w:jc w:val="center"/>
            </w:pPr>
            <w:r>
              <w:rPr>
                <w:rFonts w:ascii="宋体" w:hAnsi="宋体" w:eastAsia="宋体"/>
                <w:sz w:val="16"/>
              </w:rPr>
              <w:t>专家评审费项目</w:t>
            </w:r>
          </w:p>
        </w:tc>
      </w:tr>
      <w:tr w14:paraId="5F7501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5A5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C61B8E">
            <w:pPr>
              <w:jc w:val="center"/>
            </w:pPr>
            <w:r>
              <w:rPr>
                <w:rFonts w:ascii="宋体" w:hAnsi="宋体" w:eastAsia="宋体"/>
                <w:sz w:val="16"/>
              </w:rPr>
              <w:t>新疆巴州政务服务和公共资源交易中心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4B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996CB5">
            <w:pPr>
              <w:jc w:val="center"/>
            </w:pPr>
            <w:r>
              <w:rPr>
                <w:rFonts w:ascii="宋体" w:hAnsi="宋体" w:eastAsia="宋体"/>
                <w:sz w:val="16"/>
              </w:rPr>
              <w:t>新疆巴州政务服务和公共资源交易中心</w:t>
            </w:r>
          </w:p>
        </w:tc>
      </w:tr>
      <w:tr w14:paraId="154D4C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ED79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6D0F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BCB2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477E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29D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0F78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6175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5EF26">
            <w:pPr>
              <w:jc w:val="center"/>
            </w:pPr>
            <w:r>
              <w:rPr>
                <w:rFonts w:ascii="宋体" w:hAnsi="宋体" w:eastAsia="宋体"/>
                <w:sz w:val="16"/>
              </w:rPr>
              <w:t>得分</w:t>
            </w:r>
          </w:p>
        </w:tc>
      </w:tr>
      <w:tr w14:paraId="3BCC6A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E88A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8E8B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F43A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54DE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8705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280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7E18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5AB1A">
            <w:pPr>
              <w:jc w:val="center"/>
            </w:pPr>
            <w:r>
              <w:rPr>
                <w:rFonts w:ascii="宋体" w:hAnsi="宋体" w:eastAsia="宋体"/>
                <w:sz w:val="16"/>
              </w:rPr>
              <w:t>10.00</w:t>
            </w:r>
          </w:p>
        </w:tc>
      </w:tr>
      <w:tr w14:paraId="2BA759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337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ABB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8306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EAFC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0761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CDB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18E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9EE0F">
            <w:pPr>
              <w:jc w:val="center"/>
            </w:pPr>
            <w:r>
              <w:rPr>
                <w:rFonts w:ascii="宋体" w:hAnsi="宋体" w:eastAsia="宋体"/>
                <w:sz w:val="16"/>
              </w:rPr>
              <w:t>-</w:t>
            </w:r>
          </w:p>
        </w:tc>
      </w:tr>
      <w:tr w14:paraId="6371CA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DBB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FD17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F26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DF2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1BF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061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88E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21A7B">
            <w:pPr>
              <w:jc w:val="center"/>
            </w:pPr>
            <w:r>
              <w:rPr>
                <w:rFonts w:ascii="宋体" w:hAnsi="宋体" w:eastAsia="宋体"/>
                <w:sz w:val="16"/>
              </w:rPr>
              <w:t>-</w:t>
            </w:r>
          </w:p>
        </w:tc>
      </w:tr>
      <w:tr w14:paraId="12EE5E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066E0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08C54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6A379E">
            <w:pPr>
              <w:jc w:val="center"/>
            </w:pPr>
            <w:r>
              <w:rPr>
                <w:rFonts w:ascii="宋体" w:hAnsi="宋体" w:eastAsia="宋体"/>
                <w:sz w:val="16"/>
              </w:rPr>
              <w:t>总体目标完成情况</w:t>
            </w:r>
          </w:p>
        </w:tc>
      </w:tr>
      <w:tr w14:paraId="7F8D39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D13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3133E1">
            <w:pPr>
              <w:jc w:val="both"/>
            </w:pPr>
            <w:r>
              <w:rPr>
                <w:rFonts w:ascii="宋体" w:hAnsi="宋体" w:eastAsia="宋体"/>
                <w:sz w:val="16"/>
              </w:rPr>
              <w:t>按照国家法律、法规及相关政策规定的程序和方式，建立完善政府采购制度，开展政府集中采购项目，聘请评审专家评标，2024年度计划聘请专家250人开展评审工作，有效促进社会公平公正，实现专家评审费效用最大化，提高政府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421A96">
            <w:pPr>
              <w:jc w:val="both"/>
            </w:pPr>
            <w:r>
              <w:rPr>
                <w:rFonts w:ascii="宋体" w:hAnsi="宋体" w:eastAsia="宋体"/>
                <w:sz w:val="16"/>
              </w:rPr>
              <w:t>2024年度完成聘请专家250人开展评审工作，评审费资金使用率及专家评审费支付及时率均达100%，有效促进社会公平公正，提高政府公信力。</w:t>
            </w:r>
          </w:p>
        </w:tc>
      </w:tr>
      <w:tr w14:paraId="3B5848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B0DE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4D1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24A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FDC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581F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49A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A9C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533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CAB6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6B1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57F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AB5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CF1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9E26">
            <w:pPr>
              <w:jc w:val="center"/>
            </w:pPr>
            <w:r>
              <w:rPr>
                <w:rFonts w:ascii="宋体" w:hAnsi="宋体" w:eastAsia="宋体"/>
                <w:sz w:val="16"/>
              </w:rPr>
              <w:t>偏差原因分析及改进措施</w:t>
            </w:r>
          </w:p>
        </w:tc>
      </w:tr>
      <w:tr w14:paraId="0DFDEA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618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F354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ADB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0A0F3">
            <w:pPr>
              <w:jc w:val="center"/>
            </w:pPr>
            <w:r>
              <w:rPr>
                <w:rFonts w:ascii="宋体" w:hAnsi="宋体" w:eastAsia="宋体"/>
                <w:sz w:val="16"/>
              </w:rPr>
              <w:t>聘请专家人数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F9CA">
            <w:pPr>
              <w:jc w:val="center"/>
            </w:pPr>
            <w:r>
              <w:rPr>
                <w:rFonts w:ascii="宋体" w:hAnsi="宋体" w:eastAsia="宋体"/>
                <w:sz w:val="16"/>
              </w:rPr>
              <w:t>&gt;=250人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20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1A1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E8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EFD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9DC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9DD22">
            <w:pPr>
              <w:jc w:val="center"/>
            </w:pPr>
            <w:r>
              <w:rPr>
                <w:rFonts w:ascii="宋体" w:hAnsi="宋体" w:eastAsia="宋体"/>
                <w:sz w:val="16"/>
              </w:rPr>
              <w:t>=250人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EC4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50D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E9C3">
            <w:pPr>
              <w:jc w:val="center"/>
            </w:pPr>
          </w:p>
        </w:tc>
      </w:tr>
      <w:tr w14:paraId="32EDAF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8CC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B1F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827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BAB7C">
            <w:pPr>
              <w:jc w:val="center"/>
            </w:pPr>
            <w:r>
              <w:rPr>
                <w:rFonts w:ascii="宋体" w:hAnsi="宋体" w:eastAsia="宋体"/>
                <w:sz w:val="16"/>
              </w:rPr>
              <w:t>评审资金使用率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CB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6E5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EF9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5C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59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7B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602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CCC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1C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8314">
            <w:pPr>
              <w:jc w:val="center"/>
            </w:pPr>
          </w:p>
        </w:tc>
      </w:tr>
      <w:tr w14:paraId="22CF31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16A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0FF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9819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DE9B">
            <w:pPr>
              <w:jc w:val="center"/>
            </w:pPr>
            <w:r>
              <w:rPr>
                <w:rFonts w:ascii="宋体" w:hAnsi="宋体" w:eastAsia="宋体"/>
                <w:sz w:val="16"/>
              </w:rPr>
              <w:t>专家评审费支付及时率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097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CE7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1F9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4CE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934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1D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5E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4C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FB9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4D8BF">
            <w:pPr>
              <w:jc w:val="center"/>
            </w:pPr>
          </w:p>
        </w:tc>
      </w:tr>
      <w:tr w14:paraId="7CE51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2FD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1814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21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1CC0B">
            <w:pPr>
              <w:jc w:val="center"/>
            </w:pPr>
            <w:r>
              <w:rPr>
                <w:rFonts w:ascii="宋体" w:hAnsi="宋体" w:eastAsia="宋体"/>
                <w:sz w:val="16"/>
              </w:rPr>
              <w:t>人均评审费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37FA">
            <w:pPr>
              <w:jc w:val="center"/>
            </w:pPr>
            <w:r>
              <w:rPr>
                <w:rFonts w:ascii="宋体" w:hAnsi="宋体" w:eastAsia="宋体"/>
                <w:sz w:val="16"/>
              </w:rPr>
              <w:t>&lt;=400元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366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2C6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09D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279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80A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AA4F">
            <w:pPr>
              <w:jc w:val="center"/>
            </w:pPr>
            <w:r>
              <w:rPr>
                <w:rFonts w:ascii="宋体" w:hAnsi="宋体" w:eastAsia="宋体"/>
                <w:sz w:val="16"/>
              </w:rPr>
              <w:t>&lt;=400元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882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DC8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4B51">
            <w:pPr>
              <w:jc w:val="center"/>
            </w:pPr>
          </w:p>
        </w:tc>
      </w:tr>
      <w:tr w14:paraId="0EA5CF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BEC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F1983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149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CC201">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4420">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EA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0AB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827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8F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53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EBAD">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8B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E8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5396">
            <w:pPr>
              <w:jc w:val="center"/>
            </w:pPr>
          </w:p>
        </w:tc>
      </w:tr>
      <w:tr w14:paraId="3FBCAF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AB4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B37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6DA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9207">
            <w:pPr>
              <w:jc w:val="center"/>
            </w:pPr>
            <w:r>
              <w:rPr>
                <w:rFonts w:ascii="宋体" w:hAnsi="宋体" w:eastAsia="宋体"/>
                <w:sz w:val="16"/>
              </w:rPr>
              <w:t>促进社会公平公正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814AC">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639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9FE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8C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A2C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325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0974C">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29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C7F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5DB3E">
            <w:pPr>
              <w:jc w:val="center"/>
            </w:pPr>
          </w:p>
        </w:tc>
      </w:tr>
      <w:tr w14:paraId="51E506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CE3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12B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2A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C00A">
            <w:pPr>
              <w:jc w:val="center"/>
            </w:pPr>
            <w:r>
              <w:rPr>
                <w:rFonts w:ascii="宋体" w:hAnsi="宋体" w:eastAsia="宋体"/>
                <w:sz w:val="16"/>
              </w:rPr>
              <w:t>参加评审会人员满意度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67D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E0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1E7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35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927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BA1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2A7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9E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A8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753B1">
            <w:pPr>
              <w:jc w:val="center"/>
            </w:pPr>
          </w:p>
        </w:tc>
      </w:tr>
      <w:tr w14:paraId="058F1F4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B5A8E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F27A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D671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F3D7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0D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ADB7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5F69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51ED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0220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8B3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5C526F"/>
        </w:tc>
      </w:tr>
    </w:tbl>
    <w:p w14:paraId="4307C5D1">
      <w:r>
        <w:br w:type="page"/>
      </w:r>
    </w:p>
    <w:p w14:paraId="7BBCC48C">
      <w:pPr>
        <w:spacing w:line="640" w:lineRule="exact"/>
        <w:ind w:firstLine="640"/>
        <w:jc w:val="both"/>
        <w:outlineLvl w:val="2"/>
      </w:pPr>
      <w:r>
        <w:rPr>
          <w:rFonts w:ascii="黑体" w:hAnsi="黑体" w:eastAsia="黑体"/>
          <w:sz w:val="32"/>
        </w:rPr>
        <w:t>十二、其他需说明的事项</w:t>
      </w:r>
    </w:p>
    <w:p w14:paraId="74763B08">
      <w:pPr>
        <w:spacing w:line="580" w:lineRule="exact"/>
        <w:ind w:firstLine="640"/>
        <w:jc w:val="both"/>
      </w:pPr>
      <w:r>
        <w:rPr>
          <w:rFonts w:ascii="仿宋_GB2312" w:hAnsi="仿宋_GB2312" w:eastAsia="仿宋_GB2312"/>
          <w:b w:val="0"/>
          <w:sz w:val="32"/>
        </w:rPr>
        <w:t>本年度本单位整体绩效自评表由主管部门编报并公开。</w:t>
      </w:r>
    </w:p>
    <w:p w14:paraId="58A0BC04">
      <w:r>
        <w:br w:type="page"/>
      </w:r>
    </w:p>
    <w:p w14:paraId="09672984">
      <w:pPr>
        <w:spacing w:line="240" w:lineRule="auto"/>
        <w:jc w:val="center"/>
        <w:outlineLvl w:val="1"/>
      </w:pPr>
      <w:r>
        <w:rPr>
          <w:rFonts w:ascii="黑体" w:hAnsi="黑体" w:eastAsia="黑体"/>
          <w:sz w:val="32"/>
        </w:rPr>
        <w:t>第三部分 专业名词解释</w:t>
      </w:r>
    </w:p>
    <w:p w14:paraId="3C644A3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292283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F18BDB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C76A4C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C4F5D9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E89759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320675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47BED9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2BB0FE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9F8B03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CA0F90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4BD7F7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50887C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4A285E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3A76300">
      <w:r>
        <w:br w:type="page"/>
      </w:r>
    </w:p>
    <w:p w14:paraId="6B059CB5">
      <w:pPr>
        <w:spacing w:line="240" w:lineRule="auto"/>
        <w:jc w:val="center"/>
        <w:outlineLvl w:val="1"/>
      </w:pPr>
      <w:r>
        <w:rPr>
          <w:rFonts w:ascii="黑体" w:hAnsi="黑体" w:eastAsia="黑体"/>
          <w:sz w:val="32"/>
        </w:rPr>
        <w:t>第四部分 部门决算报表（见附表）</w:t>
      </w:r>
    </w:p>
    <w:p w14:paraId="37510905">
      <w:pPr>
        <w:spacing w:line="240" w:lineRule="auto"/>
        <w:ind w:firstLine="640"/>
        <w:jc w:val="both"/>
      </w:pPr>
      <w:r>
        <w:rPr>
          <w:rFonts w:ascii="仿宋_GB2312" w:hAnsi="仿宋_GB2312" w:eastAsia="仿宋_GB2312"/>
          <w:b w:val="0"/>
          <w:sz w:val="32"/>
        </w:rPr>
        <w:t>一、《收入支出决算总表》</w:t>
      </w:r>
    </w:p>
    <w:p w14:paraId="414013D3">
      <w:pPr>
        <w:spacing w:line="240" w:lineRule="auto"/>
        <w:ind w:firstLine="640"/>
        <w:jc w:val="both"/>
      </w:pPr>
      <w:r>
        <w:rPr>
          <w:rFonts w:ascii="仿宋_GB2312" w:hAnsi="仿宋_GB2312" w:eastAsia="仿宋_GB2312"/>
          <w:b w:val="0"/>
          <w:sz w:val="32"/>
        </w:rPr>
        <w:t>二、《收入决算表》</w:t>
      </w:r>
    </w:p>
    <w:p w14:paraId="53EC7835">
      <w:pPr>
        <w:spacing w:line="240" w:lineRule="auto"/>
        <w:ind w:firstLine="640"/>
        <w:jc w:val="both"/>
      </w:pPr>
      <w:r>
        <w:rPr>
          <w:rFonts w:ascii="仿宋_GB2312" w:hAnsi="仿宋_GB2312" w:eastAsia="仿宋_GB2312"/>
          <w:b w:val="0"/>
          <w:sz w:val="32"/>
        </w:rPr>
        <w:t>三、《支出决算表》</w:t>
      </w:r>
    </w:p>
    <w:p w14:paraId="36CCD786">
      <w:pPr>
        <w:spacing w:line="240" w:lineRule="auto"/>
        <w:ind w:firstLine="640"/>
        <w:jc w:val="both"/>
      </w:pPr>
      <w:r>
        <w:rPr>
          <w:rFonts w:ascii="仿宋_GB2312" w:hAnsi="仿宋_GB2312" w:eastAsia="仿宋_GB2312"/>
          <w:b w:val="0"/>
          <w:sz w:val="32"/>
        </w:rPr>
        <w:t>四、《财政拨款收入支出决算总表》</w:t>
      </w:r>
    </w:p>
    <w:p w14:paraId="571D05D8">
      <w:pPr>
        <w:spacing w:line="240" w:lineRule="auto"/>
        <w:ind w:firstLine="640"/>
        <w:jc w:val="both"/>
      </w:pPr>
      <w:r>
        <w:rPr>
          <w:rFonts w:ascii="仿宋_GB2312" w:hAnsi="仿宋_GB2312" w:eastAsia="仿宋_GB2312"/>
          <w:b w:val="0"/>
          <w:sz w:val="32"/>
        </w:rPr>
        <w:t>五、《一般公共预算财政拨款支出决算表》</w:t>
      </w:r>
    </w:p>
    <w:p w14:paraId="108AD2B6">
      <w:pPr>
        <w:spacing w:line="240" w:lineRule="auto"/>
        <w:ind w:firstLine="640"/>
        <w:jc w:val="both"/>
      </w:pPr>
      <w:r>
        <w:rPr>
          <w:rFonts w:ascii="仿宋_GB2312" w:hAnsi="仿宋_GB2312" w:eastAsia="仿宋_GB2312"/>
          <w:b w:val="0"/>
          <w:sz w:val="32"/>
        </w:rPr>
        <w:t>六、《一般公共预算财政拨款基本支出决算表》</w:t>
      </w:r>
    </w:p>
    <w:p w14:paraId="6FFB0223">
      <w:pPr>
        <w:spacing w:line="240" w:lineRule="auto"/>
        <w:ind w:firstLine="640"/>
        <w:jc w:val="both"/>
      </w:pPr>
      <w:r>
        <w:rPr>
          <w:rFonts w:ascii="仿宋_GB2312" w:hAnsi="仿宋_GB2312" w:eastAsia="仿宋_GB2312"/>
          <w:b w:val="0"/>
          <w:sz w:val="32"/>
        </w:rPr>
        <w:t>七、《政府性基金预算财政拨款收入支出决算表》</w:t>
      </w:r>
    </w:p>
    <w:p w14:paraId="795E5B59">
      <w:pPr>
        <w:spacing w:line="240" w:lineRule="auto"/>
        <w:ind w:firstLine="640"/>
        <w:jc w:val="both"/>
      </w:pPr>
      <w:r>
        <w:rPr>
          <w:rFonts w:ascii="仿宋_GB2312" w:hAnsi="仿宋_GB2312" w:eastAsia="仿宋_GB2312"/>
          <w:b w:val="0"/>
          <w:sz w:val="32"/>
        </w:rPr>
        <w:t>八、《国有资本经营预算财政拨款收入支出决算表》</w:t>
      </w:r>
    </w:p>
    <w:p w14:paraId="33557033">
      <w:pPr>
        <w:spacing w:line="240" w:lineRule="auto"/>
        <w:ind w:firstLine="640"/>
        <w:jc w:val="both"/>
      </w:pPr>
      <w:r>
        <w:rPr>
          <w:rFonts w:ascii="仿宋_GB2312" w:hAnsi="仿宋_GB2312" w:eastAsia="仿宋_GB2312"/>
          <w:b w:val="0"/>
          <w:sz w:val="32"/>
        </w:rPr>
        <w:t>九、《财政拨款“三公”经费支出决算表》</w:t>
      </w:r>
    </w:p>
    <w:p w14:paraId="19122A2D">
      <w:pPr>
        <w:spacing w:line="240" w:lineRule="auto"/>
        <w:ind w:firstLine="640"/>
        <w:jc w:val="both"/>
      </w:pPr>
    </w:p>
    <w:p w14:paraId="3BD4484D">
      <w:pPr>
        <w:spacing w:line="240" w:lineRule="auto"/>
        <w:ind w:firstLine="640"/>
        <w:jc w:val="both"/>
      </w:pPr>
    </w:p>
    <w:p w14:paraId="197F2E74">
      <w:pPr>
        <w:spacing w:line="240" w:lineRule="auto"/>
        <w:ind w:firstLine="640"/>
        <w:jc w:val="both"/>
      </w:pPr>
    </w:p>
    <w:p w14:paraId="582D20F7">
      <w:pPr>
        <w:spacing w:line="240" w:lineRule="auto"/>
        <w:ind w:firstLine="640"/>
        <w:jc w:val="both"/>
      </w:pPr>
    </w:p>
    <w:p w14:paraId="651CBC7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D5C07EF-008B-4B6D-85A4-C67F96026D7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5DC4554-7992-4B47-B924-95436694DCF5}"/>
  </w:font>
  <w:font w:name="仿宋_GB2312">
    <w:panose1 w:val="02010609030101010101"/>
    <w:charset w:val="86"/>
    <w:family w:val="modern"/>
    <w:pitch w:val="default"/>
    <w:sig w:usb0="00000001" w:usb1="080E0000" w:usb2="00000000" w:usb3="00000000" w:csb0="00040000" w:csb1="00000000"/>
    <w:embedRegular r:id="rId3" w:fontKey="{5EA517E9-1626-4D42-9BBD-FD1CC3F35C99}"/>
  </w:font>
  <w:font w:name="楷体_GB2312">
    <w:panose1 w:val="02010609030101010101"/>
    <w:charset w:val="86"/>
    <w:family w:val="auto"/>
    <w:pitch w:val="default"/>
    <w:sig w:usb0="00000001" w:usb1="080E0000" w:usb2="00000000" w:usb3="00000000" w:csb0="00040000" w:csb1="00000000"/>
    <w:embedRegular r:id="rId4" w:fontKey="{0C7A7DA6-6D3B-4736-A799-F196C144E98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20F8C"/>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E8C43A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4782</Words>
  <Characters>5391</Characters>
  <Lines>0</Lines>
  <Paragraphs>0</Paragraphs>
  <TotalTime>4</TotalTime>
  <ScaleCrop>false</ScaleCrop>
  <LinksUpToDate>false</LinksUpToDate>
  <CharactersWithSpaces>5399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2025-09-11T10:55:35Z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