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新疆巴音郭楞蒙古自治州供销合作社联合社2024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13D834">
      <w:r>
        <w:br w:type="page"/>
      </w:r>
    </w:p>
    <w:p w14:paraId="18333CBF">
      <w:pPr>
        <w:spacing w:line="640" w:lineRule="exact"/>
        <w:jc w:val="center"/>
        <w:outlineLvl w:val="1"/>
      </w:pPr>
      <w:r>
        <w:rPr>
          <w:rFonts w:ascii="黑体" w:hAnsi="黑体" w:eastAsia="黑体"/>
          <w:sz w:val="32"/>
        </w:rPr>
        <w:t>第一部分 部门概况</w:t>
      </w:r>
    </w:p>
    <w:p w14:paraId="327AA9DB">
      <w:pPr>
        <w:spacing w:line="640" w:lineRule="exact"/>
        <w:ind w:firstLine="640"/>
        <w:jc w:val="both"/>
        <w:outlineLvl w:val="2"/>
      </w:pPr>
      <w:r>
        <w:rPr>
          <w:rFonts w:ascii="黑体" w:hAnsi="黑体" w:eastAsia="黑体"/>
          <w:sz w:val="32"/>
        </w:rPr>
        <w:t>一、主要职能</w:t>
      </w:r>
    </w:p>
    <w:p w14:paraId="0F65B84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贯彻党和政府有关农村经济和社会发展的方针、政策和法规；研究制定全州供销社与农民合作经济组织的发展战略和发展规划，指导全州供销社系统的改革发展和农村合作经济组织的业务活动。</w:t>
      </w:r>
    </w:p>
    <w:p w14:paraId="30339666">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研究有关农村流通体制改革，发展和完善有关农村农业生产资料和消费品市场体系建设，研究拟定发展农村连锁经营、物流配送、电子商务等现代流通经营网络规划并组织实施。</w:t>
      </w:r>
    </w:p>
    <w:p w14:paraId="73A7491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按照自治州人民政府授权，负责对重要农业生产资料、农副产品、烟花爆竹和再生资源的组织、协调和经营管理；负责棉花、化肥、农药、边销茶等重要物资的州级储备工作。</w:t>
      </w:r>
    </w:p>
    <w:p w14:paraId="3326733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行使州社资产出资人代表职能，监督社有资产保值增值，对社属控（参）股公司进行监管。</w:t>
      </w:r>
    </w:p>
    <w:p w14:paraId="76077D95">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负责全州供销社系统指导、协调等行业管理工作；向党委和政府及有关部门反映供销社、社办企业、</w:t>
      </w:r>
      <w:r>
        <w:rPr>
          <w:rFonts w:hint="eastAsia" w:ascii="仿宋_GB2312" w:hAnsi="仿宋_GB2312" w:eastAsia="仿宋_GB2312"/>
          <w:sz w:val="32"/>
          <w:lang w:eastAsia="zh-CN"/>
        </w:rPr>
        <w:t>农村集体经济组织</w:t>
      </w:r>
      <w:r>
        <w:rPr>
          <w:rFonts w:ascii="仿宋_GB2312" w:hAnsi="仿宋_GB2312" w:eastAsia="仿宋_GB2312"/>
          <w:sz w:val="32"/>
        </w:rPr>
        <w:t>和全体社员的合法权益。</w:t>
      </w:r>
    </w:p>
    <w:p w14:paraId="442A7511">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按照干部管理权限，负责州供销社机关及社属控（参）股公司的干部人事管理工作；负责全州供销社系统干部和职工的教育与培训工作。</w:t>
      </w:r>
    </w:p>
    <w:p w14:paraId="4C495CF9">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承办自治州党委、自治州人民政府交办的</w:t>
      </w:r>
      <w:r>
        <w:rPr>
          <w:rFonts w:hint="eastAsia" w:ascii="仿宋_GB2312" w:hAnsi="仿宋_GB2312" w:eastAsia="仿宋_GB2312"/>
          <w:sz w:val="32"/>
          <w:lang w:eastAsia="zh-CN"/>
        </w:rPr>
        <w:t>其他事项</w:t>
      </w:r>
      <w:r>
        <w:rPr>
          <w:rFonts w:ascii="仿宋_GB2312" w:hAnsi="仿宋_GB2312" w:eastAsia="仿宋_GB2312"/>
          <w:sz w:val="32"/>
        </w:rPr>
        <w:t>。</w:t>
      </w:r>
    </w:p>
    <w:p w14:paraId="208313B5">
      <w:pPr>
        <w:spacing w:line="640" w:lineRule="exact"/>
        <w:ind w:firstLine="640"/>
        <w:jc w:val="both"/>
        <w:outlineLvl w:val="2"/>
      </w:pPr>
      <w:r>
        <w:rPr>
          <w:rFonts w:ascii="黑体" w:hAnsi="黑体" w:eastAsia="黑体"/>
          <w:sz w:val="32"/>
        </w:rPr>
        <w:t>二、机构设置及人员情况</w:t>
      </w:r>
    </w:p>
    <w:p w14:paraId="7924F434">
      <w:pPr>
        <w:spacing w:line="580" w:lineRule="exact"/>
        <w:ind w:firstLine="640"/>
        <w:jc w:val="both"/>
      </w:pPr>
      <w:r>
        <w:rPr>
          <w:rFonts w:ascii="仿宋_GB2312" w:hAnsi="仿宋_GB2312" w:eastAsia="仿宋_GB2312"/>
          <w:sz w:val="32"/>
        </w:rPr>
        <w:t>新疆巴音郭楞蒙古自治州供销合作社联合社2024年度，实有人数54人，其中：在职人员19人，增加0人；离休人员1人，增加0人；退休人员34人,减少1人。</w:t>
      </w:r>
    </w:p>
    <w:p w14:paraId="7E3072DF">
      <w:pPr>
        <w:spacing w:line="580" w:lineRule="exact"/>
        <w:ind w:firstLine="640"/>
        <w:jc w:val="both"/>
      </w:pPr>
      <w:r>
        <w:rPr>
          <w:rFonts w:ascii="仿宋_GB2312" w:hAnsi="仿宋_GB2312" w:eastAsia="仿宋_GB2312"/>
          <w:sz w:val="32"/>
        </w:rPr>
        <w:t>新疆巴音郭楞蒙古自治州供销合作社联合社无下属预算单位，下设5个科室，分别是：计划财务科、人事科、办公室、基层业务科、安全生产科。</w:t>
      </w:r>
    </w:p>
    <w:p w14:paraId="7E97049A">
      <w:r>
        <w:br w:type="page"/>
      </w:r>
    </w:p>
    <w:p w14:paraId="343515EE">
      <w:pPr>
        <w:spacing w:line="240" w:lineRule="auto"/>
        <w:jc w:val="center"/>
        <w:outlineLvl w:val="1"/>
      </w:pPr>
      <w:r>
        <w:rPr>
          <w:rFonts w:ascii="黑体" w:hAnsi="黑体" w:eastAsia="黑体"/>
          <w:sz w:val="32"/>
        </w:rPr>
        <w:t>第二部分 部门决算情况说明</w:t>
      </w:r>
    </w:p>
    <w:p w14:paraId="17B3A5E0">
      <w:pPr>
        <w:spacing w:line="640" w:lineRule="exact"/>
        <w:ind w:firstLine="640"/>
        <w:jc w:val="both"/>
        <w:outlineLvl w:val="2"/>
      </w:pPr>
      <w:r>
        <w:rPr>
          <w:rFonts w:ascii="黑体" w:hAnsi="黑体" w:eastAsia="黑体"/>
          <w:sz w:val="32"/>
        </w:rPr>
        <w:t>一、收入支出决算总体情况说明</w:t>
      </w:r>
    </w:p>
    <w:p w14:paraId="5AF4C500">
      <w:pPr>
        <w:spacing w:line="580" w:lineRule="exact"/>
        <w:ind w:firstLine="640"/>
        <w:jc w:val="both"/>
      </w:pPr>
      <w:r>
        <w:rPr>
          <w:rFonts w:ascii="仿宋_GB2312" w:hAnsi="仿宋_GB2312" w:eastAsia="仿宋_GB2312"/>
          <w:b/>
          <w:sz w:val="32"/>
        </w:rPr>
        <w:t>2024年度收入总计485.24万元，</w:t>
      </w:r>
      <w:r>
        <w:rPr>
          <w:rFonts w:ascii="仿宋_GB2312" w:hAnsi="仿宋_GB2312" w:eastAsia="仿宋_GB2312"/>
          <w:b w:val="0"/>
          <w:sz w:val="32"/>
        </w:rPr>
        <w:t>其中：本年收入合计485.24万元，使用非财政拨款结余（含专用结余）0.00万元，年初结转和结余0.00万元。</w:t>
      </w:r>
    </w:p>
    <w:p w14:paraId="51B16C3B">
      <w:pPr>
        <w:spacing w:line="580" w:lineRule="exact"/>
        <w:ind w:firstLine="640"/>
        <w:jc w:val="both"/>
      </w:pPr>
      <w:r>
        <w:rPr>
          <w:rFonts w:ascii="仿宋_GB2312" w:hAnsi="仿宋_GB2312" w:eastAsia="仿宋_GB2312"/>
          <w:b/>
          <w:sz w:val="32"/>
        </w:rPr>
        <w:t>2024年度支出总计485.24万元，</w:t>
      </w:r>
      <w:r>
        <w:rPr>
          <w:rFonts w:ascii="仿宋_GB2312" w:hAnsi="仿宋_GB2312" w:eastAsia="仿宋_GB2312"/>
          <w:b w:val="0"/>
          <w:sz w:val="32"/>
        </w:rPr>
        <w:t>其中：本年支出合计485.24万元，结余分配0.00万元，年末结转和结余0.00万元。</w:t>
      </w:r>
    </w:p>
    <w:p w14:paraId="7D927678">
      <w:pPr>
        <w:spacing w:line="580" w:lineRule="exact"/>
        <w:ind w:firstLine="640"/>
        <w:jc w:val="both"/>
      </w:pPr>
      <w:r>
        <w:rPr>
          <w:rFonts w:ascii="仿宋_GB2312" w:hAnsi="仿宋_GB2312" w:eastAsia="仿宋_GB2312"/>
          <w:b w:val="0"/>
          <w:sz w:val="32"/>
        </w:rPr>
        <w:t>收入支出总体与上年相比，减少37.32万元，下降7.14%，主要原因是：本年大村转为小村工作队，人员减少，人员生活补助及为民办实事经费减少，导致经费较上年减少。</w:t>
      </w:r>
    </w:p>
    <w:p w14:paraId="41155E43">
      <w:pPr>
        <w:spacing w:line="640" w:lineRule="exact"/>
        <w:ind w:firstLine="640"/>
        <w:jc w:val="both"/>
        <w:outlineLvl w:val="2"/>
      </w:pPr>
      <w:r>
        <w:rPr>
          <w:rFonts w:ascii="黑体" w:hAnsi="黑体" w:eastAsia="黑体"/>
          <w:sz w:val="32"/>
        </w:rPr>
        <w:t>二、收入决算情况说明</w:t>
      </w:r>
    </w:p>
    <w:p w14:paraId="4B0C57B5">
      <w:pPr>
        <w:spacing w:line="580" w:lineRule="exact"/>
        <w:ind w:firstLine="640"/>
        <w:jc w:val="both"/>
      </w:pPr>
      <w:r>
        <w:rPr>
          <w:rFonts w:ascii="仿宋_GB2312" w:hAnsi="仿宋_GB2312" w:eastAsia="仿宋_GB2312"/>
          <w:b/>
          <w:sz w:val="32"/>
        </w:rPr>
        <w:t>本年收入485.24万元，</w:t>
      </w:r>
      <w:r>
        <w:rPr>
          <w:rFonts w:ascii="仿宋_GB2312" w:hAnsi="仿宋_GB2312" w:eastAsia="仿宋_GB2312"/>
          <w:b w:val="0"/>
          <w:sz w:val="32"/>
        </w:rPr>
        <w:t>其中：财政拨款收入485.24万元，占100.00%；上级补助收入0.00万元，占0.00%；事业收入0.00万元，占0.00%；经营收入0.00万元，占0.00%；附属单位上缴收入0.00万元，占0.00%；其他收入0.00万元，占0.00%。</w:t>
      </w:r>
    </w:p>
    <w:p w14:paraId="1CC3C974">
      <w:pPr>
        <w:spacing w:line="640" w:lineRule="exact"/>
        <w:ind w:firstLine="640"/>
        <w:jc w:val="both"/>
        <w:outlineLvl w:val="2"/>
      </w:pPr>
      <w:r>
        <w:rPr>
          <w:rFonts w:ascii="黑体" w:hAnsi="黑体" w:eastAsia="黑体"/>
          <w:sz w:val="32"/>
        </w:rPr>
        <w:t>三、支出决算情况说明</w:t>
      </w:r>
    </w:p>
    <w:p w14:paraId="10A12CDC">
      <w:pPr>
        <w:spacing w:line="580" w:lineRule="exact"/>
        <w:ind w:firstLine="640"/>
        <w:jc w:val="both"/>
      </w:pPr>
      <w:r>
        <w:rPr>
          <w:rFonts w:ascii="仿宋_GB2312" w:hAnsi="仿宋_GB2312" w:eastAsia="仿宋_GB2312"/>
          <w:b/>
          <w:sz w:val="32"/>
        </w:rPr>
        <w:t>本年支出485.24万元，</w:t>
      </w:r>
      <w:r>
        <w:rPr>
          <w:rFonts w:ascii="仿宋_GB2312" w:hAnsi="仿宋_GB2312" w:eastAsia="仿宋_GB2312"/>
          <w:b w:val="0"/>
          <w:sz w:val="32"/>
        </w:rPr>
        <w:t>其中：基本支出473.24万元，占97.53%；项目支出12.00万元，占2.47%；上缴上级支出0.00万元，占0.00%；经营支出0.00万元，占0.00%；对附属单位补助支出0.00万元，占0.00%。</w:t>
      </w:r>
    </w:p>
    <w:p w14:paraId="342F23F7">
      <w:pPr>
        <w:spacing w:line="640" w:lineRule="exact"/>
        <w:ind w:firstLine="640"/>
        <w:jc w:val="both"/>
        <w:outlineLvl w:val="2"/>
      </w:pPr>
      <w:r>
        <w:rPr>
          <w:rFonts w:ascii="黑体" w:hAnsi="黑体" w:eastAsia="黑体"/>
          <w:sz w:val="32"/>
        </w:rPr>
        <w:t>四、财政拨款收入支出决算总体情况说明</w:t>
      </w:r>
    </w:p>
    <w:p w14:paraId="6F627072">
      <w:pPr>
        <w:spacing w:line="580" w:lineRule="exact"/>
        <w:ind w:firstLine="640"/>
        <w:jc w:val="both"/>
      </w:pPr>
      <w:r>
        <w:rPr>
          <w:rFonts w:ascii="仿宋_GB2312" w:hAnsi="仿宋_GB2312" w:eastAsia="仿宋_GB2312"/>
          <w:b/>
          <w:sz w:val="32"/>
        </w:rPr>
        <w:t>2024年度财政拨款收入总计485.24万元，</w:t>
      </w:r>
      <w:r>
        <w:rPr>
          <w:rFonts w:ascii="仿宋_GB2312" w:hAnsi="仿宋_GB2312" w:eastAsia="仿宋_GB2312"/>
          <w:b w:val="0"/>
          <w:sz w:val="32"/>
        </w:rPr>
        <w:t>其中：年初财政拨款结转和结余0.00万元，本年财政拨款收入485.24万元。</w:t>
      </w:r>
      <w:r>
        <w:rPr>
          <w:rFonts w:ascii="仿宋_GB2312" w:hAnsi="仿宋_GB2312" w:eastAsia="仿宋_GB2312"/>
          <w:b/>
          <w:sz w:val="32"/>
        </w:rPr>
        <w:t>财政拨款支出总计485.24万元，</w:t>
      </w:r>
      <w:r>
        <w:rPr>
          <w:rFonts w:ascii="仿宋_GB2312" w:hAnsi="仿宋_GB2312" w:eastAsia="仿宋_GB2312"/>
          <w:b w:val="0"/>
          <w:sz w:val="32"/>
        </w:rPr>
        <w:t>其中：年末财政拨款结转和结余0.00万元，本年财政拨款支出485.24万元。</w:t>
      </w:r>
    </w:p>
    <w:p w14:paraId="19D656C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减少37.32万元，下降7.14%，主要原因是：本年大村转为小村工作队，人员减少，人员生活补助及为民办实事经费减少，导致经费较上年减少。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年初预算数490.29万元，决算数485.24万元，预决算差异率-1.03%，主要原因是：本年大村转为小村工作队，人员减少，人员生活补助及为民办实事经费减少，年中调减经费，导致预决算差异。</w:t>
      </w:r>
    </w:p>
    <w:p w14:paraId="1C6F9362">
      <w:pPr>
        <w:spacing w:line="640" w:lineRule="exact"/>
        <w:ind w:firstLine="640"/>
        <w:jc w:val="both"/>
        <w:outlineLvl w:val="2"/>
      </w:pPr>
      <w:r>
        <w:rPr>
          <w:rFonts w:ascii="黑体" w:hAnsi="黑体" w:eastAsia="黑体"/>
          <w:sz w:val="32"/>
        </w:rPr>
        <w:t>五、一般公共预算财政拨款支出决算情况说明</w:t>
      </w:r>
    </w:p>
    <w:p w14:paraId="42FB2625">
      <w:pPr>
        <w:spacing w:line="640" w:lineRule="exact"/>
        <w:ind w:firstLine="640"/>
        <w:jc w:val="both"/>
        <w:outlineLvl w:val="3"/>
      </w:pPr>
      <w:r>
        <w:rPr>
          <w:rFonts w:ascii="楷体_GB2312" w:hAnsi="楷体_GB2312" w:eastAsia="楷体_GB2312"/>
          <w:b/>
          <w:sz w:val="32"/>
        </w:rPr>
        <w:t>（一）一般公共预算财政拨款支出决算总体情况</w:t>
      </w:r>
    </w:p>
    <w:p w14:paraId="045E729B">
      <w:pPr>
        <w:spacing w:line="580" w:lineRule="exact"/>
        <w:ind w:firstLine="640"/>
        <w:jc w:val="both"/>
      </w:pPr>
      <w:r>
        <w:rPr>
          <w:rFonts w:ascii="仿宋_GB2312" w:hAnsi="仿宋_GB2312" w:eastAsia="仿宋_GB2312"/>
          <w:b/>
          <w:sz w:val="32"/>
        </w:rPr>
        <w:t>2024年度一般公共预算财政拨款支出485.24万元，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减少37.32万元，下降7.14%，主要原因是：本年大村转为小村工作队，人员减少，人员生活补助及为民办实事经费减少，导致经费较上年减少。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年初预算数490.29万元，决算数485.24万元，预决算差异率-1.03%，主要原因是：本年大村转为小村工作队，人员减少，人员生活补助及为民办实事经费减少，年中调减经费，导致预决算差异。</w:t>
      </w:r>
    </w:p>
    <w:p w14:paraId="5F21AEAA">
      <w:pPr>
        <w:spacing w:line="640" w:lineRule="exact"/>
        <w:ind w:firstLine="640"/>
        <w:jc w:val="both"/>
        <w:outlineLvl w:val="3"/>
      </w:pPr>
      <w:r>
        <w:rPr>
          <w:rFonts w:ascii="楷体_GB2312" w:hAnsi="楷体_GB2312" w:eastAsia="楷体_GB2312"/>
          <w:b/>
          <w:sz w:val="32"/>
        </w:rPr>
        <w:t>（二）一般公共预算财政拨款支出决算结构情况</w:t>
      </w:r>
    </w:p>
    <w:p w14:paraId="0E979D52">
      <w:pPr>
        <w:spacing w:line="580" w:lineRule="exact"/>
        <w:ind w:firstLine="640"/>
        <w:jc w:val="both"/>
      </w:pPr>
      <w:r>
        <w:rPr>
          <w:rFonts w:ascii="仿宋_GB2312" w:hAnsi="仿宋_GB2312" w:eastAsia="仿宋_GB2312"/>
          <w:b w:val="0"/>
          <w:sz w:val="32"/>
        </w:rPr>
        <w:t>1.教育支出(类)1.48万元,占0.31%。</w:t>
      </w:r>
    </w:p>
    <w:p w14:paraId="0ACF0F04">
      <w:pPr>
        <w:spacing w:line="580" w:lineRule="exact"/>
        <w:ind w:firstLine="640"/>
        <w:jc w:val="both"/>
      </w:pPr>
      <w:r>
        <w:rPr>
          <w:rFonts w:ascii="仿宋_GB2312" w:hAnsi="仿宋_GB2312" w:eastAsia="仿宋_GB2312"/>
          <w:b w:val="0"/>
          <w:sz w:val="32"/>
        </w:rPr>
        <w:t>2.社会保障和就业支出(类)96.42万元,占19.87%。</w:t>
      </w:r>
    </w:p>
    <w:p w14:paraId="5FA5A027">
      <w:pPr>
        <w:spacing w:line="580" w:lineRule="exact"/>
        <w:ind w:firstLine="640"/>
        <w:jc w:val="both"/>
      </w:pPr>
      <w:r>
        <w:rPr>
          <w:rFonts w:ascii="仿宋_GB2312" w:hAnsi="仿宋_GB2312" w:eastAsia="仿宋_GB2312"/>
          <w:b w:val="0"/>
          <w:sz w:val="32"/>
        </w:rPr>
        <w:t>3.卫生健康支出(类)23.86万元,占4.92%。</w:t>
      </w:r>
    </w:p>
    <w:p w14:paraId="7608C163">
      <w:pPr>
        <w:spacing w:line="580" w:lineRule="exact"/>
        <w:ind w:firstLine="640"/>
        <w:jc w:val="both"/>
      </w:pPr>
      <w:r>
        <w:rPr>
          <w:rFonts w:ascii="仿宋_GB2312" w:hAnsi="仿宋_GB2312" w:eastAsia="仿宋_GB2312"/>
          <w:b w:val="0"/>
          <w:sz w:val="32"/>
        </w:rPr>
        <w:t>4.商业服务业等支出(类)334.76万元,占68.99%。</w:t>
      </w:r>
    </w:p>
    <w:p w14:paraId="67E3DFAC">
      <w:pPr>
        <w:spacing w:line="580" w:lineRule="exact"/>
        <w:ind w:firstLine="640"/>
        <w:jc w:val="both"/>
      </w:pPr>
      <w:r>
        <w:rPr>
          <w:rFonts w:ascii="仿宋_GB2312" w:hAnsi="仿宋_GB2312" w:eastAsia="仿宋_GB2312"/>
          <w:b w:val="0"/>
          <w:sz w:val="32"/>
        </w:rPr>
        <w:t>5.住房保障支出(类)28.71万元,占5.92%。</w:t>
      </w:r>
    </w:p>
    <w:p w14:paraId="78B66C1D">
      <w:pPr>
        <w:spacing w:line="640" w:lineRule="exact"/>
        <w:ind w:firstLine="640"/>
        <w:jc w:val="both"/>
        <w:outlineLvl w:val="3"/>
      </w:pPr>
      <w:r>
        <w:rPr>
          <w:rFonts w:ascii="楷体_GB2312" w:hAnsi="楷体_GB2312" w:eastAsia="楷体_GB2312"/>
          <w:b/>
          <w:sz w:val="32"/>
        </w:rPr>
        <w:t>（三）一般公共预算财政拨款支出决算具体情况</w:t>
      </w:r>
    </w:p>
    <w:p w14:paraId="073FA3FF">
      <w:pPr>
        <w:spacing w:line="580" w:lineRule="exact"/>
        <w:ind w:firstLine="640"/>
        <w:jc w:val="both"/>
      </w:pPr>
      <w:r>
        <w:rPr>
          <w:rFonts w:ascii="仿宋_GB2312" w:hAnsi="仿宋_GB2312" w:eastAsia="仿宋_GB2312"/>
          <w:b w:val="0"/>
          <w:sz w:val="32"/>
        </w:rPr>
        <w:t>1.教育支出(类)进修及培训(款)培训支出(项):支出决算数为1.48万元，比上年决算增加0.27万元，增长22.31%,主要原因是：本年参加自治区供销社组织的业务培训，培训次数增加，导致培训费较上年增加。</w:t>
      </w:r>
    </w:p>
    <w:p w14:paraId="2F3749FE">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2.社会保障和就业支出(类)行政事业单位养老支出(款)行政单位离退休(项):支出决算数为51.62万元，比上年决算增加7.65万元，增长17.40%,主要原因是：本年增加退休人员基础绩效奖，退休费支出增加。</w:t>
      </w:r>
    </w:p>
    <w:p w14:paraId="41BE7183">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37.31万元，比上年决算增加2.10万元，增长5.96%,主要原因是：本年在职人员工资基数调增，养老缴费基数上涨，相应支出增加。</w:t>
      </w:r>
    </w:p>
    <w:p w14:paraId="5446F77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4.社会保障和就业支出(类)行政事业单位养老支出(款)机关事业单位职业年金缴费支出(项):支出决算数为7.49万元，比上年决算减少7.75万元，下降50.85%,主要原因是：本年无新增退休人员，职业年金缴费较上年减少。</w:t>
      </w:r>
    </w:p>
    <w:p w14:paraId="11903550">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5.社会保障和就业支出(类)抚恤(款)死亡抚恤(项):支出决算数为0.00万元，比上年决算减少20.52万元，下降100.00%,主要原因是：本年新增去世人员手续未办，</w:t>
      </w:r>
      <w:r>
        <w:rPr>
          <w:rFonts w:hint="eastAsia" w:ascii="仿宋_GB2312" w:hAnsi="仿宋_GB2312" w:eastAsia="仿宋_GB2312"/>
          <w:b w:val="0"/>
          <w:sz w:val="32"/>
          <w:lang w:val="en-US" w:eastAsia="zh-CN"/>
        </w:rPr>
        <w:t>无死亡抚恤金支出，</w:t>
      </w:r>
      <w:r>
        <w:rPr>
          <w:rFonts w:ascii="仿宋_GB2312" w:hAnsi="仿宋_GB2312" w:eastAsia="仿宋_GB2312"/>
          <w:b w:val="0"/>
          <w:sz w:val="32"/>
        </w:rPr>
        <w:t>导致经费较上年减少。</w:t>
      </w:r>
    </w:p>
    <w:p w14:paraId="246B1023">
      <w:pPr>
        <w:spacing w:line="580" w:lineRule="exact"/>
        <w:ind w:firstLine="640"/>
        <w:jc w:val="both"/>
      </w:pPr>
      <w:r>
        <w:rPr>
          <w:rFonts w:ascii="仿宋_GB2312" w:hAnsi="仿宋_GB2312" w:eastAsia="仿宋_GB2312"/>
          <w:b w:val="0"/>
          <w:sz w:val="32"/>
        </w:rPr>
        <w:t>6.卫生健康支出(类)行政事业单位医疗(款)行政单位医疗(项):支出决算数为16.32万元，比上年决算增加0.78万元，增长5.02%,主要原因是：本年在职人员工资基数调增，医疗缴费基数上涨，相应支出增加。</w:t>
      </w:r>
    </w:p>
    <w:p w14:paraId="5C55A1B3">
      <w:pPr>
        <w:spacing w:line="580" w:lineRule="exact"/>
        <w:ind w:firstLine="640"/>
        <w:jc w:val="both"/>
      </w:pPr>
      <w:r>
        <w:rPr>
          <w:rFonts w:ascii="仿宋_GB2312" w:hAnsi="仿宋_GB2312" w:eastAsia="仿宋_GB2312"/>
          <w:b w:val="0"/>
          <w:sz w:val="32"/>
        </w:rPr>
        <w:t>7.卫生健康支出(类)行政事业单位医疗(款)公务员医疗补助(项):支出决算数为7.00万元，比上年决算增加0.32万元，增长4.79%,主要原因是：本年在职人员工资基数调增，医疗缴费基数上涨，相应支出增加。</w:t>
      </w:r>
    </w:p>
    <w:p w14:paraId="2449699E">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0.54万元，比上年决算减少0.72万元，下降57.14%,主要原因是：退休人员医疗保险制度改革，退休人员不再缴纳医疗，相应支出减少。</w:t>
      </w:r>
    </w:p>
    <w:p w14:paraId="15C72B32">
      <w:pPr>
        <w:spacing w:line="580" w:lineRule="exact"/>
        <w:ind w:firstLine="640"/>
        <w:jc w:val="both"/>
      </w:pPr>
      <w:r>
        <w:rPr>
          <w:rFonts w:ascii="仿宋_GB2312" w:hAnsi="仿宋_GB2312" w:eastAsia="仿宋_GB2312"/>
          <w:b w:val="0"/>
          <w:sz w:val="32"/>
        </w:rPr>
        <w:t>9.商业服务业等支出(类)商业流通事务(款)行政运行(项):支出决算数为322.76万元，比上年决算减少17.41万元，下降5.12%,主要原因是：本年大村转为小村工作队，人员减少，人员生活补助减少，导致经费较上年减少。</w:t>
      </w:r>
    </w:p>
    <w:p w14:paraId="254856E5">
      <w:pPr>
        <w:spacing w:line="580" w:lineRule="exact"/>
        <w:ind w:firstLine="640"/>
        <w:jc w:val="both"/>
      </w:pPr>
      <w:r>
        <w:rPr>
          <w:rFonts w:ascii="仿宋_GB2312" w:hAnsi="仿宋_GB2312" w:eastAsia="仿宋_GB2312"/>
          <w:b w:val="0"/>
          <w:sz w:val="32"/>
        </w:rPr>
        <w:t>10.商业服务业等支出(类)商业流通事务(款)一般行政管理事务(项):支出决算数为12.00万元，比上年决算减少5.00万元，下降29.41%,主要原因是：本年工作队为民办实事项目从大社区调整到小村，按照规定调减，导致经费较上年减少。</w:t>
      </w:r>
    </w:p>
    <w:p w14:paraId="17512C11">
      <w:pPr>
        <w:spacing w:line="580" w:lineRule="exact"/>
        <w:ind w:firstLine="640"/>
        <w:jc w:val="both"/>
      </w:pPr>
      <w:r>
        <w:rPr>
          <w:rFonts w:ascii="仿宋_GB2312" w:hAnsi="仿宋_GB2312" w:eastAsia="仿宋_GB2312"/>
          <w:b w:val="0"/>
          <w:sz w:val="32"/>
        </w:rPr>
        <w:t>11.住房保障支出(类)住房改革支出(款)住房公积金(项):支出决算数为28.71万元，比上年决算增加2.95万元，增长11.45%,主要原因是：本年在职人员工资基数调增，公积金缴费基数上涨，相应支出增加。</w:t>
      </w:r>
    </w:p>
    <w:p w14:paraId="7A7E13AF">
      <w:pPr>
        <w:spacing w:line="640" w:lineRule="exact"/>
        <w:ind w:firstLine="640"/>
        <w:jc w:val="both"/>
        <w:outlineLvl w:val="2"/>
      </w:pPr>
      <w:r>
        <w:rPr>
          <w:rFonts w:ascii="黑体" w:hAnsi="黑体" w:eastAsia="黑体"/>
          <w:sz w:val="32"/>
        </w:rPr>
        <w:t>六、一般公共预算财政拨款基本支出决算情况说明</w:t>
      </w:r>
    </w:p>
    <w:p w14:paraId="2746A9FF">
      <w:pPr>
        <w:spacing w:line="580" w:lineRule="exact"/>
        <w:ind w:firstLine="640"/>
        <w:jc w:val="both"/>
      </w:pPr>
      <w:r>
        <w:rPr>
          <w:rFonts w:ascii="仿宋_GB2312" w:hAnsi="仿宋_GB2312" w:eastAsia="仿宋_GB2312"/>
          <w:b w:val="0"/>
          <w:sz w:val="32"/>
        </w:rPr>
        <w:t>2024年度一般公共预算财政拨款基本支出473.24万元，其中：</w:t>
      </w:r>
      <w:r>
        <w:rPr>
          <w:rFonts w:ascii="仿宋_GB2312" w:hAnsi="仿宋_GB2312" w:eastAsia="仿宋_GB2312"/>
          <w:b/>
          <w:sz w:val="32"/>
        </w:rPr>
        <w:t>人员经费441.26万元，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离休费、退休费、抚恤金、生活补助、奖励金。</w:t>
      </w:r>
    </w:p>
    <w:p w14:paraId="6E6E9048">
      <w:pPr>
        <w:spacing w:line="580" w:lineRule="exact"/>
        <w:ind w:firstLine="640"/>
        <w:jc w:val="both"/>
      </w:pPr>
      <w:r>
        <w:rPr>
          <w:rFonts w:ascii="仿宋_GB2312" w:hAnsi="仿宋_GB2312" w:eastAsia="仿宋_GB2312"/>
          <w:b/>
          <w:sz w:val="32"/>
        </w:rPr>
        <w:t>公用经费31.99万元，</w:t>
      </w:r>
      <w:r>
        <w:rPr>
          <w:rFonts w:ascii="仿宋_GB2312" w:hAnsi="仿宋_GB2312" w:eastAsia="仿宋_GB2312"/>
          <w:b w:val="0"/>
          <w:sz w:val="32"/>
        </w:rPr>
        <w:t>包括：办公费、水费、电费、邮电费、取暖费、物业管理费、差旅费、培训费、公务接待费、劳务费、工会经费、福利费、其他交通费用、其他商品和服务支出。</w:t>
      </w:r>
    </w:p>
    <w:p w14:paraId="2B4F4597">
      <w:pPr>
        <w:spacing w:line="640" w:lineRule="exact"/>
        <w:ind w:firstLine="640"/>
        <w:jc w:val="both"/>
        <w:outlineLvl w:val="2"/>
      </w:pPr>
      <w:r>
        <w:rPr>
          <w:rFonts w:ascii="黑体" w:hAnsi="黑体" w:eastAsia="黑体"/>
          <w:sz w:val="32"/>
        </w:rPr>
        <w:t>七、政府性基金预算财政拨款收入支出决算情况说明</w:t>
      </w:r>
    </w:p>
    <w:p w14:paraId="6C657F04">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7088664">
      <w:pPr>
        <w:spacing w:line="640" w:lineRule="exact"/>
        <w:ind w:firstLine="640"/>
        <w:jc w:val="both"/>
        <w:outlineLvl w:val="2"/>
      </w:pPr>
      <w:r>
        <w:rPr>
          <w:rFonts w:ascii="黑体" w:hAnsi="黑体" w:eastAsia="黑体"/>
          <w:sz w:val="32"/>
        </w:rPr>
        <w:t>八、国有资本经营预算财政拨款收入支出决算情况说明</w:t>
      </w:r>
    </w:p>
    <w:p w14:paraId="74CC3762">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3CA1CC1">
      <w:pPr>
        <w:spacing w:line="640" w:lineRule="exact"/>
        <w:ind w:firstLine="640"/>
        <w:jc w:val="both"/>
        <w:outlineLvl w:val="2"/>
      </w:pPr>
      <w:r>
        <w:rPr>
          <w:rFonts w:ascii="黑体" w:hAnsi="黑体" w:eastAsia="黑体"/>
          <w:sz w:val="32"/>
        </w:rPr>
        <w:t>九、财政拨款“三公”经费支出决算情况说明</w:t>
      </w:r>
    </w:p>
    <w:p w14:paraId="5FECEE8B">
      <w:pPr>
        <w:spacing w:line="580" w:lineRule="exact"/>
        <w:ind w:firstLine="640"/>
        <w:jc w:val="both"/>
      </w:pPr>
      <w:r>
        <w:rPr>
          <w:rFonts w:ascii="仿宋_GB2312" w:hAnsi="仿宋_GB2312" w:eastAsia="仿宋_GB2312"/>
          <w:b/>
          <w:sz w:val="32"/>
        </w:rPr>
        <w:t>2024年度财政拨款“三公”经费支出0.15万元，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0.15万元，占100.00%，比上年增加0.00万元，增长0.00%，主要原因是：本部门公务接待费与上年一致无变化。</w:t>
      </w:r>
    </w:p>
    <w:p w14:paraId="059BFD07">
      <w:pPr>
        <w:spacing w:line="580" w:lineRule="exact"/>
        <w:ind w:firstLine="640"/>
        <w:jc w:val="both"/>
      </w:pPr>
      <w:r>
        <w:rPr>
          <w:rFonts w:ascii="仿宋_GB2312" w:hAnsi="仿宋_GB2312" w:eastAsia="仿宋_GB2312"/>
          <w:b/>
          <w:sz w:val="32"/>
        </w:rPr>
        <w:t>具体情况如下：</w:t>
      </w:r>
    </w:p>
    <w:p w14:paraId="1EA8F4B8">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E2949E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部门无公务用车运行维护费。公务用车购置数0辆，公务用车保有量0辆。国有资产占用情况中固定资产车辆0辆，与公务用车保有量差异原因是：本部门无固定资产车辆。</w:t>
      </w:r>
    </w:p>
    <w:p w14:paraId="44DADB6A">
      <w:pPr>
        <w:spacing w:line="580" w:lineRule="exact"/>
        <w:ind w:firstLine="640"/>
        <w:jc w:val="both"/>
      </w:pPr>
      <w:r>
        <w:rPr>
          <w:rFonts w:ascii="仿宋_GB2312" w:hAnsi="仿宋_GB2312" w:eastAsia="仿宋_GB2312"/>
          <w:b w:val="0"/>
          <w:sz w:val="32"/>
        </w:rPr>
        <w:t>公务接待费0.15万元，开支内容包括因供销系统单位考察学习，接待上级领导检查产生的就餐费。部门全年安排的国内公务接待2批次，15人次。</w:t>
      </w:r>
    </w:p>
    <w:p w14:paraId="675504F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0.15万元，决算数0.15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0.00万元，决算数0.00万元，预决算差异率0.00%，主要原因是：本部门无公务用车运行维护费。公务接待费全年预算数0.15万元，决算数0.15万元，预决算差异率0.00%，主要原因是：严格按照预算执行，预决算无差异。</w:t>
      </w:r>
    </w:p>
    <w:p w14:paraId="40B88F80">
      <w:pPr>
        <w:spacing w:line="640" w:lineRule="exact"/>
        <w:ind w:firstLine="640"/>
        <w:jc w:val="both"/>
        <w:outlineLvl w:val="2"/>
      </w:pPr>
      <w:r>
        <w:rPr>
          <w:rFonts w:ascii="黑体" w:hAnsi="黑体" w:eastAsia="黑体"/>
          <w:sz w:val="32"/>
        </w:rPr>
        <w:t>十、其他重要事项的情况说明</w:t>
      </w:r>
    </w:p>
    <w:p w14:paraId="3A2AEB65">
      <w:pPr>
        <w:spacing w:line="640" w:lineRule="exact"/>
        <w:ind w:firstLine="640"/>
        <w:jc w:val="both"/>
        <w:outlineLvl w:val="3"/>
      </w:pPr>
      <w:r>
        <w:rPr>
          <w:rFonts w:ascii="楷体_GB2312" w:hAnsi="楷体_GB2312" w:eastAsia="楷体_GB2312"/>
          <w:b/>
          <w:sz w:val="32"/>
        </w:rPr>
        <w:t>（一）机关运行经费及公用经费支出情况</w:t>
      </w:r>
    </w:p>
    <w:p w14:paraId="55ECCEBA">
      <w:pPr>
        <w:spacing w:line="580" w:lineRule="exact"/>
        <w:ind w:firstLine="640"/>
        <w:jc w:val="both"/>
      </w:pPr>
      <w:r>
        <w:rPr>
          <w:rFonts w:ascii="仿宋_GB2312" w:hAnsi="仿宋_GB2312" w:eastAsia="仿宋_GB2312"/>
          <w:b w:val="0"/>
          <w:sz w:val="32"/>
        </w:rPr>
        <w:t>2024年度新疆巴音郭楞蒙古自治州供销合作社联合社（行政单位和参照公务员法管理事业单位）机关运行经费支出31.99万元，比上年增加2.87万元，增长9.86%，主要原因是：本年更新、维护补充办公用品，增加劳务、邮电费等，导致机关运行经费增加。</w:t>
      </w:r>
    </w:p>
    <w:p w14:paraId="796F02A9">
      <w:pPr>
        <w:spacing w:line="640" w:lineRule="exact"/>
        <w:ind w:firstLine="640"/>
        <w:jc w:val="both"/>
        <w:outlineLvl w:val="3"/>
      </w:pPr>
      <w:r>
        <w:rPr>
          <w:rFonts w:ascii="楷体_GB2312" w:hAnsi="楷体_GB2312" w:eastAsia="楷体_GB2312"/>
          <w:b/>
          <w:sz w:val="32"/>
        </w:rPr>
        <w:t>（二）政府采购情况</w:t>
      </w:r>
    </w:p>
    <w:p w14:paraId="12AB07B5">
      <w:pPr>
        <w:spacing w:line="580" w:lineRule="exact"/>
        <w:ind w:firstLine="640"/>
        <w:jc w:val="both"/>
      </w:pPr>
      <w:r>
        <w:rPr>
          <w:rFonts w:ascii="仿宋_GB2312" w:hAnsi="仿宋_GB2312" w:eastAsia="仿宋_GB2312"/>
          <w:b w:val="0"/>
          <w:sz w:val="32"/>
        </w:rPr>
        <w:t>2024年度政府采购支出总额0.83万元，其中：政府采购货物支出0.83万元、政府采购工程支出0.00万元、政府采购服务支出0.00万元。</w:t>
      </w:r>
    </w:p>
    <w:p w14:paraId="39269F01">
      <w:pPr>
        <w:spacing w:line="580" w:lineRule="exact"/>
        <w:ind w:firstLine="640"/>
        <w:jc w:val="both"/>
      </w:pPr>
      <w:r>
        <w:rPr>
          <w:rFonts w:ascii="仿宋_GB2312" w:hAnsi="仿宋_GB2312" w:eastAsia="仿宋_GB2312"/>
          <w:b w:val="0"/>
          <w:sz w:val="32"/>
        </w:rPr>
        <w:t>授予中小企业合同金额0.83万元，占政府采购支出总额的100.00%，其中：授予小微企业合同金额0.83万元，占政府采购支出总额的100.00%。</w:t>
      </w:r>
    </w:p>
    <w:p w14:paraId="11FE0478">
      <w:pPr>
        <w:spacing w:line="640" w:lineRule="exact"/>
        <w:ind w:firstLine="640"/>
        <w:jc w:val="both"/>
        <w:outlineLvl w:val="3"/>
      </w:pPr>
      <w:r>
        <w:rPr>
          <w:rFonts w:ascii="楷体_GB2312" w:hAnsi="楷体_GB2312" w:eastAsia="楷体_GB2312"/>
          <w:b/>
          <w:sz w:val="32"/>
        </w:rPr>
        <w:t>（三）国有资产占用情况说明</w:t>
      </w:r>
    </w:p>
    <w:p w14:paraId="7D38E0B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14:paraId="1832BEC0">
      <w:pPr>
        <w:spacing w:line="640" w:lineRule="exact"/>
        <w:ind w:firstLine="640"/>
        <w:jc w:val="both"/>
        <w:outlineLvl w:val="2"/>
      </w:pPr>
      <w:r>
        <w:rPr>
          <w:rFonts w:ascii="黑体" w:hAnsi="黑体" w:eastAsia="黑体"/>
          <w:sz w:val="32"/>
        </w:rPr>
        <w:t>十一、预算绩效的情况说明</w:t>
      </w:r>
    </w:p>
    <w:p w14:paraId="6DC12ED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485.24万元，实际执行总额485.24万元；预算绩效评价项目1个，全年预算数12.00万元，全年执行数12.00万元。预算绩效管理取得的成效：提高财政资金使用效益，确保民生工程顺利开展，对专项资金使用效果好的予以继续支持，对专项资金管理较好的做法予以宣传推广。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1.预算绩效目标设置不够细化，在年初对预算资金使用达到的绩效目标进行细化、量化的程度不够，使用绩效评价指标体系设置的合理性和科学性有待提高。2.单位业务人员对预算绩效管理意识还欠缺，有待提高。下一步改进措施：1.认真分析和研究项目的实际情况，强化对绩效目标设置的精细化，精准化设置，从而提高制定绩效指标值的准确性。2.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w:t>
      </w:r>
      <w:r>
        <w:rPr>
          <w:rFonts w:hint="eastAsia" w:ascii="仿宋_GB2312" w:hAnsi="仿宋_GB2312" w:eastAsia="仿宋_GB2312"/>
          <w:b w:val="0"/>
          <w:sz w:val="32"/>
          <w:lang w:val="en-US" w:eastAsia="zh-CN"/>
        </w:rPr>
        <w:t>部门</w:t>
      </w:r>
      <w:r>
        <w:rPr>
          <w:rFonts w:ascii="仿宋_GB2312" w:hAnsi="仿宋_GB2312" w:eastAsia="仿宋_GB2312"/>
          <w:b w:val="0"/>
          <w:sz w:val="32"/>
        </w:rPr>
        <w:t>绩效人员水平。具体附部门整体支出绩效自评表，项目支出绩效自评表和部门评价报告。</w:t>
      </w:r>
    </w:p>
    <w:p w14:paraId="5A860AD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332"/>
        <w:gridCol w:w="773"/>
        <w:gridCol w:w="1105"/>
        <w:gridCol w:w="1105"/>
        <w:gridCol w:w="1105"/>
      </w:tblGrid>
      <w:tr w14:paraId="28709952">
        <w:tblPrEx>
          <w:tblCellMar>
            <w:top w:w="0" w:type="dxa"/>
            <w:left w:w="108" w:type="dxa"/>
            <w:bottom w:w="0" w:type="dxa"/>
            <w:right w:w="108" w:type="dxa"/>
          </w:tblCellMar>
        </w:tblPrEx>
        <w:tc>
          <w:tcPr>
            <w:tcW w:w="8840" w:type="dxa"/>
            <w:gridSpan w:val="9"/>
            <w:vAlign w:val="center"/>
          </w:tcPr>
          <w:p w14:paraId="059CB3DD">
            <w:pPr>
              <w:jc w:val="center"/>
            </w:pPr>
            <w:r>
              <w:rPr>
                <w:rFonts w:ascii="宋体" w:hAnsi="宋体" w:eastAsia="宋体"/>
                <w:sz w:val="24"/>
              </w:rPr>
              <w:t>部门整体支出绩效自评表</w:t>
            </w:r>
          </w:p>
        </w:tc>
      </w:tr>
      <w:tr w14:paraId="69DEB1FF">
        <w:tblPrEx>
          <w:tblCellMar>
            <w:top w:w="0" w:type="dxa"/>
            <w:left w:w="108" w:type="dxa"/>
            <w:bottom w:w="0" w:type="dxa"/>
            <w:right w:w="108" w:type="dxa"/>
          </w:tblCellMar>
        </w:tblPrEx>
        <w:tc>
          <w:tcPr>
            <w:tcW w:w="8840" w:type="dxa"/>
            <w:gridSpan w:val="9"/>
            <w:vAlign w:val="center"/>
          </w:tcPr>
          <w:p w14:paraId="26CD6D84">
            <w:pPr>
              <w:jc w:val="center"/>
            </w:pPr>
            <w:r>
              <w:rPr>
                <w:rFonts w:ascii="宋体" w:hAnsi="宋体" w:eastAsia="宋体"/>
                <w:sz w:val="24"/>
              </w:rPr>
              <w:t>（2024年度）</w:t>
            </w:r>
          </w:p>
        </w:tc>
      </w:tr>
      <w:tr w14:paraId="1B7CE66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222BF">
            <w:pPr>
              <w:jc w:val="center"/>
            </w:pPr>
            <w:r>
              <w:rPr>
                <w:rFonts w:ascii="宋体" w:hAnsi="宋体" w:eastAsia="宋体"/>
                <w:sz w:val="16"/>
              </w:rPr>
              <w:t>部门名称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1346F4">
            <w:pPr>
              <w:jc w:val="center"/>
            </w:pPr>
            <w:r>
              <w:rPr>
                <w:rFonts w:ascii="宋体" w:hAnsi="宋体" w:eastAsia="宋体"/>
                <w:sz w:val="16"/>
              </w:rPr>
              <w:t>新疆巴音郭楞蒙古自治州供销合作社联合社</w:t>
            </w:r>
          </w:p>
        </w:tc>
      </w:tr>
      <w:tr w14:paraId="14247A1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30D6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B116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72CE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C396E">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873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9167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51CD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BE4A0">
            <w:pPr>
              <w:jc w:val="center"/>
            </w:pPr>
            <w:r>
              <w:rPr>
                <w:rFonts w:ascii="宋体" w:hAnsi="宋体" w:eastAsia="宋体"/>
                <w:sz w:val="16"/>
              </w:rPr>
              <w:t>得分</w:t>
            </w:r>
          </w:p>
        </w:tc>
      </w:tr>
      <w:tr w14:paraId="4B3BA3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4759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690F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0D3FF">
            <w:pPr>
              <w:jc w:val="center"/>
            </w:pPr>
            <w:r>
              <w:rPr>
                <w:rFonts w:ascii="宋体" w:hAnsi="宋体" w:eastAsia="宋体"/>
                <w:sz w:val="16"/>
              </w:rPr>
              <w:t>490.29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C1D71">
            <w:pPr>
              <w:jc w:val="center"/>
            </w:pPr>
            <w:r>
              <w:rPr>
                <w:rFonts w:ascii="宋体" w:hAnsi="宋体" w:eastAsia="宋体"/>
                <w:sz w:val="16"/>
              </w:rPr>
              <w:t>485.24</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C260">
            <w:pPr>
              <w:jc w:val="center"/>
            </w:pPr>
            <w:r>
              <w:rPr>
                <w:rFonts w:ascii="宋体" w:hAnsi="宋体" w:eastAsia="宋体"/>
                <w:sz w:val="16"/>
              </w:rPr>
              <w:t>485.24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9A61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4AC1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38C6BE">
            <w:pPr>
              <w:jc w:val="center"/>
            </w:pPr>
            <w:r>
              <w:rPr>
                <w:rFonts w:ascii="宋体" w:hAnsi="宋体" w:eastAsia="宋体"/>
                <w:sz w:val="16"/>
              </w:rPr>
              <w:t>10</w:t>
            </w:r>
          </w:p>
        </w:tc>
      </w:tr>
      <w:tr w14:paraId="0774D8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8AAD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69C44">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4819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BB26C">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21E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5329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608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7C1FA">
            <w:pPr>
              <w:jc w:val="center"/>
            </w:pPr>
            <w:r>
              <w:rPr>
                <w:rFonts w:ascii="宋体" w:hAnsi="宋体" w:eastAsia="宋体"/>
                <w:sz w:val="16"/>
              </w:rPr>
              <w:t>-</w:t>
            </w:r>
          </w:p>
        </w:tc>
      </w:tr>
      <w:tr w14:paraId="5F2925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59BA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FB13D">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66DF8">
            <w:pPr>
              <w:jc w:val="center"/>
            </w:pPr>
            <w:r>
              <w:rPr>
                <w:rFonts w:ascii="宋体" w:hAnsi="宋体" w:eastAsia="宋体"/>
                <w:sz w:val="16"/>
              </w:rPr>
              <w:t>490.29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426A6">
            <w:pPr>
              <w:jc w:val="center"/>
            </w:pPr>
            <w:r>
              <w:rPr>
                <w:rFonts w:ascii="宋体" w:hAnsi="宋体" w:eastAsia="宋体"/>
                <w:sz w:val="16"/>
              </w:rPr>
              <w:t>485.24</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E7E3">
            <w:pPr>
              <w:jc w:val="center"/>
            </w:pPr>
            <w:r>
              <w:rPr>
                <w:rFonts w:ascii="宋体" w:hAnsi="宋体" w:eastAsia="宋体"/>
                <w:sz w:val="16"/>
              </w:rPr>
              <w:t>485.24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CB49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B31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D7BD5">
            <w:pPr>
              <w:jc w:val="center"/>
            </w:pPr>
            <w:r>
              <w:rPr>
                <w:rFonts w:ascii="宋体" w:hAnsi="宋体" w:eastAsia="宋体"/>
                <w:sz w:val="16"/>
              </w:rPr>
              <w:t>-</w:t>
            </w:r>
          </w:p>
        </w:tc>
      </w:tr>
      <w:tr w14:paraId="433AD1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C0DDE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375F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06CC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72542">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6F5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4CD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B1D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CC639">
            <w:pPr>
              <w:jc w:val="center"/>
            </w:pPr>
            <w:r>
              <w:rPr>
                <w:rFonts w:ascii="宋体" w:hAnsi="宋体" w:eastAsia="宋体"/>
                <w:sz w:val="16"/>
              </w:rPr>
              <w:t>-</w:t>
            </w:r>
          </w:p>
        </w:tc>
      </w:tr>
      <w:tr w14:paraId="506F88A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A8EC3">
            <w:pPr>
              <w:jc w:val="center"/>
            </w:pPr>
            <w:r>
              <w:rPr>
                <w:rFonts w:ascii="宋体" w:hAnsi="宋体" w:eastAsia="宋体"/>
                <w:sz w:val="16"/>
              </w:rPr>
              <w:t>年度总体目标</w:t>
            </w:r>
          </w:p>
        </w:tc>
        <w:tc>
          <w:tcPr>
            <w:tcW w:w="364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5278C2">
            <w:pPr>
              <w:jc w:val="center"/>
            </w:pPr>
            <w:r>
              <w:rPr>
                <w:rFonts w:ascii="宋体" w:hAnsi="宋体" w:eastAsia="宋体"/>
                <w:sz w:val="16"/>
              </w:rPr>
              <w:t>预期目标</w:t>
            </w:r>
          </w:p>
        </w:tc>
        <w:tc>
          <w:tcPr>
            <w:tcW w:w="408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79E155">
            <w:pPr>
              <w:jc w:val="center"/>
            </w:pPr>
            <w:r>
              <w:rPr>
                <w:rFonts w:ascii="宋体" w:hAnsi="宋体" w:eastAsia="宋体"/>
                <w:sz w:val="16"/>
              </w:rPr>
              <w:t>实际完成情况</w:t>
            </w:r>
          </w:p>
        </w:tc>
      </w:tr>
      <w:tr w14:paraId="55E4EC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AD2209"/>
        </w:tc>
        <w:tc>
          <w:tcPr>
            <w:tcW w:w="364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CF87D6">
            <w:pPr>
              <w:jc w:val="both"/>
            </w:pPr>
            <w:r>
              <w:rPr>
                <w:rFonts w:ascii="宋体" w:hAnsi="宋体" w:eastAsia="宋体"/>
                <w:sz w:val="16"/>
              </w:rPr>
              <w:t>贯彻落实党和政府有关农村经济和社会发展的方针、政策和法规，指导全州供销社的改革发展和农村合作经济组织的业务活动；研究拟定推进有关农村流通现代化及用连锁经营、物流配送、电子商务等现代流通方式改造传统经营网络的规划并组织实施；全力做好农资供应，主动服务全面推进乡村振兴；持续深化综合改革，切实推动体制机制创新；积极拓展为农服务领域，不断提升农业全产业链服务水平；提升基层</w:t>
            </w:r>
            <w:r>
              <w:rPr>
                <w:rFonts w:hint="eastAsia" w:ascii="宋体" w:hAnsi="宋体"/>
                <w:sz w:val="16"/>
                <w:lang w:eastAsia="zh-CN"/>
              </w:rPr>
              <w:t>设施设造</w:t>
            </w:r>
            <w:r>
              <w:rPr>
                <w:rFonts w:ascii="宋体" w:hAnsi="宋体" w:eastAsia="宋体"/>
                <w:sz w:val="16"/>
              </w:rPr>
              <w:t>数量，拓展服务领域，提升综合实力；深化综合改革，增加农业社会化服务面积；培育高质量发展基层</w:t>
            </w:r>
            <w:r>
              <w:rPr>
                <w:rFonts w:hint="eastAsia" w:ascii="宋体" w:hAnsi="宋体"/>
                <w:sz w:val="16"/>
                <w:lang w:eastAsia="zh-CN"/>
              </w:rPr>
              <w:t>设施</w:t>
            </w:r>
            <w:r>
              <w:rPr>
                <w:rFonts w:ascii="宋体" w:hAnsi="宋体" w:eastAsia="宋体"/>
                <w:sz w:val="16"/>
              </w:rPr>
              <w:t>，充实服务功能；加强建设农产品两张网经营网点，推进三农经济发展。</w:t>
            </w:r>
          </w:p>
        </w:tc>
        <w:tc>
          <w:tcPr>
            <w:tcW w:w="408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450BC0">
            <w:pPr>
              <w:jc w:val="both"/>
            </w:pPr>
            <w:r>
              <w:rPr>
                <w:rFonts w:ascii="宋体" w:hAnsi="宋体" w:eastAsia="宋体"/>
                <w:sz w:val="16"/>
              </w:rPr>
              <w:t>全州供销社采取联合合作、社会企业带动、开放办社等方式推进农村综合服务改造提升，本年提升基层</w:t>
            </w:r>
            <w:r>
              <w:rPr>
                <w:rFonts w:hint="eastAsia" w:ascii="宋体" w:hAnsi="宋体"/>
                <w:sz w:val="16"/>
                <w:lang w:eastAsia="zh-CN"/>
              </w:rPr>
              <w:t>设施</w:t>
            </w:r>
            <w:r>
              <w:rPr>
                <w:rFonts w:ascii="宋体" w:hAnsi="宋体" w:eastAsia="宋体"/>
                <w:sz w:val="16"/>
              </w:rPr>
              <w:t>改造数量5个，拓展服务领域，提升综合实力；通过邀请绿色优质农资和现代农业机械合作企业技术专家的指导培训，深化综合改革，增加农业社会化服务面积50万亩，为优质农资进入小农户拓宽了市场渠道；培育高质量发展基层社4个，培育打造服务功能比较全、社会形象比较好、实现可持续发展的高质量基层社，示范带动基层社持续发展；加强建设农产品两张网经营网点10个，通过增加经营网点数量、扩大覆盖范围、提升线上交易占比和物流配送时效，减少了流通成本，提高农产品流通效率。</w:t>
            </w:r>
          </w:p>
        </w:tc>
      </w:tr>
      <w:tr w14:paraId="62E6E0D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B62B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DAA1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34DF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C74EC">
            <w:pPr>
              <w:jc w:val="center"/>
            </w:pPr>
            <w:r>
              <w:rPr>
                <w:rFonts w:ascii="宋体" w:hAnsi="宋体" w:eastAsia="宋体"/>
                <w:sz w:val="16"/>
              </w:rPr>
              <w:t>预期指标值</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6C4E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D241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156E0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D4550">
            <w:pPr>
              <w:jc w:val="center"/>
            </w:pPr>
            <w:r>
              <w:rPr>
                <w:rFonts w:ascii="宋体" w:hAnsi="宋体" w:eastAsia="宋体"/>
                <w:sz w:val="16"/>
              </w:rPr>
              <w:t>得分</w:t>
            </w:r>
          </w:p>
        </w:tc>
      </w:tr>
      <w:tr w14:paraId="3851599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2318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762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A49086">
            <w:pPr>
              <w:jc w:val="center"/>
            </w:pPr>
            <w:r>
              <w:rPr>
                <w:rFonts w:ascii="宋体" w:hAnsi="宋体" w:eastAsia="宋体"/>
                <w:sz w:val="16"/>
              </w:rPr>
              <w:t>基层社改造提升数量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BD99F">
            <w:pPr>
              <w:jc w:val="center"/>
            </w:pPr>
            <w:r>
              <w:rPr>
                <w:rFonts w:ascii="宋体" w:hAnsi="宋体" w:eastAsia="宋体"/>
                <w:sz w:val="16"/>
              </w:rPr>
              <w:t>=5个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F5B5E">
            <w:pPr>
              <w:jc w:val="center"/>
            </w:pPr>
            <w:r>
              <w:rPr>
                <w:rFonts w:ascii="宋体" w:hAnsi="宋体" w:eastAsia="宋体"/>
                <w:sz w:val="16"/>
              </w:rPr>
              <w:t>新供联发</w:t>
            </w:r>
            <w:r>
              <w:rPr>
                <w:rFonts w:hint="eastAsia" w:ascii="宋体" w:hAnsi="宋体"/>
                <w:sz w:val="16"/>
                <w:lang w:eastAsia="zh-CN"/>
              </w:rPr>
              <w:t>〔2023〕44号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D0C0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C1383">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6738E">
            <w:pPr>
              <w:jc w:val="center"/>
            </w:pPr>
            <w:r>
              <w:rPr>
                <w:rFonts w:ascii="宋体" w:hAnsi="宋体" w:eastAsia="宋体"/>
                <w:sz w:val="16"/>
              </w:rPr>
              <w:t>20</w:t>
            </w:r>
          </w:p>
        </w:tc>
      </w:tr>
      <w:tr w14:paraId="4AFF41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73D70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0636F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503ED">
            <w:pPr>
              <w:jc w:val="center"/>
            </w:pPr>
            <w:r>
              <w:rPr>
                <w:rFonts w:ascii="宋体" w:hAnsi="宋体" w:eastAsia="宋体"/>
                <w:sz w:val="16"/>
              </w:rPr>
              <w:t>农业社会化服务面积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0463B">
            <w:pPr>
              <w:jc w:val="center"/>
            </w:pPr>
            <w:r>
              <w:rPr>
                <w:rFonts w:ascii="宋体" w:hAnsi="宋体" w:eastAsia="宋体"/>
                <w:sz w:val="16"/>
              </w:rPr>
              <w:t>=50万亩</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AF67">
            <w:pPr>
              <w:jc w:val="center"/>
            </w:pPr>
            <w:r>
              <w:rPr>
                <w:rFonts w:ascii="宋体" w:hAnsi="宋体" w:eastAsia="宋体"/>
                <w:sz w:val="16"/>
              </w:rPr>
              <w:t>新供联合</w:t>
            </w:r>
            <w:r>
              <w:rPr>
                <w:rFonts w:hint="eastAsia" w:ascii="宋体" w:hAnsi="宋体"/>
                <w:sz w:val="16"/>
                <w:lang w:eastAsia="zh-CN"/>
              </w:rPr>
              <w:t>〔2023〕44号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8025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74CC3">
            <w:pPr>
              <w:jc w:val="center"/>
            </w:pPr>
            <w:r>
              <w:rPr>
                <w:rFonts w:ascii="宋体" w:hAnsi="宋体" w:eastAsia="宋体"/>
                <w:sz w:val="16"/>
              </w:rPr>
              <w:t>50万亩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4E05F">
            <w:pPr>
              <w:jc w:val="center"/>
            </w:pPr>
            <w:r>
              <w:rPr>
                <w:rFonts w:ascii="宋体" w:hAnsi="宋体" w:eastAsia="宋体"/>
                <w:sz w:val="16"/>
              </w:rPr>
              <w:t>30</w:t>
            </w:r>
          </w:p>
        </w:tc>
      </w:tr>
      <w:tr w14:paraId="1272A0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B1C0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90970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9F4F8">
            <w:pPr>
              <w:jc w:val="center"/>
            </w:pPr>
            <w:r>
              <w:rPr>
                <w:rFonts w:ascii="宋体" w:hAnsi="宋体" w:eastAsia="宋体"/>
                <w:sz w:val="16"/>
              </w:rPr>
              <w:t>培育高质量发展基层社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CAB758">
            <w:pPr>
              <w:jc w:val="center"/>
            </w:pPr>
            <w:r>
              <w:rPr>
                <w:rFonts w:ascii="宋体" w:hAnsi="宋体" w:eastAsia="宋体"/>
                <w:sz w:val="16"/>
              </w:rPr>
              <w:t>=4个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7CAF">
            <w:pPr>
              <w:jc w:val="center"/>
            </w:pPr>
            <w:r>
              <w:rPr>
                <w:rFonts w:ascii="宋体" w:hAnsi="宋体" w:eastAsia="宋体"/>
                <w:sz w:val="16"/>
              </w:rPr>
              <w:t>供销社2024年度工作计划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F09B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1AEFB">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8857F">
            <w:pPr>
              <w:jc w:val="center"/>
            </w:pPr>
            <w:r>
              <w:rPr>
                <w:rFonts w:ascii="宋体" w:hAnsi="宋体" w:eastAsia="宋体"/>
                <w:sz w:val="16"/>
              </w:rPr>
              <w:t>20</w:t>
            </w:r>
          </w:p>
        </w:tc>
      </w:tr>
      <w:tr w14:paraId="57E0A4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41827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204B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0B442">
            <w:pPr>
              <w:jc w:val="center"/>
            </w:pPr>
            <w:r>
              <w:rPr>
                <w:rFonts w:ascii="宋体" w:hAnsi="宋体" w:eastAsia="宋体"/>
                <w:sz w:val="16"/>
              </w:rPr>
              <w:t>加强建设农产品两张网经营网点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FEC5F">
            <w:pPr>
              <w:jc w:val="center"/>
            </w:pPr>
            <w:r>
              <w:rPr>
                <w:rFonts w:ascii="宋体" w:hAnsi="宋体" w:eastAsia="宋体"/>
                <w:sz w:val="16"/>
              </w:rPr>
              <w:t>=10个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D4AB1">
            <w:pPr>
              <w:jc w:val="center"/>
            </w:pPr>
            <w:r>
              <w:rPr>
                <w:rFonts w:ascii="宋体" w:hAnsi="宋体" w:eastAsia="宋体"/>
                <w:sz w:val="16"/>
              </w:rPr>
              <w:t>供销社2024年度工作计划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69D6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014C1">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F02CB">
            <w:pPr>
              <w:jc w:val="center"/>
            </w:pPr>
            <w:r>
              <w:rPr>
                <w:rFonts w:ascii="宋体" w:hAnsi="宋体" w:eastAsia="宋体"/>
                <w:sz w:val="16"/>
              </w:rPr>
              <w:t>20</w:t>
            </w:r>
          </w:p>
        </w:tc>
      </w:tr>
    </w:tbl>
    <w:p w14:paraId="67BD32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F92C7B5">
        <w:tblPrEx>
          <w:tblCellMar>
            <w:top w:w="0" w:type="dxa"/>
            <w:left w:w="108" w:type="dxa"/>
            <w:bottom w:w="0" w:type="dxa"/>
            <w:right w:w="108" w:type="dxa"/>
          </w:tblCellMar>
        </w:tblPrEx>
        <w:tc>
          <w:tcPr>
            <w:tcW w:w="8848" w:type="dxa"/>
            <w:gridSpan w:val="14"/>
            <w:vAlign w:val="center"/>
          </w:tcPr>
          <w:p w14:paraId="28EA42EB">
            <w:pPr>
              <w:jc w:val="center"/>
            </w:pPr>
            <w:r>
              <w:rPr>
                <w:rFonts w:ascii="宋体" w:hAnsi="宋体" w:eastAsia="宋体"/>
                <w:sz w:val="24"/>
              </w:rPr>
              <w:t>项目支出绩效自评表</w:t>
            </w:r>
          </w:p>
        </w:tc>
      </w:tr>
      <w:tr w14:paraId="7212D595">
        <w:tblPrEx>
          <w:tblCellMar>
            <w:top w:w="0" w:type="dxa"/>
            <w:left w:w="108" w:type="dxa"/>
            <w:bottom w:w="0" w:type="dxa"/>
            <w:right w:w="108" w:type="dxa"/>
          </w:tblCellMar>
        </w:tblPrEx>
        <w:tc>
          <w:tcPr>
            <w:tcW w:w="8848" w:type="dxa"/>
            <w:gridSpan w:val="14"/>
            <w:vAlign w:val="center"/>
          </w:tcPr>
          <w:p w14:paraId="4F8041F8">
            <w:pPr>
              <w:jc w:val="center"/>
            </w:pPr>
            <w:r>
              <w:rPr>
                <w:rFonts w:ascii="宋体" w:hAnsi="宋体" w:eastAsia="宋体"/>
                <w:sz w:val="24"/>
              </w:rPr>
              <w:t>(2024年度)</w:t>
            </w:r>
          </w:p>
        </w:tc>
      </w:tr>
      <w:tr w14:paraId="58DB91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01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75FFB1">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39811B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FF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64EF2">
            <w:pPr>
              <w:jc w:val="center"/>
            </w:pPr>
            <w:r>
              <w:rPr>
                <w:rFonts w:ascii="宋体" w:hAnsi="宋体" w:eastAsia="宋体"/>
                <w:sz w:val="16"/>
              </w:rPr>
              <w:t>新疆</w:t>
            </w:r>
            <w:bookmarkStart w:id="0" w:name="_GoBack"/>
            <w:r>
              <w:rPr>
                <w:rFonts w:ascii="宋体" w:hAnsi="宋体" w:eastAsia="宋体"/>
                <w:sz w:val="16"/>
              </w:rPr>
              <w:t>巴音郭楞</w:t>
            </w:r>
            <w:bookmarkEnd w:id="0"/>
            <w:r>
              <w:rPr>
                <w:rFonts w:ascii="宋体" w:hAnsi="宋体" w:eastAsia="宋体"/>
                <w:sz w:val="16"/>
              </w:rPr>
              <w:t>蒙古自治州供销合作社联合社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9E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D2C92F">
            <w:pPr>
              <w:jc w:val="center"/>
            </w:pPr>
            <w:r>
              <w:rPr>
                <w:rFonts w:ascii="宋体" w:hAnsi="宋体" w:eastAsia="宋体"/>
                <w:sz w:val="16"/>
              </w:rPr>
              <w:t>新疆巴音郭楞蒙古自治州供销合作社联合社</w:t>
            </w:r>
          </w:p>
        </w:tc>
      </w:tr>
      <w:tr w14:paraId="034000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C165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A81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E3D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77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10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11E4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D8B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185C">
            <w:pPr>
              <w:jc w:val="center"/>
            </w:pPr>
            <w:r>
              <w:rPr>
                <w:rFonts w:ascii="宋体" w:hAnsi="宋体" w:eastAsia="宋体"/>
                <w:sz w:val="16"/>
              </w:rPr>
              <w:t>得分</w:t>
            </w:r>
          </w:p>
        </w:tc>
      </w:tr>
      <w:tr w14:paraId="39FC7C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905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FF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4503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E758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8F9B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A1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ECD2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137E">
            <w:pPr>
              <w:jc w:val="center"/>
            </w:pPr>
            <w:r>
              <w:rPr>
                <w:rFonts w:ascii="宋体" w:hAnsi="宋体" w:eastAsia="宋体"/>
                <w:sz w:val="16"/>
              </w:rPr>
              <w:t>10.00</w:t>
            </w:r>
          </w:p>
        </w:tc>
      </w:tr>
      <w:tr w14:paraId="72EF3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AAC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6E3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D504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3E79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F2F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B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1B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6B1D">
            <w:pPr>
              <w:jc w:val="center"/>
            </w:pPr>
            <w:r>
              <w:rPr>
                <w:rFonts w:ascii="宋体" w:hAnsi="宋体" w:eastAsia="宋体"/>
                <w:sz w:val="16"/>
              </w:rPr>
              <w:t>-</w:t>
            </w:r>
          </w:p>
        </w:tc>
      </w:tr>
      <w:tr w14:paraId="2F2B7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382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6AAA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3C1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727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E5A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35A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F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3799">
            <w:pPr>
              <w:jc w:val="center"/>
            </w:pPr>
            <w:r>
              <w:rPr>
                <w:rFonts w:ascii="宋体" w:hAnsi="宋体" w:eastAsia="宋体"/>
                <w:sz w:val="16"/>
              </w:rPr>
              <w:t>-</w:t>
            </w:r>
          </w:p>
        </w:tc>
      </w:tr>
      <w:tr w14:paraId="35EE0A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8B7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14C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DD9DB9">
            <w:pPr>
              <w:jc w:val="center"/>
            </w:pPr>
            <w:r>
              <w:rPr>
                <w:rFonts w:ascii="宋体" w:hAnsi="宋体" w:eastAsia="宋体"/>
                <w:sz w:val="16"/>
              </w:rPr>
              <w:t>总体目标完成情况</w:t>
            </w:r>
          </w:p>
        </w:tc>
      </w:tr>
      <w:tr w14:paraId="453DC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D1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DBA12">
            <w:pPr>
              <w:jc w:val="both"/>
            </w:pPr>
            <w:r>
              <w:rPr>
                <w:rFonts w:ascii="宋体" w:hAnsi="宋体" w:eastAsia="宋体"/>
                <w:sz w:val="16"/>
              </w:rPr>
              <w:t>本单位阿瓦提乡阿克艾日可村</w:t>
            </w:r>
            <w:r>
              <w:rPr>
                <w:rFonts w:hint="eastAsia" w:ascii="宋体" w:hAnsi="宋体"/>
                <w:sz w:val="16"/>
                <w:lang w:eastAsia="zh-CN"/>
              </w:rPr>
              <w:t>为民办实事</w:t>
            </w:r>
            <w:r>
              <w:rPr>
                <w:rFonts w:ascii="宋体" w:hAnsi="宋体" w:eastAsia="宋体"/>
                <w:sz w:val="16"/>
              </w:rPr>
              <w:t>工作队1个，派驻第一书记1人，工作队队员4人，</w:t>
            </w:r>
            <w:r>
              <w:rPr>
                <w:rFonts w:hint="eastAsia" w:ascii="宋体" w:hAnsi="宋体"/>
                <w:sz w:val="16"/>
                <w:lang w:eastAsia="zh-CN"/>
              </w:rPr>
              <w:t>为民办实事</w:t>
            </w:r>
            <w:r>
              <w:rPr>
                <w:rFonts w:ascii="宋体" w:hAnsi="宋体" w:eastAsia="宋体"/>
                <w:sz w:val="16"/>
              </w:rPr>
              <w:t>工作队要积极认真做好群众工作，进一步增强责任感、使命感，扎扎实实</w:t>
            </w:r>
            <w:r>
              <w:rPr>
                <w:rFonts w:hint="eastAsia" w:ascii="宋体" w:hAnsi="宋体"/>
                <w:sz w:val="16"/>
                <w:lang w:eastAsia="zh-CN"/>
              </w:rPr>
              <w:t>地</w:t>
            </w:r>
            <w:r>
              <w:rPr>
                <w:rFonts w:ascii="宋体" w:hAnsi="宋体" w:eastAsia="宋体"/>
                <w:sz w:val="16"/>
              </w:rPr>
              <w:t>抓好贯彻落实，使各项惠民政策在群众心中生根、凝心、聚力，让各族群众切实感受到党委、政府的关怀和温暖。坚定不移建强基层党组织，坚定不移推进强村富民，坚定不移提升治理水平，坚定不移为民办事服务，使干部和群众距离更近、更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CD5BA4">
            <w:pPr>
              <w:jc w:val="both"/>
            </w:pPr>
            <w:r>
              <w:rPr>
                <w:rFonts w:ascii="宋体" w:hAnsi="宋体" w:eastAsia="宋体"/>
                <w:sz w:val="16"/>
              </w:rPr>
              <w:t>按照上级工作要求，本单位</w:t>
            </w:r>
            <w:r>
              <w:rPr>
                <w:rFonts w:hint="eastAsia" w:ascii="宋体" w:hAnsi="宋体"/>
                <w:sz w:val="16"/>
                <w:lang w:eastAsia="zh-CN"/>
              </w:rPr>
              <w:t>为民办实事</w:t>
            </w:r>
            <w:r>
              <w:rPr>
                <w:rFonts w:ascii="宋体" w:hAnsi="宋体" w:eastAsia="宋体"/>
                <w:sz w:val="16"/>
              </w:rPr>
              <w:t>点于本年度6月调整至在阿瓦提乡阿克艾日克村，目前已派驻工作队1个，工作队队长兼第一书记1人，队员4人，派驻工作队积极做好群众工作，</w:t>
            </w:r>
            <w:r>
              <w:rPr>
                <w:rFonts w:hint="eastAsia" w:ascii="宋体" w:hAnsi="宋体"/>
                <w:sz w:val="16"/>
                <w:lang w:eastAsia="zh-CN"/>
              </w:rPr>
              <w:t>扎扎实实地</w:t>
            </w:r>
            <w:r>
              <w:rPr>
                <w:rFonts w:ascii="宋体" w:hAnsi="宋体" w:eastAsia="宋体"/>
                <w:sz w:val="16"/>
              </w:rPr>
              <w:t>抓好贯彻落实党中央关于新疆工作方针政策。一是开展民族团结和社会稳定工作。2024年6月以来组织开展《去极端化条例》宣讲活动，邀请县级领导和乡领导开展去极端化宣讲。二是开展基层政策帮扶工作。积极帮助村民上交2025年度合作医疗费、养老保险。结合农牧民夜校开展培训。整治人居环境、清理卫生死角、清理破损横幅、破损广告牌。三是开展民生扶持和慰问工作。工作队队员与村干部汇编分组入户走访，收集困难诉求，如邻里纠纷、诈骗、拆迁、果园流转等问题，维修辖区路灯，春节、中秋节等重要节假日来前结合“主题党日活动”为主题活动并购买慰问品慰问本村老弱、病残脱贫户，购买大米，油，茶叶开展慰问等活动，通过合理合规使用为民办实事经费，使各项惠民政策在群众心中生根、凝心、聚力，让广大村民切实感受到党委、政府的关怀和温暖。</w:t>
            </w:r>
          </w:p>
        </w:tc>
      </w:tr>
      <w:tr w14:paraId="47718F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BB2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6F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FD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8E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D0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52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633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43E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4F4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78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4F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80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A6F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1962">
            <w:pPr>
              <w:jc w:val="center"/>
            </w:pPr>
            <w:r>
              <w:rPr>
                <w:rFonts w:ascii="宋体" w:hAnsi="宋体" w:eastAsia="宋体"/>
                <w:sz w:val="16"/>
              </w:rPr>
              <w:t>偏差原因分析及改进措施</w:t>
            </w:r>
          </w:p>
        </w:tc>
      </w:tr>
      <w:tr w14:paraId="13FB39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787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D2C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CB7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68A2">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340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7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C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C0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A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E0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6BF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7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E4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2395">
            <w:pPr>
              <w:jc w:val="center"/>
            </w:pPr>
          </w:p>
        </w:tc>
      </w:tr>
      <w:tr w14:paraId="0FBBF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A8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8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B8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63AD">
            <w:pPr>
              <w:jc w:val="center"/>
            </w:pPr>
            <w:r>
              <w:rPr>
                <w:rFonts w:ascii="宋体" w:hAnsi="宋体" w:eastAsia="宋体"/>
                <w:sz w:val="16"/>
              </w:rPr>
              <w:t>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7A9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10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FB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6E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C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2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DB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D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81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8248">
            <w:pPr>
              <w:jc w:val="center"/>
            </w:pPr>
          </w:p>
        </w:tc>
      </w:tr>
      <w:tr w14:paraId="1D1C4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8A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80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BAB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263B">
            <w:pPr>
              <w:jc w:val="center"/>
            </w:pPr>
            <w:r>
              <w:rPr>
                <w:rFonts w:ascii="宋体" w:hAnsi="宋体" w:eastAsia="宋体"/>
                <w:sz w:val="16"/>
              </w:rPr>
              <w:t>派驻工作队第一书记人数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899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39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A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AE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F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5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764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6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2C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4358">
            <w:pPr>
              <w:jc w:val="center"/>
            </w:pPr>
          </w:p>
        </w:tc>
      </w:tr>
      <w:tr w14:paraId="772CA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B8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8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2B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6EFB">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4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B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E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F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0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74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2F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C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1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43AE">
            <w:pPr>
              <w:jc w:val="center"/>
            </w:pPr>
          </w:p>
        </w:tc>
      </w:tr>
      <w:tr w14:paraId="28CFF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6B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F8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9F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B7C1">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A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0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6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A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1D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6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A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F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6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F694">
            <w:pPr>
              <w:jc w:val="center"/>
            </w:pPr>
          </w:p>
        </w:tc>
      </w:tr>
      <w:tr w14:paraId="01357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B6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097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1F6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8BA5">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32B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17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D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0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4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1DD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B62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9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42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B381">
            <w:pPr>
              <w:jc w:val="center"/>
            </w:pPr>
          </w:p>
        </w:tc>
      </w:tr>
      <w:tr w14:paraId="5260E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E7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9E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4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8FFE">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EBC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B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9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C9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8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F5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3A8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C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9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ED4D">
            <w:pPr>
              <w:jc w:val="center"/>
            </w:pPr>
          </w:p>
        </w:tc>
      </w:tr>
      <w:tr w14:paraId="7C5FB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1E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62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E3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46E9">
            <w:pPr>
              <w:jc w:val="center"/>
            </w:pPr>
            <w:r>
              <w:rPr>
                <w:rFonts w:ascii="宋体" w:hAnsi="宋体" w:eastAsia="宋体"/>
                <w:sz w:val="16"/>
              </w:rPr>
              <w:t>受益村民人数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28A2">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2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B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74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4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6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2E53">
            <w:pPr>
              <w:jc w:val="center"/>
            </w:pPr>
            <w:r>
              <w:rPr>
                <w:rFonts w:ascii="宋体" w:hAnsi="宋体" w:eastAsia="宋体"/>
                <w:sz w:val="16"/>
              </w:rPr>
              <w: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F5A4">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0CAF">
            <w:pPr>
              <w:jc w:val="center"/>
            </w:pPr>
            <w:r>
              <w:rPr>
                <w:rFonts w:ascii="宋体" w:hAnsi="宋体" w:eastAsia="宋体"/>
                <w:sz w:val="16"/>
              </w:rPr>
              <w:t>15.6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7C84">
            <w:pPr>
              <w:jc w:val="center"/>
            </w:pPr>
            <w:r>
              <w:rPr>
                <w:rFonts w:hint="eastAsia" w:ascii="宋体" w:hAnsi="宋体"/>
                <w:sz w:val="16"/>
                <w:lang w:eastAsia="zh-CN"/>
              </w:rPr>
              <w:t>为民办实事</w:t>
            </w:r>
            <w:r>
              <w:rPr>
                <w:rFonts w:ascii="宋体" w:hAnsi="宋体" w:eastAsia="宋体"/>
                <w:sz w:val="16"/>
              </w:rPr>
              <w:t>工作队三次活动共辐射受益村民122位，比目标人数多22人。</w:t>
            </w:r>
          </w:p>
        </w:tc>
      </w:tr>
      <w:tr w14:paraId="5C3E0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1E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F8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28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FB2C">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7D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2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57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5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10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4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01C9">
            <w:pPr>
              <w:jc w:val="center"/>
            </w:pPr>
            <w:r>
              <w:rPr>
                <w:rFonts w:ascii="宋体" w:hAnsi="宋体" w:eastAsia="宋体"/>
                <w:sz w:val="16"/>
              </w:rPr>
              <w:t>=94.44%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6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95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170B">
            <w:pPr>
              <w:jc w:val="center"/>
            </w:pPr>
          </w:p>
        </w:tc>
      </w:tr>
      <w:tr w14:paraId="3966D9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ED10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658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CA3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ED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D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F18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B174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D2A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7D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346E">
            <w:pPr>
              <w:jc w:val="center"/>
            </w:pPr>
            <w:r>
              <w:rPr>
                <w:rFonts w:ascii="宋体" w:hAnsi="宋体" w:eastAsia="宋体"/>
                <w:sz w:val="16"/>
              </w:rPr>
              <w:t>95.60分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6B39F"/>
        </w:tc>
      </w:tr>
    </w:tbl>
    <w:p w14:paraId="6FF9B373">
      <w:r>
        <w:br w:type="page"/>
      </w:r>
    </w:p>
    <w:p w14:paraId="2B4B6284">
      <w:pPr>
        <w:spacing w:line="640" w:lineRule="exact"/>
        <w:ind w:firstLine="640"/>
        <w:jc w:val="both"/>
        <w:outlineLvl w:val="2"/>
      </w:pPr>
      <w:r>
        <w:rPr>
          <w:rFonts w:ascii="黑体" w:hAnsi="黑体" w:eastAsia="黑体"/>
          <w:sz w:val="32"/>
        </w:rPr>
        <w:t>十二、其他需说明的事项</w:t>
      </w:r>
    </w:p>
    <w:p w14:paraId="1B06A5AD">
      <w:pPr>
        <w:spacing w:line="580" w:lineRule="exact"/>
        <w:ind w:firstLine="640"/>
        <w:jc w:val="both"/>
      </w:pPr>
      <w:r>
        <w:rPr>
          <w:rFonts w:ascii="仿宋_GB2312" w:hAnsi="仿宋_GB2312" w:eastAsia="仿宋_GB2312"/>
          <w:b w:val="0"/>
          <w:sz w:val="32"/>
        </w:rPr>
        <w:t>本部门无其他需说明的事项。</w:t>
      </w:r>
    </w:p>
    <w:p w14:paraId="6A916877">
      <w:r>
        <w:br w:type="page"/>
      </w:r>
    </w:p>
    <w:p w14:paraId="680774D5">
      <w:pPr>
        <w:spacing w:line="240" w:lineRule="auto"/>
        <w:jc w:val="center"/>
        <w:outlineLvl w:val="1"/>
      </w:pPr>
      <w:r>
        <w:rPr>
          <w:rFonts w:ascii="黑体" w:hAnsi="黑体" w:eastAsia="黑体"/>
          <w:sz w:val="32"/>
        </w:rPr>
        <w:t>第三部分 专业名词解释</w:t>
      </w:r>
    </w:p>
    <w:p w14:paraId="7A9D44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E54E0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CBC7C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C8A94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D6EB1B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2CDF57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11300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2CDD6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50090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CF758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6EE97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D90DA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85DF0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9B449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A80D8D0">
      <w:r>
        <w:br w:type="page"/>
      </w:r>
    </w:p>
    <w:p w14:paraId="65F1591C">
      <w:pPr>
        <w:spacing w:line="240" w:lineRule="auto"/>
        <w:jc w:val="center"/>
        <w:outlineLvl w:val="1"/>
      </w:pPr>
      <w:r>
        <w:rPr>
          <w:rFonts w:ascii="黑体" w:hAnsi="黑体" w:eastAsia="黑体"/>
          <w:sz w:val="32"/>
        </w:rPr>
        <w:t>第四部分 部门决算报表（见附表）</w:t>
      </w:r>
    </w:p>
    <w:p w14:paraId="6BF648DB">
      <w:pPr>
        <w:spacing w:line="240" w:lineRule="auto"/>
        <w:ind w:firstLine="640"/>
        <w:jc w:val="both"/>
      </w:pPr>
      <w:r>
        <w:rPr>
          <w:rFonts w:ascii="仿宋_GB2312" w:hAnsi="仿宋_GB2312" w:eastAsia="仿宋_GB2312"/>
          <w:b w:val="0"/>
          <w:sz w:val="32"/>
        </w:rPr>
        <w:t>一、《收入支出决算总表》</w:t>
      </w:r>
    </w:p>
    <w:p w14:paraId="5189E02E">
      <w:pPr>
        <w:spacing w:line="240" w:lineRule="auto"/>
        <w:ind w:firstLine="640"/>
        <w:jc w:val="both"/>
      </w:pPr>
      <w:r>
        <w:rPr>
          <w:rFonts w:ascii="仿宋_GB2312" w:hAnsi="仿宋_GB2312" w:eastAsia="仿宋_GB2312"/>
          <w:b w:val="0"/>
          <w:sz w:val="32"/>
        </w:rPr>
        <w:t>二、《收入决算表》</w:t>
      </w:r>
    </w:p>
    <w:p w14:paraId="5F9FDD89">
      <w:pPr>
        <w:spacing w:line="240" w:lineRule="auto"/>
        <w:ind w:firstLine="640"/>
        <w:jc w:val="both"/>
      </w:pPr>
      <w:r>
        <w:rPr>
          <w:rFonts w:ascii="仿宋_GB2312" w:hAnsi="仿宋_GB2312" w:eastAsia="仿宋_GB2312"/>
          <w:b w:val="0"/>
          <w:sz w:val="32"/>
        </w:rPr>
        <w:t>三、《支出决算表》</w:t>
      </w:r>
    </w:p>
    <w:p w14:paraId="67DE46A9">
      <w:pPr>
        <w:spacing w:line="240" w:lineRule="auto"/>
        <w:ind w:firstLine="640"/>
        <w:jc w:val="both"/>
      </w:pPr>
      <w:r>
        <w:rPr>
          <w:rFonts w:ascii="仿宋_GB2312" w:hAnsi="仿宋_GB2312" w:eastAsia="仿宋_GB2312"/>
          <w:b w:val="0"/>
          <w:sz w:val="32"/>
        </w:rPr>
        <w:t>四、《财政拨款收入支出决算总表》</w:t>
      </w:r>
    </w:p>
    <w:p w14:paraId="30AD21BD">
      <w:pPr>
        <w:spacing w:line="240" w:lineRule="auto"/>
        <w:ind w:firstLine="640"/>
        <w:jc w:val="both"/>
      </w:pPr>
      <w:r>
        <w:rPr>
          <w:rFonts w:ascii="仿宋_GB2312" w:hAnsi="仿宋_GB2312" w:eastAsia="仿宋_GB2312"/>
          <w:b w:val="0"/>
          <w:sz w:val="32"/>
        </w:rPr>
        <w:t>五、《一般公共预算财政拨款支出决算表》</w:t>
      </w:r>
    </w:p>
    <w:p w14:paraId="727A1883">
      <w:pPr>
        <w:spacing w:line="240" w:lineRule="auto"/>
        <w:ind w:firstLine="640"/>
        <w:jc w:val="both"/>
      </w:pPr>
      <w:r>
        <w:rPr>
          <w:rFonts w:ascii="仿宋_GB2312" w:hAnsi="仿宋_GB2312" w:eastAsia="仿宋_GB2312"/>
          <w:b w:val="0"/>
          <w:sz w:val="32"/>
        </w:rPr>
        <w:t>六、《一般公共预算财政拨款基本支出决算表》</w:t>
      </w:r>
    </w:p>
    <w:p w14:paraId="1A15B9B3">
      <w:pPr>
        <w:spacing w:line="240" w:lineRule="auto"/>
        <w:ind w:firstLine="640"/>
        <w:jc w:val="both"/>
      </w:pPr>
      <w:r>
        <w:rPr>
          <w:rFonts w:ascii="仿宋_GB2312" w:hAnsi="仿宋_GB2312" w:eastAsia="仿宋_GB2312"/>
          <w:b w:val="0"/>
          <w:sz w:val="32"/>
        </w:rPr>
        <w:t>七、《政府性基金预算财政拨款收入支出决算表》</w:t>
      </w:r>
    </w:p>
    <w:p w14:paraId="45EDF34F">
      <w:pPr>
        <w:spacing w:line="240" w:lineRule="auto"/>
        <w:ind w:firstLine="640"/>
        <w:jc w:val="both"/>
      </w:pPr>
      <w:r>
        <w:rPr>
          <w:rFonts w:ascii="仿宋_GB2312" w:hAnsi="仿宋_GB2312" w:eastAsia="仿宋_GB2312"/>
          <w:b w:val="0"/>
          <w:sz w:val="32"/>
        </w:rPr>
        <w:t>八、《国有资本经营预算财政拨款收入支出决算表》</w:t>
      </w:r>
    </w:p>
    <w:p w14:paraId="3369835B">
      <w:pPr>
        <w:spacing w:line="240" w:lineRule="auto"/>
        <w:ind w:firstLine="640"/>
        <w:jc w:val="both"/>
      </w:pPr>
      <w:r>
        <w:rPr>
          <w:rFonts w:ascii="仿宋_GB2312" w:hAnsi="仿宋_GB2312" w:eastAsia="仿宋_GB2312"/>
          <w:b w:val="0"/>
          <w:sz w:val="32"/>
        </w:rPr>
        <w:t>九、《财政拨款“三公”经费支出决算表》</w:t>
      </w:r>
    </w:p>
    <w:p w14:paraId="4CD99AB5">
      <w:pPr>
        <w:spacing w:line="240" w:lineRule="auto"/>
        <w:ind w:firstLine="640"/>
        <w:jc w:val="both"/>
      </w:pPr>
    </w:p>
    <w:p w14:paraId="50518659">
      <w:pPr>
        <w:spacing w:line="240" w:lineRule="auto"/>
        <w:ind w:firstLine="640"/>
        <w:jc w:val="both"/>
      </w:pPr>
    </w:p>
    <w:p w14:paraId="523EC4DC">
      <w:pPr>
        <w:spacing w:line="240" w:lineRule="auto"/>
        <w:ind w:firstLine="640"/>
        <w:jc w:val="both"/>
      </w:pPr>
    </w:p>
    <w:p w14:paraId="57AFFD5E">
      <w:pPr>
        <w:spacing w:line="240" w:lineRule="auto"/>
        <w:ind w:firstLine="640"/>
        <w:jc w:val="both"/>
      </w:pPr>
    </w:p>
    <w:p w14:paraId="688E262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41ABD7-1966-4AAF-B276-440258CF6D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733FCFC-8257-4C13-8AB3-BECA8087FBCD}"/>
  </w:font>
  <w:font w:name="仿宋_GB2312">
    <w:panose1 w:val="02010609030101010101"/>
    <w:charset w:val="86"/>
    <w:family w:val="modern"/>
    <w:pitch w:val="default"/>
    <w:sig w:usb0="00000001" w:usb1="080E0000" w:usb2="00000000" w:usb3="00000000" w:csb0="00040000" w:csb1="00000000"/>
    <w:embedRegular r:id="rId3" w:fontKey="{83ED6880-78DE-4F24-BD1A-E484CA31F49B}"/>
  </w:font>
  <w:font w:name="楷体_GB2312">
    <w:panose1 w:val="02010609030101010101"/>
    <w:charset w:val="86"/>
    <w:family w:val="auto"/>
    <w:pitch w:val="default"/>
    <w:sig w:usb0="00000001" w:usb1="080E0000" w:usb2="00000000" w:usb3="00000000" w:csb0="00040000" w:csb1="00000000"/>
    <w:embedRegular r:id="rId4" w:fontKey="{638B469D-7AEE-45D6-96CE-5DE2145809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997032"/>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6C637D"/>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6229</Words>
  <Characters>7014</Characters>
  <Lines>0</Lines>
  <Paragraphs>0</Paragraphs>
  <TotalTime>4</TotalTime>
  <ScaleCrop>false</ScaleCrop>
  <LinksUpToDate>false</LinksUpToDate>
  <CharactersWithSpaces>7022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2025-09-11T10:59:34Z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