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新疆巴音郭楞蒙古自治州人民政府国有资产监督管理委员会2024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C4BA2C">
      <w:r>
        <w:br w:type="page"/>
      </w:r>
    </w:p>
    <w:p w14:paraId="395FA8BA">
      <w:pPr>
        <w:spacing w:line="640" w:lineRule="exact"/>
        <w:jc w:val="center"/>
        <w:outlineLvl w:val="1"/>
      </w:pPr>
      <w:r>
        <w:rPr>
          <w:rFonts w:ascii="黑体" w:hAnsi="黑体" w:eastAsia="黑体"/>
          <w:sz w:val="32"/>
        </w:rPr>
        <w:t>第一部分 部门概况</w:t>
      </w:r>
    </w:p>
    <w:p w14:paraId="796B50EC">
      <w:pPr>
        <w:spacing w:line="640" w:lineRule="exact"/>
        <w:ind w:firstLine="640"/>
        <w:jc w:val="both"/>
        <w:outlineLvl w:val="2"/>
      </w:pPr>
      <w:r>
        <w:rPr>
          <w:rFonts w:ascii="黑体" w:hAnsi="黑体" w:eastAsia="黑体"/>
          <w:sz w:val="32"/>
        </w:rPr>
        <w:t>一、主要职能</w:t>
      </w:r>
    </w:p>
    <w:p w14:paraId="56EF56C2">
      <w:pPr>
        <w:spacing w:line="580" w:lineRule="exact"/>
        <w:ind w:firstLine="640"/>
        <w:jc w:val="both"/>
      </w:pPr>
      <w:r>
        <w:rPr>
          <w:rFonts w:ascii="仿宋_GB2312" w:hAnsi="仿宋_GB2312" w:eastAsia="仿宋_GB2312"/>
          <w:sz w:val="32"/>
        </w:rPr>
        <w:t>巴州国资委是州政府的重要职能部门之一，也是州政府的重要组成部分。主要业务概括起来有以下几个方面。</w:t>
      </w:r>
    </w:p>
    <w:p w14:paraId="471B997B">
      <w:pPr>
        <w:spacing w:line="580" w:lineRule="exact"/>
        <w:ind w:firstLine="640"/>
        <w:jc w:val="both"/>
      </w:pPr>
      <w:r>
        <w:rPr>
          <w:rFonts w:ascii="仿宋_GB2312" w:hAnsi="仿宋_GB2312" w:eastAsia="仿宋_GB2312"/>
          <w:sz w:val="32"/>
        </w:rPr>
        <w:t>1.依照《中华人民共和国公司法》《中华人民共和国企业国有资产法》等法律、法规履行出资人职责，监管自治州州属企业的国有资产，加强国有资产管理，对各县市国有资产管理工作进行指导和监督。</w:t>
      </w:r>
    </w:p>
    <w:p w14:paraId="2B28F2AE">
      <w:pPr>
        <w:spacing w:line="580" w:lineRule="exact"/>
        <w:ind w:firstLine="640"/>
        <w:jc w:val="both"/>
      </w:pPr>
      <w:r>
        <w:rPr>
          <w:rFonts w:ascii="仿宋_GB2312" w:hAnsi="仿宋_GB2312" w:eastAsia="仿宋_GB2312"/>
          <w:sz w:val="32"/>
        </w:rPr>
        <w:t>2.承担监督所监管企业国有资产保值增值的责任。</w:t>
      </w:r>
    </w:p>
    <w:p w14:paraId="6A2BF142">
      <w:pPr>
        <w:spacing w:line="580" w:lineRule="exact"/>
        <w:ind w:firstLine="640"/>
        <w:jc w:val="both"/>
      </w:pPr>
      <w:r>
        <w:rPr>
          <w:rFonts w:ascii="仿宋_GB2312" w:hAnsi="仿宋_GB2312" w:eastAsia="仿宋_GB2312"/>
          <w:sz w:val="32"/>
        </w:rPr>
        <w:t>3.坚持和加强党的领导，履行所监管企业党建工作的日常管理职责。</w:t>
      </w:r>
    </w:p>
    <w:p w14:paraId="46329F44">
      <w:pPr>
        <w:spacing w:line="580" w:lineRule="exact"/>
        <w:ind w:firstLine="640"/>
        <w:jc w:val="both"/>
      </w:pPr>
      <w:r>
        <w:rPr>
          <w:rFonts w:ascii="仿宋_GB2312" w:hAnsi="仿宋_GB2312" w:eastAsia="仿宋_GB2312"/>
          <w:sz w:val="32"/>
        </w:rPr>
        <w:t>4.指导推进国有企业改革和重组，推进国有企业的现代企业制度建设，完善公司治理结构；以管资本为主推动国有资本合理流动，加快</w:t>
      </w:r>
      <w:r>
        <w:rPr>
          <w:rFonts w:hint="eastAsia" w:ascii="仿宋_GB2312" w:hAnsi="仿宋_GB2312" w:eastAsia="仿宋_GB2312"/>
          <w:sz w:val="32"/>
          <w:lang w:eastAsia="zh-CN"/>
        </w:rPr>
        <w:t>国有经济布局优化和结构调整</w:t>
      </w:r>
      <w:r>
        <w:rPr>
          <w:rFonts w:ascii="仿宋_GB2312" w:hAnsi="仿宋_GB2312" w:eastAsia="仿宋_GB2312"/>
          <w:sz w:val="32"/>
        </w:rPr>
        <w:t>、战略性重组。</w:t>
      </w:r>
    </w:p>
    <w:p w14:paraId="1914DEF6">
      <w:pPr>
        <w:spacing w:line="580" w:lineRule="exact"/>
        <w:ind w:firstLine="640"/>
        <w:jc w:val="both"/>
      </w:pPr>
      <w:r>
        <w:rPr>
          <w:rFonts w:ascii="仿宋_GB2312" w:hAnsi="仿宋_GB2312" w:eastAsia="仿宋_GB2312"/>
          <w:sz w:val="32"/>
        </w:rPr>
        <w:t>5.负责所监管企业负责人经营业绩考核和薪酬管理。</w:t>
      </w:r>
    </w:p>
    <w:p w14:paraId="27752568">
      <w:pPr>
        <w:spacing w:line="580" w:lineRule="exact"/>
        <w:ind w:firstLine="640"/>
        <w:jc w:val="both"/>
      </w:pPr>
      <w:r>
        <w:rPr>
          <w:rFonts w:ascii="仿宋_GB2312" w:hAnsi="仿宋_GB2312" w:eastAsia="仿宋_GB2312"/>
          <w:sz w:val="32"/>
        </w:rPr>
        <w:t>6.负责组织所监管企业上交国有资本收益，参与制定国有资本经营预算有关管理制度和办法，承办所监管企业国有资本经营预决算编制和执行等工作。</w:t>
      </w:r>
    </w:p>
    <w:p w14:paraId="43172603">
      <w:pPr>
        <w:spacing w:line="580" w:lineRule="exact"/>
        <w:ind w:firstLine="640"/>
        <w:jc w:val="both"/>
      </w:pPr>
      <w:r>
        <w:rPr>
          <w:rFonts w:ascii="仿宋_GB2312" w:hAnsi="仿宋_GB2312" w:eastAsia="仿宋_GB2312"/>
          <w:sz w:val="32"/>
        </w:rPr>
        <w:t>7.根据监管清单，审核所监管企业的发展战略和规划、重大项目投资、重大资产处置等事项。</w:t>
      </w:r>
    </w:p>
    <w:p w14:paraId="66BCE947">
      <w:pPr>
        <w:spacing w:line="580" w:lineRule="exact"/>
        <w:ind w:firstLine="640"/>
        <w:jc w:val="both"/>
      </w:pPr>
      <w:r>
        <w:rPr>
          <w:rFonts w:ascii="仿宋_GB2312" w:hAnsi="仿宋_GB2312" w:eastAsia="仿宋_GB2312"/>
          <w:sz w:val="32"/>
        </w:rPr>
        <w:t>8.拟订国有资产管理的规范性文件，制定有关制度；指导所监管企业法律顾问和法治国企建设工作。</w:t>
      </w:r>
    </w:p>
    <w:p w14:paraId="59BC8EAF">
      <w:pPr>
        <w:spacing w:line="580" w:lineRule="exact"/>
        <w:ind w:firstLine="640"/>
        <w:jc w:val="both"/>
      </w:pPr>
      <w:r>
        <w:rPr>
          <w:rFonts w:ascii="仿宋_GB2312" w:hAnsi="仿宋_GB2312" w:eastAsia="仿宋_GB2312"/>
          <w:sz w:val="32"/>
        </w:rPr>
        <w:t>9.承担本部门党的建设、党风廉政建设和反腐败、精神文明、维护稳定、为民办实事、综合治理、民族团结、“两个全覆盖”、安全生产、扶贫等工作。</w:t>
      </w:r>
    </w:p>
    <w:p w14:paraId="35304940">
      <w:pPr>
        <w:spacing w:line="580" w:lineRule="exact"/>
        <w:ind w:firstLine="640"/>
        <w:jc w:val="both"/>
      </w:pPr>
      <w:r>
        <w:rPr>
          <w:rFonts w:ascii="仿宋_GB2312" w:hAnsi="仿宋_GB2312" w:eastAsia="仿宋_GB2312"/>
          <w:sz w:val="32"/>
        </w:rPr>
        <w:t>10.承办自治州党委、自治州人民政府交办的其他事项。</w:t>
      </w:r>
    </w:p>
    <w:p w14:paraId="47AA2287">
      <w:pPr>
        <w:spacing w:line="640" w:lineRule="exact"/>
        <w:ind w:firstLine="640"/>
        <w:jc w:val="both"/>
        <w:outlineLvl w:val="2"/>
      </w:pPr>
      <w:r>
        <w:rPr>
          <w:rFonts w:ascii="黑体" w:hAnsi="黑体" w:eastAsia="黑体"/>
          <w:sz w:val="32"/>
        </w:rPr>
        <w:t>二、机构设置及人员情况</w:t>
      </w:r>
    </w:p>
    <w:p w14:paraId="2258BC1E">
      <w:pPr>
        <w:spacing w:line="580" w:lineRule="exact"/>
        <w:ind w:firstLine="640"/>
        <w:jc w:val="both"/>
      </w:pPr>
      <w:r>
        <w:rPr>
          <w:rFonts w:ascii="仿宋_GB2312" w:hAnsi="仿宋_GB2312" w:eastAsia="仿宋_GB2312"/>
          <w:sz w:val="32"/>
        </w:rPr>
        <w:t>新疆巴音郭楞蒙古自治州人民政府国有资产监督管理委员会2024年度，实有人数28人，其中：在职人员14人，增加0人；离休人员0人，增加0人；退休人员14人,减少1人。</w:t>
      </w:r>
    </w:p>
    <w:p w14:paraId="77F2A2EB">
      <w:pPr>
        <w:spacing w:line="580" w:lineRule="exact"/>
        <w:ind w:firstLine="640"/>
        <w:jc w:val="both"/>
      </w:pPr>
      <w:r>
        <w:rPr>
          <w:rFonts w:ascii="仿宋_GB2312" w:hAnsi="仿宋_GB2312" w:eastAsia="仿宋_GB2312"/>
          <w:sz w:val="32"/>
        </w:rPr>
        <w:t>新疆巴音郭楞蒙古自治州人民政府国有资产监督管理委员会无下属预算单位，下设6个科室，分别是：办公室、资本管理科、企业改革科、考核监督科、党建科、巴州国有资产运营保障中心。</w:t>
      </w:r>
    </w:p>
    <w:p w14:paraId="14A48AE3">
      <w:r>
        <w:br w:type="page"/>
      </w:r>
    </w:p>
    <w:p w14:paraId="17CBCB5B">
      <w:pPr>
        <w:spacing w:line="240" w:lineRule="auto"/>
        <w:jc w:val="center"/>
        <w:outlineLvl w:val="1"/>
      </w:pPr>
      <w:r>
        <w:rPr>
          <w:rFonts w:ascii="黑体" w:hAnsi="黑体" w:eastAsia="黑体"/>
          <w:sz w:val="32"/>
        </w:rPr>
        <w:t>第二部分 部门决算情况说明</w:t>
      </w:r>
    </w:p>
    <w:p w14:paraId="61AA9642">
      <w:pPr>
        <w:spacing w:line="640" w:lineRule="exact"/>
        <w:ind w:firstLine="640"/>
        <w:jc w:val="both"/>
        <w:outlineLvl w:val="2"/>
      </w:pPr>
      <w:r>
        <w:rPr>
          <w:rFonts w:ascii="黑体" w:hAnsi="黑体" w:eastAsia="黑体"/>
          <w:sz w:val="32"/>
        </w:rPr>
        <w:t>一、收入支出决算总体情况说明</w:t>
      </w:r>
    </w:p>
    <w:p w14:paraId="32C7CD30">
      <w:pPr>
        <w:spacing w:line="580" w:lineRule="exact"/>
        <w:ind w:firstLine="640"/>
        <w:jc w:val="both"/>
      </w:pPr>
      <w:r>
        <w:rPr>
          <w:rFonts w:ascii="仿宋_GB2312" w:hAnsi="仿宋_GB2312" w:eastAsia="仿宋_GB2312"/>
          <w:b/>
          <w:sz w:val="32"/>
        </w:rPr>
        <w:t>2024年度收入总计4,812.61万元，</w:t>
      </w:r>
      <w:r>
        <w:rPr>
          <w:rFonts w:ascii="仿宋_GB2312" w:hAnsi="仿宋_GB2312" w:eastAsia="仿宋_GB2312"/>
          <w:b w:val="0"/>
          <w:sz w:val="32"/>
        </w:rPr>
        <w:t>其中：本年收入合计4,812.61万元，使用非财政拨款结余（含专用结余）0.00万元，年初结转和结余0.00万元。</w:t>
      </w:r>
    </w:p>
    <w:p w14:paraId="69F5E594">
      <w:pPr>
        <w:spacing w:line="580" w:lineRule="exact"/>
        <w:ind w:firstLine="640"/>
        <w:jc w:val="both"/>
      </w:pPr>
      <w:r>
        <w:rPr>
          <w:rFonts w:ascii="仿宋_GB2312" w:hAnsi="仿宋_GB2312" w:eastAsia="仿宋_GB2312"/>
          <w:b/>
          <w:sz w:val="32"/>
        </w:rPr>
        <w:t>2024年度支出总计4,812.61万元，</w:t>
      </w:r>
      <w:r>
        <w:rPr>
          <w:rFonts w:ascii="仿宋_GB2312" w:hAnsi="仿宋_GB2312" w:eastAsia="仿宋_GB2312"/>
          <w:b w:val="0"/>
          <w:sz w:val="32"/>
        </w:rPr>
        <w:t>其中：本年支出合计4,812.61万元，结余分配0.00万元，年末结转和结余0.00万元。</w:t>
      </w:r>
    </w:p>
    <w:p w14:paraId="0A9E85EC">
      <w:pPr>
        <w:spacing w:line="580" w:lineRule="exact"/>
        <w:ind w:firstLine="640"/>
        <w:jc w:val="both"/>
      </w:pPr>
      <w:r>
        <w:rPr>
          <w:rFonts w:ascii="仿宋_GB2312" w:hAnsi="仿宋_GB2312" w:eastAsia="仿宋_GB2312"/>
          <w:b w:val="0"/>
          <w:sz w:val="32"/>
        </w:rPr>
        <w:t>收入支出总体与上年相比，减少21,651.63万元，下降81.81%，主要原因是：本年减少巴州国信公司注册资本金、巴州建工公司河北工业园区隔离方舱项目、天苗集团农村公益事业及美丽乡村项目、援疆培训及土壤修复补贴等项目，导致经费较上年减少。</w:t>
      </w:r>
    </w:p>
    <w:p w14:paraId="45F09A31">
      <w:pPr>
        <w:spacing w:line="640" w:lineRule="exact"/>
        <w:ind w:firstLine="640"/>
        <w:jc w:val="both"/>
        <w:outlineLvl w:val="2"/>
      </w:pPr>
      <w:r>
        <w:rPr>
          <w:rFonts w:ascii="黑体" w:hAnsi="黑体" w:eastAsia="黑体"/>
          <w:sz w:val="32"/>
        </w:rPr>
        <w:t>二、收入决算情况说明</w:t>
      </w:r>
    </w:p>
    <w:p w14:paraId="2F8F875B">
      <w:pPr>
        <w:spacing w:line="580" w:lineRule="exact"/>
        <w:ind w:firstLine="640"/>
        <w:jc w:val="both"/>
      </w:pPr>
      <w:r>
        <w:rPr>
          <w:rFonts w:ascii="仿宋_GB2312" w:hAnsi="仿宋_GB2312" w:eastAsia="仿宋_GB2312"/>
          <w:b/>
          <w:sz w:val="32"/>
        </w:rPr>
        <w:t>本年收入4,812.61万元，</w:t>
      </w:r>
      <w:r>
        <w:rPr>
          <w:rFonts w:ascii="仿宋_GB2312" w:hAnsi="仿宋_GB2312" w:eastAsia="仿宋_GB2312"/>
          <w:b w:val="0"/>
          <w:sz w:val="32"/>
        </w:rPr>
        <w:t>其中：财政拨款收入4,337.61万元，占90.13%；上级补助收入0.00万元，占0.00%；事业收入0.00万元，占0.00%；经营收入0.00万元，占0.00%；附属单位上缴收入0.00万元，占0.00%；其他收入475.00万元，占9.87%。</w:t>
      </w:r>
    </w:p>
    <w:p w14:paraId="57CB94A4">
      <w:pPr>
        <w:spacing w:line="640" w:lineRule="exact"/>
        <w:ind w:firstLine="640"/>
        <w:jc w:val="both"/>
        <w:outlineLvl w:val="2"/>
      </w:pPr>
      <w:r>
        <w:rPr>
          <w:rFonts w:ascii="黑体" w:hAnsi="黑体" w:eastAsia="黑体"/>
          <w:sz w:val="32"/>
        </w:rPr>
        <w:t>三、支出决算情况说明</w:t>
      </w:r>
    </w:p>
    <w:p w14:paraId="1F9C655E">
      <w:pPr>
        <w:spacing w:line="580" w:lineRule="exact"/>
        <w:ind w:firstLine="640"/>
        <w:jc w:val="both"/>
      </w:pPr>
      <w:r>
        <w:rPr>
          <w:rFonts w:ascii="仿宋_GB2312" w:hAnsi="仿宋_GB2312" w:eastAsia="仿宋_GB2312"/>
          <w:b/>
          <w:sz w:val="32"/>
        </w:rPr>
        <w:t>本年支出4,812.61万元，</w:t>
      </w:r>
      <w:r>
        <w:rPr>
          <w:rFonts w:ascii="仿宋_GB2312" w:hAnsi="仿宋_GB2312" w:eastAsia="仿宋_GB2312"/>
          <w:b w:val="0"/>
          <w:sz w:val="32"/>
        </w:rPr>
        <w:t>其中：基本支出376.39万元，占7.82%；项目支出4,436.22万元，占92.18%；上缴上级支出0.00万元，占0.00%；经营支出0.00万元，占0.00%；对附属单位补助支出0.00万元，占0.00%。</w:t>
      </w:r>
    </w:p>
    <w:p w14:paraId="4F5F8267">
      <w:pPr>
        <w:spacing w:line="640" w:lineRule="exact"/>
        <w:ind w:firstLine="640"/>
        <w:jc w:val="both"/>
        <w:outlineLvl w:val="2"/>
      </w:pPr>
      <w:r>
        <w:rPr>
          <w:rFonts w:ascii="黑体" w:hAnsi="黑体" w:eastAsia="黑体"/>
          <w:sz w:val="32"/>
        </w:rPr>
        <w:t>四、财政拨款收入支出决算总体情况说明</w:t>
      </w:r>
    </w:p>
    <w:p w14:paraId="7141F10C">
      <w:pPr>
        <w:spacing w:line="580" w:lineRule="exact"/>
        <w:ind w:firstLine="640"/>
        <w:jc w:val="both"/>
      </w:pPr>
      <w:r>
        <w:rPr>
          <w:rFonts w:ascii="仿宋_GB2312" w:hAnsi="仿宋_GB2312" w:eastAsia="仿宋_GB2312"/>
          <w:b/>
          <w:sz w:val="32"/>
        </w:rPr>
        <w:t>2024年度财政拨款收入总计4,337.61万元，</w:t>
      </w:r>
      <w:r>
        <w:rPr>
          <w:rFonts w:ascii="仿宋_GB2312" w:hAnsi="仿宋_GB2312" w:eastAsia="仿宋_GB2312"/>
          <w:b w:val="0"/>
          <w:sz w:val="32"/>
        </w:rPr>
        <w:t>其中：年初财政拨款结转和结余0.00万元，本年财政拨款收入4,337.61万元。</w:t>
      </w:r>
      <w:r>
        <w:rPr>
          <w:rFonts w:ascii="仿宋_GB2312" w:hAnsi="仿宋_GB2312" w:eastAsia="仿宋_GB2312"/>
          <w:b/>
          <w:sz w:val="32"/>
        </w:rPr>
        <w:t>财政拨款支出总计4,337.61万元，</w:t>
      </w:r>
      <w:r>
        <w:rPr>
          <w:rFonts w:ascii="仿宋_GB2312" w:hAnsi="仿宋_GB2312" w:eastAsia="仿宋_GB2312"/>
          <w:b w:val="0"/>
          <w:sz w:val="32"/>
        </w:rPr>
        <w:t>其中：年末财政拨款结转和结余0.00万元，本年财政拨款支出4,337.61万元。</w:t>
      </w:r>
    </w:p>
    <w:p w14:paraId="56DCF9A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减少20,570.62万元，下降82.59%，主要原因是：本年减少巴州国信公司注册资本金、巴州建工公司河北工业园区隔离方舱项目、天苗集团农村公益事业及美丽乡村项目、巴州水利发展投资公司、巴州博岩矿业公司及</w:t>
      </w:r>
      <w:r>
        <w:rPr>
          <w:rFonts w:hint="eastAsia" w:ascii="仿宋_GB2312" w:hAnsi="仿宋_GB2312" w:eastAsia="仿宋_GB2312"/>
          <w:b w:val="0"/>
          <w:sz w:val="32"/>
          <w:lang w:eastAsia="zh-CN"/>
        </w:rPr>
        <w:t>巴州</w:t>
      </w:r>
      <w:r>
        <w:rPr>
          <w:rFonts w:ascii="仿宋_GB2312" w:hAnsi="仿宋_GB2312" w:eastAsia="仿宋_GB2312"/>
          <w:b w:val="0"/>
          <w:sz w:val="32"/>
        </w:rPr>
        <w:t>国资公司注册资本金等项目，导致经费较上年减少。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326.84万元，决算数4,337.61万元，预决算差异率1227.14%，主要原因是：年中追加巴州国信公司资本金注入项目、巴州建工公司自治州第二批优秀专家工作室建设支持项目、人员安置费、巴州博岩公司资本金注入项目、巴音国资公司资本金注入项目、数字巴州公司注册资本金注入项目、巴音国资公司上半年运行经费项目等，导致预决算存在差异。</w:t>
      </w:r>
    </w:p>
    <w:p w14:paraId="1065C1E3">
      <w:pPr>
        <w:spacing w:line="640" w:lineRule="exact"/>
        <w:ind w:firstLine="640"/>
        <w:jc w:val="both"/>
        <w:outlineLvl w:val="2"/>
      </w:pPr>
      <w:r>
        <w:rPr>
          <w:rFonts w:ascii="黑体" w:hAnsi="黑体" w:eastAsia="黑体"/>
          <w:sz w:val="32"/>
        </w:rPr>
        <w:t>五、一般公共预算财政拨款支出决算情况说明</w:t>
      </w:r>
    </w:p>
    <w:p w14:paraId="4626EA94">
      <w:pPr>
        <w:spacing w:line="640" w:lineRule="exact"/>
        <w:ind w:firstLine="640"/>
        <w:jc w:val="both"/>
        <w:outlineLvl w:val="3"/>
      </w:pPr>
      <w:r>
        <w:rPr>
          <w:rFonts w:ascii="楷体_GB2312" w:hAnsi="楷体_GB2312" w:eastAsia="楷体_GB2312"/>
          <w:b/>
          <w:sz w:val="32"/>
        </w:rPr>
        <w:t>（一）一般公共预算财政拨款支出决算总体情况</w:t>
      </w:r>
    </w:p>
    <w:p w14:paraId="061AA3F4">
      <w:pPr>
        <w:spacing w:line="580" w:lineRule="exact"/>
        <w:ind w:firstLine="640"/>
        <w:jc w:val="both"/>
      </w:pPr>
      <w:r>
        <w:rPr>
          <w:rFonts w:ascii="仿宋_GB2312" w:hAnsi="仿宋_GB2312" w:eastAsia="仿宋_GB2312"/>
          <w:b/>
          <w:sz w:val="32"/>
        </w:rPr>
        <w:t>2024年度一般公共预算财政拨款支出2,419.18万元，</w:t>
      </w:r>
      <w:r>
        <w:rPr>
          <w:rFonts w:ascii="仿宋_GB2312" w:hAnsi="仿宋_GB2312" w:eastAsia="仿宋_GB2312"/>
          <w:b w:val="0"/>
          <w:sz w:val="32"/>
        </w:rPr>
        <w:t>占本年支出合计的50.27%。</w:t>
      </w:r>
      <w:r>
        <w:rPr>
          <w:rFonts w:ascii="仿宋_GB2312" w:hAnsi="仿宋_GB2312" w:eastAsia="仿宋_GB2312"/>
          <w:b/>
          <w:sz w:val="32"/>
        </w:rPr>
        <w:t>与上年相比，</w:t>
      </w:r>
      <w:r>
        <w:rPr>
          <w:rFonts w:ascii="仿宋_GB2312" w:hAnsi="仿宋_GB2312" w:eastAsia="仿宋_GB2312"/>
          <w:b w:val="0"/>
          <w:sz w:val="32"/>
        </w:rPr>
        <w:t>减少14,965.52万元，下降86.08%，主要原因是：本年减少巴州国信公司注册资本金、巴州建工公司河北工业园区隔离方舱项目、天苗集团农村公益事业及美丽乡村项目。</w:t>
      </w:r>
      <w:r>
        <w:rPr>
          <w:rFonts w:ascii="仿宋_GB2312" w:hAnsi="仿宋_GB2312" w:eastAsia="仿宋_GB2312"/>
          <w:b/>
          <w:sz w:val="32"/>
        </w:rPr>
        <w:t>与年初预算相比,</w:t>
      </w:r>
      <w:r>
        <w:rPr>
          <w:rFonts w:ascii="仿宋_GB2312" w:hAnsi="仿宋_GB2312" w:eastAsia="仿宋_GB2312"/>
          <w:b w:val="0"/>
          <w:sz w:val="32"/>
        </w:rPr>
        <w:t>年初预算数326.84万元，决算数2,419.18万元，预决算差异率640.17%，主要原因是：年中追加巴州国信公司资本金注入项目、巴州建工公司自治州第二批优秀专家工作室建设支持项目，导致预决算存在差异。</w:t>
      </w:r>
    </w:p>
    <w:p w14:paraId="2CCC07F4">
      <w:pPr>
        <w:spacing w:line="640" w:lineRule="exact"/>
        <w:ind w:firstLine="640"/>
        <w:jc w:val="both"/>
        <w:outlineLvl w:val="3"/>
      </w:pPr>
      <w:r>
        <w:rPr>
          <w:rFonts w:ascii="楷体_GB2312" w:hAnsi="楷体_GB2312" w:eastAsia="楷体_GB2312"/>
          <w:b/>
          <w:sz w:val="32"/>
        </w:rPr>
        <w:t>（二）一般公共预算财政拨款支出决算结构情况</w:t>
      </w:r>
    </w:p>
    <w:p w14:paraId="258C19C8">
      <w:pPr>
        <w:spacing w:line="580" w:lineRule="exact"/>
        <w:ind w:firstLine="640"/>
        <w:jc w:val="both"/>
      </w:pPr>
      <w:r>
        <w:rPr>
          <w:rFonts w:ascii="仿宋_GB2312" w:hAnsi="仿宋_GB2312" w:eastAsia="仿宋_GB2312"/>
          <w:b w:val="0"/>
          <w:sz w:val="32"/>
        </w:rPr>
        <w:t>1.教育支出(类)1.09万元,占0.05%。</w:t>
      </w:r>
    </w:p>
    <w:p w14:paraId="5AA3F7F6">
      <w:pPr>
        <w:spacing w:line="580" w:lineRule="exact"/>
        <w:ind w:firstLine="640"/>
        <w:jc w:val="both"/>
      </w:pPr>
      <w:r>
        <w:rPr>
          <w:rFonts w:ascii="仿宋_GB2312" w:hAnsi="仿宋_GB2312" w:eastAsia="仿宋_GB2312"/>
          <w:b w:val="0"/>
          <w:sz w:val="32"/>
        </w:rPr>
        <w:t>2.社会保障和就业支出(类)44.18万元,占1.83%。</w:t>
      </w:r>
    </w:p>
    <w:p w14:paraId="7A9E4F49">
      <w:pPr>
        <w:spacing w:line="580" w:lineRule="exact"/>
        <w:ind w:firstLine="640"/>
        <w:jc w:val="both"/>
      </w:pPr>
      <w:r>
        <w:rPr>
          <w:rFonts w:ascii="仿宋_GB2312" w:hAnsi="仿宋_GB2312" w:eastAsia="仿宋_GB2312"/>
          <w:b w:val="0"/>
          <w:sz w:val="32"/>
        </w:rPr>
        <w:t>3.卫生健康支出(类)17.00万元,占0.70%。</w:t>
      </w:r>
    </w:p>
    <w:p w14:paraId="319C0319">
      <w:pPr>
        <w:spacing w:line="580" w:lineRule="exact"/>
        <w:ind w:firstLine="640"/>
        <w:jc w:val="both"/>
      </w:pPr>
      <w:r>
        <w:rPr>
          <w:rFonts w:ascii="仿宋_GB2312" w:hAnsi="仿宋_GB2312" w:eastAsia="仿宋_GB2312"/>
          <w:b w:val="0"/>
          <w:sz w:val="32"/>
        </w:rPr>
        <w:t>4.资源勘探工业信息等支出(类)2,336.51万元,占96.58%。</w:t>
      </w:r>
    </w:p>
    <w:p w14:paraId="12189D96">
      <w:pPr>
        <w:spacing w:line="580" w:lineRule="exact"/>
        <w:ind w:firstLine="640"/>
        <w:jc w:val="both"/>
      </w:pPr>
      <w:r>
        <w:rPr>
          <w:rFonts w:ascii="仿宋_GB2312" w:hAnsi="仿宋_GB2312" w:eastAsia="仿宋_GB2312"/>
          <w:b w:val="0"/>
          <w:sz w:val="32"/>
        </w:rPr>
        <w:t>5.住房保障支出(类)20.39万元,占0.84%。</w:t>
      </w:r>
    </w:p>
    <w:p w14:paraId="6195EAB8">
      <w:pPr>
        <w:spacing w:line="640" w:lineRule="exact"/>
        <w:ind w:firstLine="640"/>
        <w:jc w:val="both"/>
        <w:outlineLvl w:val="3"/>
      </w:pPr>
      <w:r>
        <w:rPr>
          <w:rFonts w:ascii="楷体_GB2312" w:hAnsi="楷体_GB2312" w:eastAsia="楷体_GB2312"/>
          <w:b/>
          <w:sz w:val="32"/>
        </w:rPr>
        <w:t>（三）一般公共预算财政拨款支出决算具体情况</w:t>
      </w:r>
    </w:p>
    <w:p w14:paraId="3F740EA3">
      <w:pPr>
        <w:spacing w:line="580" w:lineRule="exact"/>
        <w:ind w:firstLine="640"/>
        <w:jc w:val="both"/>
      </w:pPr>
      <w:r>
        <w:rPr>
          <w:rFonts w:ascii="仿宋_GB2312" w:hAnsi="仿宋_GB2312" w:eastAsia="仿宋_GB2312"/>
          <w:b w:val="0"/>
          <w:sz w:val="32"/>
        </w:rPr>
        <w:t>1.教育支出(类)进修及培训(款)培训支出(项):支出决算数为1.09万元，比上年决算增加0.00万元，增长0.00%,主要原因是：本年培训业务活动经费与上年一致无变化。</w:t>
      </w:r>
    </w:p>
    <w:p w14:paraId="4B948BF5">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2.社会保障和就业支出(类)行政事业单位养老支出(款)行政单位离退休(项):支出决算数为16.39万元，比上年决算减少11.11万元，下降40.40%,主要原因是：本年退休人员自然减员，行政单位离退休较上年减少。</w:t>
      </w:r>
    </w:p>
    <w:p w14:paraId="283F20A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26.61万元，比上年决算减少1.56万元，下降5.54%,主要原因是：本年在职人员调入调出，人员职级不同，缴费基数不同，导致养老保险缴费较上年减少。</w:t>
      </w:r>
    </w:p>
    <w:p w14:paraId="241BB6D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17.01万元，下降100.00%,主要原因是：本年无新增退休人员，导致机关事业单位职业年金缴费支出较上年减少。</w:t>
      </w:r>
    </w:p>
    <w:p w14:paraId="4C5041DF">
      <w:pPr>
        <w:spacing w:line="580" w:lineRule="exact"/>
        <w:ind w:firstLine="640"/>
        <w:jc w:val="both"/>
      </w:pPr>
      <w:r>
        <w:rPr>
          <w:rFonts w:ascii="仿宋_GB2312" w:hAnsi="仿宋_GB2312" w:eastAsia="仿宋_GB2312"/>
          <w:b w:val="0"/>
          <w:sz w:val="32"/>
        </w:rPr>
        <w:t>5.社会保障和就业支出(类)企业改革补助(款)其他企业改革发展补助(项):支出决算数为1.18万元，比上年决算减少1.32万元，下降52.80%,主要原因是：本年减少国有企业办职教幼教退休教师生活补贴，相关支出减少。</w:t>
      </w:r>
    </w:p>
    <w:p w14:paraId="15AB0452">
      <w:pPr>
        <w:spacing w:line="580" w:lineRule="exact"/>
        <w:ind w:firstLine="640"/>
        <w:jc w:val="both"/>
      </w:pPr>
      <w:r>
        <w:rPr>
          <w:rFonts w:ascii="仿宋_GB2312" w:hAnsi="仿宋_GB2312" w:eastAsia="仿宋_GB2312"/>
          <w:b w:val="0"/>
          <w:sz w:val="32"/>
        </w:rPr>
        <w:t>6.卫生健康支出(类)行政事业单位医疗(款)行政单位医疗(项):支出决算数为11.64万元，比上年决算减少0.96万元，下降7.62%,主要原因是：本年在职人员调入调出，人员职级不同，缴费基数不同，导致行政单位医疗较上年减少。</w:t>
      </w:r>
    </w:p>
    <w:p w14:paraId="11B50CB8">
      <w:pPr>
        <w:spacing w:line="580" w:lineRule="exact"/>
        <w:ind w:firstLine="640"/>
        <w:jc w:val="both"/>
      </w:pPr>
      <w:r>
        <w:rPr>
          <w:rFonts w:ascii="仿宋_GB2312" w:hAnsi="仿宋_GB2312" w:eastAsia="仿宋_GB2312"/>
          <w:b w:val="0"/>
          <w:sz w:val="32"/>
        </w:rPr>
        <w:t>7.卫生健康支出(类)行政事业单位医疗(款)公务员医疗补助(项):支出决算数为4.99万元，比上年决算减少0.43万元，下降7.93%,主要原因是：本年在职人员调入调出，人员职级不同，缴费基数不同，导致公务员医疗补助较上年减少。</w:t>
      </w:r>
    </w:p>
    <w:p w14:paraId="1C73938D">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0.37万元，比上年决算减少0.32万元，下降46.38%,主要原因是：本年在职人员调入调出，人员职级不同，缴费基数不同，导致其他行政事业单位医疗支出较上年减少。</w:t>
      </w:r>
    </w:p>
    <w:p w14:paraId="48A07858">
      <w:pPr>
        <w:spacing w:line="580" w:lineRule="exact"/>
        <w:ind w:firstLine="640"/>
        <w:jc w:val="both"/>
      </w:pPr>
      <w:r>
        <w:rPr>
          <w:rFonts w:ascii="仿宋_GB2312" w:hAnsi="仿宋_GB2312" w:eastAsia="仿宋_GB2312"/>
          <w:b w:val="0"/>
          <w:sz w:val="32"/>
        </w:rPr>
        <w:t>9.农林水支出(类)农村综合改革(款)对村级公益事业建设的补助(项):支出决算数为0.00万元，比上年决算减少250.00万元，下降100.00%,主要原因是：本年未安排天苗集团农村公益事业及美丽乡村项目，相关支出减少。</w:t>
      </w:r>
    </w:p>
    <w:p w14:paraId="326DF77C">
      <w:pPr>
        <w:spacing w:line="580" w:lineRule="exact"/>
        <w:ind w:firstLine="640"/>
        <w:jc w:val="both"/>
      </w:pPr>
      <w:r>
        <w:rPr>
          <w:rFonts w:ascii="仿宋_GB2312" w:hAnsi="仿宋_GB2312" w:eastAsia="仿宋_GB2312"/>
          <w:b w:val="0"/>
          <w:sz w:val="32"/>
        </w:rPr>
        <w:t>10.资源勘探工业信息等支出(类)国有资产监管(款)行政运行(项):支出决算数为294.91万元，比上年决算减少82.15万元，下降21.79%,主要原因是：本年减少为民办实事补助经费、抚恤金，相关支出减少。</w:t>
      </w:r>
    </w:p>
    <w:p w14:paraId="59923572">
      <w:pPr>
        <w:spacing w:line="580" w:lineRule="exact"/>
        <w:ind w:firstLine="640"/>
        <w:jc w:val="both"/>
      </w:pPr>
      <w:r>
        <w:rPr>
          <w:rFonts w:ascii="仿宋_GB2312" w:hAnsi="仿宋_GB2312" w:eastAsia="仿宋_GB2312"/>
          <w:b w:val="0"/>
          <w:sz w:val="32"/>
        </w:rPr>
        <w:t>11.资源勘探工业信息等支出(类)国有资产监管(款)一般行政管理事务(项):支出决算数为17.60万元，比上年决算增加0.00万元，增长0.00%,主要原因是：本年国有企业资产监督管理综合业务经费与上年一致无变化。</w:t>
      </w:r>
    </w:p>
    <w:p w14:paraId="546EE6D0">
      <w:pPr>
        <w:spacing w:line="580" w:lineRule="exact"/>
        <w:ind w:firstLine="640"/>
        <w:jc w:val="both"/>
      </w:pPr>
      <w:r>
        <w:rPr>
          <w:rFonts w:ascii="仿宋_GB2312" w:hAnsi="仿宋_GB2312" w:eastAsia="仿宋_GB2312"/>
          <w:b w:val="0"/>
          <w:sz w:val="32"/>
        </w:rPr>
        <w:t>12.资源勘探工业信息等支出(类)支持中小企业发展和管理支出(款)其他支持中小企业发展和管理支出(项):支出决算数为2,024.00万元，比上年决算减少14,600.93万元，下降87.83%,主要原因是：本年减少巴州国信公司注册资本金，相关支出减少。</w:t>
      </w:r>
    </w:p>
    <w:p w14:paraId="2BF218D1">
      <w:pPr>
        <w:spacing w:line="580" w:lineRule="exact"/>
        <w:ind w:firstLine="640"/>
        <w:jc w:val="both"/>
      </w:pPr>
      <w:r>
        <w:rPr>
          <w:rFonts w:ascii="仿宋_GB2312" w:hAnsi="仿宋_GB2312" w:eastAsia="仿宋_GB2312"/>
          <w:b w:val="0"/>
          <w:sz w:val="32"/>
        </w:rPr>
        <w:t>13.住房保障支出(类)住房改革支出(款)住房公积金(项):支出决算数为20.39万元，比上年决算增加0.25万元，增长1.24%,主要原因是：本年在职人员工资基数调增，公积金缴费基数上涨，相应支出增加。</w:t>
      </w:r>
    </w:p>
    <w:p w14:paraId="375F603D">
      <w:pPr>
        <w:spacing w:line="640" w:lineRule="exact"/>
        <w:ind w:firstLine="640"/>
        <w:jc w:val="both"/>
        <w:outlineLvl w:val="2"/>
      </w:pPr>
      <w:r>
        <w:rPr>
          <w:rFonts w:ascii="黑体" w:hAnsi="黑体" w:eastAsia="黑体"/>
          <w:sz w:val="32"/>
        </w:rPr>
        <w:t>六、一般公共预算财政拨款基本支出决算情况说明</w:t>
      </w:r>
    </w:p>
    <w:p w14:paraId="6548DB49">
      <w:pPr>
        <w:spacing w:line="580" w:lineRule="exact"/>
        <w:ind w:firstLine="640"/>
        <w:jc w:val="both"/>
      </w:pPr>
      <w:r>
        <w:rPr>
          <w:rFonts w:ascii="仿宋_GB2312" w:hAnsi="仿宋_GB2312" w:eastAsia="仿宋_GB2312"/>
          <w:b w:val="0"/>
          <w:sz w:val="32"/>
        </w:rPr>
        <w:t>2024年度一般公共预算财政拨款基本支出376.39万元，其中：</w:t>
      </w:r>
      <w:r>
        <w:rPr>
          <w:rFonts w:ascii="仿宋_GB2312" w:hAnsi="仿宋_GB2312" w:eastAsia="仿宋_GB2312"/>
          <w:b/>
          <w:sz w:val="32"/>
        </w:rPr>
        <w:t>人员经费322.74万元，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包括：基本工资、津贴补贴、奖金、伙食补助费、机关事业单位基本养老保险缴费、职工基本医疗保险缴费、公务员医疗补助缴费、其他社会保障缴费、住房公积金、退休费、抚恤金、生活补助、奖励金。</w:t>
      </w:r>
    </w:p>
    <w:p w14:paraId="369993C4">
      <w:pPr>
        <w:spacing w:line="580" w:lineRule="exact"/>
        <w:ind w:firstLine="640"/>
        <w:jc w:val="both"/>
      </w:pPr>
      <w:r>
        <w:rPr>
          <w:rFonts w:ascii="仿宋_GB2312" w:hAnsi="仿宋_GB2312" w:eastAsia="仿宋_GB2312"/>
          <w:b/>
          <w:sz w:val="32"/>
        </w:rPr>
        <w:t>公用经费53.65万元，</w:t>
      </w:r>
      <w:r>
        <w:rPr>
          <w:rFonts w:ascii="仿宋_GB2312" w:hAnsi="仿宋_GB2312" w:eastAsia="仿宋_GB2312"/>
          <w:b w:val="0"/>
          <w:sz w:val="32"/>
        </w:rPr>
        <w:t>包括：办公费、印刷费、水费、电费、邮电费、取暖费、物业管理费、差旅费、培训费、公务接待费、委托业务费、工会经费、福利费、公务用车运行维护费、其他交通费用、办公设备购置。</w:t>
      </w:r>
    </w:p>
    <w:p w14:paraId="7CE7A875">
      <w:pPr>
        <w:spacing w:line="640" w:lineRule="exact"/>
        <w:ind w:firstLine="640"/>
        <w:jc w:val="both"/>
        <w:outlineLvl w:val="2"/>
      </w:pPr>
      <w:r>
        <w:rPr>
          <w:rFonts w:ascii="黑体" w:hAnsi="黑体" w:eastAsia="黑体"/>
          <w:sz w:val="32"/>
        </w:rPr>
        <w:t>七、政府性基金预算财政拨款收入支出决算情况说明</w:t>
      </w:r>
    </w:p>
    <w:p w14:paraId="469C9B9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7729A7D7">
      <w:pPr>
        <w:spacing w:line="640" w:lineRule="exact"/>
        <w:ind w:firstLine="640"/>
        <w:jc w:val="both"/>
        <w:outlineLvl w:val="2"/>
      </w:pPr>
      <w:r>
        <w:rPr>
          <w:rFonts w:ascii="黑体" w:hAnsi="黑体" w:eastAsia="黑体"/>
          <w:sz w:val="32"/>
        </w:rPr>
        <w:t>八、国有资本经营预算财政拨款收入支出决算情况说明</w:t>
      </w:r>
    </w:p>
    <w:p w14:paraId="1423E663">
      <w:pPr>
        <w:spacing w:line="580" w:lineRule="exact"/>
        <w:ind w:firstLine="640"/>
        <w:jc w:val="both"/>
      </w:pPr>
      <w:r>
        <w:rPr>
          <w:rFonts w:ascii="仿宋_GB2312" w:hAnsi="仿宋_GB2312" w:eastAsia="仿宋_GB2312"/>
          <w:b/>
          <w:sz w:val="32"/>
        </w:rPr>
        <w:t>2024年度国有资本经营预算财政拨款收入总计1,918.43万元，</w:t>
      </w:r>
      <w:r>
        <w:rPr>
          <w:rFonts w:ascii="仿宋_GB2312" w:hAnsi="仿宋_GB2312" w:eastAsia="仿宋_GB2312"/>
          <w:b w:val="0"/>
          <w:sz w:val="32"/>
        </w:rPr>
        <w:t>其中：年初结转和结余0.00万元，本年收入1,918.43万元。</w:t>
      </w:r>
      <w:r>
        <w:rPr>
          <w:rFonts w:ascii="仿宋_GB2312" w:hAnsi="仿宋_GB2312" w:eastAsia="仿宋_GB2312"/>
          <w:b/>
          <w:sz w:val="32"/>
        </w:rPr>
        <w:t>国有资本经营预算财政拨款支出总计1,918.43万元，</w:t>
      </w:r>
      <w:r>
        <w:rPr>
          <w:rFonts w:ascii="仿宋_GB2312" w:hAnsi="仿宋_GB2312" w:eastAsia="仿宋_GB2312"/>
          <w:b w:val="0"/>
          <w:sz w:val="32"/>
        </w:rPr>
        <w:t>其中：年末结转和结余0.00万元，本年支出1,918.43万元。</w:t>
      </w:r>
    </w:p>
    <w:p w14:paraId="02E0280A">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减少5,605.10万元，下降74.50%，主要原因是：本年减少巴州水利发展投资公司、巴州博岩矿业公司及巴音国资公司注册资本金，导致经费较上年减少。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1,918.43万元，预决算差异率100.00%，主要原因是：年中追加人员安置费、巴州博岩公司资本金注入项目、巴音国资公司资本金注入项目、数字巴州公司注册资本金注入项目、巴音国资公司上半年运行经费项目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8B84F26">
      <w:pPr>
        <w:spacing w:line="580" w:lineRule="exact"/>
        <w:ind w:firstLine="640"/>
        <w:jc w:val="both"/>
      </w:pPr>
      <w:r>
        <w:rPr>
          <w:rFonts w:ascii="仿宋_GB2312" w:hAnsi="仿宋_GB2312" w:eastAsia="仿宋_GB2312"/>
          <w:sz w:val="32"/>
        </w:rPr>
        <w:t>国有资本经营预算财政拨款支出1,918.43万元。</w:t>
      </w:r>
    </w:p>
    <w:p w14:paraId="5021DAB7">
      <w:pPr>
        <w:spacing w:line="580" w:lineRule="exact"/>
        <w:ind w:firstLine="640"/>
        <w:jc w:val="both"/>
      </w:pPr>
      <w:r>
        <w:rPr>
          <w:rFonts w:ascii="仿宋_GB2312" w:hAnsi="仿宋_GB2312" w:eastAsia="仿宋_GB2312"/>
          <w:b w:val="0"/>
          <w:sz w:val="32"/>
        </w:rPr>
        <w:t>1.国有资本经营预算支出(类)解决历史遗留问题及改革成本支出(款)国有企业改革成本支出(项):支出决算数为160.00万元，比上年决算增加160.00万元，增长100.00%,主要原因是：本年功能科目调整，国有企业改革成本支出由其他解决历史遗留问题及改革成本支出科目调整至本科目列支，相关支出增加。</w:t>
      </w:r>
    </w:p>
    <w:p w14:paraId="79822330">
      <w:pPr>
        <w:spacing w:line="580" w:lineRule="exact"/>
        <w:ind w:firstLine="640"/>
        <w:jc w:val="both"/>
      </w:pPr>
      <w:r>
        <w:rPr>
          <w:rFonts w:ascii="仿宋_GB2312" w:hAnsi="仿宋_GB2312" w:eastAsia="仿宋_GB2312"/>
          <w:b w:val="0"/>
          <w:sz w:val="32"/>
        </w:rPr>
        <w:t>2.国有资本经营预算支出(类)解决历史遗留问题及改革成本支出(款)其他解决历史遗留问题及改革成本支出(项):支出决算数为365.11万元，比上年决算减少3,460.12万元，下降90.46%,主要原因是：本年功能科目调整，国有企业改革成本支出由其他解决历史遗留问题及改革成本支出科目调整至国有企业改革成本支出科目列支，减少巴音国资公司项目资金，相关支出减少。</w:t>
      </w:r>
    </w:p>
    <w:p w14:paraId="5D9AAAC9">
      <w:pPr>
        <w:spacing w:line="580" w:lineRule="exact"/>
        <w:ind w:firstLine="640"/>
        <w:jc w:val="both"/>
      </w:pPr>
      <w:r>
        <w:rPr>
          <w:rFonts w:ascii="仿宋_GB2312" w:hAnsi="仿宋_GB2312" w:eastAsia="仿宋_GB2312"/>
          <w:b w:val="0"/>
          <w:sz w:val="32"/>
        </w:rPr>
        <w:t>3.国有资本经营预算支出(类)国有企业资本金注入(款)其他国有企业资本金注入(项):支出决算数为993.32万元，比上年决算减少2,304.98万元，下降69.88%,主要原因是：本年减少巴州水利发展投资公司、巴州博岩矿业公司及巴音国资公司注册资本金，相关支出减少。</w:t>
      </w:r>
    </w:p>
    <w:p w14:paraId="2CF13F0A">
      <w:pPr>
        <w:spacing w:line="580" w:lineRule="exact"/>
        <w:ind w:firstLine="640"/>
        <w:jc w:val="both"/>
      </w:pPr>
      <w:r>
        <w:rPr>
          <w:rFonts w:ascii="仿宋_GB2312" w:hAnsi="仿宋_GB2312" w:eastAsia="仿宋_GB2312"/>
          <w:b w:val="0"/>
          <w:sz w:val="32"/>
        </w:rPr>
        <w:t>4.国有资本经营预算支出(类)国有企业政策性补贴(款)国有企业政策性补贴(项):支出决算数为400.00万元，比上年决算增加0.00万元，增长0.00%,主要原因是：本年巴音国资公司上半年运行经费项目与上年一致无变化。</w:t>
      </w:r>
    </w:p>
    <w:p w14:paraId="5DE0B52F">
      <w:pPr>
        <w:spacing w:line="640" w:lineRule="exact"/>
        <w:ind w:firstLine="640"/>
        <w:jc w:val="both"/>
        <w:outlineLvl w:val="2"/>
      </w:pPr>
      <w:r>
        <w:rPr>
          <w:rFonts w:ascii="黑体" w:hAnsi="黑体" w:eastAsia="黑体"/>
          <w:sz w:val="32"/>
        </w:rPr>
        <w:t>九、财政拨款“三公”经费支出决算情况说明</w:t>
      </w:r>
    </w:p>
    <w:p w14:paraId="1506B57B">
      <w:pPr>
        <w:spacing w:line="580" w:lineRule="exact"/>
        <w:ind w:firstLine="640"/>
        <w:jc w:val="both"/>
      </w:pPr>
      <w:r>
        <w:rPr>
          <w:rFonts w:ascii="仿宋_GB2312" w:hAnsi="仿宋_GB2312" w:eastAsia="仿宋_GB2312"/>
          <w:b/>
          <w:sz w:val="32"/>
        </w:rPr>
        <w:t>2024年度财政拨款“三公”经费支出3.29万元，</w:t>
      </w:r>
      <w:r>
        <w:rPr>
          <w:rFonts w:ascii="仿宋_GB2312" w:hAnsi="仿宋_GB2312" w:eastAsia="仿宋_GB2312"/>
          <w:b w:val="0"/>
          <w:sz w:val="32"/>
        </w:rPr>
        <w:t>比上年增加0.10万元，增长3.13%，主要原因是：本年出差调研频次增多，公务用车使用频次增加，公车运行维护费增加。其中：因公出国（境）费支出0.00万元，占0.00%，比上年增加0.00万元，增长0.00%，主要原因是：2023年与2024年均未安排因公出国（境）费支出。公务用车购置及运行维护费支出3.00万元，占91.19%，比上年增加0.10万元，增长3.45%，主要原因是：本年出差调研频次增多，公务用车使用频次增加，公车运行维护费增加。公务接待费支出0.29万元，占8.81%，比上年增加0.00万元，增长0.00%，主要原因是：本部门公务接待费与上年一致无变化。</w:t>
      </w:r>
    </w:p>
    <w:p w14:paraId="0698A7F7">
      <w:pPr>
        <w:spacing w:line="580" w:lineRule="exact"/>
        <w:ind w:firstLine="640"/>
        <w:jc w:val="both"/>
      </w:pPr>
      <w:r>
        <w:rPr>
          <w:rFonts w:ascii="仿宋_GB2312" w:hAnsi="仿宋_GB2312" w:eastAsia="仿宋_GB2312"/>
          <w:b/>
          <w:sz w:val="32"/>
        </w:rPr>
        <w:t>具体情况如下：</w:t>
      </w:r>
    </w:p>
    <w:p w14:paraId="4FDCF9E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080B878">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过路费。公务用车购置数0辆，公务用车保有量1辆。国有资产占用情况中固定资产车辆1辆，与公务用车保有量差异原因是：本部门固定资产车辆与公务用车保有量一致无差异。</w:t>
      </w:r>
    </w:p>
    <w:p w14:paraId="50C4E81B">
      <w:pPr>
        <w:spacing w:line="580" w:lineRule="exact"/>
        <w:ind w:firstLine="640"/>
        <w:jc w:val="both"/>
      </w:pPr>
      <w:r>
        <w:rPr>
          <w:rFonts w:ascii="仿宋_GB2312" w:hAnsi="仿宋_GB2312" w:eastAsia="仿宋_GB2312"/>
          <w:b w:val="0"/>
          <w:sz w:val="32"/>
        </w:rPr>
        <w:t>公务接待费0.29万元，开支内容包括因接待上级单位国资会议时产生的就餐费。部门全年安排的国内公务接待2批次，46人次。</w:t>
      </w:r>
    </w:p>
    <w:p w14:paraId="104BA79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3.29万元，决算数3.29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3.00万元，决算数3.00万元，预决算差异率0.00%，主要原因是：严格按照预算执行，预决算无差异。公务接待费全年预算数0.29万元，决算数0.29万元，预决算差异率0.00%，主要原因是：严格按照预算执行，预决算无差异。</w:t>
      </w:r>
    </w:p>
    <w:p w14:paraId="489FBD44">
      <w:pPr>
        <w:spacing w:line="640" w:lineRule="exact"/>
        <w:ind w:firstLine="640"/>
        <w:jc w:val="both"/>
        <w:outlineLvl w:val="2"/>
      </w:pPr>
      <w:r>
        <w:rPr>
          <w:rFonts w:ascii="黑体" w:hAnsi="黑体" w:eastAsia="黑体"/>
          <w:sz w:val="32"/>
        </w:rPr>
        <w:t>十、其他重要事项的情况说明</w:t>
      </w:r>
    </w:p>
    <w:p w14:paraId="06794F2E">
      <w:pPr>
        <w:spacing w:line="640" w:lineRule="exact"/>
        <w:ind w:firstLine="640"/>
        <w:jc w:val="both"/>
        <w:outlineLvl w:val="3"/>
      </w:pPr>
      <w:r>
        <w:rPr>
          <w:rFonts w:ascii="楷体_GB2312" w:hAnsi="楷体_GB2312" w:eastAsia="楷体_GB2312"/>
          <w:b/>
          <w:sz w:val="32"/>
        </w:rPr>
        <w:t>（一）机关运行经费及公用经费支出情况</w:t>
      </w:r>
    </w:p>
    <w:p w14:paraId="556C5512">
      <w:pPr>
        <w:spacing w:line="580" w:lineRule="exact"/>
        <w:ind w:firstLine="640"/>
        <w:jc w:val="both"/>
      </w:pPr>
      <w:r>
        <w:rPr>
          <w:rFonts w:ascii="仿宋_GB2312" w:hAnsi="仿宋_GB2312" w:eastAsia="仿宋_GB2312"/>
          <w:b w:val="0"/>
          <w:sz w:val="32"/>
        </w:rPr>
        <w:t>2024年度新疆巴音郭楞蒙古自治州人民政府国有资产监督管理委员会（行政单位和参照公务员法管理事业单位）机关运行经费支出53.65万元，比上年增加6.17万元，增长12.99%，主要原因是：本年增加办公费、租赁费等经费，导致机关运行经费支出增加。</w:t>
      </w:r>
    </w:p>
    <w:p w14:paraId="64BFE8C9">
      <w:pPr>
        <w:spacing w:line="640" w:lineRule="exact"/>
        <w:ind w:firstLine="640"/>
        <w:jc w:val="both"/>
        <w:outlineLvl w:val="3"/>
      </w:pPr>
      <w:r>
        <w:rPr>
          <w:rFonts w:ascii="楷体_GB2312" w:hAnsi="楷体_GB2312" w:eastAsia="楷体_GB2312"/>
          <w:b/>
          <w:sz w:val="32"/>
        </w:rPr>
        <w:t>（二）政府采购情况</w:t>
      </w:r>
    </w:p>
    <w:p w14:paraId="3231BD8C">
      <w:pPr>
        <w:spacing w:line="580" w:lineRule="exact"/>
        <w:ind w:firstLine="640"/>
        <w:jc w:val="both"/>
      </w:pPr>
      <w:r>
        <w:rPr>
          <w:rFonts w:ascii="仿宋_GB2312" w:hAnsi="仿宋_GB2312" w:eastAsia="仿宋_GB2312"/>
          <w:b w:val="0"/>
          <w:sz w:val="32"/>
        </w:rPr>
        <w:t>2024年度政府采购支出总额29.19万元，其中：政府采购货物支出12.19万元、政府采购工程支出0.00万元、政府采购服务支出17.00万元。</w:t>
      </w:r>
    </w:p>
    <w:p w14:paraId="79D6B088">
      <w:pPr>
        <w:spacing w:line="580" w:lineRule="exact"/>
        <w:ind w:firstLine="640"/>
        <w:jc w:val="both"/>
      </w:pPr>
      <w:r>
        <w:rPr>
          <w:rFonts w:ascii="仿宋_GB2312" w:hAnsi="仿宋_GB2312" w:eastAsia="仿宋_GB2312"/>
          <w:b w:val="0"/>
          <w:sz w:val="32"/>
        </w:rPr>
        <w:t>授予中小企业合同金额14.26万元，占政府采购支出总额的48.85%，其中：授予小微企业合同金额13.42万元，占政府采购支出总额的45.97%。</w:t>
      </w:r>
    </w:p>
    <w:p w14:paraId="4421580E">
      <w:pPr>
        <w:spacing w:line="640" w:lineRule="exact"/>
        <w:ind w:firstLine="640"/>
        <w:jc w:val="both"/>
        <w:outlineLvl w:val="3"/>
      </w:pPr>
      <w:r>
        <w:rPr>
          <w:rFonts w:ascii="楷体_GB2312" w:hAnsi="楷体_GB2312" w:eastAsia="楷体_GB2312"/>
          <w:b/>
          <w:sz w:val="32"/>
        </w:rPr>
        <w:t>（三）国有资产占用情况说明</w:t>
      </w:r>
    </w:p>
    <w:p w14:paraId="2205A173">
      <w:pPr>
        <w:spacing w:line="580" w:lineRule="exact"/>
        <w:ind w:firstLine="640"/>
        <w:jc w:val="both"/>
      </w:pPr>
      <w:r>
        <w:rPr>
          <w:rFonts w:ascii="仿宋_GB2312" w:hAnsi="仿宋_GB2312" w:eastAsia="仿宋_GB2312"/>
          <w:b w:val="0"/>
          <w:sz w:val="32"/>
        </w:rPr>
        <w:t>截至2024年12月31日，房屋0.00平方米，价值0.00万元。车辆1辆，价值20.43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C1E7289">
      <w:pPr>
        <w:spacing w:line="640" w:lineRule="exact"/>
        <w:ind w:firstLine="640"/>
        <w:jc w:val="both"/>
        <w:outlineLvl w:val="2"/>
      </w:pPr>
      <w:r>
        <w:rPr>
          <w:rFonts w:ascii="黑体" w:hAnsi="黑体" w:eastAsia="黑体"/>
          <w:sz w:val="32"/>
        </w:rPr>
        <w:t>十一、预算绩效的情况说明</w:t>
      </w:r>
    </w:p>
    <w:p w14:paraId="7F2E5C25">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4,812.61万元，实际执行总额4,812.61万元；预算绩效评价项目13个，全年预算数3,988.21万元，全年执行数3,988.21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部门整体支出绩效自评表，项目支出绩效自评表和部门评价报告。</w:t>
      </w:r>
    </w:p>
    <w:p w14:paraId="796C0EF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C79A74D">
        <w:tblPrEx>
          <w:tblCellMar>
            <w:top w:w="0" w:type="dxa"/>
            <w:left w:w="108" w:type="dxa"/>
            <w:bottom w:w="0" w:type="dxa"/>
            <w:right w:w="108" w:type="dxa"/>
          </w:tblCellMar>
        </w:tblPrEx>
        <w:tc>
          <w:tcPr>
            <w:tcW w:w="8840" w:type="dxa"/>
            <w:gridSpan w:val="8"/>
            <w:vAlign w:val="center"/>
          </w:tcPr>
          <w:p w14:paraId="7FE1CADD">
            <w:pPr>
              <w:jc w:val="center"/>
            </w:pPr>
            <w:r>
              <w:rPr>
                <w:rFonts w:ascii="宋体" w:hAnsi="宋体" w:eastAsia="宋体"/>
                <w:sz w:val="24"/>
              </w:rPr>
              <w:t>部门整体支出绩效自评表</w:t>
            </w:r>
          </w:p>
        </w:tc>
      </w:tr>
      <w:tr w14:paraId="177504F1">
        <w:tblPrEx>
          <w:tblCellMar>
            <w:top w:w="0" w:type="dxa"/>
            <w:left w:w="108" w:type="dxa"/>
            <w:bottom w:w="0" w:type="dxa"/>
            <w:right w:w="108" w:type="dxa"/>
          </w:tblCellMar>
        </w:tblPrEx>
        <w:tc>
          <w:tcPr>
            <w:tcW w:w="8840" w:type="dxa"/>
            <w:gridSpan w:val="8"/>
            <w:vAlign w:val="center"/>
          </w:tcPr>
          <w:p w14:paraId="50F74AB9">
            <w:pPr>
              <w:jc w:val="center"/>
            </w:pPr>
            <w:r>
              <w:rPr>
                <w:rFonts w:ascii="宋体" w:hAnsi="宋体" w:eastAsia="宋体"/>
                <w:sz w:val="24"/>
              </w:rPr>
              <w:t>（2024年度）</w:t>
            </w:r>
          </w:p>
        </w:tc>
      </w:tr>
      <w:tr w14:paraId="49F1007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D7DC6">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A9941">
            <w:pPr>
              <w:jc w:val="center"/>
            </w:pPr>
            <w:r>
              <w:rPr>
                <w:rFonts w:ascii="宋体" w:hAnsi="宋体" w:eastAsia="宋体"/>
                <w:sz w:val="16"/>
              </w:rPr>
              <w:t>新疆巴音郭楞蒙古自治州人民政府国有资产监督管理委员会</w:t>
            </w:r>
          </w:p>
        </w:tc>
      </w:tr>
      <w:tr w14:paraId="5F956D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107C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D94B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66C2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3F7C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2DEA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DB86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CE67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EACC0">
            <w:pPr>
              <w:jc w:val="center"/>
            </w:pPr>
            <w:r>
              <w:rPr>
                <w:rFonts w:ascii="宋体" w:hAnsi="宋体" w:eastAsia="宋体"/>
                <w:sz w:val="16"/>
              </w:rPr>
              <w:t>得分</w:t>
            </w:r>
          </w:p>
        </w:tc>
      </w:tr>
      <w:tr w14:paraId="74AA9A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C84A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1236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B47D5">
            <w:pPr>
              <w:jc w:val="center"/>
            </w:pPr>
            <w:r>
              <w:rPr>
                <w:rFonts w:ascii="宋体" w:hAnsi="宋体" w:eastAsia="宋体"/>
                <w:sz w:val="16"/>
              </w:rPr>
              <w:t>326.84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3B474">
            <w:pPr>
              <w:jc w:val="center"/>
            </w:pPr>
            <w:r>
              <w:rPr>
                <w:rFonts w:ascii="宋体" w:hAnsi="宋体" w:eastAsia="宋体"/>
                <w:sz w:val="16"/>
              </w:rPr>
              <w:t>4,812.61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8D53B">
            <w:pPr>
              <w:jc w:val="center"/>
            </w:pPr>
            <w:r>
              <w:rPr>
                <w:rFonts w:ascii="宋体" w:hAnsi="宋体" w:eastAsia="宋体"/>
                <w:sz w:val="16"/>
              </w:rPr>
              <w:t>4,812.61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FEAD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9708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911FB">
            <w:pPr>
              <w:jc w:val="center"/>
            </w:pPr>
            <w:r>
              <w:rPr>
                <w:rFonts w:ascii="宋体" w:hAnsi="宋体" w:eastAsia="宋体"/>
                <w:sz w:val="16"/>
              </w:rPr>
              <w:t>10</w:t>
            </w:r>
          </w:p>
        </w:tc>
      </w:tr>
      <w:tr w14:paraId="387224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E4F6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94FB2">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0FD35">
            <w:pPr>
              <w:jc w:val="center"/>
            </w:pPr>
            <w:r>
              <w:rPr>
                <w:rFonts w:ascii="宋体" w:hAnsi="宋体" w:eastAsia="宋体"/>
                <w:sz w:val="16"/>
              </w:rPr>
              <w:t>1.50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7848C">
            <w:pPr>
              <w:jc w:val="center"/>
            </w:pPr>
            <w:r>
              <w:rPr>
                <w:rFonts w:ascii="宋体" w:hAnsi="宋体" w:eastAsia="宋体"/>
                <w:sz w:val="16"/>
              </w:rPr>
              <w:t>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4BB4F">
            <w:pPr>
              <w:jc w:val="center"/>
            </w:pPr>
            <w:r>
              <w:rPr>
                <w:rFonts w:ascii="宋体" w:hAnsi="宋体" w:eastAsia="宋体"/>
                <w:sz w:val="16"/>
              </w:rPr>
              <w:t>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9F7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D5AF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18278">
            <w:pPr>
              <w:jc w:val="center"/>
            </w:pPr>
            <w:r>
              <w:rPr>
                <w:rFonts w:ascii="宋体" w:hAnsi="宋体" w:eastAsia="宋体"/>
                <w:sz w:val="16"/>
              </w:rPr>
              <w:t>-</w:t>
            </w:r>
          </w:p>
        </w:tc>
      </w:tr>
      <w:tr w14:paraId="75ABB1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681D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1DCA2">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F2369">
            <w:pPr>
              <w:jc w:val="center"/>
            </w:pPr>
            <w:r>
              <w:rPr>
                <w:rFonts w:ascii="宋体" w:hAnsi="宋体" w:eastAsia="宋体"/>
                <w:sz w:val="16"/>
              </w:rPr>
              <w:t>325.34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90A83">
            <w:pPr>
              <w:jc w:val="center"/>
            </w:pPr>
            <w:r>
              <w:rPr>
                <w:rFonts w:ascii="宋体" w:hAnsi="宋体" w:eastAsia="宋体"/>
                <w:sz w:val="16"/>
              </w:rPr>
              <w:t>4,336.43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20356">
            <w:pPr>
              <w:jc w:val="center"/>
            </w:pPr>
            <w:r>
              <w:rPr>
                <w:rFonts w:ascii="宋体" w:hAnsi="宋体" w:eastAsia="宋体"/>
                <w:sz w:val="16"/>
              </w:rPr>
              <w:t>4,336.43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1F4F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B237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F918E">
            <w:pPr>
              <w:jc w:val="center"/>
            </w:pPr>
            <w:r>
              <w:rPr>
                <w:rFonts w:ascii="宋体" w:hAnsi="宋体" w:eastAsia="宋体"/>
                <w:sz w:val="16"/>
              </w:rPr>
              <w:t>-</w:t>
            </w:r>
          </w:p>
        </w:tc>
      </w:tr>
      <w:tr w14:paraId="53DE92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ADDB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3473E">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C795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AD1AD">
            <w:pPr>
              <w:jc w:val="center"/>
            </w:pPr>
            <w:r>
              <w:rPr>
                <w:rFonts w:ascii="宋体" w:hAnsi="宋体" w:eastAsia="宋体"/>
                <w:sz w:val="16"/>
              </w:rPr>
              <w:t>475.00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1FE70">
            <w:pPr>
              <w:jc w:val="center"/>
            </w:pPr>
            <w:r>
              <w:rPr>
                <w:rFonts w:ascii="宋体" w:hAnsi="宋体" w:eastAsia="宋体"/>
                <w:sz w:val="16"/>
              </w:rPr>
              <w:t>475.00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EA8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46266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4947C">
            <w:pPr>
              <w:jc w:val="center"/>
            </w:pPr>
            <w:r>
              <w:rPr>
                <w:rFonts w:ascii="宋体" w:hAnsi="宋体" w:eastAsia="宋体"/>
                <w:sz w:val="16"/>
              </w:rPr>
              <w:t>-</w:t>
            </w:r>
          </w:p>
        </w:tc>
      </w:tr>
      <w:tr w14:paraId="230CDE6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F673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75499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8798C0">
            <w:pPr>
              <w:jc w:val="center"/>
            </w:pPr>
            <w:r>
              <w:rPr>
                <w:rFonts w:ascii="宋体" w:hAnsi="宋体" w:eastAsia="宋体"/>
                <w:sz w:val="16"/>
              </w:rPr>
              <w:t>实际完成情况</w:t>
            </w:r>
          </w:p>
        </w:tc>
      </w:tr>
      <w:tr w14:paraId="3010A5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3C478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75AE41">
            <w:pPr>
              <w:jc w:val="both"/>
            </w:pPr>
            <w:r>
              <w:rPr>
                <w:rFonts w:ascii="宋体" w:hAnsi="宋体" w:eastAsia="宋体"/>
                <w:sz w:val="16"/>
              </w:rPr>
              <w:t>围绕“七大战场”“五大优势产业集群”，坚持和加强党的全面领导，深入实施国有企业改革深化提升行动，着力增强核心功能、提高核心竞争力，加快建设现代化产业体系，提高创新能力和价值创造力，更好发挥科技创新、产业控制、安全支撑作用，推动国有经济实现质的有效提升和量的合理增长，为奋力谱写中国式现代化的巴州篇章做出新的更大贡献。引导国有企业主动融入自治区“五大战略定位”“八大产业集群”布局，聚焦巴州“七大战场”“五大优势产业集群”，推动国有资本向装备制造、新能源、新材料、数字经济等战略性新兴产业布局。加大结构调整和创新</w:t>
            </w:r>
            <w:r>
              <w:rPr>
                <w:rFonts w:hint="eastAsia" w:ascii="宋体" w:hAnsi="宋体"/>
                <w:sz w:val="16"/>
                <w:lang w:eastAsia="zh-CN"/>
              </w:rPr>
              <w:t>力度</w:t>
            </w:r>
            <w:r>
              <w:rPr>
                <w:rFonts w:ascii="宋体" w:hAnsi="宋体" w:eastAsia="宋体"/>
                <w:sz w:val="16"/>
              </w:rPr>
              <w:t>，提升企业市场化程度，加快提升自身造血能力，培育经济增长点，力争全州国有企业营业收入、利润总额、缴纳税费“三大指标”同比增长，实现作出更多贡献、贡献更多力量的目标。持续加强国有企业投融资能力，切实加强监管企业对外投资股权管理，强化国有资本经营预算对国有企业资本金注入力度，支持国有企业通过资金注入、资产划转、收购兼并等方式，逐步增强在现代农业、建设水利、装备制造、新能源新材料等实体经济领域的作用地位。进一步加大国有企业重组和整合力度。切实增强国有企业基层党组织的凝聚力、创造力和战斗力。</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F8C6D1">
            <w:pPr>
              <w:jc w:val="both"/>
            </w:pPr>
            <w:r>
              <w:rPr>
                <w:rFonts w:ascii="宋体" w:hAnsi="宋体" w:eastAsia="宋体"/>
                <w:sz w:val="16"/>
              </w:rPr>
              <w:t>2024年巴州国资委</w:t>
            </w:r>
            <w:r>
              <w:rPr>
                <w:rFonts w:hint="eastAsia" w:ascii="宋体" w:hAnsi="宋体"/>
                <w:sz w:val="16"/>
                <w:lang w:eastAsia="zh-CN"/>
              </w:rPr>
              <w:t>共</w:t>
            </w:r>
            <w:r>
              <w:rPr>
                <w:rFonts w:ascii="宋体" w:hAnsi="宋体" w:eastAsia="宋体"/>
                <w:sz w:val="16"/>
              </w:rPr>
              <w:t>新增项目15个，项目总额4436.21万元。在自治区国资委的指导支持下，在州党委、政府的坚强领导下，我们聚焦突出问题，以改革为抓手，立足巴州资源禀赋、区位优势和产业基础，突出优化布局、产业重组，州属国企优化整合为7家、县市国企由357家优化整合为84家；全面推行绩效考核和薪酬管理机制，实行负责人薪酬与企业经济效益、业绩考核结果“双挂钩”，差异化设置21项考核指标，合理设置分配系数和权重比例，不断激发企业内生动力；着眼重点领域和关键环节风险防范，系统推进体系完善、机制优化、能力提升，巴州国有企业实体化转型和发展后劲持续增强，发展质效呈现稳步向好态势。2024年度完成国有资产总额同比增长10%的目标，完成国有企业利润总额同比增长21.77%目标，实现州本级企业上缴国有资本收益6380.31万元，上缴财政比例达到30%，完成对直接监管国企调研12次，调研覆盖率达到100%，完成产权管理业务年度分析报告1份，完成被投资国有企业满意度100%。对直接监管国有企业各项改革任务进行督导和落实，充分发挥国有资本在构建自治州特色现代产业体系中的主力军作用，更优质</w:t>
            </w:r>
            <w:r>
              <w:rPr>
                <w:rFonts w:hint="eastAsia" w:ascii="宋体" w:hAnsi="宋体"/>
                <w:sz w:val="16"/>
                <w:lang w:eastAsia="zh-CN"/>
              </w:rPr>
              <w:t>地</w:t>
            </w:r>
            <w:r>
              <w:rPr>
                <w:rFonts w:ascii="宋体" w:hAnsi="宋体" w:eastAsia="宋体"/>
                <w:sz w:val="16"/>
              </w:rPr>
              <w:t>引入高质量的数字经济、绿碳经济、高新技术等产业项目，实现全州国有企业“一利五率”目标中利润总额指标呈现增长趋势。</w:t>
            </w:r>
          </w:p>
        </w:tc>
      </w:tr>
      <w:tr w14:paraId="780D901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A615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5744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2DDC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79F0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172C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8DAB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43FA9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6C9E8">
            <w:pPr>
              <w:jc w:val="center"/>
            </w:pPr>
            <w:r>
              <w:rPr>
                <w:rFonts w:ascii="宋体" w:hAnsi="宋体" w:eastAsia="宋体"/>
                <w:sz w:val="16"/>
              </w:rPr>
              <w:t>得分</w:t>
            </w:r>
          </w:p>
        </w:tc>
      </w:tr>
      <w:tr w14:paraId="7ABC8FB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E2C0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C0A5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5757F">
            <w:pPr>
              <w:jc w:val="center"/>
            </w:pPr>
            <w:r>
              <w:rPr>
                <w:rFonts w:ascii="宋体" w:hAnsi="宋体" w:eastAsia="宋体"/>
                <w:sz w:val="16"/>
              </w:rPr>
              <w:t>国有企业利润总额同比增长率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88266E">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CF706">
            <w:pPr>
              <w:jc w:val="center"/>
            </w:pPr>
            <w:r>
              <w:rPr>
                <w:rFonts w:ascii="宋体" w:hAnsi="宋体" w:eastAsia="宋体"/>
                <w:sz w:val="16"/>
              </w:rPr>
              <w:t>2024年部门工作计划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40D9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A91F2">
            <w:pPr>
              <w:jc w:val="center"/>
            </w:pPr>
            <w:r>
              <w:rPr>
                <w:rFonts w:ascii="宋体" w:hAnsi="宋体" w:eastAsia="宋体"/>
                <w:sz w:val="16"/>
              </w:rPr>
              <w:t>21.77%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3307A">
            <w:pPr>
              <w:jc w:val="center"/>
            </w:pPr>
            <w:r>
              <w:rPr>
                <w:rFonts w:ascii="宋体" w:hAnsi="宋体" w:eastAsia="宋体"/>
                <w:sz w:val="16"/>
              </w:rPr>
              <w:t>20</w:t>
            </w:r>
          </w:p>
        </w:tc>
      </w:tr>
      <w:tr w14:paraId="27F551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2ECDD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1EB61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57265">
            <w:pPr>
              <w:jc w:val="center"/>
            </w:pPr>
            <w:r>
              <w:rPr>
                <w:rFonts w:ascii="宋体" w:hAnsi="宋体" w:eastAsia="宋体"/>
                <w:sz w:val="16"/>
              </w:rPr>
              <w:t>国有资本收益上缴财政比例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6389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C31E1">
            <w:pPr>
              <w:jc w:val="center"/>
            </w:pPr>
            <w:r>
              <w:rPr>
                <w:rFonts w:ascii="宋体" w:hAnsi="宋体" w:eastAsia="宋体"/>
                <w:sz w:val="16"/>
              </w:rPr>
              <w:t>申报国有资本收益的通知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BD18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3292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12F06">
            <w:pPr>
              <w:jc w:val="center"/>
            </w:pPr>
            <w:r>
              <w:rPr>
                <w:rFonts w:ascii="宋体" w:hAnsi="宋体" w:eastAsia="宋体"/>
                <w:sz w:val="16"/>
              </w:rPr>
              <w:t>30</w:t>
            </w:r>
          </w:p>
        </w:tc>
      </w:tr>
      <w:tr w14:paraId="153866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9F830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92AE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31589">
            <w:pPr>
              <w:jc w:val="center"/>
            </w:pPr>
            <w:r>
              <w:rPr>
                <w:rFonts w:ascii="宋体" w:hAnsi="宋体" w:eastAsia="宋体"/>
                <w:sz w:val="16"/>
              </w:rPr>
              <w:t>国有企业营业收入同比增长率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1C472">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93D66">
            <w:pPr>
              <w:jc w:val="center"/>
            </w:pPr>
            <w:r>
              <w:rPr>
                <w:rFonts w:ascii="宋体" w:hAnsi="宋体" w:eastAsia="宋体"/>
                <w:sz w:val="16"/>
              </w:rPr>
              <w:t>2024年部门工作计划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FDF2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F673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934EC">
            <w:pPr>
              <w:jc w:val="center"/>
            </w:pPr>
            <w:r>
              <w:rPr>
                <w:rFonts w:ascii="宋体" w:hAnsi="宋体" w:eastAsia="宋体"/>
                <w:sz w:val="16"/>
              </w:rPr>
              <w:t>16.67</w:t>
            </w:r>
          </w:p>
        </w:tc>
      </w:tr>
      <w:tr w14:paraId="5BE609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403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866F0">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177BB">
            <w:pPr>
              <w:jc w:val="center"/>
            </w:pPr>
            <w:r>
              <w:rPr>
                <w:rFonts w:ascii="宋体" w:hAnsi="宋体" w:eastAsia="宋体"/>
                <w:sz w:val="16"/>
              </w:rPr>
              <w:t>国有资本收益上缴财政及时率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8A0B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22F37">
            <w:pPr>
              <w:jc w:val="center"/>
            </w:pPr>
            <w:r>
              <w:rPr>
                <w:rFonts w:ascii="宋体" w:hAnsi="宋体" w:eastAsia="宋体"/>
                <w:sz w:val="16"/>
              </w:rPr>
              <w:t>申报国有资本收益的通知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1B5A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FD7B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C000F">
            <w:pPr>
              <w:jc w:val="center"/>
            </w:pPr>
            <w:r>
              <w:rPr>
                <w:rFonts w:ascii="宋体" w:hAnsi="宋体" w:eastAsia="宋体"/>
                <w:sz w:val="16"/>
              </w:rPr>
              <w:t>20</w:t>
            </w:r>
          </w:p>
        </w:tc>
      </w:tr>
    </w:tbl>
    <w:p w14:paraId="6A1CE3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E1077A6">
        <w:tblPrEx>
          <w:tblCellMar>
            <w:top w:w="0" w:type="dxa"/>
            <w:left w:w="108" w:type="dxa"/>
            <w:bottom w:w="0" w:type="dxa"/>
            <w:right w:w="108" w:type="dxa"/>
          </w:tblCellMar>
        </w:tblPrEx>
        <w:tc>
          <w:tcPr>
            <w:tcW w:w="8848" w:type="dxa"/>
            <w:gridSpan w:val="14"/>
            <w:vAlign w:val="center"/>
          </w:tcPr>
          <w:p w14:paraId="0110F1AC">
            <w:pPr>
              <w:jc w:val="center"/>
            </w:pPr>
            <w:r>
              <w:rPr>
                <w:rFonts w:ascii="宋体" w:hAnsi="宋体" w:eastAsia="宋体"/>
                <w:sz w:val="24"/>
              </w:rPr>
              <w:t>项目支出绩效自评表</w:t>
            </w:r>
          </w:p>
        </w:tc>
      </w:tr>
      <w:tr w14:paraId="392636F4">
        <w:tblPrEx>
          <w:tblCellMar>
            <w:top w:w="0" w:type="dxa"/>
            <w:left w:w="108" w:type="dxa"/>
            <w:bottom w:w="0" w:type="dxa"/>
            <w:right w:w="108" w:type="dxa"/>
          </w:tblCellMar>
        </w:tblPrEx>
        <w:tc>
          <w:tcPr>
            <w:tcW w:w="8848" w:type="dxa"/>
            <w:gridSpan w:val="14"/>
            <w:vAlign w:val="center"/>
          </w:tcPr>
          <w:p w14:paraId="1D91F2D4">
            <w:pPr>
              <w:jc w:val="center"/>
            </w:pPr>
            <w:r>
              <w:rPr>
                <w:rFonts w:ascii="宋体" w:hAnsi="宋体" w:eastAsia="宋体"/>
                <w:sz w:val="24"/>
              </w:rPr>
              <w:t>(2024年度)</w:t>
            </w:r>
          </w:p>
        </w:tc>
      </w:tr>
      <w:tr w14:paraId="5E3D8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B4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5C6ED">
            <w:pPr>
              <w:jc w:val="center"/>
            </w:pPr>
            <w:r>
              <w:rPr>
                <w:rFonts w:ascii="宋体" w:hAnsi="宋体" w:eastAsia="宋体"/>
                <w:sz w:val="16"/>
              </w:rPr>
              <w:t>2024年巴州建工公司自治州第二批优秀专家工作室建设支持项目</w:t>
            </w:r>
          </w:p>
        </w:tc>
      </w:tr>
      <w:tr w14:paraId="191E4E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2F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BB3E2">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D8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24CCB5">
            <w:pPr>
              <w:jc w:val="center"/>
            </w:pPr>
            <w:r>
              <w:rPr>
                <w:rFonts w:ascii="宋体" w:hAnsi="宋体" w:eastAsia="宋体"/>
                <w:sz w:val="16"/>
              </w:rPr>
              <w:t>新疆巴音郭楞蒙古自治州人民政府国有资产监督管理委员会</w:t>
            </w:r>
          </w:p>
        </w:tc>
      </w:tr>
      <w:tr w14:paraId="72B7E1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01B4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B5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2AD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E7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10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3962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CE9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96E1">
            <w:pPr>
              <w:jc w:val="center"/>
            </w:pPr>
            <w:r>
              <w:rPr>
                <w:rFonts w:ascii="宋体" w:hAnsi="宋体" w:eastAsia="宋体"/>
                <w:sz w:val="16"/>
              </w:rPr>
              <w:t>得分</w:t>
            </w:r>
          </w:p>
        </w:tc>
      </w:tr>
      <w:tr w14:paraId="1F299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1F4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1A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905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57B54">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F284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CBB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BBDD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48B8">
            <w:pPr>
              <w:jc w:val="center"/>
            </w:pPr>
            <w:r>
              <w:rPr>
                <w:rFonts w:ascii="宋体" w:hAnsi="宋体" w:eastAsia="宋体"/>
                <w:sz w:val="16"/>
              </w:rPr>
              <w:t>10.00</w:t>
            </w:r>
          </w:p>
        </w:tc>
      </w:tr>
      <w:tr w14:paraId="4B358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71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3B9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9CA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C45D9">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3F92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F4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B7D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943E">
            <w:pPr>
              <w:jc w:val="center"/>
            </w:pPr>
            <w:r>
              <w:rPr>
                <w:rFonts w:ascii="宋体" w:hAnsi="宋体" w:eastAsia="宋体"/>
                <w:sz w:val="16"/>
              </w:rPr>
              <w:t>-</w:t>
            </w:r>
          </w:p>
        </w:tc>
      </w:tr>
      <w:tr w14:paraId="60004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01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FF86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BE1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0E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23F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622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A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3144">
            <w:pPr>
              <w:jc w:val="center"/>
            </w:pPr>
            <w:r>
              <w:rPr>
                <w:rFonts w:ascii="宋体" w:hAnsi="宋体" w:eastAsia="宋体"/>
                <w:sz w:val="16"/>
              </w:rPr>
              <w:t>-</w:t>
            </w:r>
          </w:p>
        </w:tc>
      </w:tr>
      <w:tr w14:paraId="0A3440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0CE2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605E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FFE399">
            <w:pPr>
              <w:jc w:val="center"/>
            </w:pPr>
            <w:r>
              <w:rPr>
                <w:rFonts w:ascii="宋体" w:hAnsi="宋体" w:eastAsia="宋体"/>
                <w:sz w:val="16"/>
              </w:rPr>
              <w:t>总体目标完成情况</w:t>
            </w:r>
          </w:p>
        </w:tc>
      </w:tr>
      <w:tr w14:paraId="17E0F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606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02FD4">
            <w:pPr>
              <w:jc w:val="both"/>
            </w:pPr>
            <w:r>
              <w:rPr>
                <w:rFonts w:ascii="宋体" w:hAnsi="宋体" w:eastAsia="宋体"/>
                <w:sz w:val="16"/>
              </w:rPr>
              <w:t>根据《关于命名自治州第二批优秀专家工作室的决定》（巴党建办〔2024〕3号）文件精神，为了完成自治州优秀专家工作室建设，引进新技术产品并转化，应用新材料、新工艺或新方法，带动自治州专业技术人员就业，由州国资委拨付巴州建工集团公司24万元，用于建立3个自治州专家工作室，培养优秀人才，充分发挥优秀专家库作用，充分发挥在课题研究、人才培养和专业发展等方面的示范引领作用，培养造就高素质高技能人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122BE">
            <w:pPr>
              <w:jc w:val="both"/>
            </w:pPr>
            <w:r>
              <w:rPr>
                <w:rFonts w:ascii="宋体" w:hAnsi="宋体" w:eastAsia="宋体"/>
                <w:sz w:val="16"/>
              </w:rPr>
              <w:t>根据《关于命名自治州第二批优秀专家工作室的决定》（巴党建办〔2024〕3号）文件精神，由州国资委拨付巴州建工集团公司24万元，用于建立3个自治州专家工作室，分别是杨玲规划工作室、屈磐、孔德泉工作室、易永生工作室，充分发挥专家工作室作用，引进行业新技术产品并转化，推进行业应用新材料、新工艺或新方法，带动自治州专业技术人员就业，培养优秀人才，专家工作室在课题研究、人才培养和专业发展等方面的示范引领作用，培养造就高素质高技能人才。</w:t>
            </w:r>
          </w:p>
        </w:tc>
      </w:tr>
      <w:tr w14:paraId="391FD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5F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68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72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EF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D56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D6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A0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8DA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862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CA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2F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63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68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BAA0">
            <w:pPr>
              <w:jc w:val="center"/>
            </w:pPr>
            <w:r>
              <w:rPr>
                <w:rFonts w:ascii="宋体" w:hAnsi="宋体" w:eastAsia="宋体"/>
                <w:sz w:val="16"/>
              </w:rPr>
              <w:t>偏差原因分析及改进措施</w:t>
            </w:r>
          </w:p>
        </w:tc>
      </w:tr>
      <w:tr w14:paraId="60F8D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00B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AE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C7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572D">
            <w:pPr>
              <w:jc w:val="center"/>
            </w:pPr>
            <w:r>
              <w:rPr>
                <w:rFonts w:ascii="宋体" w:hAnsi="宋体" w:eastAsia="宋体"/>
                <w:sz w:val="16"/>
              </w:rPr>
              <w:t>专家工作室数量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7D6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1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F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8D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E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62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EB1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D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64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EDFD">
            <w:pPr>
              <w:jc w:val="center"/>
            </w:pPr>
          </w:p>
        </w:tc>
      </w:tr>
      <w:tr w14:paraId="4B517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1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F7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BC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EC06">
            <w:pPr>
              <w:jc w:val="center"/>
            </w:pPr>
            <w:r>
              <w:rPr>
                <w:rFonts w:ascii="宋体" w:hAnsi="宋体" w:eastAsia="宋体"/>
                <w:sz w:val="16"/>
              </w:rPr>
              <w:t>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C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E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D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6A3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8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B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F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1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91D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523D">
            <w:pPr>
              <w:jc w:val="center"/>
            </w:pPr>
          </w:p>
        </w:tc>
      </w:tr>
      <w:tr w14:paraId="55B0D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E8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51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D3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154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C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7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C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273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3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4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5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5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D4E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6918">
            <w:pPr>
              <w:jc w:val="center"/>
            </w:pPr>
          </w:p>
        </w:tc>
      </w:tr>
      <w:tr w14:paraId="4137D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4ED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338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A5A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040F">
            <w:pPr>
              <w:jc w:val="center"/>
            </w:pPr>
            <w:r>
              <w:rPr>
                <w:rFonts w:ascii="宋体" w:hAnsi="宋体" w:eastAsia="宋体"/>
                <w:sz w:val="16"/>
              </w:rPr>
              <w:t>杨玲规划工作室建设成本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EF02">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1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3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B3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9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E1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652E">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2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2C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8616">
            <w:pPr>
              <w:jc w:val="center"/>
            </w:pPr>
          </w:p>
        </w:tc>
      </w:tr>
      <w:tr w14:paraId="79855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6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9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0F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266D">
            <w:pPr>
              <w:jc w:val="center"/>
            </w:pPr>
            <w:r>
              <w:rPr>
                <w:rFonts w:ascii="宋体" w:hAnsi="宋体" w:eastAsia="宋体"/>
                <w:sz w:val="16"/>
              </w:rPr>
              <w:t>易永生工作室建设成本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16B8">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5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1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BA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4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6D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5B4B">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E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FE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91B6">
            <w:pPr>
              <w:jc w:val="center"/>
            </w:pPr>
          </w:p>
        </w:tc>
      </w:tr>
      <w:tr w14:paraId="06C46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6E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7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B0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0F4D">
            <w:pPr>
              <w:jc w:val="center"/>
            </w:pPr>
            <w:r>
              <w:rPr>
                <w:rFonts w:ascii="宋体" w:hAnsi="宋体" w:eastAsia="宋体"/>
                <w:sz w:val="16"/>
              </w:rPr>
              <w:t>屈磐、孔德泉工作室建设成本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6CC6">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7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2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65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4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E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553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F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EE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D1B1">
            <w:pPr>
              <w:jc w:val="center"/>
            </w:pPr>
          </w:p>
        </w:tc>
      </w:tr>
      <w:tr w14:paraId="46376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62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CE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7C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7F52">
            <w:pPr>
              <w:jc w:val="center"/>
            </w:pPr>
            <w:r>
              <w:rPr>
                <w:rFonts w:ascii="宋体" w:hAnsi="宋体" w:eastAsia="宋体"/>
                <w:sz w:val="16"/>
              </w:rPr>
              <w:t>保障工作室的运行和发展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C54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0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A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3F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19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F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D12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6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41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55B6">
            <w:pPr>
              <w:jc w:val="center"/>
            </w:pPr>
          </w:p>
        </w:tc>
      </w:tr>
      <w:tr w14:paraId="1B9AE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7D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09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11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0F8F">
            <w:pPr>
              <w:jc w:val="center"/>
            </w:pPr>
            <w:r>
              <w:rPr>
                <w:rFonts w:ascii="宋体" w:hAnsi="宋体" w:eastAsia="宋体"/>
                <w:sz w:val="16"/>
              </w:rPr>
              <w:t>工作室人员满意度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2A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6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1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0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7D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0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2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6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CB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797B">
            <w:pPr>
              <w:jc w:val="center"/>
            </w:pPr>
          </w:p>
        </w:tc>
      </w:tr>
      <w:tr w14:paraId="75671D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3863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6C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9DA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A4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8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9B2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A5D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02C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3E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BD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B3522"/>
        </w:tc>
      </w:tr>
    </w:tbl>
    <w:p w14:paraId="0F8FE2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1B1D724">
        <w:tblPrEx>
          <w:tblCellMar>
            <w:top w:w="0" w:type="dxa"/>
            <w:left w:w="108" w:type="dxa"/>
            <w:bottom w:w="0" w:type="dxa"/>
            <w:right w:w="108" w:type="dxa"/>
          </w:tblCellMar>
        </w:tblPrEx>
        <w:tc>
          <w:tcPr>
            <w:tcW w:w="8848" w:type="dxa"/>
            <w:gridSpan w:val="14"/>
            <w:vAlign w:val="center"/>
          </w:tcPr>
          <w:p w14:paraId="7D065C10">
            <w:pPr>
              <w:jc w:val="center"/>
            </w:pPr>
            <w:r>
              <w:rPr>
                <w:rFonts w:ascii="宋体" w:hAnsi="宋体" w:eastAsia="宋体"/>
                <w:sz w:val="24"/>
              </w:rPr>
              <w:t>项目支出绩效自评表</w:t>
            </w:r>
          </w:p>
        </w:tc>
      </w:tr>
      <w:tr w14:paraId="0AE9F0A9">
        <w:tblPrEx>
          <w:tblCellMar>
            <w:top w:w="0" w:type="dxa"/>
            <w:left w:w="108" w:type="dxa"/>
            <w:bottom w:w="0" w:type="dxa"/>
            <w:right w:w="108" w:type="dxa"/>
          </w:tblCellMar>
        </w:tblPrEx>
        <w:tc>
          <w:tcPr>
            <w:tcW w:w="8848" w:type="dxa"/>
            <w:gridSpan w:val="14"/>
            <w:vAlign w:val="center"/>
          </w:tcPr>
          <w:p w14:paraId="253A8EB4">
            <w:pPr>
              <w:jc w:val="center"/>
            </w:pPr>
            <w:r>
              <w:rPr>
                <w:rFonts w:ascii="宋体" w:hAnsi="宋体" w:eastAsia="宋体"/>
                <w:sz w:val="24"/>
              </w:rPr>
              <w:t>(2024年度)</w:t>
            </w:r>
          </w:p>
        </w:tc>
      </w:tr>
      <w:tr w14:paraId="3AC263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1D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68F7E6">
            <w:pPr>
              <w:jc w:val="center"/>
            </w:pPr>
            <w:r>
              <w:rPr>
                <w:rFonts w:ascii="宋体" w:hAnsi="宋体" w:eastAsia="宋体"/>
                <w:sz w:val="16"/>
              </w:rPr>
              <w:t>2024年解决历史遗留问题及国有企业改革困难（巴州万方物资产业有限公司人员安置费及退休人员取暖费）</w:t>
            </w:r>
          </w:p>
        </w:tc>
      </w:tr>
      <w:tr w14:paraId="1E3F1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0F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56B1A">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C2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1D0F29">
            <w:pPr>
              <w:jc w:val="center"/>
            </w:pPr>
            <w:r>
              <w:rPr>
                <w:rFonts w:ascii="宋体" w:hAnsi="宋体" w:eastAsia="宋体"/>
                <w:sz w:val="16"/>
              </w:rPr>
              <w:t>新疆巴音郭楞蒙古自治州人民政府国有资产监督管理委员会</w:t>
            </w:r>
          </w:p>
        </w:tc>
      </w:tr>
      <w:tr w14:paraId="356BE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ABA2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E6A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C0A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F7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B4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B317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96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BD04">
            <w:pPr>
              <w:jc w:val="center"/>
            </w:pPr>
            <w:r>
              <w:rPr>
                <w:rFonts w:ascii="宋体" w:hAnsi="宋体" w:eastAsia="宋体"/>
                <w:sz w:val="16"/>
              </w:rPr>
              <w:t>得分</w:t>
            </w:r>
          </w:p>
        </w:tc>
      </w:tr>
      <w:tr w14:paraId="4DF98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DF9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1CA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37DA">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EFBD">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3A8E9">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6F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95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3AE1">
            <w:pPr>
              <w:jc w:val="center"/>
            </w:pPr>
            <w:r>
              <w:rPr>
                <w:rFonts w:ascii="宋体" w:hAnsi="宋体" w:eastAsia="宋体"/>
                <w:sz w:val="16"/>
              </w:rPr>
              <w:t>10.00</w:t>
            </w:r>
          </w:p>
        </w:tc>
      </w:tr>
      <w:tr w14:paraId="1F249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DA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21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F376C">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2CD3A">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FD3C">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33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1F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DF53">
            <w:pPr>
              <w:jc w:val="center"/>
            </w:pPr>
            <w:r>
              <w:rPr>
                <w:rFonts w:ascii="宋体" w:hAnsi="宋体" w:eastAsia="宋体"/>
                <w:sz w:val="16"/>
              </w:rPr>
              <w:t>-</w:t>
            </w:r>
          </w:p>
        </w:tc>
      </w:tr>
      <w:tr w14:paraId="3A8AE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E76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3A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0D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6F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B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DE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1B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5A73">
            <w:pPr>
              <w:jc w:val="center"/>
            </w:pPr>
            <w:r>
              <w:rPr>
                <w:rFonts w:ascii="宋体" w:hAnsi="宋体" w:eastAsia="宋体"/>
                <w:sz w:val="16"/>
              </w:rPr>
              <w:t>-</w:t>
            </w:r>
          </w:p>
        </w:tc>
      </w:tr>
      <w:tr w14:paraId="6A510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498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406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7DB60E">
            <w:pPr>
              <w:jc w:val="center"/>
            </w:pPr>
            <w:r>
              <w:rPr>
                <w:rFonts w:ascii="宋体" w:hAnsi="宋体" w:eastAsia="宋体"/>
                <w:sz w:val="16"/>
              </w:rPr>
              <w:t>总体目标完成情况</w:t>
            </w:r>
          </w:p>
        </w:tc>
      </w:tr>
      <w:tr w14:paraId="057A6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15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1C577">
            <w:pPr>
              <w:jc w:val="both"/>
            </w:pPr>
            <w:r>
              <w:rPr>
                <w:rFonts w:ascii="宋体" w:hAnsi="宋体" w:eastAsia="宋体"/>
                <w:sz w:val="16"/>
              </w:rPr>
              <w:t>保证原物资股份公司85名退休职工按政策享受补贴，确保企业退休人员统筹外补贴落实到位，做好企业改革遗留工作，提升服务意识，切实做好为退休人员服务水平，是退休人员遇到生活问题能够第一时间得到解决。巴州万方公司代管的企业</w:t>
            </w:r>
            <w:r>
              <w:rPr>
                <w:rFonts w:hint="eastAsia" w:ascii="宋体" w:hAnsi="宋体"/>
                <w:sz w:val="16"/>
                <w:lang w:eastAsia="zh-CN"/>
              </w:rPr>
              <w:t>离退休</w:t>
            </w:r>
            <w:r>
              <w:rPr>
                <w:rFonts w:ascii="宋体" w:hAnsi="宋体" w:eastAsia="宋体"/>
                <w:sz w:val="16"/>
              </w:rPr>
              <w:t>人员共85人，支出项目包括补贴、各项福利及采暖费等，按照发放要求年度发放次数12次，平均每次发放补贴成本为5.16万元。通过走访退休职工，节假日慰问退休职工，根据退休职工反馈，退休生活水平有了一定的提升，增强了企业退休职工归属感、获得感、幸福感、保持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C1CFF">
            <w:pPr>
              <w:jc w:val="both"/>
            </w:pPr>
            <w:r>
              <w:rPr>
                <w:rFonts w:ascii="宋体" w:hAnsi="宋体" w:eastAsia="宋体"/>
                <w:sz w:val="16"/>
              </w:rPr>
              <w:t>根据相关文件精神，由巴州国资委一次性拨付巴州万方物资公司62万元，用于发放原物资股份公司85名退休职工按政策享受补贴，保障企业退休人员统筹外补贴落实到位，不断提升服务意识，切实做好为退休人员服务，保障国有企业退休人员的生活问题能够及时得到解决。通过走访退休职工，节假日慰问退休职工，保障享受补贴人员的退休生活水平有所提升，增强了企业退休职工归属感、获得感、幸福感、保持社会稳定。</w:t>
            </w:r>
          </w:p>
        </w:tc>
      </w:tr>
      <w:tr w14:paraId="64A629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155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42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E6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D6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C84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33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B2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165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248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21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CB1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C0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7D4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586D">
            <w:pPr>
              <w:jc w:val="center"/>
            </w:pPr>
            <w:r>
              <w:rPr>
                <w:rFonts w:ascii="宋体" w:hAnsi="宋体" w:eastAsia="宋体"/>
                <w:sz w:val="16"/>
              </w:rPr>
              <w:t>偏差原因分析及改进措施</w:t>
            </w:r>
          </w:p>
        </w:tc>
      </w:tr>
      <w:tr w14:paraId="454ACA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F8A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53A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4DE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4950">
            <w:pPr>
              <w:jc w:val="center"/>
            </w:pPr>
            <w:r>
              <w:rPr>
                <w:rFonts w:ascii="宋体" w:hAnsi="宋体" w:eastAsia="宋体"/>
                <w:sz w:val="16"/>
              </w:rPr>
              <w:t>享受补贴退休职工人数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1FBF">
            <w:pPr>
              <w:jc w:val="center"/>
            </w:pPr>
            <w:r>
              <w:rPr>
                <w:rFonts w:ascii="宋体" w:hAnsi="宋体" w:eastAsia="宋体"/>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D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C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5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5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5E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8757">
            <w:pPr>
              <w:jc w:val="center"/>
            </w:pPr>
            <w:r>
              <w:rPr>
                <w:rFonts w:ascii="宋体" w:hAnsi="宋体" w:eastAsia="宋体"/>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3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9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9C53">
            <w:pPr>
              <w:jc w:val="center"/>
            </w:pPr>
          </w:p>
        </w:tc>
      </w:tr>
      <w:tr w14:paraId="50687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F4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D4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F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0260">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7B9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D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544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5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3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95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AD2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A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1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CF43">
            <w:pPr>
              <w:jc w:val="center"/>
            </w:pPr>
          </w:p>
        </w:tc>
      </w:tr>
      <w:tr w14:paraId="7F703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C9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A0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CE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7A4B">
            <w:pPr>
              <w:jc w:val="center"/>
            </w:pPr>
            <w:r>
              <w:rPr>
                <w:rFonts w:ascii="宋体" w:hAnsi="宋体" w:eastAsia="宋体"/>
                <w:sz w:val="16"/>
              </w:rPr>
              <w:t>补贴发放保障率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C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E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5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C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D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73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7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D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C8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DC99">
            <w:pPr>
              <w:jc w:val="center"/>
            </w:pPr>
          </w:p>
        </w:tc>
      </w:tr>
      <w:tr w14:paraId="6B34A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F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49B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F3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7207">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3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D6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7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E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9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E0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C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C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0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26F7">
            <w:pPr>
              <w:jc w:val="center"/>
            </w:pPr>
          </w:p>
        </w:tc>
      </w:tr>
      <w:tr w14:paraId="2B9D2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2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B1C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5F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160E">
            <w:pPr>
              <w:jc w:val="center"/>
            </w:pPr>
            <w:r>
              <w:rPr>
                <w:rFonts w:ascii="宋体" w:hAnsi="宋体" w:eastAsia="宋体"/>
                <w:sz w:val="16"/>
              </w:rPr>
              <w:t>平均每次发放补贴成本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EC20">
            <w:pPr>
              <w:jc w:val="center"/>
            </w:pPr>
            <w:r>
              <w:rPr>
                <w:rFonts w:ascii="宋体" w:hAnsi="宋体" w:eastAsia="宋体"/>
                <w:sz w:val="16"/>
              </w:rPr>
              <w:t>&lt;=5.16万元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39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8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CE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4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46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A9E8">
            <w:pPr>
              <w:jc w:val="center"/>
            </w:pPr>
            <w:r>
              <w:rPr>
                <w:rFonts w:ascii="宋体" w:hAnsi="宋体" w:eastAsia="宋体"/>
                <w:sz w:val="16"/>
              </w:rPr>
              <w:t>=5.16万元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2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B9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C703">
            <w:pPr>
              <w:jc w:val="center"/>
            </w:pPr>
          </w:p>
        </w:tc>
      </w:tr>
      <w:tr w14:paraId="03096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D0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A1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86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584">
            <w:pPr>
              <w:jc w:val="center"/>
            </w:pPr>
            <w:r>
              <w:rPr>
                <w:rFonts w:ascii="宋体" w:hAnsi="宋体" w:eastAsia="宋体"/>
                <w:sz w:val="16"/>
              </w:rPr>
              <w:t>补贴领取人员生活水平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0B9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5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6E2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4B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24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4F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D0A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1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18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B5E8">
            <w:pPr>
              <w:jc w:val="center"/>
            </w:pPr>
          </w:p>
        </w:tc>
      </w:tr>
      <w:tr w14:paraId="5EE30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2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35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3D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41B3">
            <w:pPr>
              <w:jc w:val="center"/>
            </w:pPr>
            <w:r>
              <w:rPr>
                <w:rFonts w:ascii="宋体" w:hAnsi="宋体" w:eastAsia="宋体"/>
                <w:sz w:val="16"/>
              </w:rPr>
              <w:t>享受补贴退休职工满意度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DC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B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5D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97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76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38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2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7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D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E119">
            <w:pPr>
              <w:jc w:val="center"/>
            </w:pPr>
            <w:r>
              <w:rPr>
                <w:rFonts w:ascii="宋体" w:hAnsi="宋体" w:eastAsia="宋体"/>
                <w:sz w:val="16"/>
              </w:rPr>
              <w:t>从提升工作效率、服务态度等方面获得国有企业、享受补贴退休职工满意度。</w:t>
            </w:r>
          </w:p>
        </w:tc>
      </w:tr>
      <w:tr w14:paraId="4E2234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4AE4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F34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45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58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D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589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73C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EB8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CD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A3D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AFDC5"/>
        </w:tc>
      </w:tr>
    </w:tbl>
    <w:p w14:paraId="6AF6E6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AEFF92C">
        <w:tblPrEx>
          <w:tblCellMar>
            <w:top w:w="0" w:type="dxa"/>
            <w:left w:w="108" w:type="dxa"/>
            <w:bottom w:w="0" w:type="dxa"/>
            <w:right w:w="108" w:type="dxa"/>
          </w:tblCellMar>
        </w:tblPrEx>
        <w:tc>
          <w:tcPr>
            <w:tcW w:w="8848" w:type="dxa"/>
            <w:gridSpan w:val="14"/>
            <w:vAlign w:val="center"/>
          </w:tcPr>
          <w:p w14:paraId="3737BB8C">
            <w:pPr>
              <w:jc w:val="center"/>
            </w:pPr>
            <w:r>
              <w:rPr>
                <w:rFonts w:ascii="宋体" w:hAnsi="宋体" w:eastAsia="宋体"/>
                <w:sz w:val="24"/>
              </w:rPr>
              <w:t>项目支出绩效自评表</w:t>
            </w:r>
          </w:p>
        </w:tc>
      </w:tr>
      <w:tr w14:paraId="0050652C">
        <w:tblPrEx>
          <w:tblCellMar>
            <w:top w:w="0" w:type="dxa"/>
            <w:left w:w="108" w:type="dxa"/>
            <w:bottom w:w="0" w:type="dxa"/>
            <w:right w:w="108" w:type="dxa"/>
          </w:tblCellMar>
        </w:tblPrEx>
        <w:tc>
          <w:tcPr>
            <w:tcW w:w="8848" w:type="dxa"/>
            <w:gridSpan w:val="14"/>
            <w:vAlign w:val="center"/>
          </w:tcPr>
          <w:p w14:paraId="36B4AFD1">
            <w:pPr>
              <w:jc w:val="center"/>
            </w:pPr>
            <w:r>
              <w:rPr>
                <w:rFonts w:ascii="宋体" w:hAnsi="宋体" w:eastAsia="宋体"/>
                <w:sz w:val="24"/>
              </w:rPr>
              <w:t>(2024年度)</w:t>
            </w:r>
          </w:p>
        </w:tc>
      </w:tr>
      <w:tr w14:paraId="4C04D7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44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26324D">
            <w:pPr>
              <w:jc w:val="center"/>
            </w:pPr>
            <w:r>
              <w:rPr>
                <w:rFonts w:ascii="宋体" w:hAnsi="宋体" w:eastAsia="宋体"/>
                <w:sz w:val="16"/>
              </w:rPr>
              <w:t>2024年解决历史遗留问题及国有企业改革困难（巴州日报印务有限责任公司丧葬抚恤金）</w:t>
            </w:r>
          </w:p>
        </w:tc>
      </w:tr>
      <w:tr w14:paraId="057003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88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291D2">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B7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0B80B0">
            <w:pPr>
              <w:jc w:val="center"/>
            </w:pPr>
            <w:r>
              <w:rPr>
                <w:rFonts w:ascii="宋体" w:hAnsi="宋体" w:eastAsia="宋体"/>
                <w:sz w:val="16"/>
              </w:rPr>
              <w:t>新疆巴音郭楞蒙古自治州人民政府国有资产监督管理委员会</w:t>
            </w:r>
          </w:p>
        </w:tc>
      </w:tr>
      <w:tr w14:paraId="5EDE2F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0D6E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BD7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D5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A97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D7E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502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B1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6627">
            <w:pPr>
              <w:jc w:val="center"/>
            </w:pPr>
            <w:r>
              <w:rPr>
                <w:rFonts w:ascii="宋体" w:hAnsi="宋体" w:eastAsia="宋体"/>
                <w:sz w:val="16"/>
              </w:rPr>
              <w:t>得分</w:t>
            </w:r>
          </w:p>
        </w:tc>
      </w:tr>
      <w:tr w14:paraId="68803C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B72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09C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2948">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E6518">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3589">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CC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24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1E4B">
            <w:pPr>
              <w:jc w:val="center"/>
            </w:pPr>
            <w:r>
              <w:rPr>
                <w:rFonts w:ascii="宋体" w:hAnsi="宋体" w:eastAsia="宋体"/>
                <w:sz w:val="16"/>
              </w:rPr>
              <w:t>10.00</w:t>
            </w:r>
          </w:p>
        </w:tc>
      </w:tr>
      <w:tr w14:paraId="6BB8A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BA9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D30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ABDD">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10F5">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6608">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877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4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A58B">
            <w:pPr>
              <w:jc w:val="center"/>
            </w:pPr>
            <w:r>
              <w:rPr>
                <w:rFonts w:ascii="宋体" w:hAnsi="宋体" w:eastAsia="宋体"/>
                <w:sz w:val="16"/>
              </w:rPr>
              <w:t>-</w:t>
            </w:r>
          </w:p>
        </w:tc>
      </w:tr>
      <w:tr w14:paraId="3ACFA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71D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FC9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D9C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332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08D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95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0A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DBB1">
            <w:pPr>
              <w:jc w:val="center"/>
            </w:pPr>
            <w:r>
              <w:rPr>
                <w:rFonts w:ascii="宋体" w:hAnsi="宋体" w:eastAsia="宋体"/>
                <w:sz w:val="16"/>
              </w:rPr>
              <w:t>-</w:t>
            </w:r>
          </w:p>
        </w:tc>
      </w:tr>
      <w:tr w14:paraId="26BEAB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22F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067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B1C6A">
            <w:pPr>
              <w:jc w:val="center"/>
            </w:pPr>
            <w:r>
              <w:rPr>
                <w:rFonts w:ascii="宋体" w:hAnsi="宋体" w:eastAsia="宋体"/>
                <w:sz w:val="16"/>
              </w:rPr>
              <w:t>总体目标完成情况</w:t>
            </w:r>
          </w:p>
        </w:tc>
      </w:tr>
      <w:tr w14:paraId="17F7A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6DC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72E25">
            <w:pPr>
              <w:jc w:val="both"/>
            </w:pPr>
            <w:r>
              <w:rPr>
                <w:rFonts w:ascii="宋体" w:hAnsi="宋体" w:eastAsia="宋体"/>
                <w:sz w:val="16"/>
              </w:rPr>
              <w:t>根据《关于印发新疆巴音郭楞日报社印刷厂转企改制方案的通知》（巴党办字202025号），为了做好企业改制遗留工作，按政策足额向4名去世职工的家庭发放丧葬费与抚恤金补贴费用22.6万元。提高去世职工家属的生活水平，提升企业职工归属感、获得感、幸福感，让去世职工家属感受企业的人文关怀，保持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D6941">
            <w:pPr>
              <w:jc w:val="both"/>
            </w:pPr>
            <w:r>
              <w:rPr>
                <w:rFonts w:ascii="宋体" w:hAnsi="宋体" w:eastAsia="宋体"/>
                <w:sz w:val="16"/>
              </w:rPr>
              <w:t>按政策足额向4名去世职工的家庭发放丧葬费与抚恤金补贴费用22.6万元。提高去世职工家属的生活水平，提升企业职工归属感、获得感、幸福感，让去世职工家属感受企业的人文关怀，保持社会稳定。</w:t>
            </w:r>
          </w:p>
        </w:tc>
      </w:tr>
      <w:tr w14:paraId="1100CE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B47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58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4D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C2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281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7E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E0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8F3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9D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C5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889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A1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B1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5D1E">
            <w:pPr>
              <w:jc w:val="center"/>
            </w:pPr>
            <w:r>
              <w:rPr>
                <w:rFonts w:ascii="宋体" w:hAnsi="宋体" w:eastAsia="宋体"/>
                <w:sz w:val="16"/>
              </w:rPr>
              <w:t>偏差原因分析及改进措施</w:t>
            </w:r>
          </w:p>
        </w:tc>
      </w:tr>
      <w:tr w14:paraId="588398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DAF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F6D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7B3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7E59">
            <w:pPr>
              <w:jc w:val="center"/>
            </w:pPr>
            <w:r>
              <w:rPr>
                <w:rFonts w:ascii="宋体" w:hAnsi="宋体" w:eastAsia="宋体"/>
                <w:sz w:val="16"/>
              </w:rPr>
              <w:t>领取补贴家庭数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6C8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1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2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0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9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7C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280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A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8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6890">
            <w:pPr>
              <w:jc w:val="center"/>
            </w:pPr>
          </w:p>
        </w:tc>
      </w:tr>
      <w:tr w14:paraId="6A913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75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3B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FD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7D19">
            <w:pPr>
              <w:jc w:val="center"/>
            </w:pPr>
            <w:r>
              <w:rPr>
                <w:rFonts w:ascii="宋体" w:hAnsi="宋体" w:eastAsia="宋体"/>
                <w:sz w:val="16"/>
              </w:rPr>
              <w:t>发放补贴次数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ED2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8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3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F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E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30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5AD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E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E6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E45F">
            <w:pPr>
              <w:jc w:val="center"/>
            </w:pPr>
          </w:p>
        </w:tc>
      </w:tr>
      <w:tr w14:paraId="394EC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7C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0E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A7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0689">
            <w:pPr>
              <w:jc w:val="center"/>
            </w:pPr>
            <w:r>
              <w:rPr>
                <w:rFonts w:ascii="宋体" w:hAnsi="宋体" w:eastAsia="宋体"/>
                <w:sz w:val="16"/>
              </w:rPr>
              <w:t>补贴发放保障率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5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9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C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C2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A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1B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B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7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C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018D">
            <w:pPr>
              <w:jc w:val="center"/>
            </w:pPr>
          </w:p>
        </w:tc>
      </w:tr>
      <w:tr w14:paraId="663F4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71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B4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A5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8BCC">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B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9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A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C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9F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5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0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F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B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80D8">
            <w:pPr>
              <w:jc w:val="center"/>
            </w:pPr>
          </w:p>
        </w:tc>
      </w:tr>
      <w:tr w14:paraId="292E1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21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6C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18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3F96">
            <w:pPr>
              <w:jc w:val="center"/>
            </w:pPr>
            <w:r>
              <w:rPr>
                <w:rFonts w:ascii="宋体" w:hAnsi="宋体" w:eastAsia="宋体"/>
                <w:sz w:val="16"/>
              </w:rPr>
              <w:t>人均补贴发放成本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C9D8">
            <w:pPr>
              <w:jc w:val="center"/>
            </w:pPr>
            <w:r>
              <w:rPr>
                <w:rFonts w:ascii="宋体" w:hAnsi="宋体" w:eastAsia="宋体"/>
                <w:sz w:val="16"/>
              </w:rPr>
              <w:t>&lt;=5.65万元/人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8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D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19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A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84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D8B7">
            <w:pPr>
              <w:jc w:val="center"/>
            </w:pPr>
            <w:r>
              <w:rPr>
                <w:rFonts w:ascii="宋体" w:hAnsi="宋体" w:eastAsia="宋体"/>
                <w:sz w:val="16"/>
              </w:rPr>
              <w:t>=5.65万元/人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4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90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A01F">
            <w:pPr>
              <w:jc w:val="center"/>
            </w:pPr>
          </w:p>
        </w:tc>
      </w:tr>
      <w:tr w14:paraId="3A810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07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A1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46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985D">
            <w:pPr>
              <w:jc w:val="center"/>
            </w:pPr>
            <w:r>
              <w:rPr>
                <w:rFonts w:ascii="宋体" w:hAnsi="宋体" w:eastAsia="宋体"/>
                <w:sz w:val="16"/>
              </w:rPr>
              <w:t>享受补贴家庭生活水平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AB3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F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F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AA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DF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4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9FF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C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F2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549F">
            <w:pPr>
              <w:jc w:val="center"/>
            </w:pPr>
          </w:p>
        </w:tc>
      </w:tr>
      <w:tr w14:paraId="70797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D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E3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9C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3F05">
            <w:pPr>
              <w:jc w:val="center"/>
            </w:pPr>
            <w:r>
              <w:rPr>
                <w:rFonts w:ascii="宋体" w:hAnsi="宋体" w:eastAsia="宋体"/>
                <w:sz w:val="16"/>
              </w:rPr>
              <w:t>补贴领取家庭满意度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C3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1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6E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7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0C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08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0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4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4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3D6B">
            <w:pPr>
              <w:jc w:val="center"/>
            </w:pPr>
            <w:r>
              <w:rPr>
                <w:rFonts w:ascii="宋体" w:hAnsi="宋体" w:eastAsia="宋体"/>
                <w:sz w:val="16"/>
              </w:rPr>
              <w:t>从工作效率、服务态度等方面提升补贴领取家庭满意度。</w:t>
            </w:r>
          </w:p>
        </w:tc>
      </w:tr>
      <w:tr w14:paraId="00545B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F720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A5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BC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D1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B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0A6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E34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E22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C8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09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88B6A"/>
        </w:tc>
      </w:tr>
    </w:tbl>
    <w:p w14:paraId="15A38F8C">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4"/>
        <w:gridCol w:w="629"/>
        <w:gridCol w:w="627"/>
        <w:gridCol w:w="624"/>
        <w:gridCol w:w="624"/>
        <w:gridCol w:w="696"/>
        <w:gridCol w:w="629"/>
        <w:gridCol w:w="697"/>
        <w:gridCol w:w="633"/>
      </w:tblGrid>
      <w:tr w14:paraId="32D9A012">
        <w:tblPrEx>
          <w:tblCellMar>
            <w:top w:w="0" w:type="dxa"/>
            <w:left w:w="108" w:type="dxa"/>
            <w:bottom w:w="0" w:type="dxa"/>
            <w:right w:w="108" w:type="dxa"/>
          </w:tblCellMar>
        </w:tblPrEx>
        <w:tc>
          <w:tcPr>
            <w:tcW w:w="8848" w:type="dxa"/>
            <w:gridSpan w:val="14"/>
            <w:vAlign w:val="center"/>
          </w:tcPr>
          <w:p w14:paraId="3883F86E">
            <w:pPr>
              <w:jc w:val="center"/>
            </w:pPr>
            <w:r>
              <w:rPr>
                <w:rFonts w:ascii="宋体" w:hAnsi="宋体" w:eastAsia="宋体"/>
                <w:sz w:val="24"/>
              </w:rPr>
              <w:t>项目支出绩效自评表</w:t>
            </w:r>
          </w:p>
        </w:tc>
      </w:tr>
      <w:tr w14:paraId="753C7DC8">
        <w:tblPrEx>
          <w:tblCellMar>
            <w:top w:w="0" w:type="dxa"/>
            <w:left w:w="108" w:type="dxa"/>
            <w:bottom w:w="0" w:type="dxa"/>
            <w:right w:w="108" w:type="dxa"/>
          </w:tblCellMar>
        </w:tblPrEx>
        <w:tc>
          <w:tcPr>
            <w:tcW w:w="8848" w:type="dxa"/>
            <w:gridSpan w:val="14"/>
            <w:vAlign w:val="center"/>
          </w:tcPr>
          <w:p w14:paraId="0BCA02C8">
            <w:pPr>
              <w:jc w:val="center"/>
            </w:pPr>
            <w:r>
              <w:rPr>
                <w:rFonts w:ascii="宋体" w:hAnsi="宋体" w:eastAsia="宋体"/>
                <w:sz w:val="24"/>
              </w:rPr>
              <w:t>(2024年度)</w:t>
            </w:r>
          </w:p>
        </w:tc>
      </w:tr>
      <w:tr w14:paraId="1BA801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8B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3F0B38">
            <w:pPr>
              <w:jc w:val="center"/>
            </w:pPr>
            <w:r>
              <w:rPr>
                <w:rFonts w:ascii="宋体" w:hAnsi="宋体" w:eastAsia="宋体"/>
                <w:sz w:val="16"/>
              </w:rPr>
              <w:t>2024年原博湖苇业、库棉和轻工人员安置项目</w:t>
            </w:r>
          </w:p>
        </w:tc>
      </w:tr>
      <w:tr w14:paraId="5F8BAA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92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37748">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1C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63CA7">
            <w:pPr>
              <w:jc w:val="center"/>
            </w:pPr>
            <w:r>
              <w:rPr>
                <w:rFonts w:ascii="宋体" w:hAnsi="宋体" w:eastAsia="宋体"/>
                <w:sz w:val="16"/>
              </w:rPr>
              <w:t>新疆巴音郭楞蒙古自治州人民政府国有资产监督管理委员会</w:t>
            </w:r>
          </w:p>
        </w:tc>
      </w:tr>
      <w:tr w14:paraId="7D9353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F838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30B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79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F5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C6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A5D7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192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65E1">
            <w:pPr>
              <w:jc w:val="center"/>
            </w:pPr>
            <w:r>
              <w:rPr>
                <w:rFonts w:ascii="宋体" w:hAnsi="宋体" w:eastAsia="宋体"/>
                <w:sz w:val="16"/>
              </w:rPr>
              <w:t>得分</w:t>
            </w:r>
          </w:p>
        </w:tc>
      </w:tr>
      <w:tr w14:paraId="5F4A6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908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01D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64AFC">
            <w:pPr>
              <w:jc w:val="center"/>
            </w:pPr>
            <w:r>
              <w:rPr>
                <w:rFonts w:ascii="宋体" w:hAnsi="宋体" w:eastAsia="宋体"/>
                <w:sz w:val="16"/>
              </w:rPr>
              <w:t>312.00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7B4D">
            <w:pPr>
              <w:jc w:val="center"/>
            </w:pPr>
            <w:r>
              <w:rPr>
                <w:rFonts w:ascii="宋体" w:hAnsi="宋体" w:eastAsia="宋体"/>
                <w:sz w:val="16"/>
              </w:rPr>
              <w:t>280.51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F434">
            <w:pPr>
              <w:jc w:val="center"/>
            </w:pPr>
            <w:r>
              <w:rPr>
                <w:rFonts w:ascii="宋体" w:hAnsi="宋体" w:eastAsia="宋体"/>
                <w:sz w:val="16"/>
              </w:rPr>
              <w:t>280.51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C8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DC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D6AE">
            <w:pPr>
              <w:jc w:val="center"/>
            </w:pPr>
            <w:r>
              <w:rPr>
                <w:rFonts w:ascii="宋体" w:hAnsi="宋体" w:eastAsia="宋体"/>
                <w:sz w:val="16"/>
              </w:rPr>
              <w:t>10.00</w:t>
            </w:r>
          </w:p>
        </w:tc>
      </w:tr>
      <w:tr w14:paraId="4A903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990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EB0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E93A1">
            <w:pPr>
              <w:jc w:val="center"/>
            </w:pPr>
            <w:r>
              <w:rPr>
                <w:rFonts w:ascii="宋体" w:hAnsi="宋体" w:eastAsia="宋体"/>
                <w:sz w:val="16"/>
              </w:rPr>
              <w:t>312.00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DBB44">
            <w:pPr>
              <w:jc w:val="center"/>
            </w:pPr>
            <w:r>
              <w:rPr>
                <w:rFonts w:ascii="宋体" w:hAnsi="宋体" w:eastAsia="宋体"/>
                <w:sz w:val="16"/>
              </w:rPr>
              <w:t>280.51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3C21">
            <w:pPr>
              <w:jc w:val="center"/>
            </w:pPr>
            <w:r>
              <w:rPr>
                <w:rFonts w:ascii="宋体" w:hAnsi="宋体" w:eastAsia="宋体"/>
                <w:sz w:val="16"/>
              </w:rPr>
              <w:t>280.51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092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3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B1A5">
            <w:pPr>
              <w:jc w:val="center"/>
            </w:pPr>
            <w:r>
              <w:rPr>
                <w:rFonts w:ascii="宋体" w:hAnsi="宋体" w:eastAsia="宋体"/>
                <w:sz w:val="16"/>
              </w:rPr>
              <w:t>-</w:t>
            </w:r>
          </w:p>
        </w:tc>
      </w:tr>
      <w:tr w14:paraId="64D8A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F4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67F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93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9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C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1D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0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7B81">
            <w:pPr>
              <w:jc w:val="center"/>
            </w:pPr>
            <w:r>
              <w:rPr>
                <w:rFonts w:ascii="宋体" w:hAnsi="宋体" w:eastAsia="宋体"/>
                <w:sz w:val="16"/>
              </w:rPr>
              <w:t>-</w:t>
            </w:r>
          </w:p>
        </w:tc>
      </w:tr>
      <w:tr w14:paraId="32E4D2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AA9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410F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744C74">
            <w:pPr>
              <w:jc w:val="center"/>
            </w:pPr>
            <w:r>
              <w:rPr>
                <w:rFonts w:ascii="宋体" w:hAnsi="宋体" w:eastAsia="宋体"/>
                <w:sz w:val="16"/>
              </w:rPr>
              <w:t>总体目标完成情况</w:t>
            </w:r>
          </w:p>
        </w:tc>
      </w:tr>
      <w:tr w14:paraId="5C307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10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05D39">
            <w:pPr>
              <w:jc w:val="both"/>
            </w:pPr>
            <w:r>
              <w:rPr>
                <w:rFonts w:ascii="宋体" w:hAnsi="宋体" w:eastAsia="宋体"/>
                <w:sz w:val="16"/>
              </w:rPr>
              <w:t>由巴州国资委拨付巴州农丰公司280.51万元，切实服务好、管理好原博湖苇业公司、原库棉和巴州轻工供销公司退休、内退、工伤安置人员，按时足额发放采暖费、津补贴及生活安置费等各项费用，做好企业改制遗留工作。严格按政策落实，原博湖苇业公司、原库棉和巴州轻工供销公司退休、内退、工伤人员共计1770人，享受取暖费补贴、社保医保，津补贴及生活安置等各项补贴金额为2805125.58元，保障各项补贴按月足额发放，提升企业职工归属感、获得感、幸福感，保持社会稳定。各项经济指标控制在合理范围，社会贡献度、影响力和带动力进一步增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07BE43">
            <w:pPr>
              <w:jc w:val="both"/>
            </w:pPr>
            <w:r>
              <w:rPr>
                <w:rFonts w:ascii="宋体" w:hAnsi="宋体" w:eastAsia="宋体"/>
                <w:sz w:val="16"/>
              </w:rPr>
              <w:t>2024年度巴州农丰公司严格按政策落实，服务好、管理好原博湖苇业公司、原库棉公司和巴州轻工供销公司退休、内退及工伤人员共计1770人，全年按时足额发放津补贴、生活安置费及取暖费等各项费用2805125.58元，各项经济指标均控制在合理范围，无一差错，依法合规</w:t>
            </w:r>
            <w:r>
              <w:rPr>
                <w:rFonts w:hint="eastAsia" w:ascii="宋体" w:hAnsi="宋体"/>
                <w:sz w:val="16"/>
                <w:lang w:eastAsia="zh-CN"/>
              </w:rPr>
              <w:t>地</w:t>
            </w:r>
            <w:r>
              <w:rPr>
                <w:rFonts w:ascii="宋体" w:hAnsi="宋体" w:eastAsia="宋体"/>
                <w:sz w:val="16"/>
              </w:rPr>
              <w:t>做好企业改制遗留工作，进一步提升了企业职工的幸福感、归属感和获得感，保持了社会稳定。</w:t>
            </w:r>
          </w:p>
        </w:tc>
      </w:tr>
      <w:tr w14:paraId="19B7B6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7E3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B3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92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1C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C3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DF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FF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1B1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0EF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71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22F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99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73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14CD">
            <w:pPr>
              <w:jc w:val="center"/>
            </w:pPr>
            <w:r>
              <w:rPr>
                <w:rFonts w:ascii="宋体" w:hAnsi="宋体" w:eastAsia="宋体"/>
                <w:sz w:val="16"/>
              </w:rPr>
              <w:t>偏差原因分析及改进措施</w:t>
            </w:r>
          </w:p>
        </w:tc>
      </w:tr>
      <w:tr w14:paraId="143233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0C1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B19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3DC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2FDF">
            <w:pPr>
              <w:jc w:val="center"/>
            </w:pPr>
            <w:r>
              <w:rPr>
                <w:rFonts w:ascii="宋体" w:hAnsi="宋体" w:eastAsia="宋体"/>
                <w:sz w:val="16"/>
              </w:rPr>
              <w:t>享受补贴人数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68B7">
            <w:pPr>
              <w:jc w:val="center"/>
            </w:pPr>
            <w:r>
              <w:rPr>
                <w:rFonts w:ascii="宋体" w:hAnsi="宋体" w:eastAsia="宋体"/>
                <w:sz w:val="16"/>
              </w:rPr>
              <w:t>=1770人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F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09FF">
            <w:pPr>
              <w:jc w:val="center"/>
            </w:pPr>
            <w:r>
              <w:rPr>
                <w:rFonts w:ascii="宋体" w:hAnsi="宋体" w:eastAsia="宋体"/>
                <w:sz w:val="16"/>
              </w:rPr>
              <w:t>1810人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5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C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2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532F">
            <w:pPr>
              <w:jc w:val="center"/>
            </w:pPr>
            <w:r>
              <w:rPr>
                <w:rFonts w:ascii="宋体" w:hAnsi="宋体" w:eastAsia="宋体"/>
                <w:sz w:val="16"/>
              </w:rPr>
              <w:t>=1770人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A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2F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6E42">
            <w:pPr>
              <w:jc w:val="center"/>
            </w:pPr>
          </w:p>
        </w:tc>
      </w:tr>
      <w:tr w14:paraId="26258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0E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B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34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5FF">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7155">
            <w:pPr>
              <w:jc w:val="center"/>
            </w:pPr>
            <w:r>
              <w:rPr>
                <w:rFonts w:ascii="宋体" w:hAnsi="宋体" w:eastAsia="宋体"/>
                <w:sz w:val="16"/>
              </w:rPr>
              <w:t>&gt;=13次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D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2443">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8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1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08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1D72">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5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3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F166">
            <w:pPr>
              <w:jc w:val="center"/>
            </w:pPr>
          </w:p>
        </w:tc>
      </w:tr>
      <w:tr w14:paraId="292B9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37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06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83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05D5">
            <w:pPr>
              <w:jc w:val="center"/>
            </w:pPr>
            <w:r>
              <w:rPr>
                <w:rFonts w:ascii="宋体" w:hAnsi="宋体" w:eastAsia="宋体"/>
                <w:sz w:val="16"/>
              </w:rPr>
              <w:t>补贴发放保障率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1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A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D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2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23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F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F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A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946E">
            <w:pPr>
              <w:jc w:val="center"/>
            </w:pPr>
          </w:p>
        </w:tc>
      </w:tr>
      <w:tr w14:paraId="1CB2F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39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C6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61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B901">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A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0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1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A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C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36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C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D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07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CC4C">
            <w:pPr>
              <w:jc w:val="center"/>
            </w:pPr>
          </w:p>
        </w:tc>
      </w:tr>
      <w:tr w14:paraId="3E77C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45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B9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23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2EBD">
            <w:pPr>
              <w:jc w:val="center"/>
            </w:pPr>
            <w:r>
              <w:rPr>
                <w:rFonts w:ascii="宋体" w:hAnsi="宋体" w:eastAsia="宋体"/>
                <w:sz w:val="16"/>
              </w:rPr>
              <w:t>每次发放补贴成本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E00E">
            <w:pPr>
              <w:jc w:val="center"/>
            </w:pPr>
            <w:r>
              <w:rPr>
                <w:rFonts w:ascii="宋体" w:hAnsi="宋体" w:eastAsia="宋体"/>
                <w:sz w:val="16"/>
              </w:rPr>
              <w:t>&lt;=21.57万元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8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E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E9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A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27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E78C">
            <w:pPr>
              <w:jc w:val="center"/>
            </w:pPr>
            <w:r>
              <w:rPr>
                <w:rFonts w:ascii="宋体" w:hAnsi="宋体" w:eastAsia="宋体"/>
                <w:sz w:val="16"/>
              </w:rPr>
              <w:t>=21.57万元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E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3A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496A">
            <w:pPr>
              <w:jc w:val="center"/>
            </w:pPr>
          </w:p>
        </w:tc>
      </w:tr>
      <w:tr w14:paraId="07F99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73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AE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1A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F3E6">
            <w:pPr>
              <w:jc w:val="center"/>
            </w:pPr>
            <w:r>
              <w:rPr>
                <w:rFonts w:ascii="宋体" w:hAnsi="宋体" w:eastAsia="宋体"/>
                <w:sz w:val="16"/>
              </w:rPr>
              <w:t>补贴领取人员生活水平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7B4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9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11A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E5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93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0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526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4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4A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4AC5">
            <w:pPr>
              <w:jc w:val="center"/>
            </w:pPr>
          </w:p>
        </w:tc>
      </w:tr>
      <w:tr w14:paraId="6937A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2B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F5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EE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0BEA">
            <w:pPr>
              <w:jc w:val="center"/>
            </w:pPr>
            <w:r>
              <w:rPr>
                <w:rFonts w:ascii="宋体" w:hAnsi="宋体" w:eastAsia="宋体"/>
                <w:sz w:val="16"/>
              </w:rPr>
              <w:t>享受补贴人员满意度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F0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B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D7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0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1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A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C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2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16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89DF">
            <w:pPr>
              <w:jc w:val="center"/>
            </w:pPr>
          </w:p>
        </w:tc>
      </w:tr>
      <w:tr w14:paraId="3F450A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B2A2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692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8AC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97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B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5C1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83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44B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4B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76F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C185B4"/>
        </w:tc>
      </w:tr>
    </w:tbl>
    <w:p w14:paraId="14391836">
      <w:r>
        <w:br w:type="page"/>
      </w:r>
    </w:p>
    <w:tbl>
      <w:tblPr>
        <w:tblStyle w:val="9"/>
        <w:tblW w:w="0" w:type="auto"/>
        <w:tblInd w:w="0" w:type="dxa"/>
        <w:tblLayout w:type="autofit"/>
        <w:tblCellMar>
          <w:top w:w="0" w:type="dxa"/>
          <w:left w:w="108" w:type="dxa"/>
          <w:bottom w:w="0" w:type="dxa"/>
          <w:right w:w="108" w:type="dxa"/>
        </w:tblCellMar>
      </w:tblPr>
      <w:tblGrid>
        <w:gridCol w:w="602"/>
        <w:gridCol w:w="551"/>
        <w:gridCol w:w="551"/>
        <w:gridCol w:w="551"/>
        <w:gridCol w:w="936"/>
        <w:gridCol w:w="551"/>
        <w:gridCol w:w="776"/>
        <w:gridCol w:w="577"/>
        <w:gridCol w:w="551"/>
        <w:gridCol w:w="551"/>
        <w:gridCol w:w="936"/>
        <w:gridCol w:w="602"/>
        <w:gridCol w:w="697"/>
        <w:gridCol w:w="628"/>
      </w:tblGrid>
      <w:tr w14:paraId="575CF23E">
        <w:tblPrEx>
          <w:tblCellMar>
            <w:top w:w="0" w:type="dxa"/>
            <w:left w:w="108" w:type="dxa"/>
            <w:bottom w:w="0" w:type="dxa"/>
            <w:right w:w="108" w:type="dxa"/>
          </w:tblCellMar>
        </w:tblPrEx>
        <w:tc>
          <w:tcPr>
            <w:tcW w:w="8848" w:type="dxa"/>
            <w:gridSpan w:val="14"/>
            <w:vAlign w:val="center"/>
          </w:tcPr>
          <w:p w14:paraId="5551DD14">
            <w:pPr>
              <w:jc w:val="center"/>
            </w:pPr>
            <w:r>
              <w:rPr>
                <w:rFonts w:ascii="宋体" w:hAnsi="宋体" w:eastAsia="宋体"/>
                <w:sz w:val="24"/>
              </w:rPr>
              <w:t>项目支出绩效自评表</w:t>
            </w:r>
          </w:p>
        </w:tc>
      </w:tr>
      <w:tr w14:paraId="65EA0A4A">
        <w:tblPrEx>
          <w:tblCellMar>
            <w:top w:w="0" w:type="dxa"/>
            <w:left w:w="108" w:type="dxa"/>
            <w:bottom w:w="0" w:type="dxa"/>
            <w:right w:w="108" w:type="dxa"/>
          </w:tblCellMar>
        </w:tblPrEx>
        <w:tc>
          <w:tcPr>
            <w:tcW w:w="8848" w:type="dxa"/>
            <w:gridSpan w:val="14"/>
            <w:vAlign w:val="center"/>
          </w:tcPr>
          <w:p w14:paraId="5FAD22B4">
            <w:pPr>
              <w:jc w:val="center"/>
            </w:pPr>
            <w:r>
              <w:rPr>
                <w:rFonts w:ascii="宋体" w:hAnsi="宋体" w:eastAsia="宋体"/>
                <w:sz w:val="24"/>
              </w:rPr>
              <w:t>(2024年度)</w:t>
            </w:r>
          </w:p>
        </w:tc>
      </w:tr>
      <w:tr w14:paraId="540C3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D1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FBAD40">
            <w:pPr>
              <w:jc w:val="center"/>
            </w:pPr>
            <w:r>
              <w:rPr>
                <w:rFonts w:ascii="宋体" w:hAnsi="宋体" w:eastAsia="宋体"/>
                <w:sz w:val="16"/>
              </w:rPr>
              <w:t>2024年国有企业政策性补贴（巴音国资公司运行经费）</w:t>
            </w:r>
          </w:p>
        </w:tc>
      </w:tr>
      <w:tr w14:paraId="733128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E6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6E256">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5D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78C74">
            <w:pPr>
              <w:jc w:val="center"/>
            </w:pPr>
            <w:r>
              <w:rPr>
                <w:rFonts w:ascii="宋体" w:hAnsi="宋体" w:eastAsia="宋体"/>
                <w:sz w:val="16"/>
              </w:rPr>
              <w:t>新疆巴音郭楞蒙古自治州人民政府国有资产监督管理委员会</w:t>
            </w:r>
          </w:p>
        </w:tc>
      </w:tr>
      <w:tr w14:paraId="02D55B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8992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BE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945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A86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E2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4B8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82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7901">
            <w:pPr>
              <w:jc w:val="center"/>
            </w:pPr>
            <w:r>
              <w:rPr>
                <w:rFonts w:ascii="宋体" w:hAnsi="宋体" w:eastAsia="宋体"/>
                <w:sz w:val="16"/>
              </w:rPr>
              <w:t>得分</w:t>
            </w:r>
          </w:p>
        </w:tc>
      </w:tr>
      <w:tr w14:paraId="317B49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70A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72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9C9A">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94EE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B83D4">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5A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A49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C2B4">
            <w:pPr>
              <w:jc w:val="center"/>
            </w:pPr>
            <w:r>
              <w:rPr>
                <w:rFonts w:ascii="宋体" w:hAnsi="宋体" w:eastAsia="宋体"/>
                <w:sz w:val="16"/>
              </w:rPr>
              <w:t>10.00</w:t>
            </w:r>
          </w:p>
        </w:tc>
      </w:tr>
      <w:tr w14:paraId="454FC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98C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2F2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D7E6">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ED9A">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15E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AC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B9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C345">
            <w:pPr>
              <w:jc w:val="center"/>
            </w:pPr>
            <w:r>
              <w:rPr>
                <w:rFonts w:ascii="宋体" w:hAnsi="宋体" w:eastAsia="宋体"/>
                <w:sz w:val="16"/>
              </w:rPr>
              <w:t>-</w:t>
            </w:r>
          </w:p>
        </w:tc>
      </w:tr>
      <w:tr w14:paraId="3F9B1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5C2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44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4A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FF7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A42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D54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FF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D422">
            <w:pPr>
              <w:jc w:val="center"/>
            </w:pPr>
            <w:r>
              <w:rPr>
                <w:rFonts w:ascii="宋体" w:hAnsi="宋体" w:eastAsia="宋体"/>
                <w:sz w:val="16"/>
              </w:rPr>
              <w:t>-</w:t>
            </w:r>
          </w:p>
        </w:tc>
      </w:tr>
      <w:tr w14:paraId="625280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F42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1A02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AB0409">
            <w:pPr>
              <w:jc w:val="center"/>
            </w:pPr>
            <w:r>
              <w:rPr>
                <w:rFonts w:ascii="宋体" w:hAnsi="宋体" w:eastAsia="宋体"/>
                <w:sz w:val="16"/>
              </w:rPr>
              <w:t>总体目标完成情况</w:t>
            </w:r>
          </w:p>
        </w:tc>
      </w:tr>
      <w:tr w14:paraId="44D9B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AB6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6DC1F">
            <w:pPr>
              <w:jc w:val="both"/>
            </w:pPr>
            <w:r>
              <w:rPr>
                <w:rFonts w:ascii="宋体" w:hAnsi="宋体" w:eastAsia="宋体"/>
                <w:sz w:val="16"/>
              </w:rPr>
              <w:t xml:space="preserve">为了推进2024年巴音国资公司围绕国企各项改革任务，通过混改项目，全面落实州国资委安排的各项深化改革工作任务；顺利完成2024年度国有资本收益上缴任务。根据《关于申请拨付2024年巴音国资公司运行费用的请示》（巴国资司字 </w:t>
            </w:r>
            <w:r>
              <w:rPr>
                <w:rFonts w:hint="eastAsia" w:ascii="宋体" w:hAnsi="宋体"/>
                <w:sz w:val="16"/>
                <w:lang w:eastAsia="zh-CN"/>
              </w:rPr>
              <w:t>〔2024〕4号</w:t>
            </w:r>
            <w:r>
              <w:rPr>
                <w:rFonts w:ascii="宋体" w:hAnsi="宋体" w:eastAsia="宋体"/>
                <w:sz w:val="16"/>
              </w:rPr>
              <w:t>），经州国资委审核后纳入财政预算的费用合计400万元，主要用于支付22名员工人员工资、1辆公务车辆维护费、缴纳房土两税等各项税费、1202.86平方米的办公采暖费等运行经费。实现增强巴音公司凝聚力、激发员工工作积极性、更好</w:t>
            </w:r>
            <w:r>
              <w:rPr>
                <w:rFonts w:hint="eastAsia" w:ascii="宋体" w:hAnsi="宋体"/>
                <w:sz w:val="16"/>
                <w:lang w:eastAsia="zh-CN"/>
              </w:rPr>
              <w:t>地</w:t>
            </w:r>
            <w:r>
              <w:rPr>
                <w:rFonts w:ascii="宋体" w:hAnsi="宋体" w:eastAsia="宋体"/>
                <w:sz w:val="16"/>
              </w:rPr>
              <w:t>开展各项工作，巴音国资公司对2024年各项支出费用制定预算。认真履行自身职责，充分发挥投融资平台作用。提高项目资金的使用效率，发挥好项目资金，促进企业发展与保障能力提升的作用，使企业利润最大化。2024年巴音国资公司围绕国企各项改革任务，通过混改项目，全面落实州国资委安排的各项深化改革工作任务；顺利完成2024年度国有资本收益上缴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3AC60">
            <w:pPr>
              <w:jc w:val="both"/>
            </w:pPr>
            <w:r>
              <w:rPr>
                <w:rFonts w:ascii="宋体" w:hAnsi="宋体" w:eastAsia="宋体"/>
                <w:sz w:val="16"/>
              </w:rPr>
              <w:t>2024年度巴音公司申请运行经费400万元，巴音公司按月按时发放人员经费13次，保障员工22人，支付各项公司运营公用经费，公用经费支出严格按照合规性要求及时足额支付相关费用，此项目增强了巴音公司凝聚力、激发员工工作的积极性，保障</w:t>
            </w:r>
            <w:r>
              <w:rPr>
                <w:rFonts w:hint="eastAsia" w:ascii="宋体" w:hAnsi="宋体"/>
                <w:sz w:val="16"/>
                <w:lang w:eastAsia="zh-CN"/>
              </w:rPr>
              <w:t>更好地</w:t>
            </w:r>
            <w:r>
              <w:rPr>
                <w:rFonts w:ascii="宋体" w:hAnsi="宋体" w:eastAsia="宋体"/>
                <w:sz w:val="16"/>
              </w:rPr>
              <w:t>开展各项工作。</w:t>
            </w:r>
          </w:p>
        </w:tc>
      </w:tr>
      <w:tr w14:paraId="648CF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E56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FD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EE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25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AA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EF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58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91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CE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BA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B71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FC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73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9907">
            <w:pPr>
              <w:jc w:val="center"/>
            </w:pPr>
            <w:r>
              <w:rPr>
                <w:rFonts w:ascii="宋体" w:hAnsi="宋体" w:eastAsia="宋体"/>
                <w:sz w:val="16"/>
              </w:rPr>
              <w:t>偏差原因分析及改进措施</w:t>
            </w:r>
          </w:p>
        </w:tc>
      </w:tr>
      <w:tr w14:paraId="66DFE5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1BA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D09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27E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A967">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C063">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7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5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3F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1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F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81EE">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A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94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07CB">
            <w:pPr>
              <w:jc w:val="center"/>
            </w:pPr>
          </w:p>
        </w:tc>
      </w:tr>
      <w:tr w14:paraId="146E1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F1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35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B99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C5A5">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05E2">
            <w:pPr>
              <w:jc w:val="center"/>
            </w:pPr>
            <w:r>
              <w:rPr>
                <w:rFonts w:ascii="宋体" w:hAnsi="宋体" w:eastAsia="宋体"/>
                <w:sz w:val="16"/>
              </w:rPr>
              <w:t>&gt;=13次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7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D136">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21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4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76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72D0">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5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D3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91AB">
            <w:pPr>
              <w:jc w:val="center"/>
            </w:pPr>
          </w:p>
        </w:tc>
      </w:tr>
      <w:tr w14:paraId="74A4A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36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6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3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F2B1">
            <w:pPr>
              <w:jc w:val="center"/>
            </w:pPr>
            <w:r>
              <w:rPr>
                <w:rFonts w:ascii="宋体" w:hAnsi="宋体" w:eastAsia="宋体"/>
                <w:sz w:val="16"/>
              </w:rPr>
              <w:t>房屋建筑物供暖面积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4289">
            <w:pPr>
              <w:jc w:val="center"/>
            </w:pPr>
            <w:r>
              <w:rPr>
                <w:rFonts w:ascii="宋体" w:hAnsi="宋体" w:eastAsia="宋体"/>
                <w:sz w:val="16"/>
              </w:rPr>
              <w:t>=1202.86㎡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D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E562">
            <w:pPr>
              <w:jc w:val="center"/>
            </w:pPr>
            <w:r>
              <w:rPr>
                <w:rFonts w:ascii="宋体" w:hAnsi="宋体" w:eastAsia="宋体"/>
                <w:sz w:val="16"/>
              </w:rPr>
              <w:t>1202.86㎡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CA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7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25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129B">
            <w:pPr>
              <w:jc w:val="center"/>
            </w:pPr>
            <w:r>
              <w:rPr>
                <w:rFonts w:ascii="宋体" w:hAnsi="宋体" w:eastAsia="宋体"/>
                <w:sz w:val="16"/>
              </w:rPr>
              <w:t>=1202.86㎡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4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6E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2BBD">
            <w:pPr>
              <w:jc w:val="center"/>
            </w:pPr>
          </w:p>
        </w:tc>
      </w:tr>
      <w:tr w14:paraId="6CDFB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2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49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5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B1CB">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5CF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8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F91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4E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5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1C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136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F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4C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4D47">
            <w:pPr>
              <w:jc w:val="center"/>
            </w:pPr>
          </w:p>
        </w:tc>
      </w:tr>
      <w:tr w14:paraId="4FF57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B3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20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CA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B7F5">
            <w:pPr>
              <w:jc w:val="center"/>
            </w:pPr>
            <w:r>
              <w:rPr>
                <w:rFonts w:ascii="宋体" w:hAnsi="宋体" w:eastAsia="宋体"/>
                <w:sz w:val="16"/>
              </w:rPr>
              <w:t>缴纳房土税费面积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4265">
            <w:pPr>
              <w:jc w:val="center"/>
            </w:pPr>
            <w:r>
              <w:rPr>
                <w:rFonts w:ascii="宋体" w:hAnsi="宋体" w:eastAsia="宋体"/>
                <w:sz w:val="16"/>
              </w:rPr>
              <w:t>=66239.18㎡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0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C112">
            <w:pPr>
              <w:jc w:val="center"/>
            </w:pPr>
            <w:r>
              <w:rPr>
                <w:rFonts w:ascii="宋体" w:hAnsi="宋体" w:eastAsia="宋体"/>
                <w:sz w:val="16"/>
              </w:rPr>
              <w:t>66114㎡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31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7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3E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414F">
            <w:pPr>
              <w:jc w:val="center"/>
            </w:pPr>
            <w:r>
              <w:rPr>
                <w:rFonts w:ascii="宋体" w:hAnsi="宋体" w:eastAsia="宋体"/>
                <w:sz w:val="16"/>
              </w:rPr>
              <w:t>=66239.18㎡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E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51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23DB">
            <w:pPr>
              <w:jc w:val="center"/>
            </w:pPr>
          </w:p>
        </w:tc>
      </w:tr>
      <w:tr w14:paraId="4B2F0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16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7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57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DA8E">
            <w:pPr>
              <w:jc w:val="center"/>
            </w:pPr>
            <w:r>
              <w:rPr>
                <w:rFonts w:ascii="宋体" w:hAnsi="宋体" w:eastAsia="宋体"/>
                <w:sz w:val="16"/>
              </w:rPr>
              <w:t>国有资本保值增值率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5DB2">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7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7047">
            <w:pPr>
              <w:jc w:val="center"/>
            </w:pPr>
            <w:r>
              <w:rPr>
                <w:rFonts w:ascii="宋体" w:hAnsi="宋体" w:eastAsia="宋体"/>
                <w:sz w:val="16"/>
              </w:rPr>
              <w:t>100.3%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20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6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B5D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B146">
            <w:pPr>
              <w:jc w:val="center"/>
            </w:pPr>
            <w:r>
              <w:rPr>
                <w:rFonts w:ascii="宋体" w:hAnsi="宋体" w:eastAsia="宋体"/>
                <w:sz w:val="16"/>
              </w:rPr>
              <w:t>=108.32%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4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92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6625">
            <w:pPr>
              <w:jc w:val="center"/>
            </w:pPr>
          </w:p>
        </w:tc>
      </w:tr>
      <w:tr w14:paraId="2E422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F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59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A52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E31C">
            <w:pPr>
              <w:jc w:val="center"/>
            </w:pPr>
            <w:r>
              <w:rPr>
                <w:rFonts w:ascii="宋体" w:hAnsi="宋体" w:eastAsia="宋体"/>
                <w:sz w:val="16"/>
              </w:rPr>
              <w:t>人员经费发放及时率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7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4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E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7D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B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C0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7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E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EE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CBAB">
            <w:pPr>
              <w:jc w:val="center"/>
            </w:pPr>
          </w:p>
        </w:tc>
      </w:tr>
      <w:tr w14:paraId="2E009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B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6D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9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6403">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C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0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00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A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C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1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8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9B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17E9">
            <w:pPr>
              <w:jc w:val="center"/>
            </w:pPr>
          </w:p>
        </w:tc>
      </w:tr>
      <w:tr w14:paraId="5F532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31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E6F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1EF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2B8E">
            <w:pPr>
              <w:jc w:val="center"/>
            </w:pPr>
            <w:r>
              <w:rPr>
                <w:rFonts w:ascii="宋体" w:hAnsi="宋体" w:eastAsia="宋体"/>
                <w:sz w:val="16"/>
              </w:rPr>
              <w:t>平均每次发放资金成本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D7CF">
            <w:pPr>
              <w:jc w:val="center"/>
            </w:pPr>
            <w:r>
              <w:rPr>
                <w:rFonts w:ascii="宋体" w:hAnsi="宋体" w:eastAsia="宋体"/>
                <w:sz w:val="16"/>
              </w:rPr>
              <w:t>&lt;=27.50万元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4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3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9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B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38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5429">
            <w:pPr>
              <w:jc w:val="center"/>
            </w:pPr>
            <w:r>
              <w:rPr>
                <w:rFonts w:ascii="宋体" w:hAnsi="宋体" w:eastAsia="宋体"/>
                <w:sz w:val="16"/>
              </w:rPr>
              <w: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9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5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F593">
            <w:pPr>
              <w:jc w:val="center"/>
            </w:pPr>
          </w:p>
        </w:tc>
      </w:tr>
      <w:tr w14:paraId="0E294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9C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73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B5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8727">
            <w:pPr>
              <w:jc w:val="center"/>
            </w:pPr>
            <w:r>
              <w:rPr>
                <w:rFonts w:ascii="宋体" w:hAnsi="宋体" w:eastAsia="宋体"/>
                <w:sz w:val="16"/>
              </w:rPr>
              <w:t>人均运转成本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2CD0">
            <w:pPr>
              <w:jc w:val="center"/>
            </w:pPr>
            <w:r>
              <w:rPr>
                <w:rFonts w:ascii="宋体" w:hAnsi="宋体" w:eastAsia="宋体"/>
                <w:sz w:val="16"/>
              </w:rPr>
              <w:t>&lt;=1.90万元/人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3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D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2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6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24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0D49">
            <w:pPr>
              <w:jc w:val="center"/>
            </w:pPr>
            <w:r>
              <w:rPr>
                <w:rFonts w:ascii="宋体" w:hAnsi="宋体" w:eastAsia="宋体"/>
                <w:sz w:val="16"/>
              </w:rPr>
              <w:t>=1.9万元/人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9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D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36EE">
            <w:pPr>
              <w:jc w:val="center"/>
            </w:pPr>
          </w:p>
        </w:tc>
      </w:tr>
      <w:tr w14:paraId="18DAF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865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107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181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27B1">
            <w:pPr>
              <w:jc w:val="center"/>
            </w:pPr>
            <w:r>
              <w:rPr>
                <w:rFonts w:ascii="宋体" w:hAnsi="宋体" w:eastAsia="宋体"/>
                <w:sz w:val="16"/>
              </w:rPr>
              <w:t>净资产收益率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F90C">
            <w:pPr>
              <w:jc w:val="center"/>
            </w:pPr>
            <w:r>
              <w:rPr>
                <w:rFonts w:ascii="宋体" w:hAnsi="宋体" w:eastAsia="宋体"/>
                <w:sz w:val="16"/>
              </w:rPr>
              <w:t>&gt;=0.54%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0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3384">
            <w:pPr>
              <w:jc w:val="center"/>
            </w:pPr>
            <w:r>
              <w:rPr>
                <w:rFonts w:ascii="宋体" w:hAnsi="宋体" w:eastAsia="宋体"/>
                <w:sz w:val="16"/>
              </w:rPr>
              <w:t>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19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9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A8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1EC2">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2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31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24F2">
            <w:pPr>
              <w:jc w:val="center"/>
            </w:pPr>
          </w:p>
        </w:tc>
      </w:tr>
      <w:tr w14:paraId="636C0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39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2C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E1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AA48">
            <w:pPr>
              <w:jc w:val="center"/>
            </w:pPr>
            <w:r>
              <w:rPr>
                <w:rFonts w:ascii="宋体" w:hAnsi="宋体" w:eastAsia="宋体"/>
                <w:sz w:val="16"/>
              </w:rPr>
              <w:t>提高企业发展潜力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EDE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4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B62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36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8B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9A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88E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5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A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43B7">
            <w:pPr>
              <w:jc w:val="center"/>
            </w:pPr>
          </w:p>
        </w:tc>
      </w:tr>
      <w:tr w14:paraId="60944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09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B8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DE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C12F">
            <w:pPr>
              <w:jc w:val="center"/>
            </w:pPr>
            <w:r>
              <w:rPr>
                <w:rFonts w:ascii="宋体" w:hAnsi="宋体" w:eastAsia="宋体"/>
                <w:sz w:val="16"/>
              </w:rPr>
              <w:t>国有企业员工满意度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A06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C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5ED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6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C2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94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D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3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4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5276">
            <w:pPr>
              <w:jc w:val="center"/>
            </w:pPr>
          </w:p>
        </w:tc>
      </w:tr>
      <w:tr w14:paraId="58685B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4DF0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E2C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F5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EA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4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445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864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DA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ED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0F6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7F872"/>
        </w:tc>
      </w:tr>
    </w:tbl>
    <w:p w14:paraId="606961DA">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04"/>
        <w:gridCol w:w="856"/>
        <w:gridCol w:w="604"/>
        <w:gridCol w:w="622"/>
        <w:gridCol w:w="613"/>
        <w:gridCol w:w="604"/>
        <w:gridCol w:w="604"/>
        <w:gridCol w:w="776"/>
        <w:gridCol w:w="622"/>
        <w:gridCol w:w="696"/>
        <w:gridCol w:w="630"/>
      </w:tblGrid>
      <w:tr w14:paraId="01DA6160">
        <w:tblPrEx>
          <w:tblCellMar>
            <w:top w:w="0" w:type="dxa"/>
            <w:left w:w="108" w:type="dxa"/>
            <w:bottom w:w="0" w:type="dxa"/>
            <w:right w:w="108" w:type="dxa"/>
          </w:tblCellMar>
        </w:tblPrEx>
        <w:tc>
          <w:tcPr>
            <w:tcW w:w="8848" w:type="dxa"/>
            <w:gridSpan w:val="14"/>
            <w:vAlign w:val="center"/>
          </w:tcPr>
          <w:p w14:paraId="24830425">
            <w:pPr>
              <w:jc w:val="center"/>
            </w:pPr>
            <w:r>
              <w:rPr>
                <w:rFonts w:ascii="宋体" w:hAnsi="宋体" w:eastAsia="宋体"/>
                <w:sz w:val="24"/>
              </w:rPr>
              <w:t>项目支出绩效自评表</w:t>
            </w:r>
          </w:p>
        </w:tc>
      </w:tr>
      <w:tr w14:paraId="47F1C337">
        <w:tblPrEx>
          <w:tblCellMar>
            <w:top w:w="0" w:type="dxa"/>
            <w:left w:w="108" w:type="dxa"/>
            <w:bottom w:w="0" w:type="dxa"/>
            <w:right w:w="108" w:type="dxa"/>
          </w:tblCellMar>
        </w:tblPrEx>
        <w:tc>
          <w:tcPr>
            <w:tcW w:w="8848" w:type="dxa"/>
            <w:gridSpan w:val="14"/>
            <w:vAlign w:val="center"/>
          </w:tcPr>
          <w:p w14:paraId="74ACFB0C">
            <w:pPr>
              <w:jc w:val="center"/>
            </w:pPr>
            <w:r>
              <w:rPr>
                <w:rFonts w:ascii="宋体" w:hAnsi="宋体" w:eastAsia="宋体"/>
                <w:sz w:val="24"/>
              </w:rPr>
              <w:t>(2024年度)</w:t>
            </w:r>
          </w:p>
        </w:tc>
      </w:tr>
      <w:tr w14:paraId="75B4F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11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9BB3EF">
            <w:pPr>
              <w:jc w:val="center"/>
            </w:pPr>
            <w:r>
              <w:rPr>
                <w:rFonts w:ascii="宋体" w:hAnsi="宋体" w:eastAsia="宋体"/>
                <w:sz w:val="16"/>
              </w:rPr>
              <w:t>2024年国有企业职教幼教退休教师生活待遇补贴</w:t>
            </w:r>
          </w:p>
        </w:tc>
      </w:tr>
      <w:tr w14:paraId="6A961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10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02717">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95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61D66">
            <w:pPr>
              <w:jc w:val="center"/>
            </w:pPr>
            <w:r>
              <w:rPr>
                <w:rFonts w:ascii="宋体" w:hAnsi="宋体" w:eastAsia="宋体"/>
                <w:sz w:val="16"/>
              </w:rPr>
              <w:t>新疆巴音郭楞蒙古自治州人民政府国有资产监督管理委员会</w:t>
            </w:r>
          </w:p>
        </w:tc>
      </w:tr>
      <w:tr w14:paraId="6549C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45CF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2A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71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1B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F3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C5F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A6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9676">
            <w:pPr>
              <w:jc w:val="center"/>
            </w:pPr>
            <w:r>
              <w:rPr>
                <w:rFonts w:ascii="宋体" w:hAnsi="宋体" w:eastAsia="宋体"/>
                <w:sz w:val="16"/>
              </w:rPr>
              <w:t>得分</w:t>
            </w:r>
          </w:p>
        </w:tc>
      </w:tr>
      <w:tr w14:paraId="106F04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F1E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07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FC6D">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E374">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37B1C">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B7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30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0EEF">
            <w:pPr>
              <w:jc w:val="center"/>
            </w:pPr>
            <w:r>
              <w:rPr>
                <w:rFonts w:ascii="宋体" w:hAnsi="宋体" w:eastAsia="宋体"/>
                <w:sz w:val="16"/>
              </w:rPr>
              <w:t>10.00</w:t>
            </w:r>
          </w:p>
        </w:tc>
      </w:tr>
      <w:tr w14:paraId="32AC7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A6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A8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2C4A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8E7D4">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C5C89">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B2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6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1531">
            <w:pPr>
              <w:jc w:val="center"/>
            </w:pPr>
            <w:r>
              <w:rPr>
                <w:rFonts w:ascii="宋体" w:hAnsi="宋体" w:eastAsia="宋体"/>
                <w:sz w:val="16"/>
              </w:rPr>
              <w:t>-</w:t>
            </w:r>
          </w:p>
        </w:tc>
      </w:tr>
      <w:tr w14:paraId="6821E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6A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255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56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C1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F7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697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71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FB27">
            <w:pPr>
              <w:jc w:val="center"/>
            </w:pPr>
            <w:r>
              <w:rPr>
                <w:rFonts w:ascii="宋体" w:hAnsi="宋体" w:eastAsia="宋体"/>
                <w:sz w:val="16"/>
              </w:rPr>
              <w:t>-</w:t>
            </w:r>
          </w:p>
        </w:tc>
      </w:tr>
      <w:tr w14:paraId="39C72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F04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62270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8A18D">
            <w:pPr>
              <w:jc w:val="center"/>
            </w:pPr>
            <w:r>
              <w:rPr>
                <w:rFonts w:ascii="宋体" w:hAnsi="宋体" w:eastAsia="宋体"/>
                <w:sz w:val="16"/>
              </w:rPr>
              <w:t>总体目标完成情况</w:t>
            </w:r>
          </w:p>
        </w:tc>
      </w:tr>
      <w:tr w14:paraId="1CA66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FC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10B10">
            <w:pPr>
              <w:jc w:val="both"/>
            </w:pPr>
            <w:r>
              <w:rPr>
                <w:rFonts w:ascii="宋体" w:hAnsi="宋体" w:eastAsia="宋体"/>
                <w:sz w:val="16"/>
              </w:rPr>
              <w:t>根据《关于提前下达2024年中央财政国有企业办职教退休教师生活待遇补贴资金资金预算的通知》相关文件要求，切实做好巴州国有企业办职教幼教退休教师生活补贴发放工作，解决巴州本级国有企业职教幼教12名退休教师生活待遇补贴的相关事宜。2024年国有企业职教幼教退休教师待遇补贴由自治区财政部门，通过巴州国资委一次性向国家电网巴州供电公司拨付职教幼教退休教师12人生活待遇补助资金共计1.18万元，保障补助资金按时核算，足额发放。确保国有企业办职教幼教人员统筹外补贴落实到位，提升企业教师职工归属感、获得感、幸福感，保持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4F5E53">
            <w:pPr>
              <w:jc w:val="both"/>
            </w:pPr>
            <w:r>
              <w:rPr>
                <w:rFonts w:ascii="宋体" w:hAnsi="宋体" w:eastAsia="宋体"/>
                <w:sz w:val="16"/>
              </w:rPr>
              <w:t>根据《关于提前下达2024年中央财政国有企业办职教退休教师生活待遇补贴资金资金预算的通知》相关文件要求，2024年国有企业职教幼教退休教师待遇补贴由自治区财政部门，通过巴州国资委一次性向国家电网巴州供电公司拨付职教幼教退休教师12人生活待遇补助资金共计1.18万元，根据州人社局核算审定的保障补助资金，巴州国资委一次性足额拨付国网巴州分公司，切实保障国有企业办职教幼教人员统筹外补贴落实到位，提升了企业教师职工归属感、获得感、幸福感，保持社会稳定。</w:t>
            </w:r>
          </w:p>
        </w:tc>
      </w:tr>
      <w:tr w14:paraId="63460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8CB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80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E6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0F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FC0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13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E6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DE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916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14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D43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25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6C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5E17">
            <w:pPr>
              <w:jc w:val="center"/>
            </w:pPr>
            <w:r>
              <w:rPr>
                <w:rFonts w:ascii="宋体" w:hAnsi="宋体" w:eastAsia="宋体"/>
                <w:sz w:val="16"/>
              </w:rPr>
              <w:t>偏差原因分析及改进措施</w:t>
            </w:r>
          </w:p>
        </w:tc>
      </w:tr>
      <w:tr w14:paraId="53CB6E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BC1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B65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703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18FC">
            <w:pPr>
              <w:jc w:val="center"/>
            </w:pPr>
            <w:r>
              <w:rPr>
                <w:rFonts w:ascii="宋体" w:hAnsi="宋体" w:eastAsia="宋体"/>
                <w:sz w:val="16"/>
              </w:rPr>
              <w:t>保障国有企业办职教幼教生活待遇补贴资金人数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83CF">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5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A8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4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A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3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C1CB">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1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C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D246">
            <w:pPr>
              <w:jc w:val="center"/>
            </w:pPr>
          </w:p>
        </w:tc>
      </w:tr>
      <w:tr w14:paraId="26478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94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0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7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DB4B">
            <w:pPr>
              <w:jc w:val="center"/>
            </w:pPr>
            <w:r>
              <w:rPr>
                <w:rFonts w:ascii="宋体" w:hAnsi="宋体" w:eastAsia="宋体"/>
                <w:sz w:val="16"/>
              </w:rPr>
              <w:t>生活待遇补贴发放次数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401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6C5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85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6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5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B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305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8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B2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DE00">
            <w:pPr>
              <w:jc w:val="center"/>
            </w:pPr>
          </w:p>
        </w:tc>
      </w:tr>
      <w:tr w14:paraId="308FE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3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10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26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6E6A">
            <w:pPr>
              <w:jc w:val="center"/>
            </w:pPr>
            <w:r>
              <w:rPr>
                <w:rFonts w:ascii="宋体" w:hAnsi="宋体" w:eastAsia="宋体"/>
                <w:sz w:val="16"/>
              </w:rPr>
              <w:t>生活待遇补贴资金发放准确率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4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BBC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3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3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7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1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9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7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F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2C8C">
            <w:pPr>
              <w:jc w:val="center"/>
            </w:pPr>
          </w:p>
        </w:tc>
      </w:tr>
      <w:tr w14:paraId="193AC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AD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E4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E6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5513">
            <w:pPr>
              <w:jc w:val="center"/>
            </w:pPr>
            <w:r>
              <w:rPr>
                <w:rFonts w:ascii="宋体" w:hAnsi="宋体" w:eastAsia="宋体"/>
                <w:sz w:val="16"/>
              </w:rPr>
              <w:t>补助资金发放时效性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7E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8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3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4D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9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D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5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C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48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AF95">
            <w:pPr>
              <w:jc w:val="center"/>
            </w:pPr>
          </w:p>
        </w:tc>
      </w:tr>
      <w:tr w14:paraId="040F1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54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84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41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231F">
            <w:pPr>
              <w:jc w:val="center"/>
            </w:pPr>
            <w:r>
              <w:rPr>
                <w:rFonts w:ascii="宋体" w:hAnsi="宋体" w:eastAsia="宋体"/>
                <w:sz w:val="16"/>
              </w:rPr>
              <w:t>全年人均补贴执行成本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37DA">
            <w:pPr>
              <w:jc w:val="center"/>
            </w:pPr>
            <w:r>
              <w:rPr>
                <w:rFonts w:ascii="宋体" w:hAnsi="宋体" w:eastAsia="宋体"/>
                <w:sz w:val="16"/>
              </w:rPr>
              <w:t>&lt;=986.21元/人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3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3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33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11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D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3E40">
            <w:pPr>
              <w:jc w:val="center"/>
            </w:pPr>
            <w:r>
              <w:rPr>
                <w:rFonts w:ascii="宋体" w:hAnsi="宋体" w:eastAsia="宋体"/>
                <w:sz w:val="16"/>
              </w:rPr>
              <w:t>=986.21元/人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8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53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A450">
            <w:pPr>
              <w:jc w:val="center"/>
            </w:pPr>
          </w:p>
        </w:tc>
      </w:tr>
      <w:tr w14:paraId="41230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5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8A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99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A29E">
            <w:pPr>
              <w:jc w:val="center"/>
            </w:pPr>
            <w:r>
              <w:rPr>
                <w:rFonts w:ascii="宋体" w:hAnsi="宋体" w:eastAsia="宋体"/>
                <w:sz w:val="16"/>
              </w:rPr>
              <w:t>提高补贴领取人员生活水平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C47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1D4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7FA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32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7D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B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9FD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5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A6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6E92">
            <w:pPr>
              <w:jc w:val="center"/>
            </w:pPr>
          </w:p>
        </w:tc>
      </w:tr>
      <w:tr w14:paraId="59CB8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AEF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9E04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214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F1EA">
            <w:pPr>
              <w:jc w:val="center"/>
            </w:pPr>
            <w:r>
              <w:rPr>
                <w:rFonts w:ascii="宋体" w:hAnsi="宋体" w:eastAsia="宋体"/>
                <w:sz w:val="16"/>
              </w:rPr>
              <w:t>国有企业满意率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79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5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9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31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18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6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3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7A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01A8">
            <w:pPr>
              <w:jc w:val="center"/>
            </w:pPr>
          </w:p>
        </w:tc>
      </w:tr>
      <w:tr w14:paraId="2D896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EB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B7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A1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CDFF">
            <w:pPr>
              <w:jc w:val="center"/>
            </w:pPr>
            <w:r>
              <w:rPr>
                <w:rFonts w:ascii="宋体" w:hAnsi="宋体" w:eastAsia="宋体"/>
                <w:sz w:val="16"/>
              </w:rPr>
              <w:t>国有企业离退休人员满意度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2F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6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3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B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7D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B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A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D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BB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A740">
            <w:pPr>
              <w:jc w:val="center"/>
            </w:pPr>
          </w:p>
        </w:tc>
      </w:tr>
      <w:tr w14:paraId="3C1A51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0478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95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DC9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0C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3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F69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36E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89E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73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05A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0ECF8"/>
        </w:tc>
      </w:tr>
    </w:tbl>
    <w:p w14:paraId="5BC49C35">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34"/>
        <w:gridCol w:w="594"/>
        <w:gridCol w:w="632"/>
        <w:gridCol w:w="632"/>
        <w:gridCol w:w="632"/>
        <w:gridCol w:w="632"/>
        <w:gridCol w:w="632"/>
        <w:gridCol w:w="632"/>
        <w:gridCol w:w="632"/>
        <w:gridCol w:w="632"/>
        <w:gridCol w:w="632"/>
      </w:tblGrid>
      <w:tr w14:paraId="183851C6">
        <w:tblPrEx>
          <w:tblCellMar>
            <w:top w:w="0" w:type="dxa"/>
            <w:left w:w="108" w:type="dxa"/>
            <w:bottom w:w="0" w:type="dxa"/>
            <w:right w:w="108" w:type="dxa"/>
          </w:tblCellMar>
        </w:tblPrEx>
        <w:tc>
          <w:tcPr>
            <w:tcW w:w="8912" w:type="dxa"/>
            <w:gridSpan w:val="14"/>
            <w:vAlign w:val="center"/>
          </w:tcPr>
          <w:p w14:paraId="0057AF74">
            <w:pPr>
              <w:jc w:val="center"/>
            </w:pPr>
            <w:r>
              <w:rPr>
                <w:rFonts w:ascii="宋体" w:hAnsi="宋体" w:eastAsia="宋体"/>
                <w:sz w:val="24"/>
              </w:rPr>
              <w:t>项目支出绩效自评表</w:t>
            </w:r>
          </w:p>
        </w:tc>
      </w:tr>
      <w:tr w14:paraId="7878859C">
        <w:tblPrEx>
          <w:tblCellMar>
            <w:top w:w="0" w:type="dxa"/>
            <w:left w:w="108" w:type="dxa"/>
            <w:bottom w:w="0" w:type="dxa"/>
            <w:right w:w="108" w:type="dxa"/>
          </w:tblCellMar>
        </w:tblPrEx>
        <w:tc>
          <w:tcPr>
            <w:tcW w:w="8912" w:type="dxa"/>
            <w:gridSpan w:val="14"/>
            <w:vAlign w:val="center"/>
          </w:tcPr>
          <w:p w14:paraId="66B0BF64">
            <w:pPr>
              <w:jc w:val="center"/>
            </w:pPr>
            <w:r>
              <w:rPr>
                <w:rFonts w:ascii="宋体" w:hAnsi="宋体" w:eastAsia="宋体"/>
                <w:sz w:val="24"/>
              </w:rPr>
              <w:t>(2024年度)</w:t>
            </w:r>
          </w:p>
        </w:tc>
      </w:tr>
      <w:tr w14:paraId="1E4CAC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DB45">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2091C1">
            <w:pPr>
              <w:jc w:val="center"/>
            </w:pPr>
            <w:r>
              <w:rPr>
                <w:rFonts w:ascii="宋体" w:hAnsi="宋体" w:eastAsia="宋体"/>
                <w:sz w:val="16"/>
              </w:rPr>
              <w:t>2024年国有企业资产监督管理综合业务</w:t>
            </w:r>
          </w:p>
        </w:tc>
      </w:tr>
      <w:tr w14:paraId="4FB0B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EEB5">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6390C">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D2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A57C3">
            <w:pPr>
              <w:jc w:val="center"/>
            </w:pPr>
            <w:r>
              <w:rPr>
                <w:rFonts w:ascii="宋体" w:hAnsi="宋体" w:eastAsia="宋体"/>
                <w:sz w:val="16"/>
              </w:rPr>
              <w:t>新疆巴音郭楞蒙古自治州人民政府国有资产监督管理委员会</w:t>
            </w:r>
          </w:p>
        </w:tc>
      </w:tr>
      <w:tr w14:paraId="25667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FD41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1B2D">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A34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85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10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EE6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7E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FB96">
            <w:pPr>
              <w:jc w:val="center"/>
            </w:pPr>
            <w:r>
              <w:rPr>
                <w:rFonts w:ascii="宋体" w:hAnsi="宋体" w:eastAsia="宋体"/>
                <w:sz w:val="16"/>
              </w:rPr>
              <w:t>得分</w:t>
            </w:r>
          </w:p>
        </w:tc>
      </w:tr>
      <w:tr w14:paraId="7F7579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326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AF1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AB66">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0E23">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E7C9">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8F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9ED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3F52">
            <w:pPr>
              <w:jc w:val="center"/>
            </w:pPr>
            <w:r>
              <w:rPr>
                <w:rFonts w:ascii="宋体" w:hAnsi="宋体" w:eastAsia="宋体"/>
                <w:sz w:val="16"/>
              </w:rPr>
              <w:t>10.00</w:t>
            </w:r>
          </w:p>
        </w:tc>
      </w:tr>
      <w:tr w14:paraId="416E4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95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737F9">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ED67">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F1044">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87F9">
            <w:pPr>
              <w:jc w:val="center"/>
            </w:pPr>
            <w:r>
              <w:rPr>
                <w:rFonts w:ascii="宋体" w:hAnsi="宋体" w:eastAsia="宋体"/>
                <w:sz w:val="16"/>
              </w:rPr>
              <w:t>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49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3BF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84A9">
            <w:pPr>
              <w:jc w:val="center"/>
            </w:pPr>
            <w:r>
              <w:rPr>
                <w:rFonts w:ascii="宋体" w:hAnsi="宋体" w:eastAsia="宋体"/>
                <w:sz w:val="16"/>
              </w:rPr>
              <w:t>-</w:t>
            </w:r>
          </w:p>
        </w:tc>
      </w:tr>
      <w:tr w14:paraId="48982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65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A2C82">
            <w:pPr>
              <w:jc w:val="center"/>
            </w:pPr>
            <w:r>
              <w:rPr>
                <w:rFonts w:ascii="宋体" w:hAnsi="宋体" w:eastAsia="宋体"/>
                <w:sz w:val="16"/>
              </w:rPr>
              <w:t>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A2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9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19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B0E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30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7696">
            <w:pPr>
              <w:jc w:val="center"/>
            </w:pPr>
            <w:r>
              <w:rPr>
                <w:rFonts w:ascii="宋体" w:hAnsi="宋体" w:eastAsia="宋体"/>
                <w:sz w:val="16"/>
              </w:rPr>
              <w:t>-</w:t>
            </w:r>
          </w:p>
        </w:tc>
      </w:tr>
      <w:tr w14:paraId="6C52E6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23A3B">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C21D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0869E">
            <w:pPr>
              <w:jc w:val="center"/>
            </w:pPr>
            <w:r>
              <w:rPr>
                <w:rFonts w:ascii="宋体" w:hAnsi="宋体" w:eastAsia="宋体"/>
                <w:sz w:val="16"/>
              </w:rPr>
              <w:t>总体目标完成情况</w:t>
            </w:r>
          </w:p>
        </w:tc>
      </w:tr>
      <w:tr w14:paraId="577A5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78FB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D7C72">
            <w:pPr>
              <w:jc w:val="both"/>
            </w:pPr>
            <w:r>
              <w:rPr>
                <w:rFonts w:ascii="宋体" w:hAnsi="宋体" w:eastAsia="宋体"/>
                <w:sz w:val="16"/>
              </w:rPr>
              <w:t>总任务：切实抓好国资委自身改革与监管制度体系建设。积极推进国有资本投资运营平台公司建设。全力推进机关和事业单位所属企业脱钩统一纳入国资监管和优化整合装入工作。稳步推进国有企业改革改制整合工作。扎实稳妥做好“三供一业”分离移交工作。协调处理信访事项，做好企业改制遗留工作。做好国有企业改革改制工作；履行好国有资本出资人各项职责；做好国有企业考核调研工作。提出加强国有企业管理的政策建议。计划购买办公设备10台，国有企业调研12次，代理记账服务1次，形成产权管理业务年度分析报告1</w:t>
            </w:r>
            <w:r>
              <w:rPr>
                <w:rFonts w:hint="eastAsia" w:ascii="宋体" w:hAnsi="宋体"/>
                <w:sz w:val="16"/>
                <w:lang w:eastAsia="zh-CN"/>
              </w:rPr>
              <w:t>份</w:t>
            </w:r>
            <w:r>
              <w:rPr>
                <w:rFonts w:ascii="宋体" w:hAnsi="宋体" w:eastAsia="宋体"/>
                <w:sz w:val="16"/>
              </w:rPr>
              <w:t>。 总效益：全州国有企业发展呈稳中有进发展趋势，</w:t>
            </w:r>
            <w:r>
              <w:rPr>
                <w:rFonts w:hint="eastAsia" w:ascii="宋体" w:hAnsi="宋体"/>
                <w:sz w:val="16"/>
                <w:lang w:eastAsia="zh-CN"/>
              </w:rPr>
              <w:t>同比</w:t>
            </w:r>
            <w:r>
              <w:rPr>
                <w:rFonts w:ascii="宋体" w:hAnsi="宋体" w:eastAsia="宋体"/>
                <w:sz w:val="16"/>
              </w:rPr>
              <w:t>全州国有企业资产、收入及税费均保持增长状态，更好</w:t>
            </w:r>
            <w:r>
              <w:rPr>
                <w:rFonts w:hint="eastAsia" w:ascii="宋体" w:hAnsi="宋体"/>
                <w:sz w:val="16"/>
                <w:lang w:eastAsia="zh-CN"/>
              </w:rPr>
              <w:t>地</w:t>
            </w:r>
            <w:r>
              <w:rPr>
                <w:rFonts w:ascii="宋体" w:hAnsi="宋体" w:eastAsia="宋体"/>
                <w:sz w:val="16"/>
              </w:rPr>
              <w:t>发挥国有经济主导作用和战略支撑作用。各项经济指标控制在合理范围，社会贡献度、影响力和带动力进一步增强。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9944F">
            <w:pPr>
              <w:jc w:val="both"/>
            </w:pPr>
            <w:r>
              <w:rPr>
                <w:rFonts w:ascii="宋体" w:hAnsi="宋体" w:eastAsia="宋体"/>
                <w:sz w:val="16"/>
              </w:rPr>
              <w:t>赴和硕县、和静县、上库镇等地，对8家直接监管国有企业进行调研和检查的工作，完成国有企业调研共计12次，年度检查任务根据年初工作安排按时完成，按时完成2024年度产权管理业务年度分析报告1个，全年法律顾问单位按照合同内容履行其2024年度法务职责，出具法律意见书，2024年全年财务代理服务按要求完成全年财务工作。巴州国资委通过国有资产监督管理综合项目保障了单位运行，切实履行好国有资本出资人的职责，有效提升巴州国资委出资人受托的任务完成度，针对企业存在的问题帮助企业落实整改，提高企业对各项政策的落实率，并获得直接监管国有企业单位满意评价。</w:t>
            </w:r>
          </w:p>
        </w:tc>
      </w:tr>
      <w:tr w14:paraId="69B6E2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EF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D6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3A5B">
            <w:pPr>
              <w:jc w:val="center"/>
            </w:pPr>
            <w:r>
              <w:rPr>
                <w:rFonts w:ascii="宋体" w:hAnsi="宋体" w:eastAsia="宋体"/>
                <w:sz w:val="16"/>
              </w:rPr>
              <w:t>二级指标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3E28579">
            <w:pPr>
              <w:jc w:val="center"/>
            </w:pPr>
            <w:r>
              <w:rPr>
                <w:rFonts w:ascii="宋体" w:hAnsi="宋体" w:eastAsia="宋体"/>
                <w:sz w:val="16"/>
              </w:rPr>
              <w:t>三级指标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58C85F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C1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C34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DCE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748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8F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DF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6C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0C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BA6B">
            <w:pPr>
              <w:jc w:val="center"/>
            </w:pPr>
            <w:r>
              <w:rPr>
                <w:rFonts w:ascii="宋体" w:hAnsi="宋体" w:eastAsia="宋体"/>
                <w:sz w:val="16"/>
              </w:rPr>
              <w:t>偏差原因分析及改进措施</w:t>
            </w:r>
          </w:p>
        </w:tc>
      </w:tr>
      <w:tr w14:paraId="71DE0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3D6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2E6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048FF">
            <w:pPr>
              <w:jc w:val="center"/>
            </w:pPr>
            <w:r>
              <w:rPr>
                <w:rFonts w:ascii="宋体" w:hAnsi="宋体" w:eastAsia="宋体"/>
                <w:sz w:val="16"/>
              </w:rPr>
              <w:t>数量指标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A1461F2">
            <w:pPr>
              <w:jc w:val="center"/>
            </w:pPr>
            <w:r>
              <w:rPr>
                <w:rFonts w:ascii="宋体" w:hAnsi="宋体" w:eastAsia="宋体"/>
                <w:sz w:val="16"/>
              </w:rPr>
              <w:t>办公设备采购数量</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AA84EF7">
            <w:pPr>
              <w:jc w:val="center"/>
            </w:pPr>
            <w:r>
              <w:rPr>
                <w:rFonts w:ascii="宋体" w:hAnsi="宋体" w:eastAsia="宋体"/>
                <w:sz w:val="16"/>
              </w:rPr>
              <w:t>&gt;=10台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8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371E">
            <w:pPr>
              <w:jc w:val="center"/>
            </w:pPr>
            <w:r>
              <w:rPr>
                <w:rFonts w:ascii="宋体" w:hAnsi="宋体" w:eastAsia="宋体"/>
                <w:sz w:val="16"/>
              </w:rPr>
              <w: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F3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0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E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7DE9">
            <w:pPr>
              <w:jc w:val="center"/>
            </w:pPr>
            <w:r>
              <w:rPr>
                <w:rFonts w:ascii="宋体" w:hAnsi="宋体" w:eastAsia="宋体"/>
                <w:sz w:val="16"/>
              </w:rPr>
              <w:t>=13台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D4EC">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635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0E79">
            <w:pPr>
              <w:jc w:val="center"/>
            </w:pPr>
            <w:r>
              <w:rPr>
                <w:rFonts w:ascii="宋体" w:hAnsi="宋体" w:eastAsia="宋体"/>
                <w:sz w:val="16"/>
              </w:rPr>
              <w:t>原因：根据设备配置要求，降低采购单价，提高了设备数量。措施：合理设置指标目标值，及时更新指标值。</w:t>
            </w:r>
          </w:p>
        </w:tc>
      </w:tr>
      <w:tr w14:paraId="4FE81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9B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8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75168"/>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64D9EFEF">
            <w:pPr>
              <w:jc w:val="center"/>
            </w:pPr>
            <w:r>
              <w:rPr>
                <w:rFonts w:ascii="宋体" w:hAnsi="宋体" w:eastAsia="宋体"/>
                <w:sz w:val="16"/>
              </w:rPr>
              <w:t>国有企业调研次数</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D5E435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5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1AC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1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B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CD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411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D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D3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B78">
            <w:pPr>
              <w:jc w:val="center"/>
            </w:pPr>
          </w:p>
        </w:tc>
      </w:tr>
      <w:tr w14:paraId="7006B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13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B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980C5"/>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3693CF3">
            <w:pPr>
              <w:jc w:val="center"/>
            </w:pPr>
            <w:r>
              <w:rPr>
                <w:rFonts w:ascii="宋体" w:hAnsi="宋体" w:eastAsia="宋体"/>
                <w:sz w:val="16"/>
              </w:rPr>
              <w:t>代理记账服务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03650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8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75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BF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E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57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364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1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AF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C7B7">
            <w:pPr>
              <w:jc w:val="center"/>
            </w:pPr>
          </w:p>
        </w:tc>
      </w:tr>
      <w:tr w14:paraId="225E4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B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DD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9CE3E"/>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510EF51B">
            <w:pPr>
              <w:jc w:val="center"/>
            </w:pPr>
            <w:r>
              <w:rPr>
                <w:rFonts w:ascii="宋体" w:hAnsi="宋体" w:eastAsia="宋体"/>
                <w:sz w:val="16"/>
              </w:rPr>
              <w:t>形成产权管理业务年度分析报告</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2480C3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2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524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9F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C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D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89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1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41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91CD">
            <w:pPr>
              <w:jc w:val="center"/>
            </w:pPr>
          </w:p>
        </w:tc>
      </w:tr>
      <w:tr w14:paraId="5AC88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5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83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672EB">
            <w:pPr>
              <w:jc w:val="center"/>
            </w:pPr>
            <w:r>
              <w:rPr>
                <w:rFonts w:ascii="宋体" w:hAnsi="宋体" w:eastAsia="宋体"/>
                <w:sz w:val="16"/>
              </w:rPr>
              <w:t>质量指标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6B01A5DD">
            <w:pPr>
              <w:jc w:val="center"/>
            </w:pPr>
            <w:r>
              <w:rPr>
                <w:rFonts w:ascii="宋体" w:hAnsi="宋体" w:eastAsia="宋体"/>
                <w:sz w:val="16"/>
              </w:rPr>
              <w:t>设备政府采购率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3979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E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76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D7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0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1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2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C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B2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A52C">
            <w:pPr>
              <w:jc w:val="center"/>
            </w:pPr>
          </w:p>
        </w:tc>
      </w:tr>
      <w:tr w14:paraId="3F2FE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11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9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A3DB6"/>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55218D73">
            <w:pPr>
              <w:jc w:val="center"/>
            </w:pPr>
            <w:r>
              <w:rPr>
                <w:rFonts w:ascii="宋体" w:hAnsi="宋体" w:eastAsia="宋体"/>
                <w:sz w:val="16"/>
              </w:rPr>
              <w:t>设备验收合格率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1DF2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0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B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61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2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1E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C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5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0F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0934">
            <w:pPr>
              <w:jc w:val="center"/>
            </w:pPr>
          </w:p>
        </w:tc>
      </w:tr>
      <w:tr w14:paraId="74876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DF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FF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BE255"/>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D8CC4C6">
            <w:pPr>
              <w:jc w:val="center"/>
            </w:pPr>
            <w:r>
              <w:rPr>
                <w:rFonts w:ascii="宋体" w:hAnsi="宋体" w:eastAsia="宋体"/>
                <w:sz w:val="16"/>
              </w:rPr>
              <w:t>设备质量合格率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2D6E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F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8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10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2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32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8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F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65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650B">
            <w:pPr>
              <w:jc w:val="center"/>
            </w:pPr>
          </w:p>
        </w:tc>
      </w:tr>
      <w:tr w14:paraId="0DB82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63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43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7EDA1"/>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2CAF80FC">
            <w:pPr>
              <w:jc w:val="center"/>
            </w:pPr>
            <w:r>
              <w:rPr>
                <w:rFonts w:ascii="宋体" w:hAnsi="宋体" w:eastAsia="宋体"/>
                <w:sz w:val="16"/>
              </w:rPr>
              <w:t>年度调研覆盖率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0143B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0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F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CE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9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AE8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B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8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23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B757">
            <w:pPr>
              <w:jc w:val="center"/>
            </w:pPr>
          </w:p>
        </w:tc>
      </w:tr>
      <w:tr w14:paraId="60F24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6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37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22EBC"/>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F59D01E">
            <w:pPr>
              <w:jc w:val="center"/>
            </w:pPr>
            <w:r>
              <w:rPr>
                <w:rFonts w:ascii="宋体" w:hAnsi="宋体" w:eastAsia="宋体"/>
                <w:sz w:val="16"/>
              </w:rPr>
              <w:t>年度产权管理业务年度审计报告通过率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F1D0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0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4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13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3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35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A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3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03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FF01">
            <w:pPr>
              <w:jc w:val="center"/>
            </w:pPr>
          </w:p>
        </w:tc>
      </w:tr>
      <w:tr w14:paraId="032C5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30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6E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1299E">
            <w:pPr>
              <w:jc w:val="center"/>
            </w:pPr>
            <w:r>
              <w:rPr>
                <w:rFonts w:ascii="宋体" w:hAnsi="宋体" w:eastAsia="宋体"/>
                <w:sz w:val="16"/>
              </w:rPr>
              <w:t>时效指标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071DB79C">
            <w:pPr>
              <w:jc w:val="center"/>
            </w:pPr>
            <w:r>
              <w:rPr>
                <w:rFonts w:ascii="宋体" w:hAnsi="宋体" w:eastAsia="宋体"/>
                <w:sz w:val="16"/>
              </w:rPr>
              <w:t>年度调研任务按时完成率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70F2C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2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E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57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E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EE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8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A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B7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0D36">
            <w:pPr>
              <w:jc w:val="center"/>
            </w:pPr>
            <w:r>
              <w:rPr>
                <w:rFonts w:ascii="宋体" w:hAnsi="宋体" w:eastAsia="宋体"/>
                <w:sz w:val="16"/>
              </w:rPr>
              <w:t>原因：保障人员配置提高了工作效率，切实履行好国有出资人职责，提高了设备采购资金利用率。措施：合理设置指标目标值，及时更新指标值。</w:t>
            </w:r>
          </w:p>
        </w:tc>
      </w:tr>
      <w:tr w14:paraId="11687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73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0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3797F"/>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196A0542">
            <w:pPr>
              <w:jc w:val="center"/>
            </w:pPr>
            <w:r>
              <w:rPr>
                <w:rFonts w:ascii="宋体" w:hAnsi="宋体" w:eastAsia="宋体"/>
                <w:sz w:val="16"/>
              </w:rPr>
              <w:t>设备采购完成时间</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8A4745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0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2B69">
            <w:pPr>
              <w:jc w:val="center"/>
            </w:pPr>
            <w:r>
              <w:rPr>
                <w:rFonts w:ascii="宋体" w:hAnsi="宋体" w:eastAsia="宋体"/>
                <w:sz w:val="16"/>
              </w:rPr>
              <w:t>2023年10月25日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C7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AF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D6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26E5">
            <w:pPr>
              <w:jc w:val="center"/>
            </w:pPr>
            <w:r>
              <w:rPr>
                <w:rFonts w:ascii="宋体" w:hAnsi="宋体" w:eastAsia="宋体"/>
                <w:sz w:val="16"/>
              </w:rPr>
              <w:t>2024年10月22日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1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2D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BC3A">
            <w:pPr>
              <w:jc w:val="center"/>
            </w:pPr>
          </w:p>
        </w:tc>
      </w:tr>
      <w:tr w14:paraId="49554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81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3B5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9FD79">
            <w:pPr>
              <w:jc w:val="center"/>
            </w:pPr>
            <w:r>
              <w:rPr>
                <w:rFonts w:ascii="宋体" w:hAnsi="宋体" w:eastAsia="宋体"/>
                <w:sz w:val="16"/>
              </w:rPr>
              <w:t>经济成本指标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8DC6D1C">
            <w:pPr>
              <w:jc w:val="center"/>
            </w:pPr>
            <w:r>
              <w:rPr>
                <w:rFonts w:ascii="宋体" w:hAnsi="宋体" w:eastAsia="宋体"/>
                <w:sz w:val="16"/>
              </w:rPr>
              <w:t>办公设备采购成本</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B7D888B">
            <w:pPr>
              <w:jc w:val="center"/>
            </w:pPr>
            <w:r>
              <w:rPr>
                <w:rFonts w:ascii="宋体" w:hAnsi="宋体" w:eastAsia="宋体"/>
                <w:sz w:val="16"/>
              </w:rPr>
              <w:t>&lt;=7.60万元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A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98B">
            <w:pPr>
              <w:jc w:val="center"/>
            </w:pPr>
            <w:r>
              <w:rPr>
                <w:rFonts w:ascii="宋体" w:hAnsi="宋体" w:eastAsia="宋体"/>
                <w:sz w:val="16"/>
              </w:rPr>
              <w: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67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3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D7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D2B6">
            <w:pPr>
              <w:jc w:val="center"/>
            </w:pPr>
            <w:r>
              <w:rPr>
                <w:rFonts w:ascii="宋体" w:hAnsi="宋体" w:eastAsia="宋体"/>
                <w:sz w:val="16"/>
              </w:rPr>
              <w: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0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D1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C244">
            <w:pPr>
              <w:jc w:val="center"/>
            </w:pPr>
          </w:p>
        </w:tc>
      </w:tr>
      <w:tr w14:paraId="0F32F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15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78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ED472"/>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034E7475">
            <w:pPr>
              <w:jc w:val="center"/>
            </w:pPr>
            <w:r>
              <w:rPr>
                <w:rFonts w:ascii="宋体" w:hAnsi="宋体" w:eastAsia="宋体"/>
                <w:sz w:val="16"/>
              </w:rPr>
              <w:t>国有企业调研经费</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6625E2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3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C75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71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7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6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E807">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8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C4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B7B3">
            <w:pPr>
              <w:jc w:val="center"/>
            </w:pPr>
          </w:p>
        </w:tc>
      </w:tr>
      <w:tr w14:paraId="54B71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47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51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9430D"/>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C46FCC5">
            <w:pPr>
              <w:jc w:val="center"/>
            </w:pPr>
            <w:r>
              <w:rPr>
                <w:rFonts w:ascii="宋体" w:hAnsi="宋体" w:eastAsia="宋体"/>
                <w:sz w:val="16"/>
              </w:rPr>
              <w:t>代理记账服务费</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99DAED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6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A8E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7C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6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40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865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7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53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FB60">
            <w:pPr>
              <w:jc w:val="center"/>
            </w:pPr>
          </w:p>
        </w:tc>
      </w:tr>
      <w:tr w14:paraId="4C8E9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FB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D3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A0DED"/>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DE319A8">
            <w:pPr>
              <w:jc w:val="center"/>
            </w:pPr>
            <w:r>
              <w:rPr>
                <w:rFonts w:ascii="宋体" w:hAnsi="宋体" w:eastAsia="宋体"/>
                <w:sz w:val="16"/>
              </w:rPr>
              <w:t>形成产权管理业务年度审计报告</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F03441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F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29E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A0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F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9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7DE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E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CC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DDDB">
            <w:pPr>
              <w:jc w:val="center"/>
            </w:pPr>
          </w:p>
        </w:tc>
      </w:tr>
      <w:tr w14:paraId="1CB02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DFD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379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AFC9">
            <w:pPr>
              <w:jc w:val="center"/>
            </w:pPr>
            <w:r>
              <w:rPr>
                <w:rFonts w:ascii="宋体" w:hAnsi="宋体" w:eastAsia="宋体"/>
                <w:sz w:val="16"/>
              </w:rPr>
              <w:t>经济效益指标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4A62FDD">
            <w:pPr>
              <w:jc w:val="center"/>
            </w:pPr>
            <w:r>
              <w:rPr>
                <w:rFonts w:ascii="宋体" w:hAnsi="宋体" w:eastAsia="宋体"/>
                <w:sz w:val="16"/>
              </w:rPr>
              <w:t>办公设备利用率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7744A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E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D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8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5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F1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A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4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7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5F7B">
            <w:pPr>
              <w:jc w:val="center"/>
            </w:pPr>
          </w:p>
        </w:tc>
      </w:tr>
      <w:tr w14:paraId="038DD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68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AA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8362">
            <w:pPr>
              <w:jc w:val="center"/>
            </w:pPr>
            <w:r>
              <w:rPr>
                <w:rFonts w:ascii="宋体" w:hAnsi="宋体" w:eastAsia="宋体"/>
                <w:sz w:val="16"/>
              </w:rPr>
              <w:t>社会效益指标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1199230">
            <w:pPr>
              <w:jc w:val="center"/>
            </w:pPr>
            <w:r>
              <w:rPr>
                <w:rFonts w:ascii="宋体" w:hAnsi="宋体" w:eastAsia="宋体"/>
                <w:sz w:val="16"/>
              </w:rPr>
              <w:t>履行国资委出资人受托任务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557E3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0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045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7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A8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4E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F3A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1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61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DEAB">
            <w:pPr>
              <w:jc w:val="center"/>
            </w:pPr>
          </w:p>
        </w:tc>
      </w:tr>
      <w:tr w14:paraId="314F2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3ED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14EB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CFA58">
            <w:pPr>
              <w:jc w:val="center"/>
            </w:pPr>
            <w:r>
              <w:rPr>
                <w:rFonts w:ascii="宋体" w:hAnsi="宋体" w:eastAsia="宋体"/>
                <w:sz w:val="16"/>
              </w:rPr>
              <w:t>满意度指标</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527B45EB">
            <w:pPr>
              <w:jc w:val="center"/>
            </w:pPr>
            <w:r>
              <w:rPr>
                <w:rFonts w:ascii="宋体" w:hAnsi="宋体" w:eastAsia="宋体"/>
                <w:sz w:val="16"/>
              </w:rPr>
              <w:t>国有企业单位人员满意度</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4A1DA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D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9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25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55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B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D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0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21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B999">
            <w:pPr>
              <w:jc w:val="center"/>
            </w:pPr>
            <w:r>
              <w:rPr>
                <w:rFonts w:ascii="宋体" w:hAnsi="宋体" w:eastAsia="宋体"/>
                <w:sz w:val="16"/>
              </w:rPr>
              <w:t>原因是：通过完成对国有企业的监督管理，从资金拨付准确率、资金拨付及时率、服务态度等多个维度，充分获得国有企业非常满意的评价。</w:t>
            </w:r>
          </w:p>
        </w:tc>
      </w:tr>
      <w:tr w14:paraId="67C8E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94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E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2F5F5"/>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6C7962D">
            <w:pPr>
              <w:jc w:val="center"/>
            </w:pPr>
            <w:r>
              <w:rPr>
                <w:rFonts w:ascii="宋体" w:hAnsi="宋体" w:eastAsia="宋体"/>
                <w:sz w:val="16"/>
              </w:rPr>
              <w:t>设备使用人满意度</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50E26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9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9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9B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1A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0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5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D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AA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8AD9">
            <w:pPr>
              <w:jc w:val="center"/>
            </w:pPr>
            <w:r>
              <w:rPr>
                <w:rFonts w:ascii="宋体" w:hAnsi="宋体" w:eastAsia="宋体"/>
                <w:sz w:val="16"/>
              </w:rPr>
              <w:t>原因：做好设备采购和服务，提高了设备使用人的满意度。措施：合理设置指标目标值。</w:t>
            </w:r>
          </w:p>
        </w:tc>
      </w:tr>
      <w:tr w14:paraId="1005CE8B">
        <w:tblPrEx>
          <w:tblCellMar>
            <w:top w:w="0" w:type="dxa"/>
            <w:left w:w="108" w:type="dxa"/>
            <w:bottom w:w="0" w:type="dxa"/>
            <w:right w:w="108" w:type="dxa"/>
          </w:tblCellMar>
        </w:tblPrEx>
        <w:tc>
          <w:tcPr>
            <w:tcW w:w="263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A3BAD1">
            <w:pPr>
              <w:jc w:val="center"/>
            </w:pPr>
            <w:r>
              <w:rPr>
                <w:rFonts w:ascii="宋体" w:hAnsi="宋体" w:eastAsia="宋体"/>
                <w:sz w:val="16"/>
              </w:rPr>
              <w:t>总分</w:t>
            </w:r>
          </w:p>
        </w:tc>
        <w:tc>
          <w:tcPr>
            <w:tcW w:w="594" w:type="dxa"/>
            <w:tcBorders>
              <w:top w:val="single" w:color="auto" w:sz="10" w:space="0"/>
              <w:left w:val="single" w:color="auto" w:sz="10" w:space="0"/>
              <w:bottom w:val="single" w:color="auto" w:sz="10" w:space="0"/>
              <w:right w:val="single" w:color="auto" w:sz="10" w:space="0"/>
              <w:insideV w:val="single" w:sz="10" w:space="0"/>
            </w:tcBorders>
          </w:tcPr>
          <w:p w14:paraId="43CCD3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59C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C4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6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788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711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5FA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86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523D">
            <w:pPr>
              <w:jc w:val="center"/>
            </w:pPr>
            <w:r>
              <w:rPr>
                <w:rFonts w:ascii="宋体" w:hAnsi="宋体" w:eastAsia="宋体"/>
                <w:sz w:val="16"/>
              </w:rPr>
              <w:t>99.10分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19E5A"/>
        </w:tc>
      </w:tr>
    </w:tbl>
    <w:p w14:paraId="52F60D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E944E66">
        <w:tblPrEx>
          <w:tblCellMar>
            <w:top w:w="0" w:type="dxa"/>
            <w:left w:w="108" w:type="dxa"/>
            <w:bottom w:w="0" w:type="dxa"/>
            <w:right w:w="108" w:type="dxa"/>
          </w:tblCellMar>
        </w:tblPrEx>
        <w:tc>
          <w:tcPr>
            <w:tcW w:w="8848" w:type="dxa"/>
            <w:gridSpan w:val="14"/>
            <w:vAlign w:val="center"/>
          </w:tcPr>
          <w:p w14:paraId="4737F1FD">
            <w:pPr>
              <w:jc w:val="center"/>
            </w:pPr>
            <w:r>
              <w:rPr>
                <w:rFonts w:ascii="宋体" w:hAnsi="宋体" w:eastAsia="宋体"/>
                <w:sz w:val="24"/>
              </w:rPr>
              <w:t>项目支出绩效自评表</w:t>
            </w:r>
          </w:p>
        </w:tc>
      </w:tr>
      <w:tr w14:paraId="417CAE0D">
        <w:tblPrEx>
          <w:tblCellMar>
            <w:top w:w="0" w:type="dxa"/>
            <w:left w:w="108" w:type="dxa"/>
            <w:bottom w:w="0" w:type="dxa"/>
            <w:right w:w="108" w:type="dxa"/>
          </w:tblCellMar>
        </w:tblPrEx>
        <w:tc>
          <w:tcPr>
            <w:tcW w:w="8848" w:type="dxa"/>
            <w:gridSpan w:val="14"/>
            <w:vAlign w:val="center"/>
          </w:tcPr>
          <w:p w14:paraId="0CDE4DB8">
            <w:pPr>
              <w:jc w:val="center"/>
            </w:pPr>
            <w:r>
              <w:rPr>
                <w:rFonts w:ascii="宋体" w:hAnsi="宋体" w:eastAsia="宋体"/>
                <w:sz w:val="24"/>
              </w:rPr>
              <w:t>(2024年度)</w:t>
            </w:r>
          </w:p>
        </w:tc>
      </w:tr>
      <w:tr w14:paraId="5170A4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45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940F72">
            <w:pPr>
              <w:jc w:val="center"/>
            </w:pPr>
            <w:r>
              <w:rPr>
                <w:rFonts w:ascii="宋体" w:hAnsi="宋体" w:eastAsia="宋体"/>
                <w:sz w:val="16"/>
              </w:rPr>
              <w:t>2024年国有企业资本金注入（巴州博岩矿业有限责任公司注册资本金）</w:t>
            </w:r>
          </w:p>
        </w:tc>
      </w:tr>
      <w:tr w14:paraId="13CED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E5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313C6">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EC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A269A">
            <w:pPr>
              <w:jc w:val="center"/>
            </w:pPr>
            <w:r>
              <w:rPr>
                <w:rFonts w:ascii="宋体" w:hAnsi="宋体" w:eastAsia="宋体"/>
                <w:sz w:val="16"/>
              </w:rPr>
              <w:t>新疆巴音郭楞蒙古自治州人民政府国有资产监督管理委员会</w:t>
            </w:r>
          </w:p>
        </w:tc>
      </w:tr>
      <w:tr w14:paraId="486196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EBCD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F5B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C9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D2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B8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6BC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F5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BBDF">
            <w:pPr>
              <w:jc w:val="center"/>
            </w:pPr>
            <w:r>
              <w:rPr>
                <w:rFonts w:ascii="宋体" w:hAnsi="宋体" w:eastAsia="宋体"/>
                <w:sz w:val="16"/>
              </w:rPr>
              <w:t>得分</w:t>
            </w:r>
          </w:p>
        </w:tc>
      </w:tr>
      <w:tr w14:paraId="73DDE6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9F7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A40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4DF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59751">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A2EC7">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E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FD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53D3">
            <w:pPr>
              <w:jc w:val="center"/>
            </w:pPr>
            <w:r>
              <w:rPr>
                <w:rFonts w:ascii="宋体" w:hAnsi="宋体" w:eastAsia="宋体"/>
                <w:sz w:val="16"/>
              </w:rPr>
              <w:t>10.00</w:t>
            </w:r>
          </w:p>
        </w:tc>
      </w:tr>
      <w:tr w14:paraId="06142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82E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C62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8351">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1E7D">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5BAA">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D4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7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44BF">
            <w:pPr>
              <w:jc w:val="center"/>
            </w:pPr>
            <w:r>
              <w:rPr>
                <w:rFonts w:ascii="宋体" w:hAnsi="宋体" w:eastAsia="宋体"/>
                <w:sz w:val="16"/>
              </w:rPr>
              <w:t>-</w:t>
            </w:r>
          </w:p>
        </w:tc>
      </w:tr>
      <w:tr w14:paraId="25469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6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95E4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09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BC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A71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A9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A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A738">
            <w:pPr>
              <w:jc w:val="center"/>
            </w:pPr>
            <w:r>
              <w:rPr>
                <w:rFonts w:ascii="宋体" w:hAnsi="宋体" w:eastAsia="宋体"/>
                <w:sz w:val="16"/>
              </w:rPr>
              <w:t>-</w:t>
            </w:r>
          </w:p>
        </w:tc>
      </w:tr>
      <w:tr w14:paraId="2906F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E67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4FC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DAEF3">
            <w:pPr>
              <w:jc w:val="center"/>
            </w:pPr>
            <w:r>
              <w:rPr>
                <w:rFonts w:ascii="宋体" w:hAnsi="宋体" w:eastAsia="宋体"/>
                <w:sz w:val="16"/>
              </w:rPr>
              <w:t>总体目标完成情况</w:t>
            </w:r>
          </w:p>
        </w:tc>
      </w:tr>
      <w:tr w14:paraId="1C0FB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265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5E4B5">
            <w:pPr>
              <w:jc w:val="both"/>
            </w:pPr>
            <w:r>
              <w:rPr>
                <w:rFonts w:ascii="宋体" w:hAnsi="宋体" w:eastAsia="宋体"/>
                <w:sz w:val="16"/>
              </w:rPr>
              <w:t>根据自治区“八大产业集群”和巴州“七大重点领域”发展战略部署，为了深化与天山矿业、地质三大队战略合作，加快推进州域内优势矿权申报和获取工作，向巴州博岩矿业拨付资本金400万元，促使博岩矿业公司积极推进若羌、且末县等6处战略性矿权的前期工作，实现整合巴州矿产资源，调整和优化巴州产业结构，提升企业发展潜力，提高企业经济效益，实现投资收益，助力地方经济高质量发展和企业综合实力提升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DB1C96">
            <w:pPr>
              <w:jc w:val="both"/>
            </w:pPr>
            <w:r>
              <w:rPr>
                <w:rFonts w:ascii="宋体" w:hAnsi="宋体" w:eastAsia="宋体"/>
                <w:sz w:val="16"/>
              </w:rPr>
              <w:t>2024年6月，由巴州国资委向巴州博岩矿业有限责任公司拨付资本金400万元，用于博岩矿业公司获取矿权及项目投资。目前博岩矿业已完成义马矿源、哈密矿源等多处矿产资源的合作，通过向企业注资，有效提升企业发展潜力，实现盈利，获得投资收益，确保国有资产保值增值，助力地方经济高质量发展和企业综合实力提升的目标。</w:t>
            </w:r>
          </w:p>
        </w:tc>
      </w:tr>
      <w:tr w14:paraId="225D03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3C0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32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99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23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7BB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F6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60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9C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D9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45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A2B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BB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03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94E5">
            <w:pPr>
              <w:jc w:val="center"/>
            </w:pPr>
            <w:r>
              <w:rPr>
                <w:rFonts w:ascii="宋体" w:hAnsi="宋体" w:eastAsia="宋体"/>
                <w:sz w:val="16"/>
              </w:rPr>
              <w:t>偏差原因分析及改进措施</w:t>
            </w:r>
          </w:p>
        </w:tc>
      </w:tr>
      <w:tr w14:paraId="3B3EF4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34D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7F4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F4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BAD5">
            <w:pPr>
              <w:jc w:val="center"/>
            </w:pPr>
            <w:r>
              <w:rPr>
                <w:rFonts w:ascii="宋体" w:hAnsi="宋体" w:eastAsia="宋体"/>
                <w:sz w:val="16"/>
              </w:rPr>
              <w:t>支持企业个数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6D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E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B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15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8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9A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D0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8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0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5B88">
            <w:pPr>
              <w:jc w:val="center"/>
            </w:pPr>
          </w:p>
        </w:tc>
      </w:tr>
      <w:tr w14:paraId="56834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1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ED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2B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0FA7">
            <w:pPr>
              <w:jc w:val="center"/>
            </w:pPr>
            <w:r>
              <w:rPr>
                <w:rFonts w:ascii="宋体" w:hAnsi="宋体" w:eastAsia="宋体"/>
                <w:sz w:val="16"/>
              </w:rPr>
              <w:t>注册资金到位率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E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8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1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3F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62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4D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5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6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E0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3F26">
            <w:pPr>
              <w:jc w:val="center"/>
            </w:pPr>
          </w:p>
        </w:tc>
      </w:tr>
      <w:tr w14:paraId="63FA7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68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E0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8A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1B62">
            <w:pPr>
              <w:jc w:val="center"/>
            </w:pPr>
            <w:r>
              <w:rPr>
                <w:rFonts w:ascii="宋体" w:hAnsi="宋体" w:eastAsia="宋体"/>
                <w:sz w:val="16"/>
              </w:rPr>
              <w:t>注册资本金下达及时率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1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3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8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18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F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90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A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5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21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A3ED">
            <w:pPr>
              <w:jc w:val="center"/>
            </w:pPr>
          </w:p>
        </w:tc>
      </w:tr>
      <w:tr w14:paraId="5913E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46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E4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62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694F">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55CC">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1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B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F0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1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C3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21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0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17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4A94">
            <w:pPr>
              <w:jc w:val="center"/>
            </w:pPr>
          </w:p>
        </w:tc>
      </w:tr>
      <w:tr w14:paraId="4C20E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61E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928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263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ECC2">
            <w:pPr>
              <w:jc w:val="center"/>
            </w:pPr>
            <w:r>
              <w:rPr>
                <w:rFonts w:ascii="宋体" w:hAnsi="宋体" w:eastAsia="宋体"/>
                <w:sz w:val="16"/>
              </w:rPr>
              <w:t>国有资产保值率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74D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B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0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B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5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D3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3C21">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39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EDD4">
            <w:pPr>
              <w:jc w:val="center"/>
            </w:pPr>
            <w:r>
              <w:rPr>
                <w:rFonts w:ascii="宋体" w:hAnsi="宋体" w:eastAsia="宋体"/>
                <w:sz w:val="16"/>
              </w:rPr>
              <w:t>充分发挥国有企业经济支柱作用，充分保证国有资本保值增值，以后根据经营状况，</w:t>
            </w:r>
            <w:r>
              <w:rPr>
                <w:rFonts w:hint="eastAsia" w:ascii="宋体" w:hAnsi="宋体"/>
                <w:sz w:val="16"/>
                <w:lang w:eastAsia="zh-CN"/>
              </w:rPr>
              <w:t>明确</w:t>
            </w:r>
            <w:r>
              <w:rPr>
                <w:rFonts w:ascii="宋体" w:hAnsi="宋体" w:eastAsia="宋体"/>
                <w:sz w:val="16"/>
              </w:rPr>
              <w:t>保值增值率</w:t>
            </w:r>
          </w:p>
        </w:tc>
      </w:tr>
      <w:tr w14:paraId="0C703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D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7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42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4C73">
            <w:pPr>
              <w:jc w:val="center"/>
            </w:pPr>
            <w:r>
              <w:rPr>
                <w:rFonts w:ascii="宋体" w:hAnsi="宋体" w:eastAsia="宋体"/>
                <w:sz w:val="16"/>
              </w:rPr>
              <w:t>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7AB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5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714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9E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6D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95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4CB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B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F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C6DD">
            <w:pPr>
              <w:jc w:val="center"/>
            </w:pPr>
          </w:p>
        </w:tc>
      </w:tr>
      <w:tr w14:paraId="7CDE7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9F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19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04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AEDB">
            <w:pPr>
              <w:jc w:val="center"/>
            </w:pPr>
            <w:r>
              <w:rPr>
                <w:rFonts w:ascii="宋体" w:hAnsi="宋体" w:eastAsia="宋体"/>
                <w:sz w:val="16"/>
              </w:rPr>
              <w:t>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DB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1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590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D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4D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4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B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D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7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54FE">
            <w:pPr>
              <w:jc w:val="center"/>
            </w:pPr>
            <w:r>
              <w:rPr>
                <w:rFonts w:ascii="宋体" w:hAnsi="宋体" w:eastAsia="宋体"/>
                <w:sz w:val="16"/>
              </w:rPr>
              <w:t>通过完成对国有企业的资本金注入，从资金拨付准确率、资金拨付及时率、服务态度等多个维度，充分获得国有企业非常满意的评价。</w:t>
            </w:r>
          </w:p>
        </w:tc>
      </w:tr>
      <w:tr w14:paraId="2276E1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02D1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44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CA3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E3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1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22A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42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E3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5D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70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4955E"/>
        </w:tc>
      </w:tr>
    </w:tbl>
    <w:p w14:paraId="19390E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F4B413D">
        <w:tblPrEx>
          <w:tblCellMar>
            <w:top w:w="0" w:type="dxa"/>
            <w:left w:w="108" w:type="dxa"/>
            <w:bottom w:w="0" w:type="dxa"/>
            <w:right w:w="108" w:type="dxa"/>
          </w:tblCellMar>
        </w:tblPrEx>
        <w:tc>
          <w:tcPr>
            <w:tcW w:w="8848" w:type="dxa"/>
            <w:gridSpan w:val="14"/>
            <w:vAlign w:val="center"/>
          </w:tcPr>
          <w:p w14:paraId="075BCA44">
            <w:pPr>
              <w:jc w:val="center"/>
            </w:pPr>
            <w:r>
              <w:rPr>
                <w:rFonts w:ascii="宋体" w:hAnsi="宋体" w:eastAsia="宋体"/>
                <w:sz w:val="24"/>
              </w:rPr>
              <w:t>项目支出绩效自评表</w:t>
            </w:r>
          </w:p>
        </w:tc>
      </w:tr>
      <w:tr w14:paraId="13659C4B">
        <w:tblPrEx>
          <w:tblCellMar>
            <w:top w:w="0" w:type="dxa"/>
            <w:left w:w="108" w:type="dxa"/>
            <w:bottom w:w="0" w:type="dxa"/>
            <w:right w:w="108" w:type="dxa"/>
          </w:tblCellMar>
        </w:tblPrEx>
        <w:tc>
          <w:tcPr>
            <w:tcW w:w="8848" w:type="dxa"/>
            <w:gridSpan w:val="14"/>
            <w:vAlign w:val="center"/>
          </w:tcPr>
          <w:p w14:paraId="1B5A47C9">
            <w:pPr>
              <w:jc w:val="center"/>
            </w:pPr>
            <w:r>
              <w:rPr>
                <w:rFonts w:ascii="宋体" w:hAnsi="宋体" w:eastAsia="宋体"/>
                <w:sz w:val="24"/>
              </w:rPr>
              <w:t>(2024年度)</w:t>
            </w:r>
          </w:p>
        </w:tc>
      </w:tr>
      <w:tr w14:paraId="2621A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4F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0B85A9">
            <w:pPr>
              <w:jc w:val="center"/>
            </w:pPr>
            <w:r>
              <w:rPr>
                <w:rFonts w:ascii="宋体" w:hAnsi="宋体" w:eastAsia="宋体"/>
                <w:sz w:val="16"/>
              </w:rPr>
              <w:t>2024年巴州国信公司资本金注入项目</w:t>
            </w:r>
          </w:p>
        </w:tc>
      </w:tr>
      <w:tr w14:paraId="2A129A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96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77CC2">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D8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F62E05">
            <w:pPr>
              <w:jc w:val="center"/>
            </w:pPr>
            <w:r>
              <w:rPr>
                <w:rFonts w:ascii="宋体" w:hAnsi="宋体" w:eastAsia="宋体"/>
                <w:sz w:val="16"/>
              </w:rPr>
              <w:t>新疆巴音郭楞蒙古自治州人民政府国有资产监督管理委员会</w:t>
            </w:r>
          </w:p>
        </w:tc>
      </w:tr>
      <w:tr w14:paraId="411F4C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005D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15F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4A1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A7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980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B48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C48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54BE">
            <w:pPr>
              <w:jc w:val="center"/>
            </w:pPr>
            <w:r>
              <w:rPr>
                <w:rFonts w:ascii="宋体" w:hAnsi="宋体" w:eastAsia="宋体"/>
                <w:sz w:val="16"/>
              </w:rPr>
              <w:t>得分</w:t>
            </w:r>
          </w:p>
        </w:tc>
      </w:tr>
      <w:tr w14:paraId="274A1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7E5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634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F6C50">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E3FA">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1C645">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54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9D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F952">
            <w:pPr>
              <w:jc w:val="center"/>
            </w:pPr>
            <w:r>
              <w:rPr>
                <w:rFonts w:ascii="宋体" w:hAnsi="宋体" w:eastAsia="宋体"/>
                <w:sz w:val="16"/>
              </w:rPr>
              <w:t>10.00</w:t>
            </w:r>
          </w:p>
        </w:tc>
      </w:tr>
      <w:tr w14:paraId="04F00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FB8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D0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02936">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94DD2">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BD304">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AB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9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F9F7">
            <w:pPr>
              <w:jc w:val="center"/>
            </w:pPr>
            <w:r>
              <w:rPr>
                <w:rFonts w:ascii="宋体" w:hAnsi="宋体" w:eastAsia="宋体"/>
                <w:sz w:val="16"/>
              </w:rPr>
              <w:t>-</w:t>
            </w:r>
          </w:p>
        </w:tc>
      </w:tr>
      <w:tr w14:paraId="3837E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BE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AB9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91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8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C89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B24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3D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A019">
            <w:pPr>
              <w:jc w:val="center"/>
            </w:pPr>
            <w:r>
              <w:rPr>
                <w:rFonts w:ascii="宋体" w:hAnsi="宋体" w:eastAsia="宋体"/>
                <w:sz w:val="16"/>
              </w:rPr>
              <w:t>-</w:t>
            </w:r>
          </w:p>
        </w:tc>
      </w:tr>
      <w:tr w14:paraId="3EC17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E79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106A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28544">
            <w:pPr>
              <w:jc w:val="center"/>
            </w:pPr>
            <w:r>
              <w:rPr>
                <w:rFonts w:ascii="宋体" w:hAnsi="宋体" w:eastAsia="宋体"/>
                <w:sz w:val="16"/>
              </w:rPr>
              <w:t>总体目标完成情况</w:t>
            </w:r>
          </w:p>
        </w:tc>
      </w:tr>
      <w:tr w14:paraId="027FE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BEA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629D3">
            <w:pPr>
              <w:jc w:val="both"/>
            </w:pPr>
            <w:r>
              <w:rPr>
                <w:rFonts w:ascii="宋体" w:hAnsi="宋体" w:eastAsia="宋体"/>
                <w:sz w:val="16"/>
              </w:rPr>
              <w:t>为提升闲置资产运营，促进巴州经济持续稳定发展，根据自治州第十一届党委财经委员会第7次会议研究审议决定，由巴州国资委向巴州国信拨付资本金，用于其全资子公司-巴州国融投资有限公司盘活存量经营性资产项目，旨在促进巴州经济实现良性、有序、稳步发展，提升企业发展潜力，提高企业经济效益，确保国有资本保值增值。巴州国信建设发展投融资有限公司依法履行出资人责任，及时向全资子公司-巴州国融投资有限公司注入资本金2000万元，推进国融公司盘活存量经营性资产项目的各项工作，通过项目提升改造，形成优质资产，使资产发挥更好的效益，形成资产和新增投资的良性循环，提升基础设施运营管理水平、拓宽社会投资渠道、合理扩大有效投资等的政策要求。减少闲置资产所占用的储存空间与资产空间，减少闲置资产管理、维护所造成的人力、物力浪费，从而提升企业的经济效益。同时，国有企业也可以通过将闲置资产进行“变现”，将其转化成可供国有企业“即时”使用的现金资源，从而提升国有企业的资产使用效率，为国有企业的稳定、可持续发展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53704C">
            <w:pPr>
              <w:jc w:val="both"/>
            </w:pPr>
            <w:r>
              <w:rPr>
                <w:rFonts w:ascii="宋体" w:hAnsi="宋体" w:eastAsia="宋体"/>
                <w:sz w:val="16"/>
              </w:rPr>
              <w:t>由巴州国资委拨付巴州国信公司资本金2000万元，用于国融公司盘活存量经营性资产项目，通过将闲置资产“变现”，促进了巴州经济实现良性、有序、稳步发展，确保了国有资本的保值增值。</w:t>
            </w:r>
          </w:p>
        </w:tc>
      </w:tr>
      <w:tr w14:paraId="00821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41E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E1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85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C6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EE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29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3BD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DA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16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31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DA7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11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DB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810C">
            <w:pPr>
              <w:jc w:val="center"/>
            </w:pPr>
            <w:r>
              <w:rPr>
                <w:rFonts w:ascii="宋体" w:hAnsi="宋体" w:eastAsia="宋体"/>
                <w:sz w:val="16"/>
              </w:rPr>
              <w:t>偏差原因分析及改进措施</w:t>
            </w:r>
          </w:p>
        </w:tc>
      </w:tr>
      <w:tr w14:paraId="76BC63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596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08E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7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44A6">
            <w:pPr>
              <w:jc w:val="center"/>
            </w:pPr>
            <w:r>
              <w:rPr>
                <w:rFonts w:ascii="宋体" w:hAnsi="宋体" w:eastAsia="宋体"/>
                <w:sz w:val="16"/>
              </w:rPr>
              <w:t>支持企业数量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00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4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5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0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B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15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6D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1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A7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1E55">
            <w:pPr>
              <w:jc w:val="center"/>
            </w:pPr>
          </w:p>
        </w:tc>
      </w:tr>
      <w:tr w14:paraId="154B1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A3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AF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69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2D66">
            <w:pPr>
              <w:jc w:val="center"/>
            </w:pPr>
            <w:r>
              <w:rPr>
                <w:rFonts w:ascii="宋体" w:hAnsi="宋体" w:eastAsia="宋体"/>
                <w:sz w:val="16"/>
              </w:rPr>
              <w:t>注册资本金到位及时率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C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4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6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E3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3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06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1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4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54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7CBE">
            <w:pPr>
              <w:jc w:val="center"/>
            </w:pPr>
          </w:p>
        </w:tc>
      </w:tr>
      <w:tr w14:paraId="28DDE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04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7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C3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C1A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7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0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F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8B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A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5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A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D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25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F5BA">
            <w:pPr>
              <w:jc w:val="center"/>
            </w:pPr>
          </w:p>
        </w:tc>
      </w:tr>
      <w:tr w14:paraId="3AB88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0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FF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04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BEC6">
            <w:pPr>
              <w:jc w:val="center"/>
            </w:pPr>
            <w:r>
              <w:rPr>
                <w:rFonts w:ascii="宋体" w:hAnsi="宋体" w:eastAsia="宋体"/>
                <w:sz w:val="16"/>
              </w:rPr>
              <w:t>分配国融公司注册资本金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F0CE">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8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9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34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9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EA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2459">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4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C4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E17C">
            <w:pPr>
              <w:jc w:val="center"/>
            </w:pPr>
          </w:p>
        </w:tc>
      </w:tr>
      <w:tr w14:paraId="7E638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468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73B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325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DC73">
            <w:pPr>
              <w:jc w:val="center"/>
            </w:pPr>
            <w:r>
              <w:rPr>
                <w:rFonts w:ascii="宋体" w:hAnsi="宋体" w:eastAsia="宋体"/>
                <w:sz w:val="16"/>
              </w:rPr>
              <w:t>实现国有资本保值增值率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032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6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3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6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C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0BF8">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2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B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0956">
            <w:pPr>
              <w:jc w:val="center"/>
            </w:pPr>
            <w:r>
              <w:rPr>
                <w:rFonts w:ascii="宋体" w:hAnsi="宋体" w:eastAsia="宋体"/>
                <w:sz w:val="16"/>
              </w:rPr>
              <w:t>充分发挥国有企业经济支柱作用，充分保证国有资本保值增值，以后根据经营状况，</w:t>
            </w:r>
            <w:r>
              <w:rPr>
                <w:rFonts w:hint="eastAsia" w:ascii="宋体" w:hAnsi="宋体"/>
                <w:sz w:val="16"/>
                <w:lang w:eastAsia="zh-CN"/>
              </w:rPr>
              <w:t>明确</w:t>
            </w:r>
            <w:r>
              <w:rPr>
                <w:rFonts w:ascii="宋体" w:hAnsi="宋体" w:eastAsia="宋体"/>
                <w:sz w:val="16"/>
              </w:rPr>
              <w:t>保值增值率</w:t>
            </w:r>
          </w:p>
        </w:tc>
      </w:tr>
      <w:tr w14:paraId="029B6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2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B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C7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50C6">
            <w:pPr>
              <w:jc w:val="center"/>
            </w:pPr>
            <w:r>
              <w:rPr>
                <w:rFonts w:ascii="宋体" w:hAnsi="宋体" w:eastAsia="宋体"/>
                <w:sz w:val="16"/>
              </w:rPr>
              <w:t>提高企业发展潜力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CF9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0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A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96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60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9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F83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B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2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1682">
            <w:pPr>
              <w:jc w:val="center"/>
            </w:pPr>
          </w:p>
        </w:tc>
      </w:tr>
      <w:tr w14:paraId="38249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48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F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65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833F">
            <w:pPr>
              <w:jc w:val="center"/>
            </w:pPr>
            <w:r>
              <w:rPr>
                <w:rFonts w:ascii="宋体" w:hAnsi="宋体" w:eastAsia="宋体"/>
                <w:sz w:val="16"/>
              </w:rPr>
              <w:t>被投资企业满意度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2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F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0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8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BC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2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D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6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1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A293">
            <w:pPr>
              <w:jc w:val="center"/>
            </w:pPr>
          </w:p>
        </w:tc>
      </w:tr>
      <w:tr w14:paraId="434603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EB54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604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447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DE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4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D8A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98E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319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33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75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DBD1B"/>
        </w:tc>
      </w:tr>
    </w:tbl>
    <w:p w14:paraId="189B8F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138E008">
        <w:tblPrEx>
          <w:tblCellMar>
            <w:top w:w="0" w:type="dxa"/>
            <w:left w:w="108" w:type="dxa"/>
            <w:bottom w:w="0" w:type="dxa"/>
            <w:right w:w="108" w:type="dxa"/>
          </w:tblCellMar>
        </w:tblPrEx>
        <w:tc>
          <w:tcPr>
            <w:tcW w:w="8848" w:type="dxa"/>
            <w:gridSpan w:val="14"/>
            <w:vAlign w:val="center"/>
          </w:tcPr>
          <w:p w14:paraId="4912C963">
            <w:pPr>
              <w:jc w:val="center"/>
            </w:pPr>
            <w:r>
              <w:rPr>
                <w:rFonts w:ascii="宋体" w:hAnsi="宋体" w:eastAsia="宋体"/>
                <w:sz w:val="24"/>
              </w:rPr>
              <w:t>项目支出绩效自评表</w:t>
            </w:r>
          </w:p>
        </w:tc>
      </w:tr>
      <w:tr w14:paraId="42C91A3E">
        <w:tblPrEx>
          <w:tblCellMar>
            <w:top w:w="0" w:type="dxa"/>
            <w:left w:w="108" w:type="dxa"/>
            <w:bottom w:w="0" w:type="dxa"/>
            <w:right w:w="108" w:type="dxa"/>
          </w:tblCellMar>
        </w:tblPrEx>
        <w:tc>
          <w:tcPr>
            <w:tcW w:w="8848" w:type="dxa"/>
            <w:gridSpan w:val="14"/>
            <w:vAlign w:val="center"/>
          </w:tcPr>
          <w:p w14:paraId="36D1E9AC">
            <w:pPr>
              <w:jc w:val="center"/>
            </w:pPr>
            <w:r>
              <w:rPr>
                <w:rFonts w:ascii="宋体" w:hAnsi="宋体" w:eastAsia="宋体"/>
                <w:sz w:val="24"/>
              </w:rPr>
              <w:t>(2024年度)</w:t>
            </w:r>
          </w:p>
        </w:tc>
      </w:tr>
      <w:tr w14:paraId="1EA4FE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79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88153">
            <w:pPr>
              <w:jc w:val="center"/>
            </w:pPr>
            <w:r>
              <w:rPr>
                <w:rFonts w:ascii="宋体" w:hAnsi="宋体" w:eastAsia="宋体"/>
                <w:sz w:val="16"/>
              </w:rPr>
              <w:t>2024年巴音国资公司资本金注入项目</w:t>
            </w:r>
          </w:p>
        </w:tc>
      </w:tr>
      <w:tr w14:paraId="75B852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6E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253FA">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1E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89DDCD">
            <w:pPr>
              <w:jc w:val="center"/>
            </w:pPr>
            <w:r>
              <w:rPr>
                <w:rFonts w:ascii="宋体" w:hAnsi="宋体" w:eastAsia="宋体"/>
                <w:sz w:val="16"/>
              </w:rPr>
              <w:t>新疆巴音郭楞蒙古自治州人民政府国有资产监督管理委员会</w:t>
            </w:r>
          </w:p>
        </w:tc>
      </w:tr>
      <w:tr w14:paraId="718BCA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8E63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FC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A1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766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2AB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2E3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CD8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4140">
            <w:pPr>
              <w:jc w:val="center"/>
            </w:pPr>
            <w:r>
              <w:rPr>
                <w:rFonts w:ascii="宋体" w:hAnsi="宋体" w:eastAsia="宋体"/>
                <w:sz w:val="16"/>
              </w:rPr>
              <w:t>得分</w:t>
            </w:r>
          </w:p>
        </w:tc>
      </w:tr>
      <w:tr w14:paraId="295F5D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16C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AED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01ED">
            <w:pPr>
              <w:jc w:val="center"/>
            </w:pPr>
            <w:r>
              <w:rPr>
                <w:rFonts w:ascii="宋体" w:hAnsi="宋体" w:eastAsia="宋体"/>
                <w:sz w:val="16"/>
              </w:rPr>
              <w:t>544.80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224E6">
            <w:pPr>
              <w:jc w:val="center"/>
            </w:pPr>
            <w:r>
              <w:rPr>
                <w:rFonts w:ascii="宋体" w:hAnsi="宋体" w:eastAsia="宋体"/>
                <w:sz w:val="16"/>
              </w:rPr>
              <w:t>543.32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A299A">
            <w:pPr>
              <w:jc w:val="center"/>
            </w:pPr>
            <w:r>
              <w:rPr>
                <w:rFonts w:ascii="宋体" w:hAnsi="宋体" w:eastAsia="宋体"/>
                <w:sz w:val="16"/>
              </w:rPr>
              <w:t>543.32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3E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FA3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0FB7">
            <w:pPr>
              <w:jc w:val="center"/>
            </w:pPr>
            <w:r>
              <w:rPr>
                <w:rFonts w:ascii="宋体" w:hAnsi="宋体" w:eastAsia="宋体"/>
                <w:sz w:val="16"/>
              </w:rPr>
              <w:t>10.00</w:t>
            </w:r>
          </w:p>
        </w:tc>
      </w:tr>
      <w:tr w14:paraId="797BE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C91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955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80379">
            <w:pPr>
              <w:jc w:val="center"/>
            </w:pPr>
            <w:r>
              <w:rPr>
                <w:rFonts w:ascii="宋体" w:hAnsi="宋体" w:eastAsia="宋体"/>
                <w:sz w:val="16"/>
              </w:rPr>
              <w:t>544.80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C6373">
            <w:pPr>
              <w:jc w:val="center"/>
            </w:pPr>
            <w:r>
              <w:rPr>
                <w:rFonts w:ascii="宋体" w:hAnsi="宋体" w:eastAsia="宋体"/>
                <w:sz w:val="16"/>
              </w:rPr>
              <w:t>543.32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D8B8">
            <w:pPr>
              <w:jc w:val="center"/>
            </w:pPr>
            <w:r>
              <w:rPr>
                <w:rFonts w:ascii="宋体" w:hAnsi="宋体" w:eastAsia="宋体"/>
                <w:sz w:val="16"/>
              </w:rPr>
              <w:t>543.32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8E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5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B1F3">
            <w:pPr>
              <w:jc w:val="center"/>
            </w:pPr>
            <w:r>
              <w:rPr>
                <w:rFonts w:ascii="宋体" w:hAnsi="宋体" w:eastAsia="宋体"/>
                <w:sz w:val="16"/>
              </w:rPr>
              <w:t>-</w:t>
            </w:r>
          </w:p>
        </w:tc>
      </w:tr>
      <w:tr w14:paraId="30E9E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B30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3B2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E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A9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9D1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31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4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CBE0">
            <w:pPr>
              <w:jc w:val="center"/>
            </w:pPr>
            <w:r>
              <w:rPr>
                <w:rFonts w:ascii="宋体" w:hAnsi="宋体" w:eastAsia="宋体"/>
                <w:sz w:val="16"/>
              </w:rPr>
              <w:t>-</w:t>
            </w:r>
          </w:p>
        </w:tc>
      </w:tr>
      <w:tr w14:paraId="02AB33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313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A1D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4F191">
            <w:pPr>
              <w:jc w:val="center"/>
            </w:pPr>
            <w:r>
              <w:rPr>
                <w:rFonts w:ascii="宋体" w:hAnsi="宋体" w:eastAsia="宋体"/>
                <w:sz w:val="16"/>
              </w:rPr>
              <w:t>总体目标完成情况</w:t>
            </w:r>
          </w:p>
        </w:tc>
      </w:tr>
      <w:tr w14:paraId="1AD3F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BDD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8D007">
            <w:pPr>
              <w:jc w:val="both"/>
            </w:pPr>
            <w:r>
              <w:rPr>
                <w:rFonts w:ascii="宋体" w:hAnsi="宋体" w:eastAsia="宋体"/>
                <w:sz w:val="16"/>
              </w:rPr>
              <w:t>国投新疆罗布泊钾盐有限责任公司的股东国投矿业投资有限公司为前期建设阶段已申请到国家专项建设基金、国有资本经营预算资金共计22351万元，根据《关于提请国投新疆罗布泊钾盐有限责任公司董事会召开2023年第一次临时股东会会议的函》，根据巴音公司对国投罗钾公司的持股比例1.53%，应按出资比例进行同比例增资。向巴音公司拨付资本金544.8万元用于巴音公司对国投罗钾公司增资项目的推进工作。此项目将增强国有资本运营效率，大力激发企业发展动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CAF06">
            <w:pPr>
              <w:jc w:val="both"/>
            </w:pPr>
            <w:r>
              <w:rPr>
                <w:rFonts w:ascii="宋体" w:hAnsi="宋体" w:eastAsia="宋体"/>
                <w:sz w:val="16"/>
              </w:rPr>
              <w:t>巴州国资委已按时全额一次性拨付巴音国资公司该项目资金，用于巴音国资公司分配至国投罗钾公司资本金。国投罗钾公司针对该增资项目的资产评估报告已完成公示，向其股东国投集团备案同意后，召开国投罗钾公司股东会，根据批准增资的股东会决议，巴音公司于2024年12月支付完成国投罗钾公司资本金注入工作。此项目提高了企业发展潜力，激发员工的工作积极性。</w:t>
            </w:r>
          </w:p>
        </w:tc>
      </w:tr>
      <w:tr w14:paraId="359C58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538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4F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9B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CC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84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27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52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543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FC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F4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018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D1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7CD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9D9C">
            <w:pPr>
              <w:jc w:val="center"/>
            </w:pPr>
            <w:r>
              <w:rPr>
                <w:rFonts w:ascii="宋体" w:hAnsi="宋体" w:eastAsia="宋体"/>
                <w:sz w:val="16"/>
              </w:rPr>
              <w:t>偏差原因分析及改进措施</w:t>
            </w:r>
          </w:p>
        </w:tc>
      </w:tr>
      <w:tr w14:paraId="125EA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50D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055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85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E23B">
            <w:pPr>
              <w:jc w:val="center"/>
            </w:pPr>
            <w:r>
              <w:rPr>
                <w:rFonts w:ascii="宋体" w:hAnsi="宋体" w:eastAsia="宋体"/>
                <w:sz w:val="16"/>
              </w:rPr>
              <w:t>支持企业个数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A1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0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E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B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D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6B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C6F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2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B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8A55">
            <w:pPr>
              <w:jc w:val="center"/>
            </w:pPr>
          </w:p>
        </w:tc>
      </w:tr>
      <w:tr w14:paraId="7C5D2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97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61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8E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0E8B">
            <w:pPr>
              <w:jc w:val="center"/>
            </w:pPr>
            <w:r>
              <w:rPr>
                <w:rFonts w:ascii="宋体" w:hAnsi="宋体" w:eastAsia="宋体"/>
                <w:sz w:val="16"/>
              </w:rPr>
              <w:t>注册资本金到位率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B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3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7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E61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6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8C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C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3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6A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71A5">
            <w:pPr>
              <w:jc w:val="center"/>
            </w:pPr>
          </w:p>
        </w:tc>
      </w:tr>
      <w:tr w14:paraId="38B56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ED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1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CA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5B19">
            <w:pPr>
              <w:jc w:val="center"/>
            </w:pPr>
            <w:r>
              <w:rPr>
                <w:rFonts w:ascii="宋体" w:hAnsi="宋体" w:eastAsia="宋体"/>
                <w:sz w:val="16"/>
              </w:rPr>
              <w:t>注册资本金下达及时率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2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2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F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4E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F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A6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5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6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2FD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48CF">
            <w:pPr>
              <w:jc w:val="center"/>
            </w:pPr>
          </w:p>
        </w:tc>
      </w:tr>
      <w:tr w14:paraId="51775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5A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B9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E54">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559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C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1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E9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9B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46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E1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6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1C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1F3A">
            <w:pPr>
              <w:jc w:val="center"/>
            </w:pPr>
          </w:p>
        </w:tc>
      </w:tr>
      <w:tr w14:paraId="05953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7BD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D6F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797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C5A6">
            <w:pPr>
              <w:jc w:val="center"/>
            </w:pPr>
            <w:r>
              <w:rPr>
                <w:rFonts w:ascii="宋体" w:hAnsi="宋体" w:eastAsia="宋体"/>
                <w:sz w:val="16"/>
              </w:rPr>
              <w:t>国有资本保值增值率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E301">
            <w:pPr>
              <w:jc w:val="center"/>
            </w:pPr>
            <w:r>
              <w:rPr>
                <w:rFonts w:ascii="宋体" w:hAnsi="宋体" w:eastAsia="宋体"/>
                <w:sz w:val="16"/>
              </w:rPr>
              <w:t>&gt;=103%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A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C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9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3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16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47EF">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3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0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0704">
            <w:pPr>
              <w:jc w:val="center"/>
            </w:pPr>
          </w:p>
        </w:tc>
      </w:tr>
      <w:tr w14:paraId="1EDA5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B1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A2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D6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7D63">
            <w:pPr>
              <w:jc w:val="center"/>
            </w:pPr>
            <w:r>
              <w:rPr>
                <w:rFonts w:ascii="宋体" w:hAnsi="宋体" w:eastAsia="宋体"/>
                <w:sz w:val="16"/>
              </w:rPr>
              <w:t>提高企业发展潜力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BA2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E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A16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71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BF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DA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96F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B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1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29A6">
            <w:pPr>
              <w:jc w:val="center"/>
            </w:pPr>
          </w:p>
        </w:tc>
      </w:tr>
      <w:tr w14:paraId="78598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88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3E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FA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A81F">
            <w:pPr>
              <w:jc w:val="center"/>
            </w:pPr>
            <w:r>
              <w:rPr>
                <w:rFonts w:ascii="宋体" w:hAnsi="宋体" w:eastAsia="宋体"/>
                <w:sz w:val="16"/>
              </w:rPr>
              <w:t>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2E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B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0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D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BB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9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8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B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0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9B55">
            <w:pPr>
              <w:jc w:val="center"/>
            </w:pPr>
          </w:p>
        </w:tc>
      </w:tr>
      <w:tr w14:paraId="1CF7B1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866A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AB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BF6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19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E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FAB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68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307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70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3CC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6C244"/>
        </w:tc>
      </w:tr>
    </w:tbl>
    <w:p w14:paraId="534D7E7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4"/>
        <w:gridCol w:w="629"/>
        <w:gridCol w:w="627"/>
        <w:gridCol w:w="624"/>
        <w:gridCol w:w="624"/>
        <w:gridCol w:w="696"/>
        <w:gridCol w:w="629"/>
        <w:gridCol w:w="697"/>
        <w:gridCol w:w="633"/>
      </w:tblGrid>
      <w:tr w14:paraId="2C72B12C">
        <w:tblPrEx>
          <w:tblCellMar>
            <w:top w:w="0" w:type="dxa"/>
            <w:left w:w="108" w:type="dxa"/>
            <w:bottom w:w="0" w:type="dxa"/>
            <w:right w:w="108" w:type="dxa"/>
          </w:tblCellMar>
        </w:tblPrEx>
        <w:tc>
          <w:tcPr>
            <w:tcW w:w="8848" w:type="dxa"/>
            <w:gridSpan w:val="14"/>
            <w:vAlign w:val="center"/>
          </w:tcPr>
          <w:p w14:paraId="508951DE">
            <w:pPr>
              <w:jc w:val="center"/>
            </w:pPr>
            <w:r>
              <w:rPr>
                <w:rFonts w:ascii="宋体" w:hAnsi="宋体" w:eastAsia="宋体"/>
                <w:sz w:val="24"/>
              </w:rPr>
              <w:t>项目支出绩效自评表</w:t>
            </w:r>
          </w:p>
        </w:tc>
      </w:tr>
      <w:tr w14:paraId="56BD8061">
        <w:tblPrEx>
          <w:tblCellMar>
            <w:top w:w="0" w:type="dxa"/>
            <w:left w:w="108" w:type="dxa"/>
            <w:bottom w:w="0" w:type="dxa"/>
            <w:right w:w="108" w:type="dxa"/>
          </w:tblCellMar>
        </w:tblPrEx>
        <w:tc>
          <w:tcPr>
            <w:tcW w:w="8848" w:type="dxa"/>
            <w:gridSpan w:val="14"/>
            <w:vAlign w:val="center"/>
          </w:tcPr>
          <w:p w14:paraId="7B23B890">
            <w:pPr>
              <w:jc w:val="center"/>
            </w:pPr>
            <w:r>
              <w:rPr>
                <w:rFonts w:ascii="宋体" w:hAnsi="宋体" w:eastAsia="宋体"/>
                <w:sz w:val="24"/>
              </w:rPr>
              <w:t>(2024年度)</w:t>
            </w:r>
          </w:p>
        </w:tc>
      </w:tr>
      <w:tr w14:paraId="1E5B7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34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32CB7C">
            <w:pPr>
              <w:jc w:val="center"/>
            </w:pPr>
            <w:r>
              <w:rPr>
                <w:rFonts w:ascii="宋体" w:hAnsi="宋体" w:eastAsia="宋体"/>
                <w:sz w:val="16"/>
              </w:rPr>
              <w:t>2024年数字巴州公司注册资本金注入项目</w:t>
            </w:r>
          </w:p>
        </w:tc>
      </w:tr>
      <w:tr w14:paraId="2415D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4A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4FE3D">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4A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DFEB5">
            <w:pPr>
              <w:jc w:val="center"/>
            </w:pPr>
            <w:r>
              <w:rPr>
                <w:rFonts w:ascii="宋体" w:hAnsi="宋体" w:eastAsia="宋体"/>
                <w:sz w:val="16"/>
              </w:rPr>
              <w:t>新疆巴音郭楞蒙古自治州人民政府国有资产监督管理委员会</w:t>
            </w:r>
          </w:p>
        </w:tc>
      </w:tr>
      <w:tr w14:paraId="048C1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68E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DD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FC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60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AA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C53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23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0B45">
            <w:pPr>
              <w:jc w:val="center"/>
            </w:pPr>
            <w:r>
              <w:rPr>
                <w:rFonts w:ascii="宋体" w:hAnsi="宋体" w:eastAsia="宋体"/>
                <w:sz w:val="16"/>
              </w:rPr>
              <w:t>得分</w:t>
            </w:r>
          </w:p>
        </w:tc>
      </w:tr>
      <w:tr w14:paraId="6C99C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73F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AC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4FA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7E4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D721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5A6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AC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C6EC">
            <w:pPr>
              <w:jc w:val="center"/>
            </w:pPr>
            <w:r>
              <w:rPr>
                <w:rFonts w:ascii="宋体" w:hAnsi="宋体" w:eastAsia="宋体"/>
                <w:sz w:val="16"/>
              </w:rPr>
              <w:t>10.00</w:t>
            </w:r>
          </w:p>
        </w:tc>
      </w:tr>
      <w:tr w14:paraId="7174C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F00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FD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03C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6C8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14F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BC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F8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DF8A">
            <w:pPr>
              <w:jc w:val="center"/>
            </w:pPr>
            <w:r>
              <w:rPr>
                <w:rFonts w:ascii="宋体" w:hAnsi="宋体" w:eastAsia="宋体"/>
                <w:sz w:val="16"/>
              </w:rPr>
              <w:t>-</w:t>
            </w:r>
          </w:p>
        </w:tc>
      </w:tr>
      <w:tr w14:paraId="0B8B1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9B9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AC3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12C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72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D8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DFE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3F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82FF">
            <w:pPr>
              <w:jc w:val="center"/>
            </w:pPr>
            <w:r>
              <w:rPr>
                <w:rFonts w:ascii="宋体" w:hAnsi="宋体" w:eastAsia="宋体"/>
                <w:sz w:val="16"/>
              </w:rPr>
              <w:t>-</w:t>
            </w:r>
          </w:p>
        </w:tc>
      </w:tr>
      <w:tr w14:paraId="18203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747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21B5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DE2809">
            <w:pPr>
              <w:jc w:val="center"/>
            </w:pPr>
            <w:r>
              <w:rPr>
                <w:rFonts w:ascii="宋体" w:hAnsi="宋体" w:eastAsia="宋体"/>
                <w:sz w:val="16"/>
              </w:rPr>
              <w:t>总体目标完成情况</w:t>
            </w:r>
          </w:p>
        </w:tc>
      </w:tr>
      <w:tr w14:paraId="1E0A8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4AF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FA29F">
            <w:pPr>
              <w:jc w:val="both"/>
            </w:pPr>
            <w:r>
              <w:rPr>
                <w:rFonts w:ascii="宋体" w:hAnsi="宋体" w:eastAsia="宋体"/>
                <w:sz w:val="16"/>
              </w:rPr>
              <w:t>根据自治州第十一届党委财经委员会第13次会议会议纪要文件精神，数字巴州为作为巴州金融综合服务平台承建单位，智慧医药平台建设项目实施单位，为了保障数字巴州（集团）公司正常运行，积极推进巴州地区数字化建设，巴州国资委向数字巴州（集团）公司拨付50万元注册资本金，用于数字巴州（集团）公司开展日常工作，保障公司正常运转，整合数字化资源，促进巴州经济发展和更高效、更便捷线上运营能力，提升企业发展潜力，提高企业经济效益，实现投资收益，助力地方经济高质量发展和企业综合实力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F09C2A">
            <w:pPr>
              <w:jc w:val="both"/>
            </w:pPr>
            <w:r>
              <w:rPr>
                <w:rFonts w:ascii="宋体" w:hAnsi="宋体" w:eastAsia="宋体"/>
                <w:sz w:val="16"/>
              </w:rPr>
              <w:t>为保障数字巴州集团正常运行，积极推进巴州地区数字化建设，巴州国资委已向数字巴州集团足额拨付注册资本金50万元，用于公司日常经营。提升企业发展潜力，提高企业经济效益，促进巴州经济高质量发展。</w:t>
            </w:r>
          </w:p>
        </w:tc>
      </w:tr>
      <w:tr w14:paraId="050FA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8F7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F8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1E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76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2A4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19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40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0E1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054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E3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66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89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AB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7A8A">
            <w:pPr>
              <w:jc w:val="center"/>
            </w:pPr>
            <w:r>
              <w:rPr>
                <w:rFonts w:ascii="宋体" w:hAnsi="宋体" w:eastAsia="宋体"/>
                <w:sz w:val="16"/>
              </w:rPr>
              <w:t>偏差原因分析及改进措施</w:t>
            </w:r>
          </w:p>
        </w:tc>
      </w:tr>
      <w:tr w14:paraId="6A7079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908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EB2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C6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CAD9">
            <w:pPr>
              <w:jc w:val="center"/>
            </w:pPr>
            <w:r>
              <w:rPr>
                <w:rFonts w:ascii="宋体" w:hAnsi="宋体" w:eastAsia="宋体"/>
                <w:sz w:val="16"/>
              </w:rPr>
              <w:t>支持企业个数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FF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B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2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A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B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9B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91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C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6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691E">
            <w:pPr>
              <w:jc w:val="center"/>
            </w:pPr>
          </w:p>
        </w:tc>
      </w:tr>
      <w:tr w14:paraId="0EB5F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A9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94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84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2A33">
            <w:pPr>
              <w:jc w:val="center"/>
            </w:pPr>
            <w:r>
              <w:rPr>
                <w:rFonts w:ascii="宋体" w:hAnsi="宋体" w:eastAsia="宋体"/>
                <w:sz w:val="16"/>
              </w:rPr>
              <w:t>注册资本金到位率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5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5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9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FC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8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04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5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0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0F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1C08">
            <w:pPr>
              <w:jc w:val="center"/>
            </w:pPr>
          </w:p>
        </w:tc>
      </w:tr>
      <w:tr w14:paraId="62B96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02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82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80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4662">
            <w:pPr>
              <w:jc w:val="center"/>
            </w:pPr>
            <w:r>
              <w:rPr>
                <w:rFonts w:ascii="宋体" w:hAnsi="宋体" w:eastAsia="宋体"/>
                <w:sz w:val="16"/>
              </w:rPr>
              <w:t>注册资本金下达及时率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1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4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E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B94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4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99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8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D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5B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93BC">
            <w:pPr>
              <w:jc w:val="center"/>
            </w:pPr>
          </w:p>
        </w:tc>
      </w:tr>
      <w:tr w14:paraId="06571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22A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B07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81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6A6D">
            <w:pPr>
              <w:jc w:val="center"/>
            </w:pPr>
            <w:r>
              <w:rPr>
                <w:rFonts w:ascii="宋体" w:hAnsi="宋体" w:eastAsia="宋体"/>
                <w:sz w:val="16"/>
              </w:rPr>
              <w:t>保障人员类成本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C478">
            <w:pPr>
              <w:jc w:val="center"/>
            </w:pPr>
            <w:r>
              <w:rPr>
                <w:rFonts w:ascii="宋体" w:hAnsi="宋体" w:eastAsia="宋体"/>
                <w:sz w:val="16"/>
              </w:rPr>
              <w:t>&lt;=48.16万元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8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A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F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2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4C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5912">
            <w:pPr>
              <w:jc w:val="center"/>
            </w:pPr>
            <w:r>
              <w:rPr>
                <w:rFonts w:ascii="宋体" w:hAnsi="宋体" w:eastAsia="宋体"/>
                <w:sz w:val="16"/>
              </w:rPr>
              <w:t>=48.16万元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F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2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3779">
            <w:pPr>
              <w:jc w:val="center"/>
            </w:pPr>
          </w:p>
        </w:tc>
      </w:tr>
      <w:tr w14:paraId="1FD5E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0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C2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93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FEA3">
            <w:pPr>
              <w:jc w:val="center"/>
            </w:pPr>
            <w:r>
              <w:rPr>
                <w:rFonts w:ascii="宋体" w:hAnsi="宋体" w:eastAsia="宋体"/>
                <w:sz w:val="16"/>
              </w:rPr>
              <w:t>保障公用经费类成本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35C7">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F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3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E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B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A4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6C4B">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C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44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43D7">
            <w:pPr>
              <w:jc w:val="center"/>
            </w:pPr>
          </w:p>
        </w:tc>
      </w:tr>
      <w:tr w14:paraId="3DCCB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96B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D03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2C5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665C">
            <w:pPr>
              <w:jc w:val="center"/>
            </w:pPr>
            <w:r>
              <w:rPr>
                <w:rFonts w:ascii="宋体" w:hAnsi="宋体" w:eastAsia="宋体"/>
                <w:sz w:val="16"/>
              </w:rPr>
              <w:t>国有资产保值率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C66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D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BD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5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4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62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5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1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4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8C8A">
            <w:pPr>
              <w:jc w:val="center"/>
            </w:pPr>
          </w:p>
        </w:tc>
      </w:tr>
      <w:tr w14:paraId="79687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84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5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AC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098D">
            <w:pPr>
              <w:jc w:val="center"/>
            </w:pPr>
            <w:r>
              <w:rPr>
                <w:rFonts w:ascii="宋体" w:hAnsi="宋体" w:eastAsia="宋体"/>
                <w:sz w:val="16"/>
              </w:rPr>
              <w:t>企业发展潜力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18F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8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649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E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00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98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532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4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9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5B44">
            <w:pPr>
              <w:jc w:val="center"/>
            </w:pPr>
          </w:p>
        </w:tc>
      </w:tr>
      <w:tr w14:paraId="33E82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8A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9D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45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5DF6">
            <w:pPr>
              <w:jc w:val="center"/>
            </w:pPr>
            <w:r>
              <w:rPr>
                <w:rFonts w:ascii="宋体" w:hAnsi="宋体" w:eastAsia="宋体"/>
                <w:sz w:val="16"/>
              </w:rPr>
              <w:t>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E3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5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1A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DF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58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6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E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7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26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CBA7">
            <w:pPr>
              <w:jc w:val="center"/>
            </w:pPr>
          </w:p>
        </w:tc>
      </w:tr>
      <w:tr w14:paraId="037777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D02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71E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B9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A8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C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390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FF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7F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5A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88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B0DBF"/>
        </w:tc>
      </w:tr>
    </w:tbl>
    <w:p w14:paraId="3AEC3C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B39E00F">
        <w:tblPrEx>
          <w:tblCellMar>
            <w:top w:w="0" w:type="dxa"/>
            <w:left w:w="108" w:type="dxa"/>
            <w:bottom w:w="0" w:type="dxa"/>
            <w:right w:w="108" w:type="dxa"/>
          </w:tblCellMar>
        </w:tblPrEx>
        <w:tc>
          <w:tcPr>
            <w:tcW w:w="8848" w:type="dxa"/>
            <w:gridSpan w:val="14"/>
            <w:vAlign w:val="center"/>
          </w:tcPr>
          <w:p w14:paraId="6F588430">
            <w:pPr>
              <w:jc w:val="center"/>
            </w:pPr>
            <w:r>
              <w:rPr>
                <w:rFonts w:ascii="宋体" w:hAnsi="宋体" w:eastAsia="宋体"/>
                <w:sz w:val="24"/>
              </w:rPr>
              <w:t>项目支出绩效自评表</w:t>
            </w:r>
          </w:p>
        </w:tc>
      </w:tr>
      <w:tr w14:paraId="3A4A66DD">
        <w:tblPrEx>
          <w:tblCellMar>
            <w:top w:w="0" w:type="dxa"/>
            <w:left w:w="108" w:type="dxa"/>
            <w:bottom w:w="0" w:type="dxa"/>
            <w:right w:w="108" w:type="dxa"/>
          </w:tblCellMar>
        </w:tblPrEx>
        <w:tc>
          <w:tcPr>
            <w:tcW w:w="8848" w:type="dxa"/>
            <w:gridSpan w:val="14"/>
            <w:vAlign w:val="center"/>
          </w:tcPr>
          <w:p w14:paraId="12EB61A4">
            <w:pPr>
              <w:jc w:val="center"/>
            </w:pPr>
            <w:r>
              <w:rPr>
                <w:rFonts w:ascii="宋体" w:hAnsi="宋体" w:eastAsia="宋体"/>
                <w:sz w:val="24"/>
              </w:rPr>
              <w:t>(2024年度)</w:t>
            </w:r>
          </w:p>
        </w:tc>
      </w:tr>
      <w:tr w14:paraId="237BB8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80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028CF6">
            <w:pPr>
              <w:jc w:val="center"/>
            </w:pPr>
            <w:r>
              <w:rPr>
                <w:rFonts w:ascii="宋体" w:hAnsi="宋体" w:eastAsia="宋体"/>
                <w:sz w:val="16"/>
              </w:rPr>
              <w:t>2024年解决历史遗留问题及国有企业改革困难（巴音国资公司）</w:t>
            </w:r>
          </w:p>
        </w:tc>
      </w:tr>
      <w:tr w14:paraId="6B7FBA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E9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D9F41">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5F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612608">
            <w:pPr>
              <w:jc w:val="center"/>
            </w:pPr>
            <w:r>
              <w:rPr>
                <w:rFonts w:ascii="宋体" w:hAnsi="宋体" w:eastAsia="宋体"/>
                <w:sz w:val="16"/>
              </w:rPr>
              <w:t>新疆巴音郭楞蒙古自治州人民政府国有资产监督管理委员会</w:t>
            </w:r>
          </w:p>
        </w:tc>
      </w:tr>
      <w:tr w14:paraId="4D1F5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79C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A5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9A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1D8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E58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4CA8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93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0233">
            <w:pPr>
              <w:jc w:val="center"/>
            </w:pPr>
            <w:r>
              <w:rPr>
                <w:rFonts w:ascii="宋体" w:hAnsi="宋体" w:eastAsia="宋体"/>
                <w:sz w:val="16"/>
              </w:rPr>
              <w:t>得分</w:t>
            </w:r>
          </w:p>
        </w:tc>
      </w:tr>
      <w:tr w14:paraId="13653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16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0B7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252C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CDF5E">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ECFE1">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A8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05C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E66A">
            <w:pPr>
              <w:jc w:val="center"/>
            </w:pPr>
            <w:r>
              <w:rPr>
                <w:rFonts w:ascii="宋体" w:hAnsi="宋体" w:eastAsia="宋体"/>
                <w:sz w:val="16"/>
              </w:rPr>
              <w:t>10.00</w:t>
            </w:r>
          </w:p>
        </w:tc>
      </w:tr>
      <w:tr w14:paraId="5BD7A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F7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445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DCDB">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D5ABA">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88E7">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2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0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4590">
            <w:pPr>
              <w:jc w:val="center"/>
            </w:pPr>
            <w:r>
              <w:rPr>
                <w:rFonts w:ascii="宋体" w:hAnsi="宋体" w:eastAsia="宋体"/>
                <w:sz w:val="16"/>
              </w:rPr>
              <w:t>-</w:t>
            </w:r>
          </w:p>
        </w:tc>
      </w:tr>
      <w:tr w14:paraId="208EC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D4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4DB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8FE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8C9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D2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2D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E3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8DF0">
            <w:pPr>
              <w:jc w:val="center"/>
            </w:pPr>
            <w:r>
              <w:rPr>
                <w:rFonts w:ascii="宋体" w:hAnsi="宋体" w:eastAsia="宋体"/>
                <w:sz w:val="16"/>
              </w:rPr>
              <w:t>-</w:t>
            </w:r>
          </w:p>
        </w:tc>
      </w:tr>
      <w:tr w14:paraId="6A08D4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CA8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62B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427D1E">
            <w:pPr>
              <w:jc w:val="center"/>
            </w:pPr>
            <w:r>
              <w:rPr>
                <w:rFonts w:ascii="宋体" w:hAnsi="宋体" w:eastAsia="宋体"/>
                <w:sz w:val="16"/>
              </w:rPr>
              <w:t>总体目标完成情况</w:t>
            </w:r>
          </w:p>
        </w:tc>
      </w:tr>
      <w:tr w14:paraId="224B3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0E1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B48B9">
            <w:pPr>
              <w:jc w:val="both"/>
            </w:pPr>
            <w:r>
              <w:rPr>
                <w:rFonts w:ascii="宋体" w:hAnsi="宋体" w:eastAsia="宋体"/>
                <w:sz w:val="16"/>
              </w:rPr>
              <w:t>巴音国资公司对涉及博湖苇业担保产生的信用风险案件与新疆科达集团进行洽谈与沟通，并已达成协议，根据2023年2月15日巴党财</w:t>
            </w:r>
            <w:r>
              <w:rPr>
                <w:rFonts w:hint="eastAsia" w:ascii="宋体" w:hAnsi="宋体"/>
                <w:sz w:val="16"/>
                <w:lang w:eastAsia="zh-CN"/>
              </w:rPr>
              <w:t>〔2023〕1号</w:t>
            </w:r>
            <w:r>
              <w:rPr>
                <w:rFonts w:ascii="宋体" w:hAnsi="宋体" w:eastAsia="宋体"/>
                <w:sz w:val="16"/>
              </w:rPr>
              <w:t>《自治州第十一届党委财经委员会第7次会议纪要》文件精神和要求，关于新疆科达集团的相关款项480万元分三年支付（2023-2025）的历史遗留问题，巴州国资委于2024年一次性拨付巴音国资公司160万元，巴音国资公司按照双方约定，及时支付新疆科达集团第二笔项目款，以解决现存的历史遗留问题，加大国企运营力度，促使公司今后更好开展工作，稳中发展，坚持提质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C77DF4">
            <w:pPr>
              <w:jc w:val="both"/>
            </w:pPr>
            <w:r>
              <w:rPr>
                <w:rFonts w:ascii="宋体" w:hAnsi="宋体" w:eastAsia="宋体"/>
                <w:sz w:val="16"/>
              </w:rPr>
              <w:t>2024年巴音公司化解债务专项资金160万元按时到位，根据相关文件要求并按照协议约定足额偿还新疆科达集团欠款160万元，通过完成对涉债公司的债务化解工作，提高了巴音公司化解债务能力，保障公司能够轻装上阵，拓展业务。</w:t>
            </w:r>
          </w:p>
        </w:tc>
      </w:tr>
      <w:tr w14:paraId="71FDCE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7D9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1B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3C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76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EB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FA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FA9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71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4B7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D9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361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EB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B1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D7A2">
            <w:pPr>
              <w:jc w:val="center"/>
            </w:pPr>
            <w:r>
              <w:rPr>
                <w:rFonts w:ascii="宋体" w:hAnsi="宋体" w:eastAsia="宋体"/>
                <w:sz w:val="16"/>
              </w:rPr>
              <w:t>偏差原因分析及改进措施</w:t>
            </w:r>
          </w:p>
        </w:tc>
      </w:tr>
      <w:tr w14:paraId="62B4A0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39D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3CF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A6A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B732">
            <w:pPr>
              <w:jc w:val="center"/>
            </w:pPr>
            <w:r>
              <w:rPr>
                <w:rFonts w:ascii="宋体" w:hAnsi="宋体" w:eastAsia="宋体"/>
                <w:sz w:val="16"/>
              </w:rPr>
              <w:t>支持困难企业个数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435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6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F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8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A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59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7C5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B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9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BB28">
            <w:pPr>
              <w:jc w:val="center"/>
            </w:pPr>
          </w:p>
        </w:tc>
      </w:tr>
      <w:tr w14:paraId="63510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96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4A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48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AC9C">
            <w:pPr>
              <w:jc w:val="center"/>
            </w:pPr>
            <w:r>
              <w:rPr>
                <w:rFonts w:ascii="宋体" w:hAnsi="宋体" w:eastAsia="宋体"/>
                <w:sz w:val="16"/>
              </w:rPr>
              <w:t>资金支付次数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29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4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52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F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0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9A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736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F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7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8E80">
            <w:pPr>
              <w:jc w:val="center"/>
            </w:pPr>
          </w:p>
        </w:tc>
      </w:tr>
      <w:tr w14:paraId="492A4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87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FB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80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C47B">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E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7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E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F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A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35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1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C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1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AF1C">
            <w:pPr>
              <w:jc w:val="center"/>
            </w:pPr>
          </w:p>
        </w:tc>
      </w:tr>
      <w:tr w14:paraId="058B9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E4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D6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1B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D7C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F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7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A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5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DF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02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2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1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0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49B2">
            <w:pPr>
              <w:jc w:val="center"/>
            </w:pPr>
          </w:p>
        </w:tc>
      </w:tr>
      <w:tr w14:paraId="0709F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C5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32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0F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8005">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5341">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C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8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6A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4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6C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50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D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F1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B540">
            <w:pPr>
              <w:jc w:val="center"/>
            </w:pPr>
          </w:p>
        </w:tc>
      </w:tr>
      <w:tr w14:paraId="4E8AE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2F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10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32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251B">
            <w:pPr>
              <w:jc w:val="center"/>
            </w:pPr>
            <w:r>
              <w:rPr>
                <w:rFonts w:ascii="宋体" w:hAnsi="宋体" w:eastAsia="宋体"/>
                <w:sz w:val="16"/>
              </w:rPr>
              <w:t>提高企业影响力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3A7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B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5CD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7B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A5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76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E36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3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D1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CDD7">
            <w:pPr>
              <w:jc w:val="center"/>
            </w:pPr>
          </w:p>
        </w:tc>
      </w:tr>
      <w:tr w14:paraId="43B11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8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D7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32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484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FF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2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09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62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EE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1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5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4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A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495D">
            <w:pPr>
              <w:jc w:val="center"/>
            </w:pPr>
            <w:r>
              <w:rPr>
                <w:rFonts w:ascii="宋体" w:hAnsi="宋体" w:eastAsia="宋体"/>
                <w:sz w:val="16"/>
              </w:rPr>
              <w:t>从资金拨付准确率、资金拨付及时率、服务态度等多个维度，充分获得国有企业非常满意的评价。</w:t>
            </w:r>
          </w:p>
        </w:tc>
      </w:tr>
      <w:tr w14:paraId="69C577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0935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EB3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CA5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9C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D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19D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F83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68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01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1DD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8E5AC"/>
        </w:tc>
      </w:tr>
    </w:tbl>
    <w:p w14:paraId="45EC37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88AFC32">
        <w:tblPrEx>
          <w:tblCellMar>
            <w:top w:w="0" w:type="dxa"/>
            <w:left w:w="108" w:type="dxa"/>
            <w:bottom w:w="0" w:type="dxa"/>
            <w:right w:w="108" w:type="dxa"/>
          </w:tblCellMar>
        </w:tblPrEx>
        <w:tc>
          <w:tcPr>
            <w:tcW w:w="8848" w:type="dxa"/>
            <w:gridSpan w:val="14"/>
            <w:vAlign w:val="center"/>
          </w:tcPr>
          <w:p w14:paraId="53F15D23">
            <w:pPr>
              <w:jc w:val="center"/>
            </w:pPr>
            <w:r>
              <w:rPr>
                <w:rFonts w:ascii="宋体" w:hAnsi="宋体" w:eastAsia="宋体"/>
                <w:sz w:val="24"/>
              </w:rPr>
              <w:t>项目支出绩效自评表</w:t>
            </w:r>
          </w:p>
        </w:tc>
      </w:tr>
      <w:tr w14:paraId="70AA62D8">
        <w:tblPrEx>
          <w:tblCellMar>
            <w:top w:w="0" w:type="dxa"/>
            <w:left w:w="108" w:type="dxa"/>
            <w:bottom w:w="0" w:type="dxa"/>
            <w:right w:w="108" w:type="dxa"/>
          </w:tblCellMar>
        </w:tblPrEx>
        <w:tc>
          <w:tcPr>
            <w:tcW w:w="8848" w:type="dxa"/>
            <w:gridSpan w:val="14"/>
            <w:vAlign w:val="center"/>
          </w:tcPr>
          <w:p w14:paraId="38B70718">
            <w:pPr>
              <w:jc w:val="center"/>
            </w:pPr>
            <w:r>
              <w:rPr>
                <w:rFonts w:ascii="宋体" w:hAnsi="宋体" w:eastAsia="宋体"/>
                <w:sz w:val="24"/>
              </w:rPr>
              <w:t>(2024年度)</w:t>
            </w:r>
          </w:p>
        </w:tc>
      </w:tr>
      <w:tr w14:paraId="717E5B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43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4AB97F">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2F31C5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C4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62FEE">
            <w:pPr>
              <w:jc w:val="center"/>
            </w:pPr>
            <w:r>
              <w:rPr>
                <w:rFonts w:ascii="宋体" w:hAnsi="宋体" w:eastAsia="宋体"/>
                <w:sz w:val="16"/>
              </w:rPr>
              <w:t>新疆巴音郭楞蒙古自治州人民政府国有资产监督管理委员会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18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03C3B">
            <w:pPr>
              <w:jc w:val="center"/>
            </w:pPr>
            <w:r>
              <w:rPr>
                <w:rFonts w:ascii="宋体" w:hAnsi="宋体" w:eastAsia="宋体"/>
                <w:sz w:val="16"/>
              </w:rPr>
              <w:t>新疆巴音郭楞蒙古自治州人民政府国有资产监督管理委员会</w:t>
            </w:r>
          </w:p>
        </w:tc>
      </w:tr>
      <w:tr w14:paraId="602DDE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AD93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697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0E8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52A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70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857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66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14B5">
            <w:pPr>
              <w:jc w:val="center"/>
            </w:pPr>
            <w:r>
              <w:rPr>
                <w:rFonts w:ascii="宋体" w:hAnsi="宋体" w:eastAsia="宋体"/>
                <w:sz w:val="16"/>
              </w:rPr>
              <w:t>得分</w:t>
            </w:r>
          </w:p>
        </w:tc>
      </w:tr>
      <w:tr w14:paraId="6AA000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0CE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574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FC96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C36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3462">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AE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F47C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9E03">
            <w:pPr>
              <w:jc w:val="center"/>
            </w:pPr>
            <w:r>
              <w:rPr>
                <w:rFonts w:ascii="宋体" w:hAnsi="宋体" w:eastAsia="宋体"/>
                <w:sz w:val="16"/>
              </w:rPr>
              <w:t>10.00</w:t>
            </w:r>
          </w:p>
        </w:tc>
      </w:tr>
      <w:tr w14:paraId="35F62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125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81F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2493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2C4B">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2BEA">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7DB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54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0DF4">
            <w:pPr>
              <w:jc w:val="center"/>
            </w:pPr>
            <w:r>
              <w:rPr>
                <w:rFonts w:ascii="宋体" w:hAnsi="宋体" w:eastAsia="宋体"/>
                <w:sz w:val="16"/>
              </w:rPr>
              <w:t>-</w:t>
            </w:r>
          </w:p>
        </w:tc>
      </w:tr>
      <w:tr w14:paraId="3A3B9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5C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7D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B5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D7D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9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09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2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7A48">
            <w:pPr>
              <w:jc w:val="center"/>
            </w:pPr>
            <w:r>
              <w:rPr>
                <w:rFonts w:ascii="宋体" w:hAnsi="宋体" w:eastAsia="宋体"/>
                <w:sz w:val="16"/>
              </w:rPr>
              <w:t>-</w:t>
            </w:r>
          </w:p>
        </w:tc>
      </w:tr>
      <w:tr w14:paraId="51E97F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61D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8F7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5BEAE">
            <w:pPr>
              <w:jc w:val="center"/>
            </w:pPr>
            <w:r>
              <w:rPr>
                <w:rFonts w:ascii="宋体" w:hAnsi="宋体" w:eastAsia="宋体"/>
                <w:sz w:val="16"/>
              </w:rPr>
              <w:t>总体目标完成情况</w:t>
            </w:r>
          </w:p>
        </w:tc>
      </w:tr>
      <w:tr w14:paraId="040FF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71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44156">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工作专项经费的通知》巴财预〔2024〕16号文件精神，在轮台县轮台镇克孜勒村和冠农社区</w:t>
            </w:r>
            <w:bookmarkStart w:id="0" w:name="_GoBack"/>
            <w:r>
              <w:rPr>
                <w:rFonts w:ascii="宋体" w:hAnsi="宋体" w:eastAsia="宋体"/>
                <w:sz w:val="16"/>
              </w:rPr>
              <w:t>派</w:t>
            </w:r>
            <w:bookmarkEnd w:id="0"/>
            <w:r>
              <w:rPr>
                <w:rFonts w:hint="eastAsia" w:ascii="宋体" w:hAnsi="宋体"/>
                <w:sz w:val="16"/>
                <w:lang w:eastAsia="zh-CN"/>
              </w:rPr>
              <w:t>为民办实事</w:t>
            </w:r>
            <w:r>
              <w:rPr>
                <w:rFonts w:ascii="宋体" w:hAnsi="宋体" w:eastAsia="宋体"/>
                <w:sz w:val="16"/>
              </w:rPr>
              <w:t>、社区为民办实事工作队，为了合理合规使用为民办实事经费，确保为民办实事经费使用的安全性、规范性和实效性，确保为民办实事工作经费落实到实处，通过对资金合理计划，走访、慰问贫困户，扶贫帮困，温暖群众，提高村民对民族一家亲意识，切实加强联系群众，营造文化润疆深入群众氛围,打造社区文化宣传阵地，实现改造村级基础设施，改善人居环境助力乡村振兴，提高群众满意度、幸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CA547C">
            <w:pPr>
              <w:jc w:val="both"/>
            </w:pPr>
            <w:r>
              <w:rPr>
                <w:rFonts w:ascii="宋体" w:hAnsi="宋体" w:eastAsia="宋体"/>
                <w:sz w:val="16"/>
              </w:rPr>
              <w:t>根据</w:t>
            </w:r>
            <w:r>
              <w:rPr>
                <w:rFonts w:hint="eastAsia" w:ascii="宋体" w:hAnsi="宋体"/>
                <w:sz w:val="16"/>
                <w:lang w:eastAsia="zh-CN"/>
              </w:rPr>
              <w:t>为民办实事</w:t>
            </w:r>
            <w:r>
              <w:rPr>
                <w:rFonts w:ascii="宋体" w:hAnsi="宋体" w:eastAsia="宋体"/>
                <w:sz w:val="16"/>
              </w:rPr>
              <w:t>工作相关文件精神，结合</w:t>
            </w:r>
            <w:r>
              <w:rPr>
                <w:rFonts w:hint="eastAsia" w:ascii="宋体" w:hAnsi="宋体"/>
                <w:sz w:val="16"/>
                <w:lang w:eastAsia="zh-CN"/>
              </w:rPr>
              <w:t>为民办实事</w:t>
            </w:r>
            <w:r>
              <w:rPr>
                <w:rFonts w:ascii="宋体" w:hAnsi="宋体" w:eastAsia="宋体"/>
                <w:sz w:val="16"/>
              </w:rPr>
              <w:t>工作内容，轮台县克孜勒村和冠农社区</w:t>
            </w:r>
            <w:r>
              <w:rPr>
                <w:rFonts w:hint="eastAsia" w:ascii="宋体" w:hAnsi="宋体"/>
                <w:sz w:val="16"/>
                <w:lang w:eastAsia="zh-CN"/>
              </w:rPr>
              <w:t>派出</w:t>
            </w:r>
            <w:r>
              <w:rPr>
                <w:rFonts w:ascii="宋体" w:hAnsi="宋体" w:eastAsia="宋体"/>
                <w:sz w:val="16"/>
              </w:rPr>
              <w:t>2个</w:t>
            </w:r>
            <w:r>
              <w:rPr>
                <w:rFonts w:hint="eastAsia" w:ascii="宋体" w:hAnsi="宋体"/>
                <w:sz w:val="16"/>
                <w:lang w:eastAsia="zh-CN"/>
              </w:rPr>
              <w:t>为民办实事</w:t>
            </w:r>
            <w:r>
              <w:rPr>
                <w:rFonts w:ascii="宋体" w:hAnsi="宋体" w:eastAsia="宋体"/>
                <w:sz w:val="16"/>
              </w:rPr>
              <w:t>、社区为民办实事工作队，完成走访慰问贫困户、扶贫帮困温暖群众、提高村民对民族一家亲意识等</w:t>
            </w:r>
            <w:r>
              <w:rPr>
                <w:rFonts w:hint="eastAsia" w:ascii="宋体" w:hAnsi="宋体"/>
                <w:sz w:val="16"/>
                <w:lang w:eastAsia="zh-CN"/>
              </w:rPr>
              <w:t>为民办实事</w:t>
            </w:r>
            <w:r>
              <w:rPr>
                <w:rFonts w:ascii="宋体" w:hAnsi="宋体" w:eastAsia="宋体"/>
                <w:sz w:val="16"/>
              </w:rPr>
              <w:t>工作，举办各类帮扶活动，完善了村委会基础设施，改善人居环境，提升了村民的生活质量，也为村庄的未来奠定了坚实的基础。各项工作经费均合规合理使用确保为民办实事工作经费落实到实处，切实加强联系群众，助力乡村振兴，营造深入群众氛围,打造文化润疆的社区文化宣传阵地，提高群众满意度、幸福度。</w:t>
            </w:r>
          </w:p>
        </w:tc>
      </w:tr>
      <w:tr w14:paraId="5C0D1A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FA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E6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67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BE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34C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A0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65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FBD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9D9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2A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85E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10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01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8FDF">
            <w:pPr>
              <w:jc w:val="center"/>
            </w:pPr>
            <w:r>
              <w:rPr>
                <w:rFonts w:ascii="宋体" w:hAnsi="宋体" w:eastAsia="宋体"/>
                <w:sz w:val="16"/>
              </w:rPr>
              <w:t>偏差原因分析及改进措施</w:t>
            </w:r>
          </w:p>
        </w:tc>
      </w:tr>
      <w:tr w14:paraId="0680D4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20B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9A9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47A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3694">
            <w:pPr>
              <w:jc w:val="center"/>
            </w:pPr>
            <w:r>
              <w:rPr>
                <w:rFonts w:ascii="宋体" w:hAnsi="宋体" w:eastAsia="宋体"/>
                <w:sz w:val="16"/>
              </w:rPr>
              <w:t>为民办实事工作队数量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824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F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EB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8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E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E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79B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9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5A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92A7">
            <w:pPr>
              <w:jc w:val="center"/>
            </w:pPr>
          </w:p>
        </w:tc>
      </w:tr>
      <w:tr w14:paraId="5E64D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C4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6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A1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7C53">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D93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B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B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31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D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66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1BD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0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04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210B">
            <w:pPr>
              <w:jc w:val="center"/>
            </w:pPr>
          </w:p>
        </w:tc>
      </w:tr>
      <w:tr w14:paraId="1521B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5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6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0B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077C">
            <w:pPr>
              <w:jc w:val="center"/>
            </w:pPr>
            <w:r>
              <w:rPr>
                <w:rFonts w:ascii="宋体" w:hAnsi="宋体" w:eastAsia="宋体"/>
                <w:sz w:val="16"/>
              </w:rPr>
              <w:t>经费支出保障率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5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0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0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D9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3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9E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5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9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BF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A4F1">
            <w:pPr>
              <w:jc w:val="center"/>
            </w:pPr>
          </w:p>
        </w:tc>
      </w:tr>
      <w:tr w14:paraId="74FF8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5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D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EF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F13D">
            <w:pPr>
              <w:jc w:val="center"/>
            </w:pPr>
            <w:r>
              <w:rPr>
                <w:rFonts w:ascii="宋体" w:hAnsi="宋体" w:eastAsia="宋体"/>
                <w:sz w:val="16"/>
              </w:rPr>
              <w:t>帮扶任务完成率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A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A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4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D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6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91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8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F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7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516E">
            <w:pPr>
              <w:jc w:val="center"/>
            </w:pPr>
          </w:p>
        </w:tc>
      </w:tr>
      <w:tr w14:paraId="6A8A1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29B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EA9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F79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7A71">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760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7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4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53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2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E7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2E5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1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08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9E27">
            <w:pPr>
              <w:jc w:val="center"/>
            </w:pPr>
          </w:p>
        </w:tc>
      </w:tr>
      <w:tr w14:paraId="050F4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9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61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03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51EA">
            <w:pPr>
              <w:jc w:val="center"/>
            </w:pPr>
            <w:r>
              <w:rPr>
                <w:rFonts w:ascii="宋体" w:hAnsi="宋体" w:eastAsia="宋体"/>
                <w:sz w:val="16"/>
              </w:rPr>
              <w:t>克孜勒村工作队为民办实事经费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E14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A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B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6F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7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25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A22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9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47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969B">
            <w:pPr>
              <w:jc w:val="center"/>
            </w:pPr>
          </w:p>
        </w:tc>
      </w:tr>
      <w:tr w14:paraId="7C560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5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A2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C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3644">
            <w:pPr>
              <w:jc w:val="center"/>
            </w:pPr>
            <w:r>
              <w:rPr>
                <w:rFonts w:ascii="宋体" w:hAnsi="宋体" w:eastAsia="宋体"/>
                <w:sz w:val="16"/>
              </w:rPr>
              <w:t>冠农社区工作队为民办实事经费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5F5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F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5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3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E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3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1CA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2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E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68DC">
            <w:pPr>
              <w:jc w:val="center"/>
            </w:pPr>
          </w:p>
        </w:tc>
      </w:tr>
      <w:tr w14:paraId="10F2E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81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ED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BE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28D2">
            <w:pPr>
              <w:jc w:val="center"/>
            </w:pPr>
            <w:r>
              <w:rPr>
                <w:rFonts w:ascii="宋体" w:hAnsi="宋体" w:eastAsia="宋体"/>
                <w:sz w:val="16"/>
              </w:rPr>
              <w:t>落实为民办实事工作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0AA9">
            <w:pPr>
              <w:jc w:val="center"/>
            </w:pPr>
            <w:r>
              <w:rPr>
                <w:rFonts w:ascii="宋体" w:hAnsi="宋体" w:eastAsia="宋体"/>
                <w:sz w:val="16"/>
              </w:rPr>
              <w:t>充分落实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F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A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B2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6B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5F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B13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6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CD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68FB">
            <w:pPr>
              <w:jc w:val="center"/>
            </w:pPr>
          </w:p>
        </w:tc>
      </w:tr>
      <w:tr w14:paraId="20B9F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2D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4D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B6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D643">
            <w:pPr>
              <w:jc w:val="center"/>
            </w:pPr>
            <w:r>
              <w:rPr>
                <w:rFonts w:ascii="宋体" w:hAnsi="宋体" w:eastAsia="宋体"/>
                <w:sz w:val="16"/>
              </w:rPr>
              <w:t>村社区群众满意度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08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6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5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3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B1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1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0FC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9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8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F1C2">
            <w:pPr>
              <w:jc w:val="center"/>
            </w:pPr>
          </w:p>
        </w:tc>
      </w:tr>
      <w:tr w14:paraId="6E592C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B7DC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1B4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BD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6E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0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95C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748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A0D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6A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B27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A24F5"/>
        </w:tc>
      </w:tr>
    </w:tbl>
    <w:p w14:paraId="6DB2DEB7">
      <w:r>
        <w:br w:type="page"/>
      </w:r>
    </w:p>
    <w:p w14:paraId="0D381085">
      <w:pPr>
        <w:spacing w:line="640" w:lineRule="exact"/>
        <w:ind w:firstLine="640"/>
        <w:jc w:val="both"/>
        <w:outlineLvl w:val="2"/>
      </w:pPr>
      <w:r>
        <w:rPr>
          <w:rFonts w:ascii="黑体" w:hAnsi="黑体" w:eastAsia="黑体"/>
          <w:sz w:val="32"/>
        </w:rPr>
        <w:t>十二、其他需说明的事项</w:t>
      </w:r>
    </w:p>
    <w:p w14:paraId="40A70C27">
      <w:pPr>
        <w:spacing w:line="580" w:lineRule="exact"/>
        <w:ind w:firstLine="640"/>
        <w:jc w:val="both"/>
      </w:pPr>
      <w:r>
        <w:rPr>
          <w:rFonts w:ascii="仿宋_GB2312" w:hAnsi="仿宋_GB2312" w:eastAsia="仿宋_GB2312"/>
          <w:b w:val="0"/>
          <w:sz w:val="32"/>
        </w:rPr>
        <w:t>本部门无其他需说明的事项。</w:t>
      </w:r>
    </w:p>
    <w:p w14:paraId="1DBDE58D">
      <w:r>
        <w:br w:type="page"/>
      </w:r>
    </w:p>
    <w:p w14:paraId="22C4F688">
      <w:pPr>
        <w:spacing w:line="240" w:lineRule="auto"/>
        <w:jc w:val="center"/>
        <w:outlineLvl w:val="1"/>
      </w:pPr>
      <w:r>
        <w:rPr>
          <w:rFonts w:ascii="黑体" w:hAnsi="黑体" w:eastAsia="黑体"/>
          <w:sz w:val="32"/>
        </w:rPr>
        <w:t>第三部分 专业名词解释</w:t>
      </w:r>
    </w:p>
    <w:p w14:paraId="3E85ED5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D4DE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11936B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7239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798142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11D51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EC775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54904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042D7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D1313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FC51A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A71267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54468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0A876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BCBEAF">
      <w:r>
        <w:br w:type="page"/>
      </w:r>
    </w:p>
    <w:p w14:paraId="0805CF18">
      <w:pPr>
        <w:spacing w:line="240" w:lineRule="auto"/>
        <w:jc w:val="center"/>
        <w:outlineLvl w:val="1"/>
      </w:pPr>
      <w:r>
        <w:rPr>
          <w:rFonts w:ascii="黑体" w:hAnsi="黑体" w:eastAsia="黑体"/>
          <w:sz w:val="32"/>
        </w:rPr>
        <w:t>第四部分 部门决算报表（见附表）</w:t>
      </w:r>
    </w:p>
    <w:p w14:paraId="52D23D4D">
      <w:pPr>
        <w:spacing w:line="240" w:lineRule="auto"/>
        <w:ind w:firstLine="640"/>
        <w:jc w:val="both"/>
      </w:pPr>
      <w:r>
        <w:rPr>
          <w:rFonts w:ascii="仿宋_GB2312" w:hAnsi="仿宋_GB2312" w:eastAsia="仿宋_GB2312"/>
          <w:b w:val="0"/>
          <w:sz w:val="32"/>
        </w:rPr>
        <w:t>一、《收入支出决算总表》</w:t>
      </w:r>
    </w:p>
    <w:p w14:paraId="4F933857">
      <w:pPr>
        <w:spacing w:line="240" w:lineRule="auto"/>
        <w:ind w:firstLine="640"/>
        <w:jc w:val="both"/>
      </w:pPr>
      <w:r>
        <w:rPr>
          <w:rFonts w:ascii="仿宋_GB2312" w:hAnsi="仿宋_GB2312" w:eastAsia="仿宋_GB2312"/>
          <w:b w:val="0"/>
          <w:sz w:val="32"/>
        </w:rPr>
        <w:t>二、《收入决算表》</w:t>
      </w:r>
    </w:p>
    <w:p w14:paraId="541B9DB5">
      <w:pPr>
        <w:spacing w:line="240" w:lineRule="auto"/>
        <w:ind w:firstLine="640"/>
        <w:jc w:val="both"/>
      </w:pPr>
      <w:r>
        <w:rPr>
          <w:rFonts w:ascii="仿宋_GB2312" w:hAnsi="仿宋_GB2312" w:eastAsia="仿宋_GB2312"/>
          <w:b w:val="0"/>
          <w:sz w:val="32"/>
        </w:rPr>
        <w:t>三、《支出决算表》</w:t>
      </w:r>
    </w:p>
    <w:p w14:paraId="47E75EEF">
      <w:pPr>
        <w:spacing w:line="240" w:lineRule="auto"/>
        <w:ind w:firstLine="640"/>
        <w:jc w:val="both"/>
      </w:pPr>
      <w:r>
        <w:rPr>
          <w:rFonts w:ascii="仿宋_GB2312" w:hAnsi="仿宋_GB2312" w:eastAsia="仿宋_GB2312"/>
          <w:b w:val="0"/>
          <w:sz w:val="32"/>
        </w:rPr>
        <w:t>四、《财政拨款收入支出决算总表》</w:t>
      </w:r>
    </w:p>
    <w:p w14:paraId="340F0DE4">
      <w:pPr>
        <w:spacing w:line="240" w:lineRule="auto"/>
        <w:ind w:firstLine="640"/>
        <w:jc w:val="both"/>
      </w:pPr>
      <w:r>
        <w:rPr>
          <w:rFonts w:ascii="仿宋_GB2312" w:hAnsi="仿宋_GB2312" w:eastAsia="仿宋_GB2312"/>
          <w:b w:val="0"/>
          <w:sz w:val="32"/>
        </w:rPr>
        <w:t>五、《一般公共预算财政拨款支出决算表》</w:t>
      </w:r>
    </w:p>
    <w:p w14:paraId="1A12297E">
      <w:pPr>
        <w:spacing w:line="240" w:lineRule="auto"/>
        <w:ind w:firstLine="640"/>
        <w:jc w:val="both"/>
      </w:pPr>
      <w:r>
        <w:rPr>
          <w:rFonts w:ascii="仿宋_GB2312" w:hAnsi="仿宋_GB2312" w:eastAsia="仿宋_GB2312"/>
          <w:b w:val="0"/>
          <w:sz w:val="32"/>
        </w:rPr>
        <w:t>六、《一般公共预算财政拨款基本支出决算表》</w:t>
      </w:r>
    </w:p>
    <w:p w14:paraId="13603A40">
      <w:pPr>
        <w:spacing w:line="240" w:lineRule="auto"/>
        <w:ind w:firstLine="640"/>
        <w:jc w:val="both"/>
      </w:pPr>
      <w:r>
        <w:rPr>
          <w:rFonts w:ascii="仿宋_GB2312" w:hAnsi="仿宋_GB2312" w:eastAsia="仿宋_GB2312"/>
          <w:b w:val="0"/>
          <w:sz w:val="32"/>
        </w:rPr>
        <w:t>七、《政府性基金预算财政拨款收入支出决算表》</w:t>
      </w:r>
    </w:p>
    <w:p w14:paraId="67731701">
      <w:pPr>
        <w:spacing w:line="240" w:lineRule="auto"/>
        <w:ind w:firstLine="640"/>
        <w:jc w:val="both"/>
      </w:pPr>
      <w:r>
        <w:rPr>
          <w:rFonts w:ascii="仿宋_GB2312" w:hAnsi="仿宋_GB2312" w:eastAsia="仿宋_GB2312"/>
          <w:b w:val="0"/>
          <w:sz w:val="32"/>
        </w:rPr>
        <w:t>八、《国有资本经营预算财政拨款收入支出决算表》</w:t>
      </w:r>
    </w:p>
    <w:p w14:paraId="4638751B">
      <w:pPr>
        <w:spacing w:line="240" w:lineRule="auto"/>
        <w:ind w:firstLine="640"/>
        <w:jc w:val="both"/>
      </w:pPr>
      <w:r>
        <w:rPr>
          <w:rFonts w:ascii="仿宋_GB2312" w:hAnsi="仿宋_GB2312" w:eastAsia="仿宋_GB2312"/>
          <w:b w:val="0"/>
          <w:sz w:val="32"/>
        </w:rPr>
        <w:t>九、《财政拨款“三公”经费支出决算表》</w:t>
      </w:r>
    </w:p>
    <w:p w14:paraId="63EA04F6">
      <w:pPr>
        <w:spacing w:line="240" w:lineRule="auto"/>
        <w:ind w:firstLine="640"/>
        <w:jc w:val="both"/>
      </w:pPr>
    </w:p>
    <w:p w14:paraId="1200C5B8">
      <w:pPr>
        <w:spacing w:line="240" w:lineRule="auto"/>
        <w:ind w:firstLine="640"/>
        <w:jc w:val="both"/>
      </w:pPr>
    </w:p>
    <w:p w14:paraId="649CFCD3">
      <w:pPr>
        <w:spacing w:line="240" w:lineRule="auto"/>
        <w:ind w:firstLine="640"/>
        <w:jc w:val="both"/>
      </w:pPr>
    </w:p>
    <w:p w14:paraId="3140D870">
      <w:pPr>
        <w:spacing w:line="240" w:lineRule="auto"/>
        <w:ind w:firstLine="640"/>
        <w:jc w:val="both"/>
      </w:pPr>
    </w:p>
    <w:p w14:paraId="2F71CC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786758-3043-4E94-904A-2DE91FA759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BA5EEE1-2E9F-4796-B9EE-D70434B3C3E5}"/>
  </w:font>
  <w:font w:name="仿宋_GB2312">
    <w:panose1 w:val="02010609030101010101"/>
    <w:charset w:val="86"/>
    <w:family w:val="modern"/>
    <w:pitch w:val="default"/>
    <w:sig w:usb0="00000001" w:usb1="080E0000" w:usb2="00000000" w:usb3="00000000" w:csb0="00040000" w:csb1="00000000"/>
    <w:embedRegular r:id="rId3" w:fontKey="{C24DBC47-686B-4C2D-A214-0361DD507EFB}"/>
  </w:font>
  <w:font w:name="楷体_GB2312">
    <w:panose1 w:val="02010609030101010101"/>
    <w:charset w:val="86"/>
    <w:family w:val="auto"/>
    <w:pitch w:val="default"/>
    <w:sig w:usb0="00000001" w:usb1="080E0000" w:usb2="00000000" w:usb3="00000000" w:csb0="00040000" w:csb1="00000000"/>
    <w:embedRegular r:id="rId4" w:fontKey="{643FA61F-4D72-4C00-8E54-90252628CD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9703A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8A5D2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6868</Words>
  <Characters>7817</Characters>
  <Lines>0</Lines>
  <Paragraphs>0</Paragraphs>
  <TotalTime>10</TotalTime>
  <ScaleCrop>false</ScaleCrop>
  <LinksUpToDate>false</LinksUpToDate>
  <CharactersWithSpaces>7825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2025-09-11T11:05:32Z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