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新疆巴州博斯腾湖风景名胜区管理委员会2024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0B6683">
      <w:r>
        <w:br w:type="page"/>
      </w:r>
    </w:p>
    <w:p w14:paraId="0AEE6D90">
      <w:pPr>
        <w:spacing w:line="640" w:lineRule="exact"/>
        <w:jc w:val="center"/>
        <w:outlineLvl w:val="1"/>
      </w:pPr>
      <w:r>
        <w:rPr>
          <w:rFonts w:ascii="黑体" w:hAnsi="黑体" w:eastAsia="黑体"/>
          <w:sz w:val="32"/>
        </w:rPr>
        <w:t>第一部分 部门概况</w:t>
      </w:r>
    </w:p>
    <w:p w14:paraId="62D52B75">
      <w:pPr>
        <w:spacing w:line="640" w:lineRule="exact"/>
        <w:ind w:firstLine="640"/>
        <w:jc w:val="both"/>
        <w:outlineLvl w:val="2"/>
      </w:pPr>
      <w:r>
        <w:rPr>
          <w:rFonts w:ascii="黑体" w:hAnsi="黑体" w:eastAsia="黑体"/>
          <w:sz w:val="32"/>
        </w:rPr>
        <w:t>一、主要职能</w:t>
      </w:r>
    </w:p>
    <w:p w14:paraId="0527AE0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贯彻落实《中华人民共和国城乡规划法</w:t>
      </w:r>
      <w:r>
        <w:rPr>
          <w:rFonts w:hint="eastAsia" w:ascii="仿宋_GB2312" w:hAnsi="仿宋_GB2312" w:eastAsia="仿宋_GB2312"/>
          <w:sz w:val="32"/>
          <w:lang w:eastAsia="zh-CN"/>
        </w:rPr>
        <w:t>》《</w:t>
      </w:r>
      <w:r>
        <w:rPr>
          <w:rFonts w:ascii="仿宋_GB2312" w:hAnsi="仿宋_GB2312" w:eastAsia="仿宋_GB2312"/>
          <w:sz w:val="32"/>
        </w:rPr>
        <w:t>中华人民共和国旅游法</w:t>
      </w:r>
      <w:r>
        <w:rPr>
          <w:rFonts w:hint="eastAsia" w:ascii="仿宋_GB2312" w:hAnsi="仿宋_GB2312" w:eastAsia="仿宋_GB2312"/>
          <w:sz w:val="32"/>
          <w:lang w:eastAsia="zh-CN"/>
        </w:rPr>
        <w:t>》《</w:t>
      </w:r>
      <w:r>
        <w:rPr>
          <w:rFonts w:ascii="仿宋_GB2312" w:hAnsi="仿宋_GB2312" w:eastAsia="仿宋_GB2312"/>
          <w:sz w:val="32"/>
        </w:rPr>
        <w:t>中华人民共和国环境保护法</w:t>
      </w:r>
      <w:r>
        <w:rPr>
          <w:rFonts w:hint="eastAsia" w:ascii="仿宋_GB2312" w:hAnsi="仿宋_GB2312" w:eastAsia="仿宋_GB2312"/>
          <w:sz w:val="32"/>
          <w:lang w:eastAsia="zh-CN"/>
        </w:rPr>
        <w:t>》《</w:t>
      </w:r>
      <w:r>
        <w:rPr>
          <w:rFonts w:ascii="仿宋_GB2312" w:hAnsi="仿宋_GB2312" w:eastAsia="仿宋_GB2312"/>
          <w:sz w:val="32"/>
        </w:rPr>
        <w:t>风景名胜区条例》等法律法规，做好博斯腾湖风景名胜区范围内的协调、服务和管理工作。</w:t>
      </w:r>
    </w:p>
    <w:p w14:paraId="422DF24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负责风景名胜区党的组织建设和管理工作；负责纪检、监察、宣传、统战等工作。</w:t>
      </w:r>
    </w:p>
    <w:p w14:paraId="4BC11E07">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制定和实施风景名胜区总体规划、详细规划及旅游业发展、环境保护等专项规划；负责建设规划项目的规划用地建设管理、基础设施建设管理和公共设施建设管理工作；负责风景名胜区旅游资源、旅游项目、旅游景点的开发、建设和管理，以及自然资源、生态环境、湿地的保护管理工作。</w:t>
      </w:r>
    </w:p>
    <w:p w14:paraId="39ADBBA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负责风景名胜区</w:t>
      </w:r>
      <w:r>
        <w:rPr>
          <w:rFonts w:hint="eastAsia" w:ascii="仿宋_GB2312" w:hAnsi="仿宋_GB2312" w:eastAsia="仿宋_GB2312"/>
          <w:sz w:val="32"/>
          <w:lang w:eastAsia="zh-CN"/>
        </w:rPr>
        <w:t>招</w:t>
      </w:r>
      <w:r>
        <w:rPr>
          <w:rFonts w:ascii="仿宋_GB2312" w:hAnsi="仿宋_GB2312" w:eastAsia="仿宋_GB2312"/>
          <w:sz w:val="32"/>
        </w:rPr>
        <w:t>商引资工作，按照规定权限审核申报风景名胜区投资项目；组织实施风景名胜区内项目推进和服务工作。</w:t>
      </w:r>
    </w:p>
    <w:p w14:paraId="4EA5A19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风景名胜区内国家5A级旅游景区复核、旅游行业标准化管理、旅游项目和旅游纪念品开发工作；负责组织实施旅游教育培训工作；负责风景名胜区旅游行业管理，根据授权依法开展旅游质量监督管理检查工作，调查处理旅游投诉案件和景区内违法违规行为。</w:t>
      </w:r>
    </w:p>
    <w:p w14:paraId="5D708D8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负责风景名胜区旅游整体形象设计、旅游产品宣传促销、重大节庆和营销活动；负责风景名胜区旅游信息网络的建设运行和维护工作。</w:t>
      </w:r>
    </w:p>
    <w:p w14:paraId="1CC00A6B">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完成自治州党委、人民政府交办的其他工作。</w:t>
      </w:r>
    </w:p>
    <w:p w14:paraId="673D377D">
      <w:pPr>
        <w:spacing w:line="640" w:lineRule="exact"/>
        <w:ind w:firstLine="640"/>
        <w:jc w:val="both"/>
        <w:outlineLvl w:val="2"/>
      </w:pPr>
      <w:r>
        <w:rPr>
          <w:rFonts w:ascii="黑体" w:hAnsi="黑体" w:eastAsia="黑体"/>
          <w:sz w:val="32"/>
        </w:rPr>
        <w:t>二、机构设置及人员情况</w:t>
      </w:r>
    </w:p>
    <w:p w14:paraId="2C3BB170">
      <w:pPr>
        <w:spacing w:line="580" w:lineRule="exact"/>
        <w:ind w:firstLine="640"/>
        <w:jc w:val="both"/>
      </w:pPr>
      <w:r>
        <w:rPr>
          <w:rFonts w:ascii="仿宋_GB2312" w:hAnsi="仿宋_GB2312" w:eastAsia="仿宋_GB2312"/>
          <w:sz w:val="32"/>
        </w:rPr>
        <w:t>新疆巴州博斯腾湖风景名胜区管理委员会2024年度，实有人数9人，其中：在职人员9人，增加1人；离休人员0人，增加0人；退休人员0人,增加0人。</w:t>
      </w:r>
    </w:p>
    <w:p w14:paraId="54F5F20F">
      <w:pPr>
        <w:spacing w:line="580" w:lineRule="exact"/>
        <w:ind w:firstLine="640"/>
        <w:jc w:val="both"/>
      </w:pPr>
      <w:r>
        <w:rPr>
          <w:rFonts w:ascii="仿宋_GB2312" w:hAnsi="仿宋_GB2312" w:eastAsia="仿宋_GB2312"/>
          <w:sz w:val="32"/>
        </w:rPr>
        <w:t>新疆巴州博斯腾湖风景名胜区管理委员会无下属预算单位，下设4个科室，分别是：党政办公室、规划环保科、文化宣传科、执法监察科。</w:t>
      </w:r>
    </w:p>
    <w:p w14:paraId="2D47177A">
      <w:r>
        <w:br w:type="page"/>
      </w:r>
    </w:p>
    <w:p w14:paraId="41623366">
      <w:pPr>
        <w:spacing w:line="240" w:lineRule="auto"/>
        <w:jc w:val="center"/>
        <w:outlineLvl w:val="1"/>
      </w:pPr>
      <w:r>
        <w:rPr>
          <w:rFonts w:ascii="黑体" w:hAnsi="黑体" w:eastAsia="黑体"/>
          <w:sz w:val="32"/>
        </w:rPr>
        <w:t>第二部分 部门决算情况说明</w:t>
      </w:r>
    </w:p>
    <w:p w14:paraId="5FF70E5F">
      <w:pPr>
        <w:spacing w:line="640" w:lineRule="exact"/>
        <w:ind w:firstLine="640"/>
        <w:jc w:val="both"/>
        <w:outlineLvl w:val="2"/>
      </w:pPr>
      <w:r>
        <w:rPr>
          <w:rFonts w:ascii="黑体" w:hAnsi="黑体" w:eastAsia="黑体"/>
          <w:sz w:val="32"/>
        </w:rPr>
        <w:t>一、收入支出决算总体情况说明</w:t>
      </w:r>
    </w:p>
    <w:p w14:paraId="515A33F8">
      <w:pPr>
        <w:spacing w:line="580" w:lineRule="exact"/>
        <w:ind w:firstLine="640"/>
        <w:jc w:val="both"/>
      </w:pPr>
      <w:r>
        <w:rPr>
          <w:rFonts w:ascii="仿宋_GB2312" w:hAnsi="仿宋_GB2312" w:eastAsia="仿宋_GB2312"/>
          <w:b/>
          <w:sz w:val="32"/>
        </w:rPr>
        <w:t>2024年度收入总计311.16万元，</w:t>
      </w:r>
      <w:r>
        <w:rPr>
          <w:rFonts w:ascii="仿宋_GB2312" w:hAnsi="仿宋_GB2312" w:eastAsia="仿宋_GB2312"/>
          <w:b w:val="0"/>
          <w:sz w:val="32"/>
        </w:rPr>
        <w:t>其中：本年收入合计310.97万元，使用非财政拨款结余（含专用结余）0.00万元，年初结转和结余0.18万元。</w:t>
      </w:r>
    </w:p>
    <w:p w14:paraId="44874F15">
      <w:pPr>
        <w:spacing w:line="580" w:lineRule="exact"/>
        <w:ind w:firstLine="640"/>
        <w:jc w:val="both"/>
      </w:pPr>
      <w:r>
        <w:rPr>
          <w:rFonts w:ascii="仿宋_GB2312" w:hAnsi="仿宋_GB2312" w:eastAsia="仿宋_GB2312"/>
          <w:b/>
          <w:sz w:val="32"/>
        </w:rPr>
        <w:t>2024年度支出总计311.16万元，</w:t>
      </w:r>
      <w:r>
        <w:rPr>
          <w:rFonts w:ascii="仿宋_GB2312" w:hAnsi="仿宋_GB2312" w:eastAsia="仿宋_GB2312"/>
          <w:b w:val="0"/>
          <w:sz w:val="32"/>
        </w:rPr>
        <w:t>其中：本年支出合计310.95万元，结余分配0.00万元，年末结转和结余0.21万元。</w:t>
      </w:r>
    </w:p>
    <w:p w14:paraId="60E8A400">
      <w:pPr>
        <w:spacing w:line="580" w:lineRule="exact"/>
        <w:ind w:firstLine="640"/>
        <w:jc w:val="both"/>
      </w:pPr>
      <w:r>
        <w:rPr>
          <w:rFonts w:ascii="仿宋_GB2312" w:hAnsi="仿宋_GB2312" w:eastAsia="仿宋_GB2312"/>
          <w:b w:val="0"/>
          <w:sz w:val="32"/>
        </w:rPr>
        <w:t>收入支出总体与上年相比，增加127.95万元，增长69.84%，主要原因是：本年度增加《博斯腾湖风景名胜区总体规划》修编项目。</w:t>
      </w:r>
    </w:p>
    <w:p w14:paraId="24D4E711">
      <w:pPr>
        <w:spacing w:line="640" w:lineRule="exact"/>
        <w:ind w:firstLine="640"/>
        <w:jc w:val="both"/>
        <w:outlineLvl w:val="2"/>
      </w:pPr>
      <w:r>
        <w:rPr>
          <w:rFonts w:ascii="黑体" w:hAnsi="黑体" w:eastAsia="黑体"/>
          <w:sz w:val="32"/>
        </w:rPr>
        <w:t>二、收入决算情况说明</w:t>
      </w:r>
    </w:p>
    <w:p w14:paraId="27892D19">
      <w:pPr>
        <w:spacing w:line="580" w:lineRule="exact"/>
        <w:ind w:firstLine="640"/>
        <w:jc w:val="both"/>
      </w:pPr>
      <w:r>
        <w:rPr>
          <w:rFonts w:ascii="仿宋_GB2312" w:hAnsi="仿宋_GB2312" w:eastAsia="仿宋_GB2312"/>
          <w:b/>
          <w:sz w:val="32"/>
        </w:rPr>
        <w:t>本年收入310.97万元，</w:t>
      </w:r>
      <w:r>
        <w:rPr>
          <w:rFonts w:ascii="仿宋_GB2312" w:hAnsi="仿宋_GB2312" w:eastAsia="仿宋_GB2312"/>
          <w:b w:val="0"/>
          <w:sz w:val="32"/>
        </w:rPr>
        <w:t>其中：财政拨款收入310.94万元，占99.99%；上级补助收入0.00万元，占0.00%；事业收入0.00万元，占0.00%；经营收入0.00万元，占0.00%；附属单位上缴收入0.00万元，占0.00%；其他收入0.03万元，占0.010%。</w:t>
      </w:r>
    </w:p>
    <w:p w14:paraId="5BE8247C">
      <w:pPr>
        <w:spacing w:line="640" w:lineRule="exact"/>
        <w:ind w:firstLine="640"/>
        <w:jc w:val="both"/>
        <w:outlineLvl w:val="2"/>
      </w:pPr>
      <w:r>
        <w:rPr>
          <w:rFonts w:ascii="黑体" w:hAnsi="黑体" w:eastAsia="黑体"/>
          <w:sz w:val="32"/>
        </w:rPr>
        <w:t>三、支出决算情况说明</w:t>
      </w:r>
    </w:p>
    <w:p w14:paraId="60C1F873">
      <w:pPr>
        <w:spacing w:line="580" w:lineRule="exact"/>
        <w:ind w:firstLine="640"/>
        <w:jc w:val="both"/>
      </w:pPr>
      <w:r>
        <w:rPr>
          <w:rFonts w:ascii="仿宋_GB2312" w:hAnsi="仿宋_GB2312" w:eastAsia="仿宋_GB2312"/>
          <w:b/>
          <w:sz w:val="32"/>
        </w:rPr>
        <w:t>本年支出310.95万元，</w:t>
      </w:r>
      <w:r>
        <w:rPr>
          <w:rFonts w:ascii="仿宋_GB2312" w:hAnsi="仿宋_GB2312" w:eastAsia="仿宋_GB2312"/>
          <w:b w:val="0"/>
          <w:sz w:val="32"/>
        </w:rPr>
        <w:t>其中：基本支出175.83万元，占56.55%；项目支出135.12万元，占43.45%；上缴上级支出0.00万元，占0.00%；经营支出0.00万元，占0.00%；对附属单位补助支出0.00万元，占0.00%。</w:t>
      </w:r>
    </w:p>
    <w:p w14:paraId="68DFBCD6">
      <w:pPr>
        <w:spacing w:line="640" w:lineRule="exact"/>
        <w:ind w:firstLine="640"/>
        <w:jc w:val="both"/>
        <w:outlineLvl w:val="2"/>
      </w:pPr>
      <w:r>
        <w:rPr>
          <w:rFonts w:ascii="黑体" w:hAnsi="黑体" w:eastAsia="黑体"/>
          <w:sz w:val="32"/>
        </w:rPr>
        <w:t>四、财政拨款收入支出决算总体情况说明</w:t>
      </w:r>
    </w:p>
    <w:p w14:paraId="1E8E84B2">
      <w:pPr>
        <w:spacing w:line="580" w:lineRule="exact"/>
        <w:ind w:firstLine="640"/>
        <w:jc w:val="both"/>
      </w:pPr>
      <w:r>
        <w:rPr>
          <w:rFonts w:ascii="仿宋_GB2312" w:hAnsi="仿宋_GB2312" w:eastAsia="仿宋_GB2312"/>
          <w:b/>
          <w:sz w:val="32"/>
        </w:rPr>
        <w:t>2024年度财政拨款收入总计310.94万元，</w:t>
      </w:r>
      <w:r>
        <w:rPr>
          <w:rFonts w:ascii="仿宋_GB2312" w:hAnsi="仿宋_GB2312" w:eastAsia="仿宋_GB2312"/>
          <w:b w:val="0"/>
          <w:sz w:val="32"/>
        </w:rPr>
        <w:t>其中：年初财政拨款结转和结余0.00万元，本年财政拨款收入310.94万元。</w:t>
      </w:r>
      <w:r>
        <w:rPr>
          <w:rFonts w:ascii="仿宋_GB2312" w:hAnsi="仿宋_GB2312" w:eastAsia="仿宋_GB2312"/>
          <w:b/>
          <w:sz w:val="32"/>
        </w:rPr>
        <w:t>财政拨款支出总计310.94万元，</w:t>
      </w:r>
      <w:r>
        <w:rPr>
          <w:rFonts w:ascii="仿宋_GB2312" w:hAnsi="仿宋_GB2312" w:eastAsia="仿宋_GB2312"/>
          <w:b w:val="0"/>
          <w:sz w:val="32"/>
        </w:rPr>
        <w:t>其中：年末财政拨款结转和结余0.00万元，本年财政拨款支出310.94万元。</w:t>
      </w:r>
    </w:p>
    <w:p w14:paraId="2B85357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增加127.92万元，增长69.89%，主要原因是：本年度增加《博斯腾湖风景名胜区总体规划》修编项目。</w:t>
      </w:r>
      <w:r>
        <w:rPr>
          <w:rFonts w:ascii="仿宋_GB2312" w:hAnsi="仿宋_GB2312" w:eastAsia="仿宋_GB2312"/>
          <w:b/>
          <w:sz w:val="32"/>
        </w:rPr>
        <w:t>与年初预算相比，</w:t>
      </w:r>
      <w:r>
        <w:rPr>
          <w:rFonts w:ascii="仿宋_GB2312" w:hAnsi="仿宋_GB2312" w:eastAsia="仿宋_GB2312"/>
          <w:b w:val="0"/>
          <w:sz w:val="32"/>
        </w:rPr>
        <w:t>年初预算数201.27万元，决算数310.94万元，预决算差异率54.49%，主要原因是：年中追加《博斯腾湖风景名胜区总体规划》修编项目，导致预决算存在差异。</w:t>
      </w:r>
    </w:p>
    <w:p w14:paraId="66822388">
      <w:pPr>
        <w:spacing w:line="640" w:lineRule="exact"/>
        <w:ind w:firstLine="640"/>
        <w:jc w:val="both"/>
        <w:outlineLvl w:val="2"/>
      </w:pPr>
      <w:r>
        <w:rPr>
          <w:rFonts w:ascii="黑体" w:hAnsi="黑体" w:eastAsia="黑体"/>
          <w:sz w:val="32"/>
        </w:rPr>
        <w:t>五、一般公共预算财政拨款支出决算情况说明</w:t>
      </w:r>
    </w:p>
    <w:p w14:paraId="5CF777F4">
      <w:pPr>
        <w:spacing w:line="640" w:lineRule="exact"/>
        <w:ind w:firstLine="640"/>
        <w:jc w:val="both"/>
        <w:outlineLvl w:val="3"/>
      </w:pPr>
      <w:r>
        <w:rPr>
          <w:rFonts w:ascii="楷体_GB2312" w:hAnsi="楷体_GB2312" w:eastAsia="楷体_GB2312"/>
          <w:b/>
          <w:sz w:val="32"/>
        </w:rPr>
        <w:t>（一）一般公共预算财政拨款支出决算总体情况</w:t>
      </w:r>
    </w:p>
    <w:p w14:paraId="19273CB0">
      <w:pPr>
        <w:spacing w:line="580" w:lineRule="exact"/>
        <w:ind w:firstLine="640"/>
        <w:jc w:val="both"/>
      </w:pPr>
      <w:r>
        <w:rPr>
          <w:rFonts w:ascii="仿宋_GB2312" w:hAnsi="仿宋_GB2312" w:eastAsia="仿宋_GB2312"/>
          <w:b/>
          <w:sz w:val="32"/>
        </w:rPr>
        <w:t>2024年度一般公共预算财政拨款支出310.94万元，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增加127.92万元，增长69.89%，主要原因是：本年度增加《博斯腾湖风景名胜区总体规划》修编项目。</w:t>
      </w:r>
      <w:r>
        <w:rPr>
          <w:rFonts w:ascii="仿宋_GB2312" w:hAnsi="仿宋_GB2312" w:eastAsia="仿宋_GB2312"/>
          <w:b/>
          <w:sz w:val="32"/>
        </w:rPr>
        <w:t>与年初预算相比,</w:t>
      </w:r>
      <w:r>
        <w:rPr>
          <w:rFonts w:ascii="仿宋_GB2312" w:hAnsi="仿宋_GB2312" w:eastAsia="仿宋_GB2312"/>
          <w:b w:val="0"/>
          <w:sz w:val="32"/>
        </w:rPr>
        <w:t>年初预算数201.27万元，决算数310.94万元，预决算差异率54.49%，主要原因是：年中追加《博斯腾湖风景名胜区总体规划》修编项目，导致预决算存在差异。</w:t>
      </w:r>
    </w:p>
    <w:p w14:paraId="133BF800">
      <w:pPr>
        <w:spacing w:line="640" w:lineRule="exact"/>
        <w:ind w:firstLine="640"/>
        <w:jc w:val="both"/>
        <w:outlineLvl w:val="3"/>
      </w:pPr>
      <w:r>
        <w:rPr>
          <w:rFonts w:ascii="楷体_GB2312" w:hAnsi="楷体_GB2312" w:eastAsia="楷体_GB2312"/>
          <w:b/>
          <w:sz w:val="32"/>
        </w:rPr>
        <w:t>（二）一般公共预算财政拨款支出决算结构情况</w:t>
      </w:r>
    </w:p>
    <w:p w14:paraId="7041897D">
      <w:pPr>
        <w:spacing w:line="580" w:lineRule="exact"/>
        <w:ind w:firstLine="640"/>
        <w:jc w:val="both"/>
      </w:pPr>
      <w:r>
        <w:rPr>
          <w:rFonts w:ascii="仿宋_GB2312" w:hAnsi="仿宋_GB2312" w:eastAsia="仿宋_GB2312"/>
          <w:b w:val="0"/>
          <w:sz w:val="32"/>
        </w:rPr>
        <w:t>1.社会保障和就业支出(类)16.24万元,占5.22%。</w:t>
      </w:r>
    </w:p>
    <w:p w14:paraId="656A33E6">
      <w:pPr>
        <w:spacing w:line="580" w:lineRule="exact"/>
        <w:ind w:firstLine="640"/>
        <w:jc w:val="both"/>
      </w:pPr>
      <w:r>
        <w:rPr>
          <w:rFonts w:ascii="仿宋_GB2312" w:hAnsi="仿宋_GB2312" w:eastAsia="仿宋_GB2312"/>
          <w:b w:val="0"/>
          <w:sz w:val="32"/>
        </w:rPr>
        <w:t>2.卫生健康支出(类)7.31万元,占2.35%。</w:t>
      </w:r>
    </w:p>
    <w:p w14:paraId="27E5586D">
      <w:pPr>
        <w:spacing w:line="580" w:lineRule="exact"/>
        <w:ind w:firstLine="640"/>
        <w:jc w:val="both"/>
      </w:pPr>
      <w:r>
        <w:rPr>
          <w:rFonts w:ascii="仿宋_GB2312" w:hAnsi="仿宋_GB2312" w:eastAsia="仿宋_GB2312"/>
          <w:b w:val="0"/>
          <w:sz w:val="32"/>
        </w:rPr>
        <w:t>3.节能环保支出(类)275.09万元,占88.47%。</w:t>
      </w:r>
    </w:p>
    <w:p w14:paraId="0859610C">
      <w:pPr>
        <w:spacing w:line="580" w:lineRule="exact"/>
        <w:ind w:firstLine="640"/>
        <w:jc w:val="both"/>
      </w:pPr>
      <w:r>
        <w:rPr>
          <w:rFonts w:ascii="仿宋_GB2312" w:hAnsi="仿宋_GB2312" w:eastAsia="仿宋_GB2312"/>
          <w:b w:val="0"/>
          <w:sz w:val="32"/>
        </w:rPr>
        <w:t>4.住房保障支出(类)12.30万元,占3.96%。</w:t>
      </w:r>
    </w:p>
    <w:p w14:paraId="365AD17E">
      <w:pPr>
        <w:spacing w:line="640" w:lineRule="exact"/>
        <w:ind w:firstLine="640"/>
        <w:jc w:val="both"/>
        <w:outlineLvl w:val="3"/>
      </w:pPr>
      <w:r>
        <w:rPr>
          <w:rFonts w:ascii="楷体_GB2312" w:hAnsi="楷体_GB2312" w:eastAsia="楷体_GB2312"/>
          <w:b/>
          <w:sz w:val="32"/>
        </w:rPr>
        <w:t>（三）一般公共预算财政拨款支出决算具体情况</w:t>
      </w:r>
    </w:p>
    <w:p w14:paraId="6C5FF0B9">
      <w:pPr>
        <w:spacing w:line="580" w:lineRule="exact"/>
        <w:ind w:firstLine="640"/>
        <w:jc w:val="both"/>
      </w:pPr>
      <w:r>
        <w:rPr>
          <w:rFonts w:ascii="仿宋_GB2312" w:hAnsi="仿宋_GB2312" w:eastAsia="仿宋_GB2312"/>
          <w:b w:val="0"/>
          <w:sz w:val="32"/>
        </w:rPr>
        <w:t>1.教育支出(类)进修及培训(款)培训支出(项):支出决算数为0.00万元，比上年决算减少0.69万元，下降100.00%,主要原因是：本年无外出培训计划，减少培训经费。</w:t>
      </w:r>
    </w:p>
    <w:p w14:paraId="5AF5C16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16.24万元，比上年决算减少0.26万元，下降1.58%,主要原因是：本年在职人员调入调出，人员职级不同，缴费基数不同，导致养老保险缴费较上年减少。</w:t>
      </w:r>
    </w:p>
    <w:p w14:paraId="5ECFA23B">
      <w:pPr>
        <w:spacing w:line="580" w:lineRule="exact"/>
        <w:ind w:firstLine="640"/>
        <w:jc w:val="both"/>
      </w:pPr>
      <w:r>
        <w:rPr>
          <w:rFonts w:ascii="仿宋_GB2312" w:hAnsi="仿宋_GB2312" w:eastAsia="仿宋_GB2312"/>
          <w:b w:val="0"/>
          <w:sz w:val="32"/>
        </w:rPr>
        <w:t>3.卫生健康支出(类)行政事业单位医疗(款)事业单位医疗(项):支出决算数为7.06万元，比上年决算减少0.19万元，下降2.62%,主要原因是：本年在职人员调入调出，人员职级不同，缴费基数不同，导致事业单位医疗较上年减少。</w:t>
      </w:r>
    </w:p>
    <w:p w14:paraId="6E726929">
      <w:pPr>
        <w:spacing w:line="580" w:lineRule="exact"/>
        <w:ind w:firstLine="640"/>
        <w:jc w:val="both"/>
      </w:pPr>
      <w:r>
        <w:rPr>
          <w:rFonts w:ascii="仿宋_GB2312" w:hAnsi="仿宋_GB2312" w:eastAsia="仿宋_GB2312"/>
          <w:b w:val="0"/>
          <w:sz w:val="32"/>
        </w:rPr>
        <w:t>4.卫生健康支出(类)行政事业单位医疗(款)其他行政事业单位医疗支出(项):支出决算数为0.25万元，比上年决算增加0.04万元，增长19.05%,主要原因是：本年在职人员工资基数调增，相应经费增加。</w:t>
      </w:r>
    </w:p>
    <w:p w14:paraId="563F522E">
      <w:pPr>
        <w:spacing w:line="580" w:lineRule="exact"/>
        <w:ind w:firstLine="640"/>
        <w:jc w:val="both"/>
      </w:pPr>
      <w:r>
        <w:rPr>
          <w:rFonts w:ascii="仿宋_GB2312" w:hAnsi="仿宋_GB2312" w:eastAsia="仿宋_GB2312"/>
          <w:b w:val="0"/>
          <w:sz w:val="32"/>
        </w:rPr>
        <w:t>5.节能环保支出(类)自然生态保护(款)自然保护地(项):支出决算数为275.09万元，比上年决算增加128.67万元，增长87.88%,主要原因是：本年度增加《博斯腾湖风景名胜区总体规划》修编项目；本年委托业务费增加。</w:t>
      </w:r>
    </w:p>
    <w:p w14:paraId="31B55B98">
      <w:pPr>
        <w:spacing w:line="580" w:lineRule="exact"/>
        <w:ind w:firstLine="640"/>
        <w:jc w:val="both"/>
      </w:pPr>
      <w:r>
        <w:rPr>
          <w:rFonts w:ascii="仿宋_GB2312" w:hAnsi="仿宋_GB2312" w:eastAsia="仿宋_GB2312"/>
          <w:b w:val="0"/>
          <w:sz w:val="32"/>
        </w:rPr>
        <w:t>6.住房保障支出(类)住房改革支出(款)住房公积金(项):支出决算数为12.30万元，比上年决算增加0.36万元，增长3.02%,主要原因是：本年在职人员工资基数调增，公积金缴费基数上涨，相应支出增加。</w:t>
      </w:r>
    </w:p>
    <w:p w14:paraId="1CDBC4CD">
      <w:pPr>
        <w:spacing w:line="640" w:lineRule="exact"/>
        <w:ind w:firstLine="640"/>
        <w:jc w:val="both"/>
        <w:outlineLvl w:val="2"/>
      </w:pPr>
      <w:r>
        <w:rPr>
          <w:rFonts w:ascii="黑体" w:hAnsi="黑体" w:eastAsia="黑体"/>
          <w:sz w:val="32"/>
        </w:rPr>
        <w:t>六、一般公共预算财政拨款基本支出决算情况说明</w:t>
      </w:r>
    </w:p>
    <w:p w14:paraId="7BF4EC76">
      <w:pPr>
        <w:spacing w:line="580" w:lineRule="exact"/>
        <w:ind w:firstLine="640"/>
        <w:jc w:val="both"/>
      </w:pPr>
      <w:r>
        <w:rPr>
          <w:rFonts w:ascii="仿宋_GB2312" w:hAnsi="仿宋_GB2312" w:eastAsia="仿宋_GB2312"/>
          <w:b w:val="0"/>
          <w:sz w:val="32"/>
        </w:rPr>
        <w:t>2024年度一般公共预算财政拨款基本支出175.82万元，其中：</w:t>
      </w:r>
      <w:r>
        <w:rPr>
          <w:rFonts w:ascii="仿宋_GB2312" w:hAnsi="仿宋_GB2312" w:eastAsia="仿宋_GB2312"/>
          <w:b/>
          <w:sz w:val="32"/>
        </w:rPr>
        <w:t>人员经费159.51万元，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包括：基本工资、津贴补贴、奖金、伙食补助费、机关事业单位基本养老保险缴费、职工基本医疗保险缴费、其他社会保障缴费、住房公积金、其他工资福利支出。</w:t>
      </w:r>
    </w:p>
    <w:p w14:paraId="683BFF1A">
      <w:pPr>
        <w:spacing w:line="580" w:lineRule="exact"/>
        <w:ind w:firstLine="640"/>
        <w:jc w:val="both"/>
      </w:pPr>
      <w:r>
        <w:rPr>
          <w:rFonts w:ascii="仿宋_GB2312" w:hAnsi="仿宋_GB2312" w:eastAsia="仿宋_GB2312"/>
          <w:b/>
          <w:sz w:val="32"/>
        </w:rPr>
        <w:t>公用经费16.31万元，</w:t>
      </w:r>
      <w:r>
        <w:rPr>
          <w:rFonts w:ascii="仿宋_GB2312" w:hAnsi="仿宋_GB2312" w:eastAsia="仿宋_GB2312"/>
          <w:b w:val="0"/>
          <w:sz w:val="32"/>
        </w:rPr>
        <w:t>包括：办公费、水费、电费、邮电费、取暖费、物业管理费、差旅费、劳务费、工会经费、福利费、公务用车运行维护费。</w:t>
      </w:r>
    </w:p>
    <w:p w14:paraId="7C226182">
      <w:pPr>
        <w:spacing w:line="640" w:lineRule="exact"/>
        <w:ind w:firstLine="640"/>
        <w:jc w:val="both"/>
        <w:outlineLvl w:val="2"/>
      </w:pPr>
      <w:r>
        <w:rPr>
          <w:rFonts w:ascii="黑体" w:hAnsi="黑体" w:eastAsia="黑体"/>
          <w:sz w:val="32"/>
        </w:rPr>
        <w:t>七、政府性基金预算财政拨款收入支出决算情况说明</w:t>
      </w:r>
    </w:p>
    <w:p w14:paraId="5D55F71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3CF09D4B">
      <w:pPr>
        <w:spacing w:line="640" w:lineRule="exact"/>
        <w:ind w:firstLine="640"/>
        <w:jc w:val="both"/>
        <w:outlineLvl w:val="2"/>
      </w:pPr>
      <w:r>
        <w:rPr>
          <w:rFonts w:ascii="黑体" w:hAnsi="黑体" w:eastAsia="黑体"/>
          <w:sz w:val="32"/>
        </w:rPr>
        <w:t>八、国有资本经营预算财政拨款收入支出决算情况说明</w:t>
      </w:r>
    </w:p>
    <w:p w14:paraId="72CCEE73">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F50D2A4">
      <w:pPr>
        <w:spacing w:line="640" w:lineRule="exact"/>
        <w:ind w:firstLine="640"/>
        <w:jc w:val="both"/>
        <w:outlineLvl w:val="2"/>
      </w:pPr>
      <w:r>
        <w:rPr>
          <w:rFonts w:ascii="黑体" w:hAnsi="黑体" w:eastAsia="黑体"/>
          <w:sz w:val="32"/>
        </w:rPr>
        <w:t>九、财政拨款“三公”经费支出决算情况说明</w:t>
      </w:r>
    </w:p>
    <w:p w14:paraId="457E3497">
      <w:pPr>
        <w:spacing w:line="580" w:lineRule="exact"/>
        <w:ind w:firstLine="640"/>
        <w:jc w:val="both"/>
      </w:pPr>
      <w:r>
        <w:rPr>
          <w:rFonts w:ascii="仿宋_GB2312" w:hAnsi="仿宋_GB2312" w:eastAsia="仿宋_GB2312"/>
          <w:b/>
          <w:sz w:val="32"/>
        </w:rPr>
        <w:t>2024年度财政拨款“三公”经费支出2.76万元，</w:t>
      </w:r>
      <w:r>
        <w:rPr>
          <w:rFonts w:ascii="仿宋_GB2312" w:hAnsi="仿宋_GB2312" w:eastAsia="仿宋_GB2312"/>
          <w:b w:val="0"/>
          <w:sz w:val="32"/>
        </w:rPr>
        <w:t>比上年增加0.14万元，增长5.34%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2.76万元，占100.00%，比上年增加0.14万元，增长5.34%，主要原因是：本年因业务需求，用车次数增加，燃油费增加，导致公务用车运行维护费较上年增加。公务接待费支出0.00万元，占0.00%，比上年增加0.00万元，增长0.00%，主要原因是：2023年与2024年均未安排公务接待费支出。</w:t>
      </w:r>
    </w:p>
    <w:p w14:paraId="0C8B04AA">
      <w:pPr>
        <w:spacing w:line="580" w:lineRule="exact"/>
        <w:ind w:firstLine="640"/>
        <w:jc w:val="both"/>
      </w:pPr>
      <w:r>
        <w:rPr>
          <w:rFonts w:ascii="仿宋_GB2312" w:hAnsi="仿宋_GB2312" w:eastAsia="仿宋_GB2312"/>
          <w:b/>
          <w:sz w:val="32"/>
        </w:rPr>
        <w:t>具体情况如下：</w:t>
      </w:r>
    </w:p>
    <w:p w14:paraId="6B4EDC3E">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C99D845">
      <w:pPr>
        <w:spacing w:line="580" w:lineRule="exact"/>
        <w:ind w:firstLine="640"/>
        <w:jc w:val="both"/>
      </w:pPr>
      <w:r>
        <w:rPr>
          <w:rFonts w:ascii="仿宋_GB2312" w:hAnsi="仿宋_GB2312" w:eastAsia="仿宋_GB2312"/>
          <w:b w:val="0"/>
          <w:sz w:val="32"/>
        </w:rPr>
        <w:t>公务用车购置及运行维护费2.76万元，其中：公务用车购置费0.00万元，公务用车运行维护费2.76万元。公务用车运行维护费开支内容包括车辆加油费、保险费、过路费、维修费。公务用车购置数0辆，公务用车保有量1辆。国有资产占用情况中固定资产车辆1辆，与公务用车保有量差异原因是：本部门固定资产车辆与公务用车保有量一致无差异。</w:t>
      </w:r>
    </w:p>
    <w:p w14:paraId="49E1C3BA">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DD41C0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2.76万元，决算数2.76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2.76万元，决算数2.76万元，预决算差异率0.00%，主要原因是：严格按照预算执行，预决算无差异。公务接待费全年预算数0.00万元，决算数0.00万元，预决算差异率0.00%，主要原因是：本部门无公务接待费。</w:t>
      </w:r>
    </w:p>
    <w:p w14:paraId="69394C17">
      <w:pPr>
        <w:spacing w:line="640" w:lineRule="exact"/>
        <w:ind w:firstLine="640"/>
        <w:jc w:val="both"/>
        <w:outlineLvl w:val="2"/>
      </w:pPr>
      <w:r>
        <w:rPr>
          <w:rFonts w:ascii="黑体" w:hAnsi="黑体" w:eastAsia="黑体"/>
          <w:sz w:val="32"/>
        </w:rPr>
        <w:t>十、其他重要事项的情况说明</w:t>
      </w:r>
    </w:p>
    <w:p w14:paraId="471DD742">
      <w:pPr>
        <w:spacing w:line="640" w:lineRule="exact"/>
        <w:ind w:firstLine="640"/>
        <w:jc w:val="both"/>
        <w:outlineLvl w:val="3"/>
      </w:pPr>
      <w:r>
        <w:rPr>
          <w:rFonts w:ascii="楷体_GB2312" w:hAnsi="楷体_GB2312" w:eastAsia="楷体_GB2312"/>
          <w:b/>
          <w:sz w:val="32"/>
        </w:rPr>
        <w:t>（一）机关运行经费及公用经费支出情况</w:t>
      </w:r>
    </w:p>
    <w:p w14:paraId="4F79C069">
      <w:pPr>
        <w:spacing w:line="580" w:lineRule="exact"/>
        <w:ind w:firstLine="640"/>
        <w:jc w:val="both"/>
      </w:pPr>
      <w:r>
        <w:rPr>
          <w:rFonts w:ascii="仿宋_GB2312" w:hAnsi="仿宋_GB2312" w:eastAsia="仿宋_GB2312"/>
          <w:b w:val="0"/>
          <w:sz w:val="32"/>
        </w:rPr>
        <w:t>2024年度新疆巴州博斯腾湖风景名胜区管理委员会（事业单位）公用经费支出16.31万元，比上年增加4.30万元，增长35.80%，主要原因是：本年业务量增加，公用经费增加。</w:t>
      </w:r>
    </w:p>
    <w:p w14:paraId="1FC2F851">
      <w:pPr>
        <w:spacing w:line="640" w:lineRule="exact"/>
        <w:ind w:firstLine="640"/>
        <w:jc w:val="both"/>
        <w:outlineLvl w:val="3"/>
      </w:pPr>
      <w:r>
        <w:rPr>
          <w:rFonts w:ascii="楷体_GB2312" w:hAnsi="楷体_GB2312" w:eastAsia="楷体_GB2312"/>
          <w:b/>
          <w:sz w:val="32"/>
        </w:rPr>
        <w:t>（二）政府采购情况</w:t>
      </w:r>
    </w:p>
    <w:p w14:paraId="0E992D1F">
      <w:pPr>
        <w:spacing w:line="580" w:lineRule="exact"/>
        <w:ind w:firstLine="640"/>
        <w:jc w:val="both"/>
      </w:pPr>
      <w:r>
        <w:rPr>
          <w:rFonts w:ascii="仿宋_GB2312" w:hAnsi="仿宋_GB2312" w:eastAsia="仿宋_GB2312"/>
          <w:b w:val="0"/>
          <w:sz w:val="32"/>
        </w:rPr>
        <w:t>2024年度政府采购支出总额130.39万元，其中：政府采购货物支出0.00万元、政府采购工程支出0.00万元、政府采购服务支出130.39万元。</w:t>
      </w:r>
    </w:p>
    <w:p w14:paraId="52DB14AE">
      <w:pPr>
        <w:spacing w:line="580" w:lineRule="exact"/>
        <w:ind w:firstLine="640"/>
        <w:jc w:val="both"/>
      </w:pPr>
      <w:r>
        <w:rPr>
          <w:rFonts w:ascii="仿宋_GB2312" w:hAnsi="仿宋_GB2312" w:eastAsia="仿宋_GB2312"/>
          <w:b w:val="0"/>
          <w:sz w:val="32"/>
        </w:rPr>
        <w:t>授予中小企业合同金额2.59万元，占政府采购支出总额的1.99%，其中：授予小微企业合同金额0.60万元，占政府采购支出总额的0.46%。</w:t>
      </w:r>
    </w:p>
    <w:p w14:paraId="6A7E4CF5">
      <w:pPr>
        <w:spacing w:line="640" w:lineRule="exact"/>
        <w:ind w:firstLine="640"/>
        <w:jc w:val="both"/>
        <w:outlineLvl w:val="3"/>
      </w:pPr>
      <w:r>
        <w:rPr>
          <w:rFonts w:ascii="楷体_GB2312" w:hAnsi="楷体_GB2312" w:eastAsia="楷体_GB2312"/>
          <w:b/>
          <w:sz w:val="32"/>
        </w:rPr>
        <w:t>（三）国有资产占用情况说明</w:t>
      </w:r>
    </w:p>
    <w:p w14:paraId="3955B6C5">
      <w:pPr>
        <w:spacing w:line="580" w:lineRule="exact"/>
        <w:ind w:firstLine="640"/>
        <w:jc w:val="both"/>
      </w:pPr>
      <w:r>
        <w:rPr>
          <w:rFonts w:ascii="仿宋_GB2312" w:hAnsi="仿宋_GB2312" w:eastAsia="仿宋_GB2312"/>
          <w:b w:val="0"/>
          <w:sz w:val="32"/>
        </w:rPr>
        <w:t>截至2024年12月31日，房屋0.00平方米，价值0.00万元。车辆1辆，价值27.68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016B3D7">
      <w:pPr>
        <w:spacing w:line="640" w:lineRule="exact"/>
        <w:ind w:firstLine="640"/>
        <w:jc w:val="both"/>
        <w:outlineLvl w:val="2"/>
      </w:pPr>
      <w:r>
        <w:rPr>
          <w:rFonts w:ascii="黑体" w:hAnsi="黑体" w:eastAsia="黑体"/>
          <w:sz w:val="32"/>
        </w:rPr>
        <w:t>十一、预算绩效的情况说明</w:t>
      </w:r>
    </w:p>
    <w:p w14:paraId="6A28232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311.16万元，实际执行总额310.94万元；预算绩效评价项目2个，全年预算数327.34万元，全年执行数135.12万元。预算绩效管理取得的成效：一是细化绩效管理，将绩效目标细化到每项资金，将管理责任分解到具体人，大大提高了绩效管理的可操作性；二是强化绩效意识，使“花钱必问效，无效必问责”的管理要求深入到每个干部心里。发现的问题及原因：一是由于绩效管理工作运行时间较短，在绩效目标编制上依然有欠缺，绩效目标设立不够明确、细化和量化，对绩效分析也不够透彻，社会效益和可持续影响三级指标把握得不准；二是根据绩效工作上报要求“谁使用、谁负责”的原则，资产使用人没有填报绩效，主管局负责填报，导致上报材料不精准，不确切。下一步改进措施：一是要按照“谁使用、谁负责”的原则，强化预算部门绩效管理的主体责任，将绩效目标、绩效监控、部门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具体附部门整体支出绩效自评表，项目支出绩效自评表和部门评价报告。</w:t>
      </w:r>
    </w:p>
    <w:p w14:paraId="4224599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1EEFAA9">
        <w:tblPrEx>
          <w:tblCellMar>
            <w:top w:w="0" w:type="dxa"/>
            <w:left w:w="108" w:type="dxa"/>
            <w:bottom w:w="0" w:type="dxa"/>
            <w:right w:w="108" w:type="dxa"/>
          </w:tblCellMar>
        </w:tblPrEx>
        <w:tc>
          <w:tcPr>
            <w:tcW w:w="8840" w:type="dxa"/>
            <w:gridSpan w:val="8"/>
            <w:vAlign w:val="center"/>
          </w:tcPr>
          <w:p w14:paraId="2D710063">
            <w:pPr>
              <w:jc w:val="center"/>
            </w:pPr>
            <w:r>
              <w:rPr>
                <w:rFonts w:ascii="宋体" w:hAnsi="宋体" w:eastAsia="宋体"/>
                <w:sz w:val="24"/>
              </w:rPr>
              <w:t>部门整体支出绩效自评表</w:t>
            </w:r>
          </w:p>
        </w:tc>
      </w:tr>
      <w:tr w14:paraId="0A9325B1">
        <w:tblPrEx>
          <w:tblCellMar>
            <w:top w:w="0" w:type="dxa"/>
            <w:left w:w="108" w:type="dxa"/>
            <w:bottom w:w="0" w:type="dxa"/>
            <w:right w:w="108" w:type="dxa"/>
          </w:tblCellMar>
        </w:tblPrEx>
        <w:tc>
          <w:tcPr>
            <w:tcW w:w="8840" w:type="dxa"/>
            <w:gridSpan w:val="8"/>
            <w:vAlign w:val="center"/>
          </w:tcPr>
          <w:p w14:paraId="339AD172">
            <w:pPr>
              <w:jc w:val="center"/>
            </w:pPr>
            <w:r>
              <w:rPr>
                <w:rFonts w:ascii="宋体" w:hAnsi="宋体" w:eastAsia="宋体"/>
                <w:sz w:val="24"/>
              </w:rPr>
              <w:t>（2024年度）</w:t>
            </w:r>
          </w:p>
        </w:tc>
      </w:tr>
      <w:tr w14:paraId="1E9235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BD79A">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184F7">
            <w:pPr>
              <w:jc w:val="center"/>
            </w:pPr>
            <w:r>
              <w:rPr>
                <w:rFonts w:ascii="宋体" w:hAnsi="宋体" w:eastAsia="宋体"/>
                <w:sz w:val="16"/>
              </w:rPr>
              <w:t>新疆巴州博斯腾湖风景名胜区管理委员会</w:t>
            </w:r>
          </w:p>
        </w:tc>
      </w:tr>
      <w:tr w14:paraId="0BF52E3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21DE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B3F7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F3CA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8068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BE25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6E0A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9516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2B05F">
            <w:pPr>
              <w:jc w:val="center"/>
            </w:pPr>
            <w:r>
              <w:rPr>
                <w:rFonts w:ascii="宋体" w:hAnsi="宋体" w:eastAsia="宋体"/>
                <w:sz w:val="16"/>
              </w:rPr>
              <w:t>得分</w:t>
            </w:r>
          </w:p>
        </w:tc>
      </w:tr>
      <w:tr w14:paraId="39F761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0B31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310B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FFDA2">
            <w:pPr>
              <w:jc w:val="center"/>
            </w:pPr>
            <w:r>
              <w:rPr>
                <w:rFonts w:ascii="宋体" w:hAnsi="宋体" w:eastAsia="宋体"/>
                <w:sz w:val="16"/>
              </w:rPr>
              <w:t>201.27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DA8AB">
            <w:pPr>
              <w:jc w:val="center"/>
            </w:pPr>
            <w:r>
              <w:rPr>
                <w:rFonts w:ascii="宋体" w:hAnsi="宋体" w:eastAsia="宋体"/>
                <w:sz w:val="16"/>
              </w:rPr>
              <w:t>311.16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7A8D6">
            <w:pPr>
              <w:jc w:val="center"/>
            </w:pPr>
            <w:r>
              <w:rPr>
                <w:rFonts w:ascii="宋体" w:hAnsi="宋体" w:eastAsia="宋体"/>
                <w:sz w:val="16"/>
              </w:rPr>
              <w:t>310.94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1EFDF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A269C2">
            <w:pPr>
              <w:jc w:val="center"/>
            </w:pPr>
            <w:r>
              <w:rPr>
                <w:rFonts w:ascii="宋体" w:hAnsi="宋体" w:eastAsia="宋体"/>
                <w:sz w:val="16"/>
              </w:rPr>
              <w:t>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6F6EE">
            <w:pPr>
              <w:jc w:val="center"/>
            </w:pPr>
            <w:r>
              <w:rPr>
                <w:rFonts w:ascii="宋体" w:hAnsi="宋体" w:eastAsia="宋体"/>
                <w:sz w:val="16"/>
              </w:rPr>
              <w:t>9.99</w:t>
            </w:r>
          </w:p>
        </w:tc>
      </w:tr>
      <w:tr w14:paraId="4DDDA0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EF7F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9DDDB">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1C38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AEAE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602B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D6A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891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08A00">
            <w:pPr>
              <w:jc w:val="center"/>
            </w:pPr>
            <w:r>
              <w:rPr>
                <w:rFonts w:ascii="宋体" w:hAnsi="宋体" w:eastAsia="宋体"/>
                <w:sz w:val="16"/>
              </w:rPr>
              <w:t>-</w:t>
            </w:r>
          </w:p>
        </w:tc>
      </w:tr>
      <w:tr w14:paraId="1EDC5D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06E7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435FD">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C3B97">
            <w:pPr>
              <w:jc w:val="center"/>
            </w:pPr>
            <w:r>
              <w:rPr>
                <w:rFonts w:ascii="宋体" w:hAnsi="宋体" w:eastAsia="宋体"/>
                <w:sz w:val="16"/>
              </w:rPr>
              <w:t>201.27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1D604">
            <w:pPr>
              <w:jc w:val="center"/>
            </w:pPr>
            <w:r>
              <w:rPr>
                <w:rFonts w:ascii="宋体" w:hAnsi="宋体" w:eastAsia="宋体"/>
                <w:sz w:val="16"/>
              </w:rPr>
              <w:t>311.16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25AC6">
            <w:pPr>
              <w:jc w:val="center"/>
            </w:pPr>
            <w:r>
              <w:rPr>
                <w:rFonts w:ascii="宋体" w:hAnsi="宋体" w:eastAsia="宋体"/>
                <w:sz w:val="16"/>
              </w:rPr>
              <w:t>310.94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EF4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69B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373BE">
            <w:pPr>
              <w:jc w:val="center"/>
            </w:pPr>
            <w:r>
              <w:rPr>
                <w:rFonts w:ascii="宋体" w:hAnsi="宋体" w:eastAsia="宋体"/>
                <w:sz w:val="16"/>
              </w:rPr>
              <w:t>-</w:t>
            </w:r>
          </w:p>
        </w:tc>
      </w:tr>
      <w:tr w14:paraId="1A5E88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71BA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88934">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FE8B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7D05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279B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C29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87B5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888C1">
            <w:pPr>
              <w:jc w:val="center"/>
            </w:pPr>
            <w:r>
              <w:rPr>
                <w:rFonts w:ascii="宋体" w:hAnsi="宋体" w:eastAsia="宋体"/>
                <w:sz w:val="16"/>
              </w:rPr>
              <w:t>-</w:t>
            </w:r>
          </w:p>
        </w:tc>
      </w:tr>
      <w:tr w14:paraId="440579A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3A0B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E6934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4635D6">
            <w:pPr>
              <w:jc w:val="center"/>
            </w:pPr>
            <w:r>
              <w:rPr>
                <w:rFonts w:ascii="宋体" w:hAnsi="宋体" w:eastAsia="宋体"/>
                <w:sz w:val="16"/>
              </w:rPr>
              <w:t>实际完成情况</w:t>
            </w:r>
          </w:p>
        </w:tc>
      </w:tr>
      <w:tr w14:paraId="26EB5B8D">
        <w:tblPrEx>
          <w:tblCellMar>
            <w:top w:w="0" w:type="dxa"/>
            <w:left w:w="108" w:type="dxa"/>
            <w:bottom w:w="0" w:type="dxa"/>
            <w:right w:w="108" w:type="dxa"/>
          </w:tblCellMar>
        </w:tblPrEx>
        <w:trPr>
          <w:trHeight w:val="3438"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DA356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4CBDD1">
            <w:pPr>
              <w:jc w:val="both"/>
            </w:pPr>
            <w:r>
              <w:rPr>
                <w:rFonts w:ascii="宋体" w:hAnsi="宋体" w:eastAsia="宋体"/>
                <w:sz w:val="16"/>
              </w:rPr>
              <w:t>全面贯彻落实党的二十大精神、习近平生态文明思想和新时代党的治疆方略，依照《风景名胜区条例》配合生态环境部门做好博斯腾湖水质监测，强化博斯腾湖风景名胜区建设项目选址审核；开展风景名胜区综合检查、景源保护情况监督检查；配合涉湖县市开展博斯腾湖风景名胜区人类活动巡查，推动风景名胜区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9E96B3">
            <w:pPr>
              <w:jc w:val="both"/>
            </w:pPr>
            <w:r>
              <w:rPr>
                <w:rFonts w:ascii="宋体" w:hAnsi="宋体" w:eastAsia="宋体"/>
                <w:sz w:val="16"/>
              </w:rPr>
              <w:t>2024年，以习近平新时代中国特色社会主义思想为指导，全面贯彻落实党的二十大精神、习近平生态文明思想和新时代党的治疆方略，依照《风景名胜区条例》规定，坚持“科学规划、统一管理、严格保护、永续利用”原则，配合生态环境部门开展博斯腾湖水质监测3次，博斯腾湖风景名胜区建设项目选址审核15个；开展风景名胜区综合检查5次、景源保护情况监督检查2次；配合涉湖县市开展博斯腾湖风景名胜区人类活动巡查4次，保护了博斯腾湖风景名胜资源，推动风景名胜区高质量发展。</w:t>
            </w:r>
          </w:p>
        </w:tc>
      </w:tr>
      <w:tr w14:paraId="6EEE7A2E">
        <w:tblPrEx>
          <w:tblCellMar>
            <w:top w:w="0" w:type="dxa"/>
            <w:left w:w="108" w:type="dxa"/>
            <w:bottom w:w="0" w:type="dxa"/>
            <w:right w:w="108" w:type="dxa"/>
          </w:tblCellMar>
        </w:tblPrEx>
        <w:trPr>
          <w:trHeight w:val="1118"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7F20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6E6F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371C9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C940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36AE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4A0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246D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C7B5E">
            <w:pPr>
              <w:jc w:val="center"/>
            </w:pPr>
            <w:r>
              <w:rPr>
                <w:rFonts w:ascii="宋体" w:hAnsi="宋体" w:eastAsia="宋体"/>
                <w:sz w:val="16"/>
              </w:rPr>
              <w:t>得分</w:t>
            </w:r>
          </w:p>
        </w:tc>
      </w:tr>
      <w:tr w14:paraId="45E86C46">
        <w:tblPrEx>
          <w:tblCellMar>
            <w:top w:w="0" w:type="dxa"/>
            <w:left w:w="108" w:type="dxa"/>
            <w:bottom w:w="0" w:type="dxa"/>
            <w:right w:w="108" w:type="dxa"/>
          </w:tblCellMar>
        </w:tblPrEx>
        <w:trPr>
          <w:trHeight w:val="1468" w:hRule="atLeast"/>
        </w:trP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9E4A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0D46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D85DA">
            <w:pPr>
              <w:jc w:val="center"/>
            </w:pPr>
            <w:r>
              <w:rPr>
                <w:rFonts w:ascii="宋体" w:hAnsi="宋体" w:eastAsia="宋体"/>
                <w:sz w:val="16"/>
              </w:rPr>
              <w:t>配合生态环境部门做好博斯腾湖水质监测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DE9CF">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C87E3">
            <w:pPr>
              <w:jc w:val="center"/>
            </w:pPr>
            <w:r>
              <w:rPr>
                <w:rFonts w:ascii="宋体" w:hAnsi="宋体" w:eastAsia="宋体"/>
                <w:sz w:val="16"/>
              </w:rPr>
              <w:t>部门工作计划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E3F9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93667">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FE0B7">
            <w:pPr>
              <w:jc w:val="center"/>
            </w:pPr>
            <w:r>
              <w:rPr>
                <w:rFonts w:ascii="宋体" w:hAnsi="宋体" w:eastAsia="宋体"/>
                <w:sz w:val="16"/>
              </w:rPr>
              <w:t>15</w:t>
            </w:r>
          </w:p>
        </w:tc>
      </w:tr>
      <w:tr w14:paraId="02F851E0">
        <w:tblPrEx>
          <w:tblCellMar>
            <w:top w:w="0" w:type="dxa"/>
            <w:left w:w="108" w:type="dxa"/>
            <w:bottom w:w="0" w:type="dxa"/>
            <w:right w:w="108" w:type="dxa"/>
          </w:tblCellMar>
        </w:tblPrEx>
        <w:trPr>
          <w:trHeight w:val="1129"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A8B69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D784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44895">
            <w:pPr>
              <w:jc w:val="center"/>
            </w:pPr>
            <w:r>
              <w:rPr>
                <w:rFonts w:ascii="宋体" w:hAnsi="宋体" w:eastAsia="宋体"/>
                <w:sz w:val="16"/>
              </w:rPr>
              <w:t>风景名胜区景源保护情况监督检查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935AC">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E1C24">
            <w:pPr>
              <w:jc w:val="center"/>
            </w:pPr>
            <w:r>
              <w:rPr>
                <w:rFonts w:ascii="宋体" w:hAnsi="宋体" w:eastAsia="宋体"/>
                <w:sz w:val="16"/>
              </w:rPr>
              <w:t>部门工作计划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C43A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E8FCC">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66CBA">
            <w:pPr>
              <w:jc w:val="center"/>
            </w:pPr>
            <w:r>
              <w:rPr>
                <w:rFonts w:ascii="宋体" w:hAnsi="宋体" w:eastAsia="宋体"/>
                <w:sz w:val="16"/>
              </w:rPr>
              <w:t>10</w:t>
            </w:r>
          </w:p>
        </w:tc>
      </w:tr>
      <w:tr w14:paraId="486E08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CDC34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ECAC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0900E">
            <w:pPr>
              <w:jc w:val="center"/>
            </w:pPr>
            <w:r>
              <w:rPr>
                <w:rFonts w:ascii="宋体" w:hAnsi="宋体" w:eastAsia="宋体"/>
                <w:sz w:val="16"/>
              </w:rPr>
              <w:t>博斯腾湖风景名胜区建设项目选址审核</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7FFF8">
            <w:pPr>
              <w:jc w:val="center"/>
            </w:pPr>
            <w:r>
              <w:rPr>
                <w:rFonts w:ascii="宋体" w:hAnsi="宋体" w:eastAsia="宋体"/>
                <w:sz w:val="16"/>
              </w:rPr>
              <w:t>&gt;=15个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8C8E6">
            <w:pPr>
              <w:jc w:val="center"/>
            </w:pPr>
            <w:r>
              <w:rPr>
                <w:rFonts w:ascii="宋体" w:hAnsi="宋体" w:eastAsia="宋体"/>
                <w:sz w:val="16"/>
              </w:rPr>
              <w:t>风景名胜区条例</w:t>
            </w:r>
            <w:r>
              <w:rPr>
                <w:rFonts w:ascii="宋体" w:hAnsi="宋体" w:eastAsia="宋体"/>
                <w:sz w:val="16"/>
              </w:rPr>
              <w:tab/>
            </w:r>
            <w:r>
              <w:rPr>
                <w:rFonts w:ascii="宋体" w:hAnsi="宋体" w:eastAsia="宋体"/>
                <w:sz w:val="16"/>
              </w:rPr>
              <w:t>风景名胜区条例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9BE08">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AD6442">
            <w:pPr>
              <w:jc w:val="center"/>
            </w:pPr>
            <w:r>
              <w:rPr>
                <w:rFonts w:ascii="宋体" w:hAnsi="宋体" w:eastAsia="宋体"/>
                <w:sz w:val="16"/>
              </w:rPr>
              <w: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F5FDC">
            <w:pPr>
              <w:jc w:val="center"/>
            </w:pPr>
            <w:r>
              <w:rPr>
                <w:rFonts w:ascii="宋体" w:hAnsi="宋体" w:eastAsia="宋体"/>
                <w:sz w:val="16"/>
              </w:rPr>
              <w:t>25</w:t>
            </w:r>
          </w:p>
        </w:tc>
      </w:tr>
      <w:tr w14:paraId="4B97CA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3A002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248D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5DC4D">
            <w:pPr>
              <w:jc w:val="center"/>
            </w:pPr>
            <w:r>
              <w:rPr>
                <w:rFonts w:ascii="宋体" w:hAnsi="宋体" w:eastAsia="宋体"/>
                <w:sz w:val="16"/>
              </w:rPr>
              <w:t>风景名胜区景区综合检查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859D6">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A21D7">
            <w:pPr>
              <w:jc w:val="center"/>
            </w:pPr>
            <w:r>
              <w:rPr>
                <w:rFonts w:ascii="宋体" w:hAnsi="宋体" w:eastAsia="宋体"/>
                <w:sz w:val="16"/>
              </w:rPr>
              <w:t>风景名胜区条例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77B1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483F8">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D945F">
            <w:pPr>
              <w:jc w:val="center"/>
            </w:pPr>
            <w:r>
              <w:rPr>
                <w:rFonts w:ascii="宋体" w:hAnsi="宋体" w:eastAsia="宋体"/>
                <w:sz w:val="16"/>
              </w:rPr>
              <w:t>20</w:t>
            </w:r>
          </w:p>
        </w:tc>
      </w:tr>
      <w:tr w14:paraId="7F38F4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074E2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CC17E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77F9D">
            <w:pPr>
              <w:jc w:val="center"/>
            </w:pPr>
            <w:r>
              <w:rPr>
                <w:rFonts w:ascii="宋体" w:hAnsi="宋体" w:eastAsia="宋体"/>
                <w:sz w:val="16"/>
              </w:rPr>
              <w:t>配合涉湖县市开展博斯腾湖风景名胜区人类活动巡查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BF923">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0F1F4">
            <w:pPr>
              <w:jc w:val="center"/>
            </w:pPr>
            <w:r>
              <w:rPr>
                <w:rFonts w:ascii="宋体" w:hAnsi="宋体" w:eastAsia="宋体"/>
                <w:sz w:val="16"/>
              </w:rPr>
              <w:t>部门工作计划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B2A9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15E40">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963F3">
            <w:pPr>
              <w:jc w:val="center"/>
            </w:pPr>
            <w:r>
              <w:rPr>
                <w:rFonts w:ascii="宋体" w:hAnsi="宋体" w:eastAsia="宋体"/>
                <w:sz w:val="16"/>
              </w:rPr>
              <w:t>20</w:t>
            </w:r>
          </w:p>
        </w:tc>
      </w:tr>
    </w:tbl>
    <w:p w14:paraId="2E15FE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96"/>
      </w:tblGrid>
      <w:tr w14:paraId="3982E179">
        <w:tblPrEx>
          <w:tblCellMar>
            <w:top w:w="0" w:type="dxa"/>
            <w:left w:w="108" w:type="dxa"/>
            <w:bottom w:w="0" w:type="dxa"/>
            <w:right w:w="108" w:type="dxa"/>
          </w:tblCellMar>
        </w:tblPrEx>
        <w:tc>
          <w:tcPr>
            <w:tcW w:w="8848" w:type="dxa"/>
            <w:gridSpan w:val="14"/>
            <w:vAlign w:val="center"/>
          </w:tcPr>
          <w:p w14:paraId="4DF4B332">
            <w:pPr>
              <w:jc w:val="center"/>
            </w:pPr>
            <w:r>
              <w:rPr>
                <w:rFonts w:ascii="宋体" w:hAnsi="宋体" w:eastAsia="宋体"/>
                <w:sz w:val="24"/>
              </w:rPr>
              <w:t>项目支出绩效自评表</w:t>
            </w:r>
          </w:p>
        </w:tc>
      </w:tr>
      <w:tr w14:paraId="29A9F270">
        <w:tblPrEx>
          <w:tblCellMar>
            <w:top w:w="0" w:type="dxa"/>
            <w:left w:w="108" w:type="dxa"/>
            <w:bottom w:w="0" w:type="dxa"/>
            <w:right w:w="108" w:type="dxa"/>
          </w:tblCellMar>
        </w:tblPrEx>
        <w:tc>
          <w:tcPr>
            <w:tcW w:w="8848" w:type="dxa"/>
            <w:gridSpan w:val="14"/>
            <w:vAlign w:val="center"/>
          </w:tcPr>
          <w:p w14:paraId="2DAEA78F">
            <w:pPr>
              <w:jc w:val="center"/>
            </w:pPr>
            <w:r>
              <w:rPr>
                <w:rFonts w:ascii="宋体" w:hAnsi="宋体" w:eastAsia="宋体"/>
                <w:sz w:val="24"/>
              </w:rPr>
              <w:t>(2024年度)</w:t>
            </w:r>
          </w:p>
        </w:tc>
      </w:tr>
      <w:tr w14:paraId="6D5C4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CD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B58BCA">
            <w:pPr>
              <w:jc w:val="center"/>
            </w:pPr>
            <w:r>
              <w:rPr>
                <w:rFonts w:ascii="宋体" w:hAnsi="宋体" w:eastAsia="宋体"/>
                <w:sz w:val="16"/>
              </w:rPr>
              <w:t>《博斯腾湖风景名胜区总体规划》修编项目</w:t>
            </w:r>
          </w:p>
        </w:tc>
      </w:tr>
      <w:tr w14:paraId="45D68A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BF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CA580">
            <w:pPr>
              <w:jc w:val="center"/>
            </w:pPr>
            <w:r>
              <w:rPr>
                <w:rFonts w:ascii="宋体" w:hAnsi="宋体" w:eastAsia="宋体"/>
                <w:sz w:val="16"/>
              </w:rPr>
              <w:t>新疆巴州博斯腾湖风景名胜区管理委员会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FB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87C4E3">
            <w:pPr>
              <w:jc w:val="center"/>
            </w:pPr>
            <w:r>
              <w:rPr>
                <w:rFonts w:ascii="宋体" w:hAnsi="宋体" w:eastAsia="宋体"/>
                <w:sz w:val="16"/>
              </w:rPr>
              <w:t>新疆巴州博斯腾湖风景名胜区管理委员会</w:t>
            </w:r>
          </w:p>
        </w:tc>
      </w:tr>
      <w:tr w14:paraId="323FB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E0D0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E8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F5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7E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75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EED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40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592B">
            <w:pPr>
              <w:jc w:val="center"/>
            </w:pPr>
            <w:r>
              <w:rPr>
                <w:rFonts w:ascii="宋体" w:hAnsi="宋体" w:eastAsia="宋体"/>
                <w:sz w:val="16"/>
              </w:rPr>
              <w:t>得分</w:t>
            </w:r>
          </w:p>
        </w:tc>
      </w:tr>
      <w:tr w14:paraId="7D2E3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46E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78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877D2">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10A7">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6CBDB">
            <w:pPr>
              <w:jc w:val="center"/>
            </w:pPr>
            <w:r>
              <w:rPr>
                <w:rFonts w:ascii="宋体" w:hAnsi="宋体" w:eastAsia="宋体"/>
                <w:sz w:val="16"/>
              </w:rPr>
              <w:t>127.80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0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7774">
            <w:pPr>
              <w:jc w:val="center"/>
            </w:pPr>
            <w:r>
              <w:rPr>
                <w:rFonts w:ascii="宋体" w:hAnsi="宋体" w:eastAsia="宋体"/>
                <w:sz w:val="16"/>
              </w:rPr>
              <w:t>39.94%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0AD6">
            <w:pPr>
              <w:jc w:val="center"/>
            </w:pPr>
            <w:r>
              <w:rPr>
                <w:rFonts w:ascii="宋体" w:hAnsi="宋体" w:eastAsia="宋体"/>
                <w:sz w:val="16"/>
              </w:rPr>
              <w:t>0.00</w:t>
            </w:r>
          </w:p>
        </w:tc>
      </w:tr>
      <w:tr w14:paraId="278A5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A65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55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C45C">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F5AE">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A480">
            <w:pPr>
              <w:jc w:val="center"/>
            </w:pPr>
            <w:r>
              <w:rPr>
                <w:rFonts w:ascii="宋体" w:hAnsi="宋体" w:eastAsia="宋体"/>
                <w:sz w:val="16"/>
              </w:rPr>
              <w:t>127.80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01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AD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11B2">
            <w:pPr>
              <w:jc w:val="center"/>
            </w:pPr>
            <w:r>
              <w:rPr>
                <w:rFonts w:ascii="宋体" w:hAnsi="宋体" w:eastAsia="宋体"/>
                <w:sz w:val="16"/>
              </w:rPr>
              <w:t>-</w:t>
            </w:r>
          </w:p>
        </w:tc>
      </w:tr>
      <w:tr w14:paraId="5F635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68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18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B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8D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83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CE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2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C4A">
            <w:pPr>
              <w:jc w:val="center"/>
            </w:pPr>
            <w:r>
              <w:rPr>
                <w:rFonts w:ascii="宋体" w:hAnsi="宋体" w:eastAsia="宋体"/>
                <w:sz w:val="16"/>
              </w:rPr>
              <w:t>-</w:t>
            </w:r>
          </w:p>
        </w:tc>
      </w:tr>
      <w:tr w14:paraId="3A786B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8DB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56E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B61E2">
            <w:pPr>
              <w:jc w:val="center"/>
            </w:pPr>
            <w:r>
              <w:rPr>
                <w:rFonts w:ascii="宋体" w:hAnsi="宋体" w:eastAsia="宋体"/>
                <w:sz w:val="16"/>
              </w:rPr>
              <w:t>总体目标完成情况</w:t>
            </w:r>
          </w:p>
        </w:tc>
      </w:tr>
      <w:tr w14:paraId="1C1F8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81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4CC8C">
            <w:pPr>
              <w:jc w:val="both"/>
            </w:pPr>
            <w:r>
              <w:rPr>
                <w:rFonts w:ascii="宋体" w:hAnsi="宋体" w:eastAsia="宋体"/>
                <w:sz w:val="16"/>
              </w:rPr>
              <w:t>通过采购程序聘请有资质的专业机构，开展《博斯腾湖风景名胜区总体规划》修编，广泛征求意见修改完善后，形成规划成果。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90E162">
            <w:pPr>
              <w:jc w:val="both"/>
            </w:pPr>
            <w:r>
              <w:rPr>
                <w:rFonts w:ascii="宋体" w:hAnsi="宋体" w:eastAsia="宋体"/>
                <w:sz w:val="16"/>
              </w:rPr>
              <w:t>通过完成项目采购，聘请1家有资质的专业机构，开展《博斯腾湖风景名胜区总体规划》修编工作，按期形成规划成果1个，并广泛征求意见修改完善1次，确保规划成果符合国家规范，达到了科学规划、精准定位和推动博斯腾湖风景名胜区高质量发展的效果。</w:t>
            </w:r>
          </w:p>
        </w:tc>
      </w:tr>
      <w:tr w14:paraId="36232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04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00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7F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55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22C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2B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27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D7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29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3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90F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AB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AA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EAD7">
            <w:pPr>
              <w:jc w:val="center"/>
            </w:pPr>
            <w:r>
              <w:rPr>
                <w:rFonts w:ascii="宋体" w:hAnsi="宋体" w:eastAsia="宋体"/>
                <w:sz w:val="16"/>
              </w:rPr>
              <w:t>偏差原因分析及改进措施</w:t>
            </w:r>
          </w:p>
        </w:tc>
      </w:tr>
      <w:tr w14:paraId="0694B7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819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2B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58A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8A7E">
            <w:pPr>
              <w:jc w:val="center"/>
            </w:pPr>
            <w:r>
              <w:rPr>
                <w:rFonts w:ascii="宋体" w:hAnsi="宋体" w:eastAsia="宋体"/>
                <w:sz w:val="16"/>
              </w:rPr>
              <w:t>完成规划修编成果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D12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8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B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706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6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B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A6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8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C60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3A26">
            <w:pPr>
              <w:jc w:val="center"/>
            </w:pPr>
          </w:p>
        </w:tc>
      </w:tr>
      <w:tr w14:paraId="64D5A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71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A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E0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390D">
            <w:pPr>
              <w:jc w:val="center"/>
            </w:pPr>
            <w:r>
              <w:rPr>
                <w:rFonts w:ascii="宋体" w:hAnsi="宋体" w:eastAsia="宋体"/>
                <w:sz w:val="16"/>
              </w:rPr>
              <w:t>规划修改次数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400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0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6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93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9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4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413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2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04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9A62">
            <w:pPr>
              <w:jc w:val="center"/>
            </w:pPr>
          </w:p>
        </w:tc>
      </w:tr>
      <w:tr w14:paraId="685C8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C8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1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09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AD78">
            <w:pPr>
              <w:jc w:val="center"/>
            </w:pPr>
            <w:r>
              <w:rPr>
                <w:rFonts w:ascii="宋体" w:hAnsi="宋体" w:eastAsia="宋体"/>
                <w:sz w:val="16"/>
              </w:rPr>
              <w:t>规划成果符合国家规范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6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8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1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4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C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7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3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9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F8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98D4">
            <w:pPr>
              <w:jc w:val="center"/>
            </w:pPr>
          </w:p>
        </w:tc>
      </w:tr>
      <w:tr w14:paraId="635AA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5A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F8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B5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07F4">
            <w:pPr>
              <w:jc w:val="center"/>
            </w:pPr>
            <w:r>
              <w:rPr>
                <w:rFonts w:ascii="宋体" w:hAnsi="宋体" w:eastAsia="宋体"/>
                <w:sz w:val="16"/>
              </w:rPr>
              <w:t>规划成果按期完成率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8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2F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9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E4A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9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FD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6D47">
            <w:pPr>
              <w:jc w:val="center"/>
            </w:pPr>
          </w:p>
        </w:tc>
      </w:tr>
      <w:tr w14:paraId="47150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602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F3A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79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480D">
            <w:pPr>
              <w:jc w:val="center"/>
            </w:pPr>
            <w:r>
              <w:rPr>
                <w:rFonts w:ascii="宋体" w:hAnsi="宋体" w:eastAsia="宋体"/>
                <w:sz w:val="16"/>
              </w:rPr>
              <w:t>第一阶段资金成本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2D14">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4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33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B1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0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55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2925">
            <w:pPr>
              <w:jc w:val="center"/>
            </w:pPr>
            <w:r>
              <w:rPr>
                <w:rFonts w:ascii="宋体" w:hAnsi="宋体" w:eastAsia="宋体"/>
                <w:sz w:val="16"/>
              </w:rPr>
              <w:t>=127.8万元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5346">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B3AE">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E9BE">
            <w:pPr>
              <w:jc w:val="center"/>
            </w:pPr>
            <w:r>
              <w:rPr>
                <w:rFonts w:ascii="宋体" w:hAnsi="宋体" w:eastAsia="宋体"/>
                <w:sz w:val="16"/>
              </w:rPr>
              <w:t>该项目实施年限为两年，预算资金为320万元，实际采购价为319.5万元，按照</w:t>
            </w:r>
            <w:r>
              <w:rPr>
                <w:rFonts w:hint="eastAsia" w:ascii="宋体" w:hAnsi="宋体"/>
                <w:sz w:val="16"/>
                <w:lang w:eastAsia="zh-CN"/>
              </w:rPr>
              <w:t>合同</w:t>
            </w:r>
            <w:r>
              <w:rPr>
                <w:rFonts w:ascii="宋体" w:hAnsi="宋体" w:eastAsia="宋体"/>
                <w:sz w:val="16"/>
              </w:rPr>
              <w:t>第一阶段支付采购价的40%，节约资金0.2万元；下一步加强资金预算管理，科学规划。</w:t>
            </w:r>
          </w:p>
        </w:tc>
      </w:tr>
      <w:tr w14:paraId="5AEB1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A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7F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C1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24DA">
            <w:pPr>
              <w:jc w:val="center"/>
            </w:pPr>
            <w:r>
              <w:rPr>
                <w:rFonts w:ascii="宋体" w:hAnsi="宋体" w:eastAsia="宋体"/>
                <w:sz w:val="16"/>
              </w:rPr>
              <w:t>第二阶段资金成本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0CA7">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E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A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E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B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24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97A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41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75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3413">
            <w:pPr>
              <w:jc w:val="center"/>
            </w:pPr>
            <w:r>
              <w:rPr>
                <w:rFonts w:ascii="宋体" w:hAnsi="宋体" w:eastAsia="宋体"/>
                <w:sz w:val="16"/>
              </w:rPr>
              <w:t>该项目实施年限为两年，20214年由于国家林业和草原局10月15日公布了《博斯腾湖风景名胜区整合优化方案》，但</w:t>
            </w:r>
            <w:bookmarkStart w:id="0" w:name="_GoBack"/>
            <w:r>
              <w:rPr>
                <w:rFonts w:hint="eastAsia" w:ascii="宋体" w:hAnsi="宋体"/>
                <w:sz w:val="16"/>
                <w:lang w:eastAsia="zh-CN"/>
              </w:rPr>
              <w:t>截至</w:t>
            </w:r>
            <w:bookmarkEnd w:id="0"/>
            <w:r>
              <w:rPr>
                <w:rFonts w:ascii="宋体" w:hAnsi="宋体" w:eastAsia="宋体"/>
                <w:sz w:val="16"/>
              </w:rPr>
              <w:t>2024年12月31日尚未批复该方案，影响了《博斯腾湖风景名胜区总体规划》修编项目的进度，原计划支付的第二笔修编项目经费无法支付。下一步，加强与上级林草部门的沟通，推进项目实施，切实做好资金预算管理，制定科学的支出计划，充分发挥资金的作用。</w:t>
            </w:r>
          </w:p>
        </w:tc>
      </w:tr>
      <w:tr w14:paraId="33196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A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31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43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9C5E">
            <w:pPr>
              <w:jc w:val="center"/>
            </w:pPr>
            <w:r>
              <w:rPr>
                <w:rFonts w:ascii="宋体" w:hAnsi="宋体" w:eastAsia="宋体"/>
                <w:sz w:val="16"/>
              </w:rPr>
              <w:t>受益县市团场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4F19">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1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E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1A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1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7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A9A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5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ED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91F5">
            <w:pPr>
              <w:jc w:val="center"/>
            </w:pPr>
          </w:p>
        </w:tc>
      </w:tr>
      <w:tr w14:paraId="17BC2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27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BB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4F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48FC">
            <w:pPr>
              <w:jc w:val="center"/>
            </w:pPr>
            <w:r>
              <w:rPr>
                <w:rFonts w:ascii="宋体" w:hAnsi="宋体" w:eastAsia="宋体"/>
                <w:sz w:val="16"/>
              </w:rPr>
              <w:t>涉湖各县市团场满意度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65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D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5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9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06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B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D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D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C400">
            <w:pPr>
              <w:jc w:val="center"/>
            </w:pPr>
            <w:r>
              <w:rPr>
                <w:rFonts w:ascii="宋体" w:hAnsi="宋体" w:eastAsia="宋体"/>
                <w:sz w:val="16"/>
              </w:rPr>
              <w:t>在《博斯腾湖风景名胜区总体规划》修编过程中，广泛征求博湖县、和硕县等涉湖县市的意见，获得了涉湖县市团场认可，满意度得到了提高。</w:t>
            </w:r>
          </w:p>
        </w:tc>
      </w:tr>
      <w:tr w14:paraId="65593C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3140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6876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434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FD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D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5A1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E0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B92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DB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87C0">
            <w:pPr>
              <w:jc w:val="center"/>
            </w:pPr>
            <w:r>
              <w:rPr>
                <w:rFonts w:ascii="宋体" w:hAnsi="宋体" w:eastAsia="宋体"/>
                <w:sz w:val="16"/>
              </w:rPr>
              <w:t>79.96分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423DC"/>
        </w:tc>
      </w:tr>
    </w:tbl>
    <w:p w14:paraId="5FD7A48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DB75138">
        <w:tblPrEx>
          <w:tblCellMar>
            <w:top w:w="0" w:type="dxa"/>
            <w:left w:w="108" w:type="dxa"/>
            <w:bottom w:w="0" w:type="dxa"/>
            <w:right w:w="108" w:type="dxa"/>
          </w:tblCellMar>
        </w:tblPrEx>
        <w:tc>
          <w:tcPr>
            <w:tcW w:w="8848" w:type="dxa"/>
            <w:gridSpan w:val="14"/>
            <w:vAlign w:val="center"/>
          </w:tcPr>
          <w:p w14:paraId="3D7BC527">
            <w:pPr>
              <w:jc w:val="center"/>
            </w:pPr>
            <w:r>
              <w:rPr>
                <w:rFonts w:ascii="宋体" w:hAnsi="宋体" w:eastAsia="宋体"/>
                <w:sz w:val="24"/>
              </w:rPr>
              <w:t>项目支出绩效自评表</w:t>
            </w:r>
          </w:p>
        </w:tc>
      </w:tr>
      <w:tr w14:paraId="2E5DA05F">
        <w:tblPrEx>
          <w:tblCellMar>
            <w:top w:w="0" w:type="dxa"/>
            <w:left w:w="108" w:type="dxa"/>
            <w:bottom w:w="0" w:type="dxa"/>
            <w:right w:w="108" w:type="dxa"/>
          </w:tblCellMar>
        </w:tblPrEx>
        <w:tc>
          <w:tcPr>
            <w:tcW w:w="8848" w:type="dxa"/>
            <w:gridSpan w:val="14"/>
            <w:vAlign w:val="center"/>
          </w:tcPr>
          <w:p w14:paraId="3C1D4186">
            <w:pPr>
              <w:jc w:val="center"/>
            </w:pPr>
            <w:r>
              <w:rPr>
                <w:rFonts w:ascii="宋体" w:hAnsi="宋体" w:eastAsia="宋体"/>
                <w:sz w:val="24"/>
              </w:rPr>
              <w:t>(2024年度)</w:t>
            </w:r>
          </w:p>
        </w:tc>
      </w:tr>
      <w:tr w14:paraId="2AFF8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1C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BBFB90">
            <w:pPr>
              <w:jc w:val="center"/>
            </w:pPr>
            <w:r>
              <w:rPr>
                <w:rFonts w:ascii="宋体" w:hAnsi="宋体" w:eastAsia="宋体"/>
                <w:sz w:val="16"/>
              </w:rPr>
              <w:t>博斯腾湖风景名胜区执法船舶运行保障项目</w:t>
            </w:r>
          </w:p>
        </w:tc>
      </w:tr>
      <w:tr w14:paraId="66000B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C1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29BAA">
            <w:pPr>
              <w:jc w:val="center"/>
            </w:pPr>
            <w:r>
              <w:rPr>
                <w:rFonts w:ascii="宋体" w:hAnsi="宋体" w:eastAsia="宋体"/>
                <w:sz w:val="16"/>
              </w:rPr>
              <w:t>新疆巴州博斯腾湖风景名胜区管理委员会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CF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A3F237">
            <w:pPr>
              <w:jc w:val="center"/>
            </w:pPr>
            <w:r>
              <w:rPr>
                <w:rFonts w:ascii="宋体" w:hAnsi="宋体" w:eastAsia="宋体"/>
                <w:sz w:val="16"/>
              </w:rPr>
              <w:t>新疆巴州博斯腾湖风景名胜区管理委员会</w:t>
            </w:r>
          </w:p>
        </w:tc>
      </w:tr>
      <w:tr w14:paraId="53B64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538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E4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02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A2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A20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D3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C5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224C">
            <w:pPr>
              <w:jc w:val="center"/>
            </w:pPr>
            <w:r>
              <w:rPr>
                <w:rFonts w:ascii="宋体" w:hAnsi="宋体" w:eastAsia="宋体"/>
                <w:sz w:val="16"/>
              </w:rPr>
              <w:t>得分</w:t>
            </w:r>
          </w:p>
        </w:tc>
      </w:tr>
      <w:tr w14:paraId="1A9DF5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675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E7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A1CC">
            <w:pPr>
              <w:jc w:val="center"/>
            </w:pPr>
            <w:r>
              <w:rPr>
                <w:rFonts w:ascii="宋体" w:hAnsi="宋体" w:eastAsia="宋体"/>
                <w:sz w:val="16"/>
              </w:rPr>
              <w:t>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F133">
            <w:pPr>
              <w:jc w:val="center"/>
            </w:pPr>
            <w:r>
              <w:rPr>
                <w:rFonts w:ascii="宋体" w:hAnsi="宋体" w:eastAsia="宋体"/>
                <w:sz w:val="16"/>
              </w:rPr>
              <w:t>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EABB">
            <w:pPr>
              <w:jc w:val="center"/>
            </w:pPr>
            <w:r>
              <w:rPr>
                <w:rFonts w:ascii="宋体" w:hAnsi="宋体" w:eastAsia="宋体"/>
                <w:sz w:val="16"/>
              </w:rPr>
              <w:t>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B0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6D40">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29FA">
            <w:pPr>
              <w:jc w:val="center"/>
            </w:pPr>
            <w:r>
              <w:rPr>
                <w:rFonts w:ascii="宋体" w:hAnsi="宋体" w:eastAsia="宋体"/>
                <w:sz w:val="16"/>
              </w:rPr>
              <w:t>9.93</w:t>
            </w:r>
          </w:p>
        </w:tc>
      </w:tr>
      <w:tr w14:paraId="06680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C3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A0F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AC9F">
            <w:pPr>
              <w:jc w:val="center"/>
            </w:pPr>
            <w:r>
              <w:rPr>
                <w:rFonts w:ascii="宋体" w:hAnsi="宋体" w:eastAsia="宋体"/>
                <w:sz w:val="16"/>
              </w:rPr>
              <w:t>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7CD1">
            <w:pPr>
              <w:jc w:val="center"/>
            </w:pPr>
            <w:r>
              <w:rPr>
                <w:rFonts w:ascii="宋体" w:hAnsi="宋体" w:eastAsia="宋体"/>
                <w:sz w:val="16"/>
              </w:rPr>
              <w:t>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225A1">
            <w:pPr>
              <w:jc w:val="center"/>
            </w:pPr>
            <w:r>
              <w:rPr>
                <w:rFonts w:ascii="宋体" w:hAnsi="宋体" w:eastAsia="宋体"/>
                <w:sz w:val="16"/>
              </w:rPr>
              <w:t>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E92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0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5A8B">
            <w:pPr>
              <w:jc w:val="center"/>
            </w:pPr>
            <w:r>
              <w:rPr>
                <w:rFonts w:ascii="宋体" w:hAnsi="宋体" w:eastAsia="宋体"/>
                <w:sz w:val="16"/>
              </w:rPr>
              <w:t>-</w:t>
            </w:r>
          </w:p>
        </w:tc>
      </w:tr>
      <w:tr w14:paraId="0EDA8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254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BC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2EE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11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3A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6E1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1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A6AF">
            <w:pPr>
              <w:jc w:val="center"/>
            </w:pPr>
            <w:r>
              <w:rPr>
                <w:rFonts w:ascii="宋体" w:hAnsi="宋体" w:eastAsia="宋体"/>
                <w:sz w:val="16"/>
              </w:rPr>
              <w:t>-</w:t>
            </w:r>
          </w:p>
        </w:tc>
      </w:tr>
      <w:tr w14:paraId="76CAE1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3CE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B86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20A724">
            <w:pPr>
              <w:jc w:val="center"/>
            </w:pPr>
            <w:r>
              <w:rPr>
                <w:rFonts w:ascii="宋体" w:hAnsi="宋体" w:eastAsia="宋体"/>
                <w:sz w:val="16"/>
              </w:rPr>
              <w:t>总体目标完成情况</w:t>
            </w:r>
          </w:p>
        </w:tc>
      </w:tr>
      <w:tr w14:paraId="4D0BC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14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A38B8">
            <w:pPr>
              <w:jc w:val="both"/>
            </w:pPr>
            <w:r>
              <w:rPr>
                <w:rFonts w:ascii="宋体" w:hAnsi="宋体" w:eastAsia="宋体"/>
                <w:sz w:val="16"/>
              </w:rPr>
              <w:t>为更好地加强对博斯腾湖风景名胜区的保护、利用和管理，2024年使用项目资金7.34万元，保障“环博号”执法船舶正常运行，严格按照《风景名胜区条例》要求，委托业务机构1家，开展综合执法巡查5次，切实强化对博斯腾湖的监督检查，发现并查处未经风景名胜区管理机构审核的建设活动，以及其他破坏风景名胜资源的违法行为，督促问题整改落实，促进旅游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026F0">
            <w:pPr>
              <w:jc w:val="both"/>
            </w:pPr>
            <w:r>
              <w:rPr>
                <w:rFonts w:ascii="宋体" w:hAnsi="宋体" w:eastAsia="宋体"/>
                <w:sz w:val="16"/>
              </w:rPr>
              <w:t>通过科学合理使用项目资金，委托业务机构1家，按照《风景名胜区条例》要求，围绕水上安全、建设活动等内容开展风景名胜区执法检查、巡查5次，形成检查报告5个，及时公开检查结果，督促问题整改落实到位，切实强化对博斯腾湖风景名胜区的监督管理，达到了有效保护风景名胜资源、促进博斯腾湖旅游业高质量发展的效果。</w:t>
            </w:r>
          </w:p>
        </w:tc>
      </w:tr>
      <w:tr w14:paraId="4CA5C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CC7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8B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42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DC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184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C7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EAA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095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62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9E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E9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AD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CF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476">
            <w:pPr>
              <w:jc w:val="center"/>
            </w:pPr>
            <w:r>
              <w:rPr>
                <w:rFonts w:ascii="宋体" w:hAnsi="宋体" w:eastAsia="宋体"/>
                <w:sz w:val="16"/>
              </w:rPr>
              <w:t>偏差原因分析及改进措施</w:t>
            </w:r>
          </w:p>
        </w:tc>
      </w:tr>
      <w:tr w14:paraId="7058E4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E46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68D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451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DC1D">
            <w:pPr>
              <w:jc w:val="center"/>
            </w:pPr>
            <w:r>
              <w:rPr>
                <w:rFonts w:ascii="宋体" w:hAnsi="宋体" w:eastAsia="宋体"/>
                <w:sz w:val="16"/>
              </w:rPr>
              <w:t>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33C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08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F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7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B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7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773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D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0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C0A0">
            <w:pPr>
              <w:jc w:val="center"/>
            </w:pPr>
          </w:p>
        </w:tc>
      </w:tr>
      <w:tr w14:paraId="4A04F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0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9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4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AD0F">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FA9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F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0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0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B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2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FAC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C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7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1AEF">
            <w:pPr>
              <w:jc w:val="center"/>
            </w:pPr>
          </w:p>
        </w:tc>
      </w:tr>
      <w:tr w14:paraId="3F07C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0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BC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7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4FDF">
            <w:pPr>
              <w:jc w:val="center"/>
            </w:pPr>
            <w:r>
              <w:rPr>
                <w:rFonts w:ascii="宋体" w:hAnsi="宋体" w:eastAsia="宋体"/>
                <w:sz w:val="16"/>
              </w:rPr>
              <w:t>委托业务机构数量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79C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4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A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15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6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8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731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C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A4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3FB">
            <w:pPr>
              <w:jc w:val="center"/>
            </w:pPr>
          </w:p>
        </w:tc>
      </w:tr>
      <w:tr w14:paraId="6BEF9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3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1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B9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DD97">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8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7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0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AC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A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5A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C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3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5DE5">
            <w:pPr>
              <w:jc w:val="center"/>
            </w:pPr>
          </w:p>
        </w:tc>
      </w:tr>
      <w:tr w14:paraId="65D61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C5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52F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A70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B8F3">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36A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C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E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9F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D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0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E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1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F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DE65">
            <w:pPr>
              <w:jc w:val="center"/>
            </w:pPr>
            <w:r>
              <w:rPr>
                <w:rFonts w:ascii="宋体" w:hAnsi="宋体" w:eastAsia="宋体"/>
                <w:sz w:val="16"/>
              </w:rPr>
              <w:t>制定了年度检查任务工作计划，严格按照计划开展检查，提高了按时完成率。</w:t>
            </w:r>
          </w:p>
        </w:tc>
      </w:tr>
      <w:tr w14:paraId="3FF49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93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26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D6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349D">
            <w:pPr>
              <w:jc w:val="center"/>
            </w:pPr>
            <w:r>
              <w:rPr>
                <w:rFonts w:ascii="宋体" w:hAnsi="宋体" w:eastAsia="宋体"/>
                <w:sz w:val="16"/>
              </w:rPr>
              <w:t>委托业务费支付及时率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BE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0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3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17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8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0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A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2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D1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E43A">
            <w:pPr>
              <w:jc w:val="center"/>
            </w:pPr>
          </w:p>
        </w:tc>
      </w:tr>
      <w:tr w14:paraId="1801D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418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922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79E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0598">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F8F3">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2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D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1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C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04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4ED2">
            <w:pPr>
              <w:jc w:val="center"/>
            </w:pPr>
            <w:r>
              <w:rPr>
                <w:rFonts w:ascii="宋体" w:hAnsi="宋体" w:eastAsia="宋体"/>
                <w:sz w:val="16"/>
              </w:rPr>
              <w: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C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B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324F">
            <w:pPr>
              <w:jc w:val="center"/>
            </w:pPr>
          </w:p>
        </w:tc>
      </w:tr>
      <w:tr w14:paraId="36E17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4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F2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CB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C8F4">
            <w:pPr>
              <w:jc w:val="center"/>
            </w:pPr>
            <w:r>
              <w:rPr>
                <w:rFonts w:ascii="宋体" w:hAnsi="宋体" w:eastAsia="宋体"/>
                <w:sz w:val="16"/>
              </w:rPr>
              <w:t>开展综合执法巡查费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29EB">
            <w:pPr>
              <w:jc w:val="center"/>
            </w:pPr>
            <w:r>
              <w:rPr>
                <w:rFonts w:ascii="宋体" w:hAnsi="宋体" w:eastAsia="宋体"/>
                <w:sz w:val="16"/>
              </w:rPr>
              <w:t>&lt;=53400元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6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A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1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E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40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FA5F">
            <w:pPr>
              <w:jc w:val="center"/>
            </w:pPr>
            <w:r>
              <w:rPr>
                <w:rFonts w:ascii="宋体" w:hAnsi="宋体" w:eastAsia="宋体"/>
                <w:sz w:val="16"/>
              </w:rPr>
              <w:t>=53200元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5BFE">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A244">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F89C">
            <w:pPr>
              <w:jc w:val="center"/>
            </w:pPr>
            <w:r>
              <w:rPr>
                <w:rFonts w:ascii="宋体" w:hAnsi="宋体" w:eastAsia="宋体"/>
                <w:sz w:val="16"/>
              </w:rPr>
              <w:t>加强执法船舶的日常保养，节约维修资金；下一步加强资金预算管理，做到科学规划。</w:t>
            </w:r>
          </w:p>
        </w:tc>
      </w:tr>
      <w:tr w14:paraId="2F127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9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D848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659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197D">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6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C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D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4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4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5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4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D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7F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15F5">
            <w:pPr>
              <w:jc w:val="center"/>
            </w:pPr>
          </w:p>
        </w:tc>
      </w:tr>
      <w:tr w14:paraId="69FA6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C7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D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E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60F3">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B5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D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7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23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8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9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B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F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2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A844">
            <w:pPr>
              <w:jc w:val="center"/>
            </w:pPr>
            <w:r>
              <w:rPr>
                <w:rFonts w:ascii="宋体" w:hAnsi="宋体" w:eastAsia="宋体"/>
                <w:sz w:val="16"/>
              </w:rPr>
              <w:t>协调涉湖县市、团场加大对博斯腾湖风景名胜区经营业主的督促力度，确保发现问题全部整改落实到位。</w:t>
            </w:r>
          </w:p>
        </w:tc>
      </w:tr>
      <w:tr w14:paraId="450D6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A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6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F7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178D">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5372">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A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A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8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ED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A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29A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B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0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F968">
            <w:pPr>
              <w:jc w:val="center"/>
            </w:pPr>
          </w:p>
        </w:tc>
      </w:tr>
      <w:tr w14:paraId="7B8491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9C0A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AFD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A9E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B8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2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98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AF2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8ED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FE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BCEE">
            <w:pPr>
              <w:jc w:val="center"/>
            </w:pPr>
            <w:r>
              <w:rPr>
                <w:rFonts w:ascii="宋体" w:hAnsi="宋体" w:eastAsia="宋体"/>
                <w:sz w:val="16"/>
              </w:rPr>
              <w:t>99.84分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A9769"/>
        </w:tc>
      </w:tr>
    </w:tbl>
    <w:p w14:paraId="5887FB35">
      <w:r>
        <w:br w:type="page"/>
      </w:r>
    </w:p>
    <w:p w14:paraId="18869347">
      <w:pPr>
        <w:spacing w:line="640" w:lineRule="exact"/>
        <w:ind w:firstLine="640"/>
        <w:jc w:val="both"/>
        <w:outlineLvl w:val="2"/>
      </w:pPr>
      <w:r>
        <w:rPr>
          <w:rFonts w:ascii="黑体" w:hAnsi="黑体" w:eastAsia="黑体"/>
          <w:sz w:val="32"/>
        </w:rPr>
        <w:t>十二、其他需说明的事项</w:t>
      </w:r>
    </w:p>
    <w:p w14:paraId="7C1D7FFA">
      <w:pPr>
        <w:spacing w:line="580" w:lineRule="exact"/>
        <w:ind w:firstLine="640"/>
        <w:jc w:val="both"/>
      </w:pPr>
      <w:r>
        <w:rPr>
          <w:rFonts w:ascii="仿宋_GB2312" w:hAnsi="仿宋_GB2312" w:eastAsia="仿宋_GB2312"/>
          <w:b w:val="0"/>
          <w:sz w:val="32"/>
        </w:rPr>
        <w:t>本部门无其他需说明的事项。</w:t>
      </w:r>
    </w:p>
    <w:p w14:paraId="6AB6213D">
      <w:r>
        <w:br w:type="page"/>
      </w:r>
    </w:p>
    <w:p w14:paraId="4A9CEBFE">
      <w:pPr>
        <w:spacing w:line="240" w:lineRule="auto"/>
        <w:jc w:val="center"/>
        <w:outlineLvl w:val="1"/>
      </w:pPr>
      <w:r>
        <w:rPr>
          <w:rFonts w:ascii="黑体" w:hAnsi="黑体" w:eastAsia="黑体"/>
          <w:sz w:val="32"/>
        </w:rPr>
        <w:t>第三部分 专业名词解释</w:t>
      </w:r>
    </w:p>
    <w:p w14:paraId="34EE1D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D5A86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CD0A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A0E0C4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7A9C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FD83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05DB4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80512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D95FC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DA2E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0F41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B369B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4C15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23719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BC228F3">
      <w:r>
        <w:br w:type="page"/>
      </w:r>
    </w:p>
    <w:p w14:paraId="347DE7E7">
      <w:pPr>
        <w:spacing w:line="240" w:lineRule="auto"/>
        <w:jc w:val="center"/>
        <w:outlineLvl w:val="1"/>
      </w:pPr>
      <w:r>
        <w:rPr>
          <w:rFonts w:ascii="黑体" w:hAnsi="黑体" w:eastAsia="黑体"/>
          <w:sz w:val="32"/>
        </w:rPr>
        <w:t>第四部分 部门决算报表（见附表）</w:t>
      </w:r>
    </w:p>
    <w:p w14:paraId="004FF1B0">
      <w:pPr>
        <w:spacing w:line="240" w:lineRule="auto"/>
        <w:ind w:firstLine="640"/>
        <w:jc w:val="both"/>
      </w:pPr>
      <w:r>
        <w:rPr>
          <w:rFonts w:ascii="仿宋_GB2312" w:hAnsi="仿宋_GB2312" w:eastAsia="仿宋_GB2312"/>
          <w:b w:val="0"/>
          <w:sz w:val="32"/>
        </w:rPr>
        <w:t>一、《收入支出决算总表》</w:t>
      </w:r>
    </w:p>
    <w:p w14:paraId="3FBB240F">
      <w:pPr>
        <w:spacing w:line="240" w:lineRule="auto"/>
        <w:ind w:firstLine="640"/>
        <w:jc w:val="both"/>
      </w:pPr>
      <w:r>
        <w:rPr>
          <w:rFonts w:ascii="仿宋_GB2312" w:hAnsi="仿宋_GB2312" w:eastAsia="仿宋_GB2312"/>
          <w:b w:val="0"/>
          <w:sz w:val="32"/>
        </w:rPr>
        <w:t>二、《收入决算表》</w:t>
      </w:r>
    </w:p>
    <w:p w14:paraId="4A81319A">
      <w:pPr>
        <w:spacing w:line="240" w:lineRule="auto"/>
        <w:ind w:firstLine="640"/>
        <w:jc w:val="both"/>
      </w:pPr>
      <w:r>
        <w:rPr>
          <w:rFonts w:ascii="仿宋_GB2312" w:hAnsi="仿宋_GB2312" w:eastAsia="仿宋_GB2312"/>
          <w:b w:val="0"/>
          <w:sz w:val="32"/>
        </w:rPr>
        <w:t>三、《支出决算表》</w:t>
      </w:r>
    </w:p>
    <w:p w14:paraId="517F6399">
      <w:pPr>
        <w:spacing w:line="240" w:lineRule="auto"/>
        <w:ind w:firstLine="640"/>
        <w:jc w:val="both"/>
      </w:pPr>
      <w:r>
        <w:rPr>
          <w:rFonts w:ascii="仿宋_GB2312" w:hAnsi="仿宋_GB2312" w:eastAsia="仿宋_GB2312"/>
          <w:b w:val="0"/>
          <w:sz w:val="32"/>
        </w:rPr>
        <w:t>四、《财政拨款收入支出决算总表》</w:t>
      </w:r>
    </w:p>
    <w:p w14:paraId="514FDBBD">
      <w:pPr>
        <w:spacing w:line="240" w:lineRule="auto"/>
        <w:ind w:firstLine="640"/>
        <w:jc w:val="both"/>
      </w:pPr>
      <w:r>
        <w:rPr>
          <w:rFonts w:ascii="仿宋_GB2312" w:hAnsi="仿宋_GB2312" w:eastAsia="仿宋_GB2312"/>
          <w:b w:val="0"/>
          <w:sz w:val="32"/>
        </w:rPr>
        <w:t>五、《一般公共预算财政拨款支出决算表》</w:t>
      </w:r>
    </w:p>
    <w:p w14:paraId="66E5AC1F">
      <w:pPr>
        <w:spacing w:line="240" w:lineRule="auto"/>
        <w:ind w:firstLine="640"/>
        <w:jc w:val="both"/>
      </w:pPr>
      <w:r>
        <w:rPr>
          <w:rFonts w:ascii="仿宋_GB2312" w:hAnsi="仿宋_GB2312" w:eastAsia="仿宋_GB2312"/>
          <w:b w:val="0"/>
          <w:sz w:val="32"/>
        </w:rPr>
        <w:t>六、《一般公共预算财政拨款基本支出决算表》</w:t>
      </w:r>
    </w:p>
    <w:p w14:paraId="1F56A721">
      <w:pPr>
        <w:spacing w:line="240" w:lineRule="auto"/>
        <w:ind w:firstLine="640"/>
        <w:jc w:val="both"/>
      </w:pPr>
      <w:r>
        <w:rPr>
          <w:rFonts w:ascii="仿宋_GB2312" w:hAnsi="仿宋_GB2312" w:eastAsia="仿宋_GB2312"/>
          <w:b w:val="0"/>
          <w:sz w:val="32"/>
        </w:rPr>
        <w:t>七、《政府性基金预算财政拨款收入支出决算表》</w:t>
      </w:r>
    </w:p>
    <w:p w14:paraId="0F1A6A98">
      <w:pPr>
        <w:spacing w:line="240" w:lineRule="auto"/>
        <w:ind w:firstLine="640"/>
        <w:jc w:val="both"/>
      </w:pPr>
      <w:r>
        <w:rPr>
          <w:rFonts w:ascii="仿宋_GB2312" w:hAnsi="仿宋_GB2312" w:eastAsia="仿宋_GB2312"/>
          <w:b w:val="0"/>
          <w:sz w:val="32"/>
        </w:rPr>
        <w:t>八、《国有资本经营预算财政拨款收入支出决算表》</w:t>
      </w:r>
    </w:p>
    <w:p w14:paraId="40D017E0">
      <w:pPr>
        <w:spacing w:line="240" w:lineRule="auto"/>
        <w:ind w:firstLine="640"/>
        <w:jc w:val="both"/>
      </w:pPr>
      <w:r>
        <w:rPr>
          <w:rFonts w:ascii="仿宋_GB2312" w:hAnsi="仿宋_GB2312" w:eastAsia="仿宋_GB2312"/>
          <w:b w:val="0"/>
          <w:sz w:val="32"/>
        </w:rPr>
        <w:t>九、《财政拨款“三公”经费支出决算表》</w:t>
      </w:r>
    </w:p>
    <w:p w14:paraId="58ED1F87">
      <w:pPr>
        <w:spacing w:line="240" w:lineRule="auto"/>
        <w:ind w:firstLine="640"/>
        <w:jc w:val="both"/>
      </w:pPr>
    </w:p>
    <w:p w14:paraId="4E014383">
      <w:pPr>
        <w:spacing w:line="240" w:lineRule="auto"/>
        <w:ind w:firstLine="640"/>
        <w:jc w:val="both"/>
      </w:pPr>
    </w:p>
    <w:p w14:paraId="37A13F98">
      <w:pPr>
        <w:spacing w:line="240" w:lineRule="auto"/>
        <w:ind w:firstLine="640"/>
        <w:jc w:val="both"/>
      </w:pPr>
    </w:p>
    <w:p w14:paraId="016AF3F4">
      <w:pPr>
        <w:spacing w:line="240" w:lineRule="auto"/>
        <w:ind w:firstLine="640"/>
        <w:jc w:val="both"/>
      </w:pPr>
    </w:p>
    <w:p w14:paraId="37A6C8B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2B69D5"/>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4792</Words>
  <Characters>5408</Characters>
  <Lines>0</Lines>
  <Paragraphs>0</Paragraphs>
  <TotalTime>1</TotalTime>
  <ScaleCrop>false</ScaleCrop>
  <LinksUpToDate>false</LinksUpToDate>
  <CharactersWithSpaces>5416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2025-09-11T05:27:19Z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