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新疆巴音郭楞蒙古自治州信访局2024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D9F78C0">
      <w:r>
        <w:br w:type="page"/>
      </w:r>
    </w:p>
    <w:p w14:paraId="16ABCBE7">
      <w:pPr>
        <w:spacing w:line="640" w:lineRule="exact"/>
        <w:jc w:val="center"/>
        <w:outlineLvl w:val="1"/>
      </w:pPr>
      <w:r>
        <w:rPr>
          <w:rFonts w:ascii="黑体" w:hAnsi="黑体" w:eastAsia="黑体"/>
          <w:sz w:val="32"/>
        </w:rPr>
        <w:t>第一部分 部门概况</w:t>
      </w:r>
    </w:p>
    <w:p w14:paraId="31531324">
      <w:pPr>
        <w:spacing w:line="640" w:lineRule="exact"/>
        <w:ind w:firstLine="640"/>
        <w:jc w:val="both"/>
        <w:outlineLvl w:val="2"/>
      </w:pPr>
      <w:r>
        <w:rPr>
          <w:rFonts w:ascii="黑体" w:hAnsi="黑体" w:eastAsia="黑体"/>
          <w:sz w:val="32"/>
        </w:rPr>
        <w:t>一、主要职能</w:t>
      </w:r>
    </w:p>
    <w:p w14:paraId="1820FC05">
      <w:pPr>
        <w:spacing w:line="580" w:lineRule="exact"/>
        <w:ind w:firstLine="640"/>
        <w:jc w:val="both"/>
      </w:pPr>
      <w:r>
        <w:rPr>
          <w:rFonts w:ascii="仿宋_GB2312" w:hAnsi="仿宋_GB2312" w:eastAsia="仿宋_GB2312"/>
          <w:sz w:val="32"/>
        </w:rPr>
        <w:t>贯彻落实自治州党委、人民政府和上级部门关于信访和群众工作的决策部署，定期分析信访形势，通报信访工作情况，提出改进工作</w:t>
      </w:r>
      <w:r>
        <w:rPr>
          <w:rFonts w:hint="eastAsia" w:ascii="仿宋_GB2312" w:hAnsi="仿宋_GB2312" w:eastAsia="仿宋_GB2312"/>
          <w:sz w:val="32"/>
          <w:lang w:eastAsia="zh-CN"/>
        </w:rPr>
        <w:t>意见</w:t>
      </w:r>
      <w:r>
        <w:rPr>
          <w:rFonts w:ascii="仿宋_GB2312" w:hAnsi="仿宋_GB2312" w:eastAsia="仿宋_GB2312"/>
          <w:sz w:val="32"/>
        </w:rPr>
        <w:t>，督促检查全州信访和群众工作。代表自治州党委、人民政府受理人民来信来电，接待群众来访，交办和转送信访人提出的信访事项。承办自治州党委、人民政府领导同志和上级机关交办的信访事项，督促检查领导批示件的落实情况；督促检查重要信访事项的处理和落实；审结上报重要信访案件。协调处理群众进京、赴自治区非正常上访和突发信访事件；协调处理跨地区、跨行业、跨部门和人事分离、人户分离、人事户分离的重要信访案件；直接查处重大疑难信访案件。负责网上信访事项的受理、交办、督办和回复工作；负责自治州信访信息系统建设和网络运行管理，及时上传、下载信访信息数据。宣传信访工作和群众工作政策，对来访群众进行思想教育和疏导；为来访群众提供有关法律法规和政策咨询服务。征集群众意见，反映社情民意，及时向自治州党委、人民政府报告信访情况，并对涉及群众利益的政策性问题提出意见和建议。监督检查涉及群众利益政策的贯彻落实情况；对涉及群众利益的改革性政策和重大项目进行风险评估，维护群众利益；对重大信访案件实施监督和责任倒查，对损害群众利益的行为提出责任追究的意见和建议。承担自治州处理信访突出问题及群体性事件联席会议办公室的日常工作，督促落实联席会议决定的事项。承担自治州依法终结信访事项审核认定工作。</w:t>
      </w:r>
    </w:p>
    <w:p w14:paraId="1E202BE1">
      <w:pPr>
        <w:spacing w:line="640" w:lineRule="exact"/>
        <w:ind w:firstLine="640"/>
        <w:jc w:val="both"/>
        <w:outlineLvl w:val="2"/>
      </w:pPr>
      <w:r>
        <w:rPr>
          <w:rFonts w:ascii="黑体" w:hAnsi="黑体" w:eastAsia="黑体"/>
          <w:sz w:val="32"/>
        </w:rPr>
        <w:t>二、机构设置及人员情况</w:t>
      </w:r>
    </w:p>
    <w:p w14:paraId="1050CB28">
      <w:pPr>
        <w:spacing w:line="580" w:lineRule="exact"/>
        <w:ind w:firstLine="640"/>
        <w:jc w:val="both"/>
      </w:pPr>
      <w:r>
        <w:rPr>
          <w:rFonts w:ascii="仿宋_GB2312" w:hAnsi="仿宋_GB2312" w:eastAsia="仿宋_GB2312"/>
          <w:sz w:val="32"/>
        </w:rPr>
        <w:t>新疆巴音郭楞蒙古自治州信访局2024年度，实有人数22人，其中：在职人员14人，减少1人；离休人员0人，增加0人；退休人员8人,增加0人。</w:t>
      </w:r>
    </w:p>
    <w:p w14:paraId="30E16DD8">
      <w:pPr>
        <w:spacing w:line="580" w:lineRule="exact"/>
        <w:ind w:firstLine="640"/>
        <w:jc w:val="both"/>
      </w:pPr>
      <w:r>
        <w:rPr>
          <w:rFonts w:ascii="仿宋_GB2312" w:hAnsi="仿宋_GB2312" w:eastAsia="仿宋_GB2312"/>
          <w:sz w:val="32"/>
        </w:rPr>
        <w:t>新疆巴音郭楞蒙古自治州信访局无下属预算单位，下设4个科室，分别是：办公室、来访接待科、网络投诉和信件办理科、督查办案和复查复核科。</w:t>
      </w:r>
    </w:p>
    <w:p w14:paraId="554FF387">
      <w:r>
        <w:br w:type="page"/>
      </w:r>
    </w:p>
    <w:p w14:paraId="7316325B">
      <w:pPr>
        <w:spacing w:line="240" w:lineRule="auto"/>
        <w:jc w:val="center"/>
        <w:outlineLvl w:val="1"/>
      </w:pPr>
      <w:r>
        <w:rPr>
          <w:rFonts w:ascii="黑体" w:hAnsi="黑体" w:eastAsia="黑体"/>
          <w:sz w:val="32"/>
        </w:rPr>
        <w:t>第二部分 部门决算情况说明</w:t>
      </w:r>
    </w:p>
    <w:p w14:paraId="68A58924">
      <w:pPr>
        <w:spacing w:line="640" w:lineRule="exact"/>
        <w:ind w:firstLine="640"/>
        <w:jc w:val="both"/>
        <w:outlineLvl w:val="2"/>
      </w:pPr>
      <w:r>
        <w:rPr>
          <w:rFonts w:ascii="黑体" w:hAnsi="黑体" w:eastAsia="黑体"/>
          <w:sz w:val="32"/>
        </w:rPr>
        <w:t>一、收入支出决算总体情况说明</w:t>
      </w:r>
    </w:p>
    <w:p w14:paraId="052FEB15">
      <w:pPr>
        <w:spacing w:line="580" w:lineRule="exact"/>
        <w:ind w:firstLine="640"/>
        <w:jc w:val="both"/>
      </w:pPr>
      <w:r>
        <w:rPr>
          <w:rFonts w:ascii="仿宋_GB2312" w:hAnsi="仿宋_GB2312" w:eastAsia="仿宋_GB2312"/>
          <w:b/>
          <w:sz w:val="32"/>
        </w:rPr>
        <w:t>2024年度收入总计368.65万元，</w:t>
      </w:r>
      <w:r>
        <w:rPr>
          <w:rFonts w:ascii="仿宋_GB2312" w:hAnsi="仿宋_GB2312" w:eastAsia="仿宋_GB2312"/>
          <w:b w:val="0"/>
          <w:sz w:val="32"/>
        </w:rPr>
        <w:t>其中：本年收入合计368.65万元，使用非财政拨款结余（含专用结余）0.00万元，年初结转和结余0.00万元。</w:t>
      </w:r>
    </w:p>
    <w:p w14:paraId="73A7047C">
      <w:pPr>
        <w:spacing w:line="580" w:lineRule="exact"/>
        <w:ind w:firstLine="640"/>
        <w:jc w:val="both"/>
      </w:pPr>
      <w:r>
        <w:rPr>
          <w:rFonts w:ascii="仿宋_GB2312" w:hAnsi="仿宋_GB2312" w:eastAsia="仿宋_GB2312"/>
          <w:b/>
          <w:sz w:val="32"/>
        </w:rPr>
        <w:t>2024年度支出总计368.65万元，</w:t>
      </w:r>
      <w:r>
        <w:rPr>
          <w:rFonts w:ascii="仿宋_GB2312" w:hAnsi="仿宋_GB2312" w:eastAsia="仿宋_GB2312"/>
          <w:b w:val="0"/>
          <w:sz w:val="32"/>
        </w:rPr>
        <w:t>其中：本年支出合计368.65万元，结余分配0.00万元，年末结转和结余0.00万元。</w:t>
      </w:r>
    </w:p>
    <w:p w14:paraId="0686372F">
      <w:pPr>
        <w:spacing w:line="580" w:lineRule="exact"/>
        <w:ind w:firstLine="640"/>
        <w:jc w:val="both"/>
      </w:pPr>
      <w:r>
        <w:rPr>
          <w:rFonts w:ascii="仿宋_GB2312" w:hAnsi="仿宋_GB2312" w:eastAsia="仿宋_GB2312"/>
          <w:b w:val="0"/>
          <w:sz w:val="32"/>
        </w:rPr>
        <w:t>收入支出总体与上年相比，减少74.86万元，下降16.88%，主要原因是：本年在职人员减少，相关人员经费较上年减少；减少全国两会期间信访安全保障专项工作经费项目及为民办实事经费项目；减少河北援疆人才培训项目经费，导致经费较上年减少。</w:t>
      </w:r>
    </w:p>
    <w:p w14:paraId="32F20BEE">
      <w:pPr>
        <w:spacing w:line="640" w:lineRule="exact"/>
        <w:ind w:firstLine="640"/>
        <w:jc w:val="both"/>
        <w:outlineLvl w:val="2"/>
      </w:pPr>
      <w:r>
        <w:rPr>
          <w:rFonts w:ascii="黑体" w:hAnsi="黑体" w:eastAsia="黑体"/>
          <w:sz w:val="32"/>
        </w:rPr>
        <w:t>二、收入决算情况说明</w:t>
      </w:r>
    </w:p>
    <w:p w14:paraId="6CBBF1B1">
      <w:pPr>
        <w:spacing w:line="580" w:lineRule="exact"/>
        <w:ind w:firstLine="640"/>
        <w:jc w:val="both"/>
      </w:pPr>
      <w:r>
        <w:rPr>
          <w:rFonts w:ascii="仿宋_GB2312" w:hAnsi="仿宋_GB2312" w:eastAsia="仿宋_GB2312"/>
          <w:b/>
          <w:sz w:val="32"/>
        </w:rPr>
        <w:t>本年收入368.65万元，</w:t>
      </w:r>
      <w:r>
        <w:rPr>
          <w:rFonts w:ascii="仿宋_GB2312" w:hAnsi="仿宋_GB2312" w:eastAsia="仿宋_GB2312"/>
          <w:b w:val="0"/>
          <w:sz w:val="32"/>
        </w:rPr>
        <w:t>其中：财政拨款收入366.65万元，占99.46%；上级补助收入0.00万元，占0.00%；事业收入0.00万元，占0.00%；经营收入0.00万元，占0.00%；附属单位上缴收入0.00万元，占0.00%；其他收入2.00万元，占0.54%。</w:t>
      </w:r>
    </w:p>
    <w:p w14:paraId="18B3F920">
      <w:pPr>
        <w:spacing w:line="640" w:lineRule="exact"/>
        <w:ind w:firstLine="640"/>
        <w:jc w:val="both"/>
        <w:outlineLvl w:val="2"/>
      </w:pPr>
      <w:r>
        <w:rPr>
          <w:rFonts w:ascii="黑体" w:hAnsi="黑体" w:eastAsia="黑体"/>
          <w:sz w:val="32"/>
        </w:rPr>
        <w:t>三、支出决算情况说明</w:t>
      </w:r>
    </w:p>
    <w:p w14:paraId="5C1A5FED">
      <w:pPr>
        <w:spacing w:line="580" w:lineRule="exact"/>
        <w:ind w:firstLine="640"/>
        <w:jc w:val="both"/>
      </w:pPr>
      <w:r>
        <w:rPr>
          <w:rFonts w:ascii="仿宋_GB2312" w:hAnsi="仿宋_GB2312" w:eastAsia="仿宋_GB2312"/>
          <w:b/>
          <w:sz w:val="32"/>
        </w:rPr>
        <w:t>本年支出368.65万元，</w:t>
      </w:r>
      <w:r>
        <w:rPr>
          <w:rFonts w:ascii="仿宋_GB2312" w:hAnsi="仿宋_GB2312" w:eastAsia="仿宋_GB2312"/>
          <w:b w:val="0"/>
          <w:sz w:val="32"/>
        </w:rPr>
        <w:t>其中：基本支出311.06万元，占84.38%；项目支出57.59万元，占15.62%；上缴上级支出0.00万元，占0.00%；经营支出0.00万元，占0.00%；对附属单位补助支出0.00万元，占0.00%。</w:t>
      </w:r>
    </w:p>
    <w:p w14:paraId="31E969A5">
      <w:pPr>
        <w:spacing w:line="640" w:lineRule="exact"/>
        <w:ind w:firstLine="640"/>
        <w:jc w:val="both"/>
        <w:outlineLvl w:val="2"/>
      </w:pPr>
      <w:r>
        <w:rPr>
          <w:rFonts w:ascii="黑体" w:hAnsi="黑体" w:eastAsia="黑体"/>
          <w:sz w:val="32"/>
        </w:rPr>
        <w:t>四、财政拨款收入支出决算总体情况说明</w:t>
      </w:r>
    </w:p>
    <w:p w14:paraId="0181D403">
      <w:pPr>
        <w:spacing w:line="580" w:lineRule="exact"/>
        <w:ind w:firstLine="640"/>
        <w:jc w:val="both"/>
      </w:pPr>
      <w:r>
        <w:rPr>
          <w:rFonts w:ascii="仿宋_GB2312" w:hAnsi="仿宋_GB2312" w:eastAsia="仿宋_GB2312"/>
          <w:b/>
          <w:sz w:val="32"/>
        </w:rPr>
        <w:t>2024年度财政拨款收入总计366.65万元，</w:t>
      </w:r>
      <w:r>
        <w:rPr>
          <w:rFonts w:ascii="仿宋_GB2312" w:hAnsi="仿宋_GB2312" w:eastAsia="仿宋_GB2312"/>
          <w:b w:val="0"/>
          <w:sz w:val="32"/>
        </w:rPr>
        <w:t>其中：年初财政拨款结转和结余0.00万元，本年财政拨款收入366.65万元。</w:t>
      </w:r>
      <w:r>
        <w:rPr>
          <w:rFonts w:ascii="仿宋_GB2312" w:hAnsi="仿宋_GB2312" w:eastAsia="仿宋_GB2312"/>
          <w:b/>
          <w:sz w:val="32"/>
        </w:rPr>
        <w:t>财政拨款支出总计366.65万元，</w:t>
      </w:r>
      <w:r>
        <w:rPr>
          <w:rFonts w:ascii="仿宋_GB2312" w:hAnsi="仿宋_GB2312" w:eastAsia="仿宋_GB2312"/>
          <w:b w:val="0"/>
          <w:sz w:val="32"/>
        </w:rPr>
        <w:t>其中：年末财政拨款结转和结余0.00万元，本年财政拨款支出366.65万元。</w:t>
      </w:r>
    </w:p>
    <w:p w14:paraId="68317AB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减少58.86万元，下降13.83%，主要原因是：本年在职人员减少，相关人员经费较上年减少；减少全国两会期间信访安全保障专项工作经费项目及为民办实事经费项目，导致经费较上年减少。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年初预算数406.01万元，决算数366.65万元，预决算差异率-9.69%，主要原因是：本年在职人员减少，年中调减人员经费及公用经费。</w:t>
      </w:r>
    </w:p>
    <w:p w14:paraId="1C097039">
      <w:pPr>
        <w:spacing w:line="640" w:lineRule="exact"/>
        <w:ind w:firstLine="640"/>
        <w:jc w:val="both"/>
        <w:outlineLvl w:val="2"/>
      </w:pPr>
      <w:r>
        <w:rPr>
          <w:rFonts w:ascii="黑体" w:hAnsi="黑体" w:eastAsia="黑体"/>
          <w:sz w:val="32"/>
        </w:rPr>
        <w:t>五、一般公共预算财政拨款支出决算情况说明</w:t>
      </w:r>
    </w:p>
    <w:p w14:paraId="233895BF">
      <w:pPr>
        <w:spacing w:line="640" w:lineRule="exact"/>
        <w:ind w:firstLine="640"/>
        <w:jc w:val="both"/>
        <w:outlineLvl w:val="3"/>
      </w:pPr>
      <w:r>
        <w:rPr>
          <w:rFonts w:ascii="楷体_GB2312" w:hAnsi="楷体_GB2312" w:eastAsia="楷体_GB2312"/>
          <w:b/>
          <w:sz w:val="32"/>
        </w:rPr>
        <w:t>（一）一般公共预算财政拨款支出决算总体情况</w:t>
      </w:r>
    </w:p>
    <w:p w14:paraId="3C44C3C3">
      <w:pPr>
        <w:spacing w:line="580" w:lineRule="exact"/>
        <w:ind w:firstLine="640"/>
        <w:jc w:val="both"/>
      </w:pPr>
      <w:r>
        <w:rPr>
          <w:rFonts w:ascii="仿宋_GB2312" w:hAnsi="仿宋_GB2312" w:eastAsia="仿宋_GB2312"/>
          <w:b/>
          <w:sz w:val="32"/>
        </w:rPr>
        <w:t>2024年度一般公共预算财政拨款支出366.65万元，</w:t>
      </w:r>
      <w:r>
        <w:rPr>
          <w:rFonts w:ascii="仿宋_GB2312" w:hAnsi="仿宋_GB2312" w:eastAsia="仿宋_GB2312"/>
          <w:b w:val="0"/>
          <w:sz w:val="32"/>
        </w:rPr>
        <w:t>占本年支出合计的99.46%。</w:t>
      </w:r>
      <w:r>
        <w:rPr>
          <w:rFonts w:ascii="仿宋_GB2312" w:hAnsi="仿宋_GB2312" w:eastAsia="仿宋_GB2312"/>
          <w:b/>
          <w:sz w:val="32"/>
        </w:rPr>
        <w:t>与上年相比，</w:t>
      </w:r>
      <w:r>
        <w:rPr>
          <w:rFonts w:ascii="仿宋_GB2312" w:hAnsi="仿宋_GB2312" w:eastAsia="仿宋_GB2312"/>
          <w:b w:val="0"/>
          <w:sz w:val="32"/>
        </w:rPr>
        <w:t>减少58.86万元，下降13.83%，主要原因是：本年在职人员减少，相关人员经费较上年减少；减少全国两会期间信访安全保障专项工作经费项目及为民办实事经费项目，导致经费较上年减少。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年初预算数406.01万元，决算数366.65万元，预决算差异率-9.69%，主要原因是：本年在职人员减少，年中调减人员经费及公用经费。</w:t>
      </w:r>
    </w:p>
    <w:p w14:paraId="73A0BF21">
      <w:pPr>
        <w:spacing w:line="640" w:lineRule="exact"/>
        <w:ind w:firstLine="640"/>
        <w:jc w:val="both"/>
        <w:outlineLvl w:val="3"/>
      </w:pPr>
      <w:r>
        <w:rPr>
          <w:rFonts w:ascii="楷体_GB2312" w:hAnsi="楷体_GB2312" w:eastAsia="楷体_GB2312"/>
          <w:b/>
          <w:sz w:val="32"/>
        </w:rPr>
        <w:t>（二）一般公共预算财政拨款支出决算结构情况</w:t>
      </w:r>
    </w:p>
    <w:p w14:paraId="5CF95900">
      <w:pPr>
        <w:spacing w:line="580" w:lineRule="exact"/>
        <w:ind w:firstLine="640"/>
        <w:jc w:val="both"/>
      </w:pPr>
      <w:r>
        <w:rPr>
          <w:rFonts w:ascii="仿宋_GB2312" w:hAnsi="仿宋_GB2312" w:eastAsia="仿宋_GB2312"/>
          <w:b w:val="0"/>
          <w:sz w:val="32"/>
        </w:rPr>
        <w:t>1.一般公共服务支出(类)291.01万元,占79.37%。</w:t>
      </w:r>
    </w:p>
    <w:p w14:paraId="2AA81BA5">
      <w:pPr>
        <w:spacing w:line="580" w:lineRule="exact"/>
        <w:ind w:firstLine="640"/>
        <w:jc w:val="both"/>
      </w:pPr>
      <w:r>
        <w:rPr>
          <w:rFonts w:ascii="仿宋_GB2312" w:hAnsi="仿宋_GB2312" w:eastAsia="仿宋_GB2312"/>
          <w:b w:val="0"/>
          <w:sz w:val="32"/>
        </w:rPr>
        <w:t>2.社会保障和就业支出(类)36.63万元,占9.99%。</w:t>
      </w:r>
    </w:p>
    <w:p w14:paraId="3CAD9B5A">
      <w:pPr>
        <w:spacing w:line="580" w:lineRule="exact"/>
        <w:ind w:firstLine="640"/>
        <w:jc w:val="both"/>
      </w:pPr>
      <w:r>
        <w:rPr>
          <w:rFonts w:ascii="仿宋_GB2312" w:hAnsi="仿宋_GB2312" w:eastAsia="仿宋_GB2312"/>
          <w:b w:val="0"/>
          <w:sz w:val="32"/>
        </w:rPr>
        <w:t>3.卫生健康支出(类)17.32万元,占4.72%。</w:t>
      </w:r>
    </w:p>
    <w:p w14:paraId="3F53A849">
      <w:pPr>
        <w:spacing w:line="580" w:lineRule="exact"/>
        <w:ind w:firstLine="640"/>
        <w:jc w:val="both"/>
      </w:pPr>
      <w:r>
        <w:rPr>
          <w:rFonts w:ascii="仿宋_GB2312" w:hAnsi="仿宋_GB2312" w:eastAsia="仿宋_GB2312"/>
          <w:b w:val="0"/>
          <w:sz w:val="32"/>
        </w:rPr>
        <w:t>4.住房保障支出(类)21.69万元,占5.92%。</w:t>
      </w:r>
    </w:p>
    <w:p w14:paraId="26377CA4">
      <w:pPr>
        <w:spacing w:line="640" w:lineRule="exact"/>
        <w:ind w:firstLine="640"/>
        <w:jc w:val="both"/>
        <w:outlineLvl w:val="3"/>
      </w:pPr>
      <w:r>
        <w:rPr>
          <w:rFonts w:ascii="楷体_GB2312" w:hAnsi="楷体_GB2312" w:eastAsia="楷体_GB2312"/>
          <w:b/>
          <w:sz w:val="32"/>
        </w:rPr>
        <w:t>（三）一般公共预算财政拨款支出决算具体情况</w:t>
      </w:r>
    </w:p>
    <w:p w14:paraId="6AAD31C3">
      <w:pPr>
        <w:spacing w:line="580" w:lineRule="exact"/>
        <w:ind w:firstLine="640"/>
        <w:jc w:val="both"/>
      </w:pPr>
      <w:r>
        <w:rPr>
          <w:rFonts w:ascii="仿宋_GB2312" w:hAnsi="仿宋_GB2312" w:eastAsia="仿宋_GB2312"/>
          <w:b w:val="0"/>
          <w:sz w:val="32"/>
        </w:rPr>
        <w:t>1.一般公共服务支出(类)政府办公厅（室）及相关机构事务(款)信访事务(项):支出决算数为0.00万元，比上年决算减少48.47万元，下降100.00%,主要原因是：本年未安排</w:t>
      </w:r>
      <w:r>
        <w:rPr>
          <w:rFonts w:hint="eastAsia" w:ascii="仿宋_GB2312" w:hAnsi="仿宋_GB2312" w:eastAsia="仿宋_GB2312"/>
          <w:b w:val="0"/>
          <w:sz w:val="32"/>
          <w:lang w:eastAsia="zh-CN"/>
        </w:rPr>
        <w:t>全国两会期间</w:t>
      </w:r>
      <w:r>
        <w:rPr>
          <w:rFonts w:ascii="仿宋_GB2312" w:hAnsi="仿宋_GB2312" w:eastAsia="仿宋_GB2312"/>
          <w:b w:val="0"/>
          <w:sz w:val="32"/>
        </w:rPr>
        <w:t>信访安全保障专项工作经费项目，相关支出减少；信访保障经费上年度在政府办公厅（室）及相关机构事务(款)信访事务(项)科目列支，本年调整至信访事务(款)一般行政管理事务(项)科目列支，导致经费较上年减少。</w:t>
      </w:r>
    </w:p>
    <w:p w14:paraId="2A41E865">
      <w:pPr>
        <w:spacing w:line="580" w:lineRule="exact"/>
        <w:ind w:firstLine="640"/>
        <w:jc w:val="both"/>
      </w:pPr>
      <w:r>
        <w:rPr>
          <w:rFonts w:ascii="仿宋_GB2312" w:hAnsi="仿宋_GB2312" w:eastAsia="仿宋_GB2312"/>
          <w:b w:val="0"/>
          <w:sz w:val="32"/>
        </w:rPr>
        <w:t>2.一般公共服务支出(类)其他共产党事务支出(款)行政运行(项):支出决算数为0.00万元，比上年决算减少243.36万元，下降100.00%,主要原因是：本年功能科目调整，人员经费及公用经费上年度在其他共产党事务支出(款)行政运行(项)科目列支，本年在信访事务(款)行政运行(项)科目列支，导致经费较上年减少。</w:t>
      </w:r>
    </w:p>
    <w:p w14:paraId="26DE25A6">
      <w:pPr>
        <w:spacing w:line="580" w:lineRule="exact"/>
        <w:ind w:firstLine="640"/>
        <w:jc w:val="both"/>
      </w:pPr>
      <w:r>
        <w:rPr>
          <w:rFonts w:ascii="仿宋_GB2312" w:hAnsi="仿宋_GB2312" w:eastAsia="仿宋_GB2312"/>
          <w:b w:val="0"/>
          <w:sz w:val="32"/>
        </w:rPr>
        <w:t>3.一般公共服务支出(类)其他共产党事务支出(款)一般行政管理事务(项):支出决算数为0.00万元，比上年决算减少27.48万元，下降100.00%,主要原因是：本年功能科目调整，为民办实事经费上年度在其他共产党事务支出(款)一般行政管理事务科目列支，本年在信访事务(款)一般行政管理事务(项)科目列支，导致经费较上年减少。</w:t>
      </w:r>
    </w:p>
    <w:p w14:paraId="7344F4A9">
      <w:pPr>
        <w:spacing w:line="580" w:lineRule="exact"/>
        <w:ind w:firstLine="640"/>
        <w:jc w:val="both"/>
      </w:pPr>
      <w:r>
        <w:rPr>
          <w:rFonts w:ascii="仿宋_GB2312" w:hAnsi="仿宋_GB2312" w:eastAsia="仿宋_GB2312"/>
          <w:b w:val="0"/>
          <w:sz w:val="32"/>
        </w:rPr>
        <w:t>4.一般公共服务支出(类)信访事务(款)行政运行(项):支出决算数为235.42万元，比上年决算增加235.42万元，增长100.00%,主要原因是：本年功能科目调整，人员经费及公用经费上年度在其他共产党事务支出(款)行政运行(项)科目列支，本年在信访事务(款)行政运行(项)科目列支，导致经费较上年增加。</w:t>
      </w:r>
    </w:p>
    <w:p w14:paraId="243EA69C">
      <w:pPr>
        <w:spacing w:line="580" w:lineRule="exact"/>
        <w:ind w:firstLine="640"/>
        <w:jc w:val="both"/>
      </w:pPr>
      <w:r>
        <w:rPr>
          <w:rFonts w:ascii="仿宋_GB2312" w:hAnsi="仿宋_GB2312" w:eastAsia="仿宋_GB2312"/>
          <w:b w:val="0"/>
          <w:sz w:val="32"/>
        </w:rPr>
        <w:t>5.一般公共服务支出(类)信访事务(款)一般行政管理事务(项):支出决算数为55.59万元，比上年决算增加55.59万元，增长100.00%,主要原因是：本年功能科目调整，为民办实事经费上年度在其他共产党事务支出(款)一般行政管理事务科目列支，本年在信访事务(款)一般行政管理事务(项)科目列支，导致经费较上年增加；信访保障经费上年度在政府办公厅（室）及相关机构事务(款)信访事务(项)科目列支，本年调整至信访事务(款)一般行政管理事务(项)科目列支，导致经费较上年增加。</w:t>
      </w:r>
    </w:p>
    <w:p w14:paraId="480C9FC1">
      <w:pPr>
        <w:spacing w:line="580" w:lineRule="exact"/>
        <w:ind w:firstLine="640"/>
        <w:jc w:val="both"/>
      </w:pPr>
      <w:r>
        <w:rPr>
          <w:rFonts w:ascii="仿宋_GB2312" w:hAnsi="仿宋_GB2312" w:eastAsia="仿宋_GB2312"/>
          <w:b w:val="0"/>
          <w:sz w:val="32"/>
        </w:rPr>
        <w:t>6.教育支出(类)进修及培训(款)培训支出(项):支出决算数为0.00万元，比上年决算减少0.54万元，下降100.00%,主要原因是：本年功能科目调整，培训支出上年度单独列支，本年调整至主科目列支，导致经费较上年减少。</w:t>
      </w:r>
    </w:p>
    <w:p w14:paraId="20254501">
      <w:pPr>
        <w:spacing w:line="580" w:lineRule="exact"/>
        <w:ind w:firstLine="640"/>
        <w:jc w:val="both"/>
      </w:pPr>
      <w:r>
        <w:rPr>
          <w:rFonts w:ascii="仿宋_GB2312" w:hAnsi="仿宋_GB2312" w:eastAsia="仿宋_GB2312"/>
          <w:b w:val="0"/>
          <w:sz w:val="32"/>
        </w:rPr>
        <w:t>7.社会保障和就业支出(类)行政事业单位养老支出(款)行政单位离退休(项):支出决算数为8.10万元，比上年决算增加1.54万元，增长23.48%,主要原因是：本年退休人员待遇增加，退休费支出增加。</w:t>
      </w:r>
    </w:p>
    <w:p w14:paraId="7F7E3240">
      <w:pPr>
        <w:spacing w:line="580" w:lineRule="exact"/>
        <w:ind w:firstLine="640"/>
        <w:jc w:val="both"/>
      </w:pPr>
      <w:r>
        <w:rPr>
          <w:rFonts w:ascii="仿宋_GB2312" w:hAnsi="仿宋_GB2312" w:eastAsia="仿宋_GB2312"/>
          <w:b w:val="0"/>
          <w:sz w:val="32"/>
        </w:rPr>
        <w:t>8.社会保障和就业支出(类)行政事业单位养老支出(款)机关事业单位基本养老保险缴费支出(项):支出决算数为28.53万元，比上年决算增加1.07万元，增长3.90%,主要原因是：本年在职人员工资基数调增，养老缴费基数上涨，相应支出增加。</w:t>
      </w:r>
    </w:p>
    <w:p w14:paraId="60DB9AD4">
      <w:pPr>
        <w:spacing w:line="580" w:lineRule="exact"/>
        <w:ind w:firstLine="640"/>
        <w:jc w:val="both"/>
      </w:pPr>
      <w:r>
        <w:rPr>
          <w:rFonts w:ascii="仿宋_GB2312" w:hAnsi="仿宋_GB2312" w:eastAsia="仿宋_GB2312"/>
          <w:b w:val="0"/>
          <w:sz w:val="32"/>
        </w:rPr>
        <w:t>9.社会保障和就业支出(类)行政事业单位养老支出(款)机关事业单位职业年金缴费支出(项):支出决算数为0.00万元，比上年决算减少9.91万元，下降100.00%,主要原因是：本年</w:t>
      </w:r>
      <w:r>
        <w:rPr>
          <w:rFonts w:hint="eastAsia" w:ascii="仿宋_GB2312" w:hAnsi="仿宋_GB2312" w:eastAsia="仿宋_GB2312"/>
          <w:b w:val="0"/>
          <w:sz w:val="32"/>
          <w:lang w:val="en-US" w:eastAsia="zh-CN"/>
        </w:rPr>
        <w:t>无</w:t>
      </w:r>
      <w:r>
        <w:rPr>
          <w:rFonts w:ascii="仿宋_GB2312" w:hAnsi="仿宋_GB2312" w:eastAsia="仿宋_GB2312"/>
          <w:b w:val="0"/>
          <w:sz w:val="32"/>
        </w:rPr>
        <w:t>新增退休人员，职业年金缴费较上年减少。</w:t>
      </w:r>
    </w:p>
    <w:p w14:paraId="5CC310AE">
      <w:pPr>
        <w:spacing w:line="580" w:lineRule="exact"/>
        <w:ind w:firstLine="640"/>
        <w:jc w:val="both"/>
      </w:pPr>
      <w:r>
        <w:rPr>
          <w:rFonts w:ascii="仿宋_GB2312" w:hAnsi="仿宋_GB2312" w:eastAsia="仿宋_GB2312"/>
          <w:b w:val="0"/>
          <w:sz w:val="32"/>
        </w:rPr>
        <w:t>10.社会保障和就业支出(类)抚恤(款)死亡抚恤(项):支出决算数为0.00万元，比上年决算减少22.75万元，下降100.00%,主要原因是：本年无新增死亡人员，死亡抚恤支出较上年减少。</w:t>
      </w:r>
    </w:p>
    <w:p w14:paraId="0DC7C5AE">
      <w:pPr>
        <w:spacing w:line="580" w:lineRule="exact"/>
        <w:ind w:firstLine="640"/>
        <w:jc w:val="both"/>
      </w:pPr>
      <w:r>
        <w:rPr>
          <w:rFonts w:ascii="仿宋_GB2312" w:hAnsi="仿宋_GB2312" w:eastAsia="仿宋_GB2312"/>
          <w:b w:val="0"/>
          <w:sz w:val="32"/>
        </w:rPr>
        <w:t>11.卫生健康支出(类)行政事业单位医疗(款)行政单位医疗(项):支出决算数为12.13万元，比上年决算减少0.47万元，下降3.73%,主要原因是：本年在职人员减少，行政单位医疗较上年减少。</w:t>
      </w:r>
    </w:p>
    <w:p w14:paraId="4BEFA252">
      <w:pPr>
        <w:spacing w:line="580" w:lineRule="exact"/>
        <w:ind w:firstLine="640"/>
        <w:jc w:val="both"/>
      </w:pPr>
      <w:r>
        <w:rPr>
          <w:rFonts w:ascii="仿宋_GB2312" w:hAnsi="仿宋_GB2312" w:eastAsia="仿宋_GB2312"/>
          <w:b w:val="0"/>
          <w:sz w:val="32"/>
        </w:rPr>
        <w:t>12.卫生健康支出(类)行政事业单位医疗(款)事业单位医疗(项):支出决算数为0.38万元，比上年决算增加0.38万元，增长100.00%,主要原因是：本年功能科目调整，事业单位医疗上年度在行政单位医疗科目列支，本年单独列支，导致经费较上年增加。</w:t>
      </w:r>
    </w:p>
    <w:p w14:paraId="4224A295">
      <w:pPr>
        <w:spacing w:line="580" w:lineRule="exact"/>
        <w:ind w:firstLine="640"/>
        <w:jc w:val="both"/>
      </w:pPr>
      <w:r>
        <w:rPr>
          <w:rFonts w:ascii="仿宋_GB2312" w:hAnsi="仿宋_GB2312" w:eastAsia="仿宋_GB2312"/>
          <w:b w:val="0"/>
          <w:sz w:val="32"/>
        </w:rPr>
        <w:t>13.卫生健康支出(类)行政事业单位医疗(款)公务员医疗补助(项):支出决算数为4.45万元，比上年决算减少0.48万元，下降9.74%,主要原因是：本年在职人员减少，公务员医疗补助较上年减少。</w:t>
      </w:r>
    </w:p>
    <w:p w14:paraId="4E737B44">
      <w:pPr>
        <w:spacing w:line="580" w:lineRule="exact"/>
        <w:ind w:firstLine="640"/>
        <w:jc w:val="both"/>
      </w:pPr>
      <w:r>
        <w:rPr>
          <w:rFonts w:ascii="仿宋_GB2312" w:hAnsi="仿宋_GB2312" w:eastAsia="仿宋_GB2312"/>
          <w:b w:val="0"/>
          <w:sz w:val="32"/>
        </w:rPr>
        <w:t>14.卫生健康支出(类)行政事业单位医疗(款)其他行政事业单位医疗支出(项):支出决算数为0.37万元，比上年决算减少0.19万元，下降33.93%,主要原因是：本年在职人员减少，其他行政事业单位医疗支出较上年减少。</w:t>
      </w:r>
    </w:p>
    <w:p w14:paraId="0206C572">
      <w:pPr>
        <w:spacing w:line="580" w:lineRule="exact"/>
        <w:ind w:firstLine="640"/>
        <w:jc w:val="both"/>
      </w:pPr>
      <w:r>
        <w:rPr>
          <w:rFonts w:ascii="仿宋_GB2312" w:hAnsi="仿宋_GB2312" w:eastAsia="仿宋_GB2312"/>
          <w:b w:val="0"/>
          <w:sz w:val="32"/>
        </w:rPr>
        <w:t>15.住房保障支出(类)住房改革支出(款)住房公积金(项):支出决算数为21.69万元，比上年决算增加0.81万元，增长3.88%,主要原因是：本年在职人员工资基数调增，公积金缴费基数上涨，相应支出增加。</w:t>
      </w:r>
    </w:p>
    <w:p w14:paraId="7AEDBA59">
      <w:pPr>
        <w:spacing w:line="640" w:lineRule="exact"/>
        <w:ind w:firstLine="640"/>
        <w:jc w:val="both"/>
        <w:outlineLvl w:val="2"/>
      </w:pPr>
      <w:r>
        <w:rPr>
          <w:rFonts w:ascii="黑体" w:hAnsi="黑体" w:eastAsia="黑体"/>
          <w:sz w:val="32"/>
        </w:rPr>
        <w:t>六、一般公共预算财政拨款基本支出决算情况说明</w:t>
      </w:r>
    </w:p>
    <w:p w14:paraId="5082D289">
      <w:pPr>
        <w:spacing w:line="580" w:lineRule="exact"/>
        <w:ind w:firstLine="640"/>
        <w:jc w:val="both"/>
      </w:pPr>
      <w:r>
        <w:rPr>
          <w:rFonts w:ascii="仿宋_GB2312" w:hAnsi="仿宋_GB2312" w:eastAsia="仿宋_GB2312"/>
          <w:b w:val="0"/>
          <w:sz w:val="32"/>
        </w:rPr>
        <w:t>2024年度一般公共预算财政拨款基本支出311.06万元，其中：</w:t>
      </w:r>
      <w:r>
        <w:rPr>
          <w:rFonts w:ascii="仿宋_GB2312" w:hAnsi="仿宋_GB2312" w:eastAsia="仿宋_GB2312"/>
          <w:b/>
          <w:sz w:val="32"/>
        </w:rPr>
        <w:t>人员经费288.27万元，</w:t>
      </w:r>
      <w:r>
        <w:rPr>
          <w:rFonts w:ascii="仿宋_GB2312" w:hAnsi="仿宋_GB2312" w:eastAsia="仿宋_GB2312"/>
          <w:b w:val="0"/>
          <w:sz w:val="32"/>
        </w:rPr>
        <w:t>包括：基本工资、津贴补贴、奖金、伙食补助费、机关事业单位基本养老保险缴费、职工基本医疗保险缴费、公务员医疗补助缴费、其他社会保障缴费、住房公积金、退休费、生活补助、奖励金。</w:t>
      </w:r>
    </w:p>
    <w:p w14:paraId="4AD67E61">
      <w:pPr>
        <w:spacing w:line="580" w:lineRule="exact"/>
        <w:ind w:firstLine="640"/>
        <w:jc w:val="both"/>
      </w:pPr>
      <w:r>
        <w:rPr>
          <w:rFonts w:ascii="仿宋_GB2312" w:hAnsi="仿宋_GB2312" w:eastAsia="仿宋_GB2312"/>
          <w:b/>
          <w:sz w:val="32"/>
        </w:rPr>
        <w:t>公用经费22.79万元，</w:t>
      </w:r>
      <w:r>
        <w:rPr>
          <w:rFonts w:ascii="仿宋_GB2312" w:hAnsi="仿宋_GB2312" w:eastAsia="仿宋_GB2312"/>
          <w:b w:val="0"/>
          <w:sz w:val="32"/>
        </w:rPr>
        <w:t>包括：办公费、邮电费、取暖费、差旅费、维修（护）费、租赁费、培训费、公务接待费、劳务费、工会经费、福利费、公务用车运行维护费、其他交通费用、其他商品和服务支出。</w:t>
      </w:r>
    </w:p>
    <w:p w14:paraId="7F47F226">
      <w:pPr>
        <w:spacing w:line="640" w:lineRule="exact"/>
        <w:ind w:firstLine="640"/>
        <w:jc w:val="both"/>
        <w:outlineLvl w:val="2"/>
      </w:pPr>
      <w:r>
        <w:rPr>
          <w:rFonts w:ascii="黑体" w:hAnsi="黑体" w:eastAsia="黑体"/>
          <w:sz w:val="32"/>
        </w:rPr>
        <w:t>七、政府性基金预算财政拨款收入支出决算情况说明</w:t>
      </w:r>
    </w:p>
    <w:p w14:paraId="68EFB7FD">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1EDDD64F">
      <w:pPr>
        <w:spacing w:line="640" w:lineRule="exact"/>
        <w:ind w:firstLine="640"/>
        <w:jc w:val="both"/>
        <w:outlineLvl w:val="2"/>
      </w:pPr>
      <w:r>
        <w:rPr>
          <w:rFonts w:ascii="黑体" w:hAnsi="黑体" w:eastAsia="黑体"/>
          <w:sz w:val="32"/>
        </w:rPr>
        <w:t>八、国有资本经营预算财政拨款收入支出决算情况说明</w:t>
      </w:r>
    </w:p>
    <w:p w14:paraId="3BBFA078">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507CC1F8">
      <w:pPr>
        <w:spacing w:line="640" w:lineRule="exact"/>
        <w:ind w:firstLine="640"/>
        <w:jc w:val="both"/>
        <w:outlineLvl w:val="2"/>
      </w:pPr>
      <w:r>
        <w:rPr>
          <w:rFonts w:ascii="黑体" w:hAnsi="黑体" w:eastAsia="黑体"/>
          <w:sz w:val="32"/>
        </w:rPr>
        <w:t>九、财政拨款“三公”经费支出决算情况说明</w:t>
      </w:r>
    </w:p>
    <w:p w14:paraId="5FF3AF1F">
      <w:pPr>
        <w:spacing w:line="580" w:lineRule="exact"/>
        <w:ind w:firstLine="640"/>
        <w:jc w:val="both"/>
      </w:pPr>
      <w:r>
        <w:rPr>
          <w:rFonts w:ascii="仿宋_GB2312" w:hAnsi="仿宋_GB2312" w:eastAsia="仿宋_GB2312"/>
          <w:b/>
          <w:sz w:val="32"/>
        </w:rPr>
        <w:t>2024年度财政拨款“三公”经费支出0.59万元，</w:t>
      </w:r>
      <w:r>
        <w:rPr>
          <w:rFonts w:ascii="仿宋_GB2312" w:hAnsi="仿宋_GB2312" w:eastAsia="仿宋_GB2312"/>
          <w:b w:val="0"/>
          <w:sz w:val="32"/>
        </w:rPr>
        <w:t>比上年减少1.02万元，下降63.75%，主要原因是：严格落实中央八项规定精神，厉行节约，减少公务用车运行维护费及公务接待费。其中：因公出国（境）费支出0.00万元，占0.00%，比上年增加0.00万元，增长0.00%，主要原因是：2023年与2024年均未安排因公出国（境）费支出。公务用车购置及运行维护费支出0.50万元，占84.75%，比上年减少1.01万元，下降66.89%，主要原因是：严格落实中央八项规定精神，厉行节约，减少公务用车运行维护费。公务接待费支出0.09万元，占15.25%，比上年减少0.01万元，下降10.00%，主要原因是：严格落实中央八项规定精神，厉行节约，减少公务接待费。</w:t>
      </w:r>
    </w:p>
    <w:p w14:paraId="06CB86FF">
      <w:pPr>
        <w:spacing w:line="580" w:lineRule="exact"/>
        <w:ind w:firstLine="640"/>
        <w:jc w:val="both"/>
      </w:pPr>
      <w:r>
        <w:rPr>
          <w:rFonts w:ascii="仿宋_GB2312" w:hAnsi="仿宋_GB2312" w:eastAsia="仿宋_GB2312"/>
          <w:b/>
          <w:sz w:val="32"/>
        </w:rPr>
        <w:t>具体情况如下：</w:t>
      </w:r>
    </w:p>
    <w:p w14:paraId="1894803A">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25477BA9">
      <w:pPr>
        <w:spacing w:line="580" w:lineRule="exact"/>
        <w:ind w:firstLine="640"/>
        <w:jc w:val="both"/>
      </w:pPr>
      <w:r>
        <w:rPr>
          <w:rFonts w:ascii="仿宋_GB2312" w:hAnsi="仿宋_GB2312" w:eastAsia="仿宋_GB2312"/>
          <w:b w:val="0"/>
          <w:sz w:val="32"/>
        </w:rPr>
        <w:t>公务用车购置及运行维护费0.50万元，其中：公务用车购置费0.00万元，公务用车运行维护费0.50万元。公务用车运行维护费开支内容包括车辆加油费、维修费、保险费、审车费、过路费。公务用车购置数0辆，公务用车保有量1辆。国有资产占用情况中固定资产车辆1辆，与公务用车保有量差异原因是：本部门固定资产车辆与公务用车保有量一致无差异。</w:t>
      </w:r>
    </w:p>
    <w:p w14:paraId="4E407B58">
      <w:pPr>
        <w:spacing w:line="580" w:lineRule="exact"/>
        <w:ind w:firstLine="640"/>
        <w:jc w:val="both"/>
      </w:pPr>
      <w:r>
        <w:rPr>
          <w:rFonts w:ascii="仿宋_GB2312" w:hAnsi="仿宋_GB2312" w:eastAsia="仿宋_GB2312"/>
          <w:b w:val="0"/>
          <w:sz w:val="32"/>
        </w:rPr>
        <w:t>公务接待费0.09万元，开支内容包括开展调研及业务活动、交流学习时产生的就餐费。部门全年安排的国内公务接待3批次，13人次。</w:t>
      </w:r>
    </w:p>
    <w:p w14:paraId="7B9181F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0.59万元，决算数0.59万元，预决算差异率0.00%，主要原因是：严格按照预算执行，预决算无差异。其中：因公出国（境）费全年预算数0.00万元，决算数0.00万元，预决算差异率0.00%，主要原因是：本部门无因公出</w:t>
      </w:r>
      <w:bookmarkStart w:id="0" w:name="_GoBack"/>
      <w:bookmarkEnd w:id="0"/>
      <w:r>
        <w:rPr>
          <w:rFonts w:ascii="仿宋_GB2312" w:hAnsi="仿宋_GB2312" w:eastAsia="仿宋_GB2312"/>
          <w:b w:val="0"/>
          <w:sz w:val="32"/>
        </w:rPr>
        <w:t>国（境）费。公务用车购置费全年预算数0.00万元，决算数0.00万元，预决算差异率0.00%，主要原因是：本部门无公务用车购置费。公务用车运行维护费全年预算数0.50万元，决算数0.50万元，预决算差异率0.00%，主要原因是：严格按照预算执行，预决算无差异。公务接待费全年预算数0.09万元，决算数0.09万元，预决算差异率0.00%，主要原因是：严格按照预算执行，预决算无差异。</w:t>
      </w:r>
    </w:p>
    <w:p w14:paraId="676A57F5">
      <w:pPr>
        <w:spacing w:line="640" w:lineRule="exact"/>
        <w:ind w:firstLine="640"/>
        <w:jc w:val="both"/>
        <w:outlineLvl w:val="2"/>
      </w:pPr>
      <w:r>
        <w:rPr>
          <w:rFonts w:ascii="黑体" w:hAnsi="黑体" w:eastAsia="黑体"/>
          <w:sz w:val="32"/>
        </w:rPr>
        <w:t>十、其他重要事项的情况说明</w:t>
      </w:r>
    </w:p>
    <w:p w14:paraId="2E65D027">
      <w:pPr>
        <w:spacing w:line="640" w:lineRule="exact"/>
        <w:ind w:firstLine="640"/>
        <w:jc w:val="both"/>
        <w:outlineLvl w:val="3"/>
      </w:pPr>
      <w:r>
        <w:rPr>
          <w:rFonts w:ascii="楷体_GB2312" w:hAnsi="楷体_GB2312" w:eastAsia="楷体_GB2312"/>
          <w:b/>
          <w:sz w:val="32"/>
        </w:rPr>
        <w:t>（一）机关运行经费及公用经费支出情况</w:t>
      </w:r>
    </w:p>
    <w:p w14:paraId="79B865B0">
      <w:pPr>
        <w:spacing w:line="580" w:lineRule="exact"/>
        <w:ind w:firstLine="640"/>
        <w:jc w:val="both"/>
      </w:pPr>
      <w:r>
        <w:rPr>
          <w:rFonts w:ascii="仿宋_GB2312" w:hAnsi="仿宋_GB2312" w:eastAsia="仿宋_GB2312"/>
          <w:b w:val="0"/>
          <w:sz w:val="32"/>
        </w:rPr>
        <w:t>2024年度新疆巴音郭楞蒙古自治州信访局（行政单位和参照公务员法管理事业单位）机关运行经费支出22.79万元，比上年增加6.27万元，增长37.95%，主要原因是：本年劳务费增加，导致机关运行经费增加。</w:t>
      </w:r>
    </w:p>
    <w:p w14:paraId="7B83279D">
      <w:pPr>
        <w:spacing w:line="640" w:lineRule="exact"/>
        <w:ind w:firstLine="640"/>
        <w:jc w:val="both"/>
        <w:outlineLvl w:val="3"/>
      </w:pPr>
      <w:r>
        <w:rPr>
          <w:rFonts w:ascii="楷体_GB2312" w:hAnsi="楷体_GB2312" w:eastAsia="楷体_GB2312"/>
          <w:b/>
          <w:sz w:val="32"/>
        </w:rPr>
        <w:t>（二）政府采购情况</w:t>
      </w:r>
    </w:p>
    <w:p w14:paraId="6CE45741">
      <w:pPr>
        <w:spacing w:line="580" w:lineRule="exact"/>
        <w:ind w:firstLine="640"/>
        <w:jc w:val="both"/>
      </w:pPr>
      <w:r>
        <w:rPr>
          <w:rFonts w:ascii="仿宋_GB2312" w:hAnsi="仿宋_GB2312" w:eastAsia="仿宋_GB2312"/>
          <w:b w:val="0"/>
          <w:sz w:val="32"/>
        </w:rPr>
        <w:t>2024年度政府采购支出总额3.85万元，其中：政府采购货物支出3.85万元、政府采购工程支出0.00万元、政府采购服务支出0.00万元。</w:t>
      </w:r>
    </w:p>
    <w:p w14:paraId="553E51E7">
      <w:pPr>
        <w:spacing w:line="580" w:lineRule="exact"/>
        <w:ind w:firstLine="640"/>
        <w:jc w:val="both"/>
      </w:pPr>
      <w:r>
        <w:rPr>
          <w:rFonts w:ascii="仿宋_GB2312" w:hAnsi="仿宋_GB2312" w:eastAsia="仿宋_GB2312"/>
          <w:b w:val="0"/>
          <w:sz w:val="32"/>
        </w:rPr>
        <w:t>授予中小企业合同金额2.49万元，占政府采购支出总额的64.68%，其中：授予小微企业合同金额1.77万元，占政府采购支出总额的45.97%。</w:t>
      </w:r>
    </w:p>
    <w:p w14:paraId="6E15306D">
      <w:pPr>
        <w:spacing w:line="640" w:lineRule="exact"/>
        <w:ind w:firstLine="640"/>
        <w:jc w:val="both"/>
        <w:outlineLvl w:val="3"/>
      </w:pPr>
      <w:r>
        <w:rPr>
          <w:rFonts w:ascii="楷体_GB2312" w:hAnsi="楷体_GB2312" w:eastAsia="楷体_GB2312"/>
          <w:b/>
          <w:sz w:val="32"/>
        </w:rPr>
        <w:t>（三）国有资产占用情况说明</w:t>
      </w:r>
    </w:p>
    <w:p w14:paraId="265E843C">
      <w:pPr>
        <w:spacing w:line="580" w:lineRule="exact"/>
        <w:ind w:firstLine="640"/>
        <w:jc w:val="both"/>
      </w:pPr>
      <w:r>
        <w:rPr>
          <w:rFonts w:ascii="仿宋_GB2312" w:hAnsi="仿宋_GB2312" w:eastAsia="仿宋_GB2312"/>
          <w:b w:val="0"/>
          <w:sz w:val="32"/>
        </w:rPr>
        <w:t>截至2024年12月31日，房屋0.00平方米，价值0.00万元。车辆1辆，价值16.17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7C40CA2E">
      <w:pPr>
        <w:spacing w:line="640" w:lineRule="exact"/>
        <w:ind w:firstLine="640"/>
        <w:jc w:val="both"/>
        <w:outlineLvl w:val="2"/>
      </w:pPr>
      <w:r>
        <w:rPr>
          <w:rFonts w:ascii="黑体" w:hAnsi="黑体" w:eastAsia="黑体"/>
          <w:sz w:val="32"/>
        </w:rPr>
        <w:t>十一、预算绩效的情况说明</w:t>
      </w:r>
    </w:p>
    <w:p w14:paraId="03783F0E">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368.65万元，实际执行总额368.65万元；预算绩效评价项目2个，全年预算数55.66万元，全年执行数55.58万元。预算绩效管理取得的成效：一是围绕核心职能科学设定绩效指标，年度绩效目标完成率显著提高，重点工作任务按计划推进，公共服务质量持续优化；二是建立动态绩效监控机制，及时调整执行偏差，资金使用更加精准高效，低效无效支出有效减少；三是业务流程持续优化，服务响应速度加快，群众办事便利度明显改善；四是严格落实“过紧日子”要求，严控一般性支出，行政运行成本有效降低。发现的问题及原因：部分绩效指标设置存在不够精准，指标设置的科学性、合理性有待进一步提高。原因是绩效管理专业培训覆盖不足，业务人员对绩效工作掌握运用不够熟练。下一步改进措施：一是合理设置年度任务，提高各科室对部门中长期规划的重视程度，增强相关规划的落地性、导向性；二是探索符合部门工作特点的评价指标体系，在设定绩效目标时选取相关性强的量化指标，并注重选取符合实际工作情况的指标值。具体附部门整体支出绩效自评表，项目支出绩效自评表和部门评价报告。</w:t>
      </w:r>
    </w:p>
    <w:p w14:paraId="2E135569">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51F47E3A">
        <w:tblPrEx>
          <w:tblCellMar>
            <w:top w:w="0" w:type="dxa"/>
            <w:left w:w="108" w:type="dxa"/>
            <w:bottom w:w="0" w:type="dxa"/>
            <w:right w:w="108" w:type="dxa"/>
          </w:tblCellMar>
        </w:tblPrEx>
        <w:tc>
          <w:tcPr>
            <w:tcW w:w="8840" w:type="dxa"/>
            <w:gridSpan w:val="8"/>
            <w:vAlign w:val="center"/>
          </w:tcPr>
          <w:p w14:paraId="155447DC">
            <w:pPr>
              <w:jc w:val="center"/>
            </w:pPr>
            <w:r>
              <w:rPr>
                <w:rFonts w:ascii="宋体" w:hAnsi="宋体" w:eastAsia="宋体"/>
                <w:sz w:val="24"/>
              </w:rPr>
              <w:t>部门整体支出绩效自评表</w:t>
            </w:r>
          </w:p>
        </w:tc>
      </w:tr>
      <w:tr w14:paraId="6C6A3B06">
        <w:tblPrEx>
          <w:tblCellMar>
            <w:top w:w="0" w:type="dxa"/>
            <w:left w:w="108" w:type="dxa"/>
            <w:bottom w:w="0" w:type="dxa"/>
            <w:right w:w="108" w:type="dxa"/>
          </w:tblCellMar>
        </w:tblPrEx>
        <w:tc>
          <w:tcPr>
            <w:tcW w:w="8840" w:type="dxa"/>
            <w:gridSpan w:val="8"/>
            <w:vAlign w:val="center"/>
          </w:tcPr>
          <w:p w14:paraId="24CD232B">
            <w:pPr>
              <w:jc w:val="center"/>
            </w:pPr>
            <w:r>
              <w:rPr>
                <w:rFonts w:ascii="宋体" w:hAnsi="宋体" w:eastAsia="宋体"/>
                <w:sz w:val="24"/>
              </w:rPr>
              <w:t>（2024年度）</w:t>
            </w:r>
          </w:p>
        </w:tc>
      </w:tr>
      <w:tr w14:paraId="5F52124F">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1C68D4">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8D2BBF">
            <w:pPr>
              <w:jc w:val="center"/>
            </w:pPr>
            <w:r>
              <w:rPr>
                <w:rFonts w:ascii="宋体" w:hAnsi="宋体" w:eastAsia="宋体"/>
                <w:sz w:val="16"/>
              </w:rPr>
              <w:t>新疆巴音郭楞蒙古自治州信访局</w:t>
            </w:r>
          </w:p>
        </w:tc>
      </w:tr>
      <w:tr w14:paraId="4755CDE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32C45D">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5E2315">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309D60">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C6C4DC">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DD3B26">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41F337">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0861F1">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7C8524">
            <w:pPr>
              <w:jc w:val="center"/>
            </w:pPr>
            <w:r>
              <w:rPr>
                <w:rFonts w:ascii="宋体" w:hAnsi="宋体" w:eastAsia="宋体"/>
                <w:sz w:val="16"/>
              </w:rPr>
              <w:t>得分</w:t>
            </w:r>
          </w:p>
        </w:tc>
      </w:tr>
      <w:tr w14:paraId="57A78F7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2D6DAC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A198F2">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0FCE94">
            <w:pPr>
              <w:jc w:val="center"/>
            </w:pPr>
            <w:r>
              <w:rPr>
                <w:rFonts w:ascii="宋体" w:hAnsi="宋体" w:eastAsia="宋体"/>
                <w:sz w:val="16"/>
              </w:rPr>
              <w:t>406.01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F10350">
            <w:pPr>
              <w:jc w:val="center"/>
            </w:pPr>
            <w:r>
              <w:rPr>
                <w:rFonts w:ascii="宋体" w:hAnsi="宋体" w:eastAsia="宋体"/>
                <w:sz w:val="16"/>
              </w:rPr>
              <w:t>368.65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CE9351">
            <w:pPr>
              <w:jc w:val="center"/>
            </w:pPr>
            <w:r>
              <w:rPr>
                <w:rFonts w:ascii="宋体" w:hAnsi="宋体" w:eastAsia="宋体"/>
                <w:sz w:val="16"/>
              </w:rPr>
              <w:t>368.65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7C460D">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7A7A4B">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6722DD">
            <w:pPr>
              <w:jc w:val="center"/>
            </w:pPr>
            <w:r>
              <w:rPr>
                <w:rFonts w:ascii="宋体" w:hAnsi="宋体" w:eastAsia="宋体"/>
                <w:sz w:val="16"/>
              </w:rPr>
              <w:t>10</w:t>
            </w:r>
          </w:p>
        </w:tc>
      </w:tr>
      <w:tr w14:paraId="3A08E2A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40AC6E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C50FF7">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75C8C1">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94F936">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9D7CBF">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8B468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6A33B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98EE26">
            <w:pPr>
              <w:jc w:val="center"/>
            </w:pPr>
            <w:r>
              <w:rPr>
                <w:rFonts w:ascii="宋体" w:hAnsi="宋体" w:eastAsia="宋体"/>
                <w:sz w:val="16"/>
              </w:rPr>
              <w:t>-</w:t>
            </w:r>
          </w:p>
        </w:tc>
      </w:tr>
      <w:tr w14:paraId="46C0E93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C48520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2D8BCE">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177DDF">
            <w:pPr>
              <w:jc w:val="center"/>
            </w:pPr>
            <w:r>
              <w:rPr>
                <w:rFonts w:ascii="宋体" w:hAnsi="宋体" w:eastAsia="宋体"/>
                <w:sz w:val="16"/>
              </w:rPr>
              <w:t>406.01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FE502D">
            <w:pPr>
              <w:jc w:val="center"/>
            </w:pPr>
            <w:r>
              <w:rPr>
                <w:rFonts w:ascii="宋体" w:hAnsi="宋体" w:eastAsia="宋体"/>
                <w:sz w:val="16"/>
              </w:rPr>
              <w:t>368.65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787BF2">
            <w:pPr>
              <w:jc w:val="center"/>
            </w:pPr>
            <w:r>
              <w:rPr>
                <w:rFonts w:ascii="宋体" w:hAnsi="宋体" w:eastAsia="宋体"/>
                <w:sz w:val="16"/>
              </w:rPr>
              <w:t>368.65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FE02C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18973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7D4B89">
            <w:pPr>
              <w:jc w:val="center"/>
            </w:pPr>
            <w:r>
              <w:rPr>
                <w:rFonts w:ascii="宋体" w:hAnsi="宋体" w:eastAsia="宋体"/>
                <w:sz w:val="16"/>
              </w:rPr>
              <w:t>-</w:t>
            </w:r>
          </w:p>
        </w:tc>
      </w:tr>
      <w:tr w14:paraId="7C8FFF3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B5BBFF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4D6637">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2F293F">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73F41F">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795212">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E63E2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B9A07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B07AE5">
            <w:pPr>
              <w:jc w:val="center"/>
            </w:pPr>
            <w:r>
              <w:rPr>
                <w:rFonts w:ascii="宋体" w:hAnsi="宋体" w:eastAsia="宋体"/>
                <w:sz w:val="16"/>
              </w:rPr>
              <w:t>-</w:t>
            </w:r>
          </w:p>
        </w:tc>
      </w:tr>
      <w:tr w14:paraId="5E48490E">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EEB466">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F298CF0">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A20B62B">
            <w:pPr>
              <w:jc w:val="center"/>
            </w:pPr>
            <w:r>
              <w:rPr>
                <w:rFonts w:ascii="宋体" w:hAnsi="宋体" w:eastAsia="宋体"/>
                <w:sz w:val="16"/>
              </w:rPr>
              <w:t>实际完成情况</w:t>
            </w:r>
          </w:p>
        </w:tc>
      </w:tr>
      <w:tr w14:paraId="39922836">
        <w:tblPrEx>
          <w:tblCellMar>
            <w:top w:w="0" w:type="dxa"/>
            <w:left w:w="108" w:type="dxa"/>
            <w:bottom w:w="0" w:type="dxa"/>
            <w:right w:w="108" w:type="dxa"/>
          </w:tblCellMar>
        </w:tblPrEx>
        <w:trPr>
          <w:trHeight w:val="6281" w:hRule="atLeast"/>
        </w:trPr>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DC23BA7"/>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6A78C8D">
            <w:pPr>
              <w:jc w:val="both"/>
            </w:pPr>
            <w:r>
              <w:rPr>
                <w:rFonts w:ascii="宋体" w:hAnsi="宋体" w:eastAsia="宋体"/>
                <w:sz w:val="16"/>
              </w:rPr>
              <w:t>2024年信访工作要坚持以习近平新时代中国特色社会主义思想为指导，全面学习贯彻党的二十大精神，深入贯彻落实习近平总书记关于加强和改进人民信访工作的重要思想和第九次全国信访工作会议精神，牢记为民解难、为党分忧的政治责任，加强信访问题源头治理，坚持和发展新时代新疆特色“枫桥经验”、“浦江经验”及信访法制化，深入开展信访问题源头治理三年攻坚行动、“全国信访工作示范县”创建活动、“大督查大接访大调研”活动，不断夯实信访工作基础；推进化解信访积案常态化，巩固提升专项工作常态长效，解决好重点领域信访问题，及时就地解决群众初次信访事项，切实把问题解决在初始阶段，不断提高一次性化解率和群众满意率；全面开展《信访工作条例》落实年活动，推进条例普法宣传制度化、常态化。</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C06D8C2">
            <w:pPr>
              <w:jc w:val="both"/>
            </w:pPr>
            <w:r>
              <w:rPr>
                <w:rFonts w:ascii="宋体" w:hAnsi="宋体" w:eastAsia="宋体"/>
                <w:sz w:val="16"/>
              </w:rPr>
              <w:t>2024年全州信访部门受理办理信访事项同比下降53.85%。其中，新发生的信访问题同比下降56.67%；重复信访同比下降37.37%；进京走访同比下降75%、赴自治区走访同比下降32.5%。信访形势呈四下降一好转态势，即信访总量、新发生信访量、重复信访量、进京赴自治区上访量下降，圆满完成了信访安全保障任务，全州信访秩序明显好转，信访形势持续向好；开展督导全州信访工作数10项，信访保障工作10次，完成“信访业务规范化建</w:t>
            </w:r>
            <w:r>
              <w:rPr>
                <w:rFonts w:hint="eastAsia" w:ascii="宋体" w:hAnsi="宋体"/>
                <w:sz w:val="16"/>
                <w:lang w:eastAsia="zh-CN"/>
              </w:rPr>
              <w:t>设大</w:t>
            </w:r>
            <w:r>
              <w:rPr>
                <w:rFonts w:ascii="宋体" w:hAnsi="宋体" w:eastAsia="宋体"/>
                <w:sz w:val="16"/>
              </w:rPr>
              <w:t>评查、大督查大接访大调研、寻找最美信访干部”三项活动，着力推进信访机关政治建设、信访工作法治化、信访问题源头治理和积案化解、信访工作体制机制改革、信访干部队伍建设五项重点任务，忠诚履行了服务党委和政府工作大局，维护群众合法权益，化解信访突出问题，促进社会和谐稳定职责使命。</w:t>
            </w:r>
          </w:p>
        </w:tc>
      </w:tr>
      <w:tr w14:paraId="6C0E1EE1">
        <w:tblPrEx>
          <w:tblCellMar>
            <w:top w:w="0" w:type="dxa"/>
            <w:left w:w="108" w:type="dxa"/>
            <w:bottom w:w="0" w:type="dxa"/>
            <w:right w:w="108" w:type="dxa"/>
          </w:tblCellMar>
        </w:tblPrEx>
        <w:trPr>
          <w:trHeight w:val="764" w:hRule="atLeast"/>
        </w:trPr>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4283C6">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97EA69">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D5893B">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5ED6A5">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66B193">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224478">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0AAE1E">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E6DB5F">
            <w:pPr>
              <w:jc w:val="center"/>
            </w:pPr>
            <w:r>
              <w:rPr>
                <w:rFonts w:ascii="宋体" w:hAnsi="宋体" w:eastAsia="宋体"/>
                <w:sz w:val="16"/>
              </w:rPr>
              <w:t>得分</w:t>
            </w:r>
          </w:p>
        </w:tc>
      </w:tr>
      <w:tr w14:paraId="1F8B6B8E">
        <w:tblPrEx>
          <w:tblCellMar>
            <w:top w:w="0" w:type="dxa"/>
            <w:left w:w="108" w:type="dxa"/>
            <w:bottom w:w="0" w:type="dxa"/>
            <w:right w:w="108" w:type="dxa"/>
          </w:tblCellMar>
        </w:tblPrEx>
        <w:trPr>
          <w:trHeight w:val="719" w:hRule="atLeast"/>
        </w:trPr>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2B7D70">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E67A4B">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73F039">
            <w:pPr>
              <w:jc w:val="center"/>
            </w:pPr>
            <w:r>
              <w:rPr>
                <w:rFonts w:ascii="宋体" w:hAnsi="宋体" w:eastAsia="宋体"/>
                <w:sz w:val="16"/>
              </w:rPr>
              <w:t>督导全州信访工作数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C1BADC">
            <w:pPr>
              <w:jc w:val="center"/>
            </w:pPr>
            <w:r>
              <w:rPr>
                <w:rFonts w:ascii="宋体" w:hAnsi="宋体" w:eastAsia="宋体"/>
                <w:sz w:val="16"/>
              </w:rPr>
              <w:t>&gt;=10项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6F630D">
            <w:pPr>
              <w:jc w:val="center"/>
            </w:pPr>
            <w:r>
              <w:rPr>
                <w:rFonts w:ascii="宋体" w:hAnsi="宋体" w:eastAsia="宋体"/>
                <w:sz w:val="16"/>
              </w:rPr>
              <w:t>2024年信访工作计划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17BE55">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E5431D">
            <w:pPr>
              <w:jc w:val="center"/>
            </w:pPr>
            <w:r>
              <w:rPr>
                <w:rFonts w:ascii="宋体" w:hAnsi="宋体" w:eastAsia="宋体"/>
                <w:sz w:val="16"/>
              </w:rPr>
              <w:t>＝10项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6F032D">
            <w:pPr>
              <w:jc w:val="center"/>
            </w:pPr>
            <w:r>
              <w:rPr>
                <w:rFonts w:ascii="宋体" w:hAnsi="宋体" w:eastAsia="宋体"/>
                <w:sz w:val="16"/>
              </w:rPr>
              <w:t>20</w:t>
            </w:r>
          </w:p>
        </w:tc>
      </w:tr>
      <w:tr w14:paraId="3764ED3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54CD95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29997B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931CCC">
            <w:pPr>
              <w:jc w:val="center"/>
            </w:pPr>
            <w:r>
              <w:rPr>
                <w:rFonts w:ascii="宋体" w:hAnsi="宋体" w:eastAsia="宋体"/>
                <w:sz w:val="16"/>
              </w:rPr>
              <w:t>信访保障工作次数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0D1C42">
            <w:pPr>
              <w:jc w:val="center"/>
            </w:pPr>
            <w:r>
              <w:rPr>
                <w:rFonts w:ascii="宋体" w:hAnsi="宋体" w:eastAsia="宋体"/>
                <w:sz w:val="16"/>
              </w:rPr>
              <w:t>&gt;=10次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E12329">
            <w:pPr>
              <w:jc w:val="center"/>
            </w:pPr>
            <w:r>
              <w:rPr>
                <w:rFonts w:ascii="宋体" w:hAnsi="宋体" w:eastAsia="宋体"/>
                <w:sz w:val="16"/>
              </w:rPr>
              <w:t>2024年信访工作计划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C3476F">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96EF4E">
            <w:pPr>
              <w:jc w:val="center"/>
            </w:pPr>
            <w:r>
              <w:rPr>
                <w:rFonts w:ascii="宋体" w:hAnsi="宋体" w:eastAsia="宋体"/>
                <w:sz w:val="16"/>
              </w:rPr>
              <w:t>＝10次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39FC23">
            <w:pPr>
              <w:jc w:val="center"/>
            </w:pPr>
            <w:r>
              <w:rPr>
                <w:rFonts w:ascii="宋体" w:hAnsi="宋体" w:eastAsia="宋体"/>
                <w:sz w:val="16"/>
              </w:rPr>
              <w:t>20</w:t>
            </w:r>
          </w:p>
        </w:tc>
      </w:tr>
      <w:tr w14:paraId="24B0377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CDCAB9E"/>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D922BB">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33A02C">
            <w:pPr>
              <w:jc w:val="center"/>
            </w:pPr>
            <w:r>
              <w:rPr>
                <w:rFonts w:ascii="宋体" w:hAnsi="宋体" w:eastAsia="宋体"/>
                <w:sz w:val="16"/>
              </w:rPr>
              <w:t>信访案件及时受理率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A36FD9">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57443F">
            <w:pPr>
              <w:jc w:val="center"/>
            </w:pPr>
            <w:r>
              <w:rPr>
                <w:rFonts w:ascii="宋体" w:hAnsi="宋体" w:eastAsia="宋体"/>
                <w:sz w:val="16"/>
              </w:rPr>
              <w:t>2024年信访工作计划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DD997E">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CCA70F">
            <w:pPr>
              <w:jc w:val="center"/>
            </w:pPr>
            <w:r>
              <w:rPr>
                <w:rFonts w:hint="eastAsia" w:ascii="宋体" w:hAnsi="宋体"/>
                <w:sz w:val="16"/>
                <w:lang w:eastAsia="zh-CN"/>
              </w:rPr>
              <w:t>=</w:t>
            </w: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6D6C4B">
            <w:pPr>
              <w:jc w:val="center"/>
            </w:pPr>
            <w:r>
              <w:rPr>
                <w:rFonts w:ascii="宋体" w:hAnsi="宋体" w:eastAsia="宋体"/>
                <w:sz w:val="16"/>
              </w:rPr>
              <w:t>25</w:t>
            </w:r>
          </w:p>
        </w:tc>
      </w:tr>
      <w:tr w14:paraId="3D7DE9B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625898F"/>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4C8075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90E9F5">
            <w:pPr>
              <w:jc w:val="center"/>
            </w:pPr>
            <w:r>
              <w:rPr>
                <w:rFonts w:ascii="宋体" w:hAnsi="宋体" w:eastAsia="宋体"/>
                <w:sz w:val="16"/>
              </w:rPr>
              <w:t>信访事项化解率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2E9395">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26B8C0">
            <w:pPr>
              <w:jc w:val="center"/>
            </w:pPr>
            <w:r>
              <w:rPr>
                <w:rFonts w:ascii="宋体" w:hAnsi="宋体" w:eastAsia="宋体"/>
                <w:sz w:val="16"/>
              </w:rPr>
              <w:t>2024年信访工作计划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C9676A">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D3F3F9">
            <w:pPr>
              <w:jc w:val="center"/>
            </w:pPr>
            <w:r>
              <w:rPr>
                <w:rFonts w:hint="eastAsia" w:ascii="宋体" w:hAnsi="宋体"/>
                <w:sz w:val="16"/>
                <w:lang w:eastAsia="zh-CN"/>
              </w:rPr>
              <w:t>=</w:t>
            </w: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E63D71">
            <w:pPr>
              <w:jc w:val="center"/>
            </w:pPr>
            <w:r>
              <w:rPr>
                <w:rFonts w:ascii="宋体" w:hAnsi="宋体" w:eastAsia="宋体"/>
                <w:sz w:val="16"/>
              </w:rPr>
              <w:t>25</w:t>
            </w:r>
          </w:p>
        </w:tc>
      </w:tr>
    </w:tbl>
    <w:p w14:paraId="3BC2ED11">
      <w:r>
        <w:br w:type="page"/>
      </w:r>
    </w:p>
    <w:tbl>
      <w:tblPr>
        <w:tblStyle w:val="9"/>
        <w:tblW w:w="0" w:type="auto"/>
        <w:tblInd w:w="0" w:type="dxa"/>
        <w:tblLayout w:type="autofit"/>
        <w:tblCellMar>
          <w:top w:w="0" w:type="dxa"/>
          <w:left w:w="108" w:type="dxa"/>
          <w:bottom w:w="0" w:type="dxa"/>
          <w:right w:w="108" w:type="dxa"/>
        </w:tblCellMar>
      </w:tblPr>
      <w:tblGrid>
        <w:gridCol w:w="626"/>
        <w:gridCol w:w="616"/>
        <w:gridCol w:w="616"/>
        <w:gridCol w:w="616"/>
        <w:gridCol w:w="776"/>
        <w:gridCol w:w="616"/>
        <w:gridCol w:w="616"/>
        <w:gridCol w:w="626"/>
        <w:gridCol w:w="616"/>
        <w:gridCol w:w="616"/>
        <w:gridCol w:w="696"/>
        <w:gridCol w:w="696"/>
        <w:gridCol w:w="631"/>
        <w:gridCol w:w="697"/>
      </w:tblGrid>
      <w:tr w14:paraId="5B68657F">
        <w:tblPrEx>
          <w:tblCellMar>
            <w:top w:w="0" w:type="dxa"/>
            <w:left w:w="108" w:type="dxa"/>
            <w:bottom w:w="0" w:type="dxa"/>
            <w:right w:w="108" w:type="dxa"/>
          </w:tblCellMar>
        </w:tblPrEx>
        <w:tc>
          <w:tcPr>
            <w:tcW w:w="8848" w:type="dxa"/>
            <w:gridSpan w:val="14"/>
            <w:vAlign w:val="center"/>
          </w:tcPr>
          <w:p w14:paraId="7AE7D6E0">
            <w:pPr>
              <w:jc w:val="center"/>
            </w:pPr>
            <w:r>
              <w:rPr>
                <w:rFonts w:ascii="宋体" w:hAnsi="宋体" w:eastAsia="宋体"/>
                <w:sz w:val="24"/>
              </w:rPr>
              <w:t>项目支出绩效自评表</w:t>
            </w:r>
          </w:p>
        </w:tc>
      </w:tr>
      <w:tr w14:paraId="38AC63CB">
        <w:tblPrEx>
          <w:tblCellMar>
            <w:top w:w="0" w:type="dxa"/>
            <w:left w:w="108" w:type="dxa"/>
            <w:bottom w:w="0" w:type="dxa"/>
            <w:right w:w="108" w:type="dxa"/>
          </w:tblCellMar>
        </w:tblPrEx>
        <w:tc>
          <w:tcPr>
            <w:tcW w:w="8848" w:type="dxa"/>
            <w:gridSpan w:val="14"/>
            <w:vAlign w:val="center"/>
          </w:tcPr>
          <w:p w14:paraId="58F9A979">
            <w:pPr>
              <w:jc w:val="center"/>
            </w:pPr>
            <w:r>
              <w:rPr>
                <w:rFonts w:ascii="宋体" w:hAnsi="宋体" w:eastAsia="宋体"/>
                <w:sz w:val="24"/>
              </w:rPr>
              <w:t>(2024年度)</w:t>
            </w:r>
          </w:p>
        </w:tc>
      </w:tr>
      <w:tr w14:paraId="163AC4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D5FB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B5CC0B8">
            <w:pPr>
              <w:jc w:val="center"/>
            </w:pPr>
            <w:r>
              <w:rPr>
                <w:rFonts w:ascii="宋体" w:hAnsi="宋体" w:eastAsia="宋体"/>
                <w:sz w:val="16"/>
              </w:rPr>
              <w:t>2024年重大节点信访保障</w:t>
            </w:r>
          </w:p>
        </w:tc>
      </w:tr>
      <w:tr w14:paraId="1CA0E2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FEB0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CDF28B">
            <w:pPr>
              <w:jc w:val="center"/>
            </w:pPr>
            <w:r>
              <w:rPr>
                <w:rFonts w:ascii="宋体" w:hAnsi="宋体" w:eastAsia="宋体"/>
                <w:sz w:val="16"/>
              </w:rPr>
              <w:t>新疆巴音郭楞蒙古自治州信访局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E398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901085">
            <w:pPr>
              <w:jc w:val="center"/>
            </w:pPr>
            <w:r>
              <w:rPr>
                <w:rFonts w:ascii="宋体" w:hAnsi="宋体" w:eastAsia="宋体"/>
                <w:sz w:val="16"/>
              </w:rPr>
              <w:t>新疆巴音郭楞蒙古自治州信访局</w:t>
            </w:r>
          </w:p>
        </w:tc>
      </w:tr>
      <w:tr w14:paraId="4E7DBF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7F5F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5504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951B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72D5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9967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B139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5004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DB8D2">
            <w:pPr>
              <w:jc w:val="center"/>
            </w:pPr>
            <w:r>
              <w:rPr>
                <w:rFonts w:ascii="宋体" w:hAnsi="宋体" w:eastAsia="宋体"/>
                <w:sz w:val="16"/>
              </w:rPr>
              <w:t>得分</w:t>
            </w:r>
          </w:p>
        </w:tc>
      </w:tr>
      <w:tr w14:paraId="1DED42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8AE72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A567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50B6A">
            <w:pPr>
              <w:jc w:val="center"/>
            </w:pPr>
            <w:r>
              <w:rPr>
                <w:rFonts w:ascii="宋体" w:hAnsi="宋体" w:eastAsia="宋体"/>
                <w:sz w:val="16"/>
              </w:rPr>
              <w:t>43.66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F24F3">
            <w:pPr>
              <w:jc w:val="center"/>
            </w:pPr>
            <w:r>
              <w:rPr>
                <w:rFonts w:ascii="宋体" w:hAnsi="宋体" w:eastAsia="宋体"/>
                <w:sz w:val="16"/>
              </w:rPr>
              <w:t>43.66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3CA45">
            <w:pPr>
              <w:jc w:val="center"/>
            </w:pPr>
            <w:r>
              <w:rPr>
                <w:rFonts w:ascii="宋体" w:hAnsi="宋体" w:eastAsia="宋体"/>
                <w:sz w:val="16"/>
              </w:rPr>
              <w:t>43.59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E43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B22DE">
            <w:pPr>
              <w:jc w:val="center"/>
            </w:pPr>
            <w:r>
              <w:rPr>
                <w:rFonts w:ascii="宋体" w:hAnsi="宋体" w:eastAsia="宋体"/>
                <w:sz w:val="16"/>
              </w:rPr>
              <w:t>99.84%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75DDB">
            <w:pPr>
              <w:jc w:val="center"/>
            </w:pPr>
            <w:r>
              <w:rPr>
                <w:rFonts w:ascii="宋体" w:hAnsi="宋体" w:eastAsia="宋体"/>
                <w:sz w:val="16"/>
              </w:rPr>
              <w:t>9.96</w:t>
            </w:r>
          </w:p>
        </w:tc>
      </w:tr>
      <w:tr w14:paraId="527BD2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261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EC51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1F04A">
            <w:pPr>
              <w:jc w:val="center"/>
            </w:pPr>
            <w:r>
              <w:rPr>
                <w:rFonts w:ascii="宋体" w:hAnsi="宋体" w:eastAsia="宋体"/>
                <w:sz w:val="16"/>
              </w:rPr>
              <w:t>43.66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328A6">
            <w:pPr>
              <w:jc w:val="center"/>
            </w:pPr>
            <w:r>
              <w:rPr>
                <w:rFonts w:ascii="宋体" w:hAnsi="宋体" w:eastAsia="宋体"/>
                <w:sz w:val="16"/>
              </w:rPr>
              <w:t>43.66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4137E">
            <w:pPr>
              <w:jc w:val="center"/>
            </w:pPr>
            <w:r>
              <w:rPr>
                <w:rFonts w:ascii="宋体" w:hAnsi="宋体" w:eastAsia="宋体"/>
                <w:sz w:val="16"/>
              </w:rPr>
              <w:t>43.59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BF5C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879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4EB2B">
            <w:pPr>
              <w:jc w:val="center"/>
            </w:pPr>
            <w:r>
              <w:rPr>
                <w:rFonts w:ascii="宋体" w:hAnsi="宋体" w:eastAsia="宋体"/>
                <w:sz w:val="16"/>
              </w:rPr>
              <w:t>-</w:t>
            </w:r>
          </w:p>
        </w:tc>
      </w:tr>
      <w:tr w14:paraId="5E658B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F66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C023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6732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A46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780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1543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BA1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981CC">
            <w:pPr>
              <w:jc w:val="center"/>
            </w:pPr>
            <w:r>
              <w:rPr>
                <w:rFonts w:ascii="宋体" w:hAnsi="宋体" w:eastAsia="宋体"/>
                <w:sz w:val="16"/>
              </w:rPr>
              <w:t>-</w:t>
            </w:r>
          </w:p>
        </w:tc>
      </w:tr>
      <w:tr w14:paraId="2EF5EA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53DC2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AA130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D35814">
            <w:pPr>
              <w:jc w:val="center"/>
            </w:pPr>
            <w:r>
              <w:rPr>
                <w:rFonts w:ascii="宋体" w:hAnsi="宋体" w:eastAsia="宋体"/>
                <w:sz w:val="16"/>
              </w:rPr>
              <w:t>总体目标完成情况</w:t>
            </w:r>
          </w:p>
        </w:tc>
      </w:tr>
      <w:tr w14:paraId="647CCC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CB0A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33626C">
            <w:pPr>
              <w:jc w:val="both"/>
            </w:pPr>
            <w:r>
              <w:rPr>
                <w:rFonts w:ascii="宋体" w:hAnsi="宋体" w:eastAsia="宋体"/>
                <w:sz w:val="16"/>
              </w:rPr>
              <w:t>目标1：保障重大节点信访工作6次信访矛盾隐患大排查及督查工作；</w:t>
            </w:r>
            <w:r>
              <w:rPr>
                <w:rFonts w:ascii="宋体" w:hAnsi="宋体" w:eastAsia="宋体"/>
                <w:sz w:val="16"/>
              </w:rPr>
              <w:br w:type="textWrapping"/>
            </w:r>
            <w:r>
              <w:rPr>
                <w:rFonts w:ascii="宋体" w:hAnsi="宋体" w:eastAsia="宋体"/>
                <w:sz w:val="16"/>
              </w:rPr>
              <w:t>目标2：为保障赴乌进京上访“零控制”目标以及我局信访工作顺利开展；</w:t>
            </w:r>
            <w:r>
              <w:rPr>
                <w:rFonts w:ascii="宋体" w:hAnsi="宋体" w:eastAsia="宋体"/>
                <w:sz w:val="16"/>
              </w:rPr>
              <w:br w:type="textWrapping"/>
            </w:r>
            <w:r>
              <w:rPr>
                <w:rFonts w:ascii="宋体" w:hAnsi="宋体" w:eastAsia="宋体"/>
                <w:sz w:val="16"/>
              </w:rPr>
              <w:t>目标3：对自治区交办的信访案件、自治州党政领导批示的信访案件、</w:t>
            </w:r>
            <w:r>
              <w:rPr>
                <w:rFonts w:hint="eastAsia" w:ascii="宋体" w:hAnsi="宋体"/>
                <w:sz w:val="16"/>
                <w:lang w:eastAsia="zh-CN"/>
              </w:rPr>
              <w:t>进京</w:t>
            </w:r>
            <w:r>
              <w:rPr>
                <w:rFonts w:ascii="宋体" w:hAnsi="宋体" w:eastAsia="宋体"/>
                <w:sz w:val="16"/>
              </w:rPr>
              <w:t>自治区来州重点信访案件、信访积案、特殊复杂信访案件、“三跨三分离”信访案件督办及协调办理；</w:t>
            </w:r>
            <w:r>
              <w:rPr>
                <w:rFonts w:ascii="宋体" w:hAnsi="宋体" w:eastAsia="宋体"/>
                <w:sz w:val="16"/>
              </w:rPr>
              <w:br w:type="textWrapping"/>
            </w:r>
            <w:r>
              <w:rPr>
                <w:rFonts w:ascii="宋体" w:hAnsi="宋体" w:eastAsia="宋体"/>
                <w:sz w:val="16"/>
              </w:rPr>
              <w:t>目标4：为保障2024年重大活动和重要节日期间信访安全工作，切实做好“三个不发生”（不发生规模性聚集上访、不发生涉及个人极端行为、不发生因信访问题引发的负面炒作）；</w:t>
            </w:r>
            <w:r>
              <w:rPr>
                <w:rFonts w:ascii="宋体" w:hAnsi="宋体" w:eastAsia="宋体"/>
                <w:sz w:val="16"/>
              </w:rPr>
              <w:br w:type="textWrapping"/>
            </w:r>
            <w:r>
              <w:rPr>
                <w:rFonts w:ascii="宋体" w:hAnsi="宋体" w:eastAsia="宋体"/>
                <w:sz w:val="16"/>
              </w:rPr>
              <w:t>目标5：为提高办公人员办公运转效率购买办公设备；</w:t>
            </w:r>
            <w:r>
              <w:rPr>
                <w:rFonts w:ascii="宋体" w:hAnsi="宋体" w:eastAsia="宋体"/>
                <w:sz w:val="16"/>
              </w:rPr>
              <w:br w:type="textWrapping"/>
            </w:r>
            <w:r>
              <w:rPr>
                <w:rFonts w:ascii="宋体" w:hAnsi="宋体" w:eastAsia="宋体"/>
                <w:sz w:val="16"/>
              </w:rPr>
              <w:t>目标6：为保障信访基础工作的稳步开展；</w:t>
            </w:r>
            <w:r>
              <w:rPr>
                <w:rFonts w:ascii="宋体" w:hAnsi="宋体" w:eastAsia="宋体"/>
                <w:sz w:val="16"/>
              </w:rPr>
              <w:br w:type="textWrapping"/>
            </w:r>
            <w:r>
              <w:rPr>
                <w:rFonts w:ascii="宋体" w:hAnsi="宋体" w:eastAsia="宋体"/>
                <w:sz w:val="16"/>
              </w:rPr>
              <w:t>目标7：保障信访日常工作开展保障人员办公基本</w:t>
            </w:r>
            <w:r>
              <w:rPr>
                <w:rFonts w:hint="eastAsia" w:ascii="宋体" w:hAnsi="宋体"/>
                <w:sz w:val="16"/>
                <w:lang w:eastAsia="zh-CN"/>
              </w:rPr>
              <w:t>运转</w:t>
            </w:r>
            <w:r>
              <w:rPr>
                <w:rFonts w:ascii="宋体" w:hAnsi="宋体" w:eastAsia="宋体"/>
                <w:sz w:val="16"/>
              </w:rPr>
              <w:t>；</w:t>
            </w:r>
            <w:r>
              <w:rPr>
                <w:rFonts w:ascii="宋体" w:hAnsi="宋体" w:eastAsia="宋体"/>
                <w:sz w:val="16"/>
              </w:rPr>
              <w:br w:type="textWrapping"/>
            </w:r>
            <w:r>
              <w:rPr>
                <w:rFonts w:ascii="宋体" w:hAnsi="宋体" w:eastAsia="宋体"/>
                <w:sz w:val="16"/>
              </w:rPr>
              <w:t>目标8：切实维护群众合法权益，促进社会和谐稳定。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C9574D">
            <w:pPr>
              <w:jc w:val="both"/>
            </w:pPr>
            <w:r>
              <w:rPr>
                <w:rFonts w:ascii="宋体" w:hAnsi="宋体" w:eastAsia="宋体"/>
                <w:sz w:val="16"/>
              </w:rPr>
              <w:t>2024年</w:t>
            </w:r>
            <w:r>
              <w:rPr>
                <w:rFonts w:hint="eastAsia" w:ascii="宋体" w:hAnsi="宋体"/>
                <w:sz w:val="16"/>
                <w:lang w:eastAsia="zh-CN"/>
              </w:rPr>
              <w:t>本部门</w:t>
            </w:r>
            <w:r>
              <w:rPr>
                <w:rFonts w:ascii="宋体" w:hAnsi="宋体" w:eastAsia="宋体"/>
                <w:sz w:val="16"/>
              </w:rPr>
              <w:t>重大节点信访保障6次，保障赴河北、北京及乌鲁木齐开展信访安全保障工作经费，以及上访人员寻找、劝返产生的相关经费，发放14人差旅费，2024年1</w:t>
            </w:r>
            <w:r>
              <w:rPr>
                <w:rFonts w:hint="eastAsia" w:ascii="宋体" w:hAnsi="宋体"/>
                <w:sz w:val="16"/>
                <w:lang w:eastAsia="zh-CN"/>
              </w:rPr>
              <w:t>—</w:t>
            </w:r>
            <w:r>
              <w:rPr>
                <w:rFonts w:ascii="宋体" w:hAnsi="宋体" w:eastAsia="宋体"/>
                <w:sz w:val="16"/>
              </w:rPr>
              <w:t>10月，我州信访总量3644件次，同比上升55.99%。从信访形式看，网上投诉1990件次，占54.61%，来访1559批次、1656人次，占42.78%，来信95件次，占2.6%，检查任务</w:t>
            </w:r>
            <w:r>
              <w:rPr>
                <w:rFonts w:hint="eastAsia" w:ascii="宋体" w:hAnsi="宋体"/>
                <w:sz w:val="16"/>
                <w:lang w:eastAsia="zh-CN"/>
              </w:rPr>
              <w:t>按时</w:t>
            </w:r>
            <w:r>
              <w:rPr>
                <w:rFonts w:ascii="宋体" w:hAnsi="宋体" w:eastAsia="宋体"/>
                <w:sz w:val="16"/>
              </w:rPr>
              <w:t>完成率达到99.76%，实现</w:t>
            </w:r>
            <w:r>
              <w:rPr>
                <w:rFonts w:hint="eastAsia" w:ascii="宋体" w:hAnsi="宋体"/>
                <w:sz w:val="16"/>
                <w:lang w:eastAsia="zh-CN"/>
              </w:rPr>
              <w:t>两会</w:t>
            </w:r>
            <w:r>
              <w:rPr>
                <w:rFonts w:ascii="宋体" w:hAnsi="宋体" w:eastAsia="宋体"/>
                <w:sz w:val="16"/>
              </w:rPr>
              <w:t>、</w:t>
            </w:r>
            <w:r>
              <w:rPr>
                <w:rFonts w:hint="eastAsia" w:ascii="宋体" w:hAnsi="宋体"/>
                <w:sz w:val="16"/>
                <w:lang w:eastAsia="zh-CN"/>
              </w:rPr>
              <w:t>党的二十届三中全会</w:t>
            </w:r>
            <w:r>
              <w:rPr>
                <w:rFonts w:ascii="宋体" w:hAnsi="宋体" w:eastAsia="宋体"/>
                <w:sz w:val="16"/>
              </w:rPr>
              <w:t>期间、亚欧博览会“北京不去、疆内不聚、跨地不窜、网上不炒”“不发生大规模的聚集上访，不发生涉访的个人极端行为，不</w:t>
            </w:r>
            <w:r>
              <w:rPr>
                <w:rFonts w:hint="eastAsia" w:ascii="宋体" w:hAnsi="宋体"/>
                <w:sz w:val="16"/>
                <w:lang w:eastAsia="zh-CN"/>
              </w:rPr>
              <w:t>发生</w:t>
            </w:r>
            <w:r>
              <w:rPr>
                <w:rFonts w:ascii="宋体" w:hAnsi="宋体" w:eastAsia="宋体"/>
                <w:sz w:val="16"/>
              </w:rPr>
              <w:t>信访问题引发的负面影响”目标要求，持续深入各县市、自治州重点部门单位实地督查，推动落实信访安全保障</w:t>
            </w:r>
            <w:r>
              <w:rPr>
                <w:rFonts w:hint="eastAsia" w:ascii="宋体" w:hAnsi="宋体"/>
                <w:sz w:val="16"/>
                <w:lang w:eastAsia="zh-CN"/>
              </w:rPr>
              <w:t>各项措施</w:t>
            </w:r>
            <w:r>
              <w:rPr>
                <w:rFonts w:ascii="宋体" w:hAnsi="宋体" w:eastAsia="宋体"/>
                <w:sz w:val="16"/>
              </w:rPr>
              <w:t xml:space="preserve">。 </w:t>
            </w:r>
          </w:p>
        </w:tc>
      </w:tr>
      <w:tr w14:paraId="12920D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47D1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EF21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7CF9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5DC5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9483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2181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310A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0328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2F11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A54C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1653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51CA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EF17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2E99E">
            <w:pPr>
              <w:jc w:val="center"/>
            </w:pPr>
            <w:r>
              <w:rPr>
                <w:rFonts w:ascii="宋体" w:hAnsi="宋体" w:eastAsia="宋体"/>
                <w:sz w:val="16"/>
              </w:rPr>
              <w:t>偏差原因分析及改进措施</w:t>
            </w:r>
          </w:p>
        </w:tc>
      </w:tr>
      <w:tr w14:paraId="7A7FBB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BE921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02B19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7378E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091A0">
            <w:pPr>
              <w:jc w:val="center"/>
            </w:pPr>
            <w:r>
              <w:rPr>
                <w:rFonts w:ascii="宋体" w:hAnsi="宋体" w:eastAsia="宋体"/>
                <w:sz w:val="16"/>
              </w:rPr>
              <w:t>保障重大节点信访工作次数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C8C37">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FE7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2E9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9101A">
            <w:pPr>
              <w:jc w:val="center"/>
            </w:pPr>
            <w:r>
              <w:rPr>
                <w:rFonts w:ascii="宋体" w:hAnsi="宋体" w:eastAsia="宋体"/>
                <w:sz w:val="16"/>
              </w:rPr>
              <w:t>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4B4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B59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F49F4">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69E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336DC">
            <w:pPr>
              <w:jc w:val="center"/>
            </w:pPr>
            <w:r>
              <w:rPr>
                <w:rFonts w:ascii="宋体" w:hAnsi="宋体" w:eastAsia="宋体"/>
                <w:sz w:val="16"/>
              </w:rPr>
              <w:t>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B9B24">
            <w:pPr>
              <w:jc w:val="center"/>
            </w:pPr>
          </w:p>
        </w:tc>
      </w:tr>
      <w:tr w14:paraId="160320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1182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88A0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EEF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28049">
            <w:pPr>
              <w:jc w:val="center"/>
            </w:pPr>
            <w:r>
              <w:rPr>
                <w:rFonts w:ascii="宋体" w:hAnsi="宋体" w:eastAsia="宋体"/>
                <w:sz w:val="16"/>
              </w:rPr>
              <w:t>支付通信费次数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98650">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183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B44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A79FC">
            <w:pPr>
              <w:jc w:val="center"/>
            </w:pPr>
            <w:r>
              <w:rPr>
                <w:rFonts w:ascii="宋体" w:hAnsi="宋体" w:eastAsia="宋体"/>
                <w:sz w:val="16"/>
              </w:rPr>
              <w:t>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54A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051E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FC296">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B2D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CE717">
            <w:pPr>
              <w:jc w:val="center"/>
            </w:pPr>
            <w:r>
              <w:rPr>
                <w:rFonts w:ascii="宋体" w:hAnsi="宋体" w:eastAsia="宋体"/>
                <w:sz w:val="16"/>
              </w:rPr>
              <w:t>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0C098">
            <w:pPr>
              <w:jc w:val="center"/>
            </w:pPr>
          </w:p>
        </w:tc>
      </w:tr>
      <w:tr w14:paraId="0AB6FD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B47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94E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004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C3D05">
            <w:pPr>
              <w:jc w:val="center"/>
            </w:pPr>
            <w:r>
              <w:rPr>
                <w:rFonts w:ascii="宋体" w:hAnsi="宋体" w:eastAsia="宋体"/>
                <w:sz w:val="16"/>
              </w:rPr>
              <w:t>购置设备数量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E8F17">
            <w:pPr>
              <w:jc w:val="center"/>
            </w:pPr>
            <w:r>
              <w:rPr>
                <w:rFonts w:ascii="宋体" w:hAnsi="宋体" w:eastAsia="宋体"/>
                <w:sz w:val="16"/>
              </w:rPr>
              <w:t>&gt;=3套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9BC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6F0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B8C3B">
            <w:pPr>
              <w:jc w:val="center"/>
            </w:pPr>
            <w:r>
              <w:rPr>
                <w:rFonts w:ascii="宋体" w:hAnsi="宋体" w:eastAsia="宋体"/>
                <w:sz w:val="16"/>
              </w:rPr>
              <w:t>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6DD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6CB1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0937B">
            <w:pPr>
              <w:jc w:val="center"/>
            </w:pPr>
            <w:r>
              <w:rPr>
                <w:rFonts w:ascii="宋体" w:hAnsi="宋体" w:eastAsia="宋体"/>
                <w:sz w:val="16"/>
              </w:rPr>
              <w:t>＝3套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15B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A1884">
            <w:pPr>
              <w:jc w:val="center"/>
            </w:pPr>
            <w:r>
              <w:rPr>
                <w:rFonts w:ascii="宋体" w:hAnsi="宋体" w:eastAsia="宋体"/>
                <w:sz w:val="16"/>
              </w:rPr>
              <w:t>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BF94D">
            <w:pPr>
              <w:jc w:val="center"/>
            </w:pPr>
          </w:p>
        </w:tc>
      </w:tr>
      <w:tr w14:paraId="03DCD5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0ABF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4C9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FC6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F5172">
            <w:pPr>
              <w:jc w:val="center"/>
            </w:pPr>
            <w:r>
              <w:rPr>
                <w:rFonts w:ascii="宋体" w:hAnsi="宋体" w:eastAsia="宋体"/>
                <w:sz w:val="16"/>
              </w:rPr>
              <w:t>业务指导次数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6345E">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A6C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647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9C4E0">
            <w:pPr>
              <w:jc w:val="center"/>
            </w:pPr>
            <w:r>
              <w:rPr>
                <w:rFonts w:ascii="宋体" w:hAnsi="宋体" w:eastAsia="宋体"/>
                <w:sz w:val="16"/>
              </w:rPr>
              <w:t>3.07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181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7FBB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25C74">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A1D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0FF3B">
            <w:pPr>
              <w:jc w:val="center"/>
            </w:pPr>
            <w:r>
              <w:rPr>
                <w:rFonts w:ascii="宋体" w:hAnsi="宋体" w:eastAsia="宋体"/>
                <w:sz w:val="16"/>
              </w:rPr>
              <w:t>3.07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2E992">
            <w:pPr>
              <w:jc w:val="center"/>
            </w:pPr>
          </w:p>
        </w:tc>
      </w:tr>
      <w:tr w14:paraId="0710E1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EBA4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B0F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014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CABF7">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31248">
            <w:pPr>
              <w:jc w:val="center"/>
            </w:pPr>
            <w:r>
              <w:rPr>
                <w:rFonts w:ascii="宋体" w:hAnsi="宋体" w:eastAsia="宋体"/>
                <w:sz w:val="16"/>
              </w:rPr>
              <w:t>&gt;=15人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2DA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EBC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3EAF7">
            <w:pPr>
              <w:jc w:val="center"/>
            </w:pPr>
            <w:r>
              <w:rPr>
                <w:rFonts w:ascii="宋体" w:hAnsi="宋体" w:eastAsia="宋体"/>
                <w:sz w:val="16"/>
              </w:rPr>
              <w:t>3.07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1A6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3765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C3699">
            <w:pPr>
              <w:jc w:val="center"/>
            </w:pPr>
            <w:r>
              <w:rPr>
                <w:rFonts w:ascii="宋体" w:hAnsi="宋体" w:eastAsia="宋体"/>
                <w:sz w:val="16"/>
              </w:rPr>
              <w: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58D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211E3">
            <w:pPr>
              <w:jc w:val="center"/>
            </w:pPr>
            <w:r>
              <w:rPr>
                <w:rFonts w:ascii="宋体" w:hAnsi="宋体" w:eastAsia="宋体"/>
                <w:sz w:val="16"/>
              </w:rPr>
              <w:t>3.07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D4747">
            <w:pPr>
              <w:jc w:val="center"/>
            </w:pPr>
            <w:r>
              <w:rPr>
                <w:rFonts w:ascii="宋体" w:hAnsi="宋体" w:eastAsia="宋体"/>
                <w:sz w:val="16"/>
              </w:rPr>
              <w:t>依据</w:t>
            </w:r>
            <w:r>
              <w:rPr>
                <w:rFonts w:hint="eastAsia" w:ascii="宋体" w:hAnsi="宋体"/>
                <w:sz w:val="16"/>
                <w:lang w:eastAsia="zh-CN"/>
              </w:rPr>
              <w:t>本部门</w:t>
            </w:r>
            <w:r>
              <w:rPr>
                <w:rFonts w:ascii="宋体" w:hAnsi="宋体" w:eastAsia="宋体"/>
                <w:sz w:val="16"/>
              </w:rPr>
              <w:t>三定方案，单位编制为15人，因2024年调离1</w:t>
            </w:r>
            <w:r>
              <w:rPr>
                <w:rFonts w:hint="eastAsia" w:ascii="宋体" w:hAnsi="宋体"/>
                <w:sz w:val="16"/>
                <w:lang w:eastAsia="zh-CN"/>
              </w:rPr>
              <w:t>名</w:t>
            </w:r>
            <w:r>
              <w:rPr>
                <w:rFonts w:ascii="宋体" w:hAnsi="宋体" w:eastAsia="宋体"/>
                <w:sz w:val="16"/>
              </w:rPr>
              <w:t>党组成员·副局长后，未调入人员，减少1名工作人员，因此产生偏差，今后积极与上级部门沟通，做好工作。</w:t>
            </w:r>
          </w:p>
        </w:tc>
      </w:tr>
      <w:tr w14:paraId="36EABC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ED05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31CF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DDCEC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320F8">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36C1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CE5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FCC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AAE5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55A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6F80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D5E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D80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1A87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B9A6E">
            <w:pPr>
              <w:jc w:val="center"/>
            </w:pPr>
            <w:r>
              <w:rPr>
                <w:rFonts w:ascii="宋体" w:hAnsi="宋体" w:eastAsia="宋体"/>
                <w:sz w:val="16"/>
              </w:rPr>
              <w:t>2024年</w:t>
            </w:r>
            <w:r>
              <w:rPr>
                <w:rFonts w:hint="eastAsia" w:ascii="宋体" w:hAnsi="宋体"/>
                <w:sz w:val="16"/>
                <w:lang w:eastAsia="zh-CN"/>
              </w:rPr>
              <w:t>本部门</w:t>
            </w:r>
            <w:r>
              <w:rPr>
                <w:rFonts w:ascii="宋体" w:hAnsi="宋体" w:eastAsia="宋体"/>
                <w:sz w:val="16"/>
              </w:rPr>
              <w:t>执行应采必采的政府采购工作，使单位政府采购达到100%，从而产生偏差，今后积极与上级部门沟通，做好工作。</w:t>
            </w:r>
          </w:p>
        </w:tc>
      </w:tr>
      <w:tr w14:paraId="5C34CE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37D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3C6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3E5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EA822">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DCF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97D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ECF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B14B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741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3EFC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7FC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74A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99B6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54ACB">
            <w:pPr>
              <w:jc w:val="center"/>
            </w:pPr>
          </w:p>
        </w:tc>
      </w:tr>
      <w:tr w14:paraId="4F67EB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4A6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E51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86D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0FD4B">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8B5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ECD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0DF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9A154">
            <w:pPr>
              <w:jc w:val="center"/>
            </w:pPr>
            <w:r>
              <w:rPr>
                <w:rFonts w:ascii="宋体" w:hAnsi="宋体" w:eastAsia="宋体"/>
                <w:sz w:val="16"/>
              </w:rPr>
              <w:t>2.07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E3A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E1C3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6CE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525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409FC">
            <w:pPr>
              <w:jc w:val="center"/>
            </w:pPr>
            <w:r>
              <w:rPr>
                <w:rFonts w:ascii="宋体" w:hAnsi="宋体" w:eastAsia="宋体"/>
                <w:sz w:val="16"/>
              </w:rPr>
              <w:t>2.07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6EE1C">
            <w:pPr>
              <w:jc w:val="center"/>
            </w:pPr>
          </w:p>
        </w:tc>
      </w:tr>
      <w:tr w14:paraId="297AD3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404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45DC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D8C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74D26">
            <w:pPr>
              <w:jc w:val="center"/>
            </w:pPr>
            <w:r>
              <w:rPr>
                <w:rFonts w:ascii="宋体" w:hAnsi="宋体" w:eastAsia="宋体"/>
                <w:sz w:val="16"/>
              </w:rPr>
              <w:t>业务指导出勤率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669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F9C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E66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4C766">
            <w:pPr>
              <w:jc w:val="center"/>
            </w:pPr>
            <w:r>
              <w:rPr>
                <w:rFonts w:ascii="宋体" w:hAnsi="宋体" w:eastAsia="宋体"/>
                <w:sz w:val="16"/>
              </w:rPr>
              <w:t>2.14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FC4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E16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8BE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53C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2215B">
            <w:pPr>
              <w:jc w:val="center"/>
            </w:pPr>
            <w:r>
              <w:rPr>
                <w:rFonts w:ascii="宋体" w:hAnsi="宋体" w:eastAsia="宋体"/>
                <w:sz w:val="16"/>
              </w:rPr>
              <w:t>2.14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EA997">
            <w:pPr>
              <w:jc w:val="center"/>
            </w:pPr>
          </w:p>
        </w:tc>
      </w:tr>
      <w:tr w14:paraId="2DFDA0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34A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433C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F2A25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393CC">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A7098">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03A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30E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4B8EE">
            <w:pPr>
              <w:jc w:val="center"/>
            </w:pPr>
            <w:r>
              <w:rPr>
                <w:rFonts w:ascii="宋体" w:hAnsi="宋体" w:eastAsia="宋体"/>
                <w:sz w:val="16"/>
              </w:rPr>
              <w:t>3.07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5315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B1EB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4E59D">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578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07B78">
            <w:pPr>
              <w:jc w:val="center"/>
            </w:pPr>
            <w:r>
              <w:rPr>
                <w:rFonts w:ascii="宋体" w:hAnsi="宋体" w:eastAsia="宋体"/>
                <w:sz w:val="16"/>
              </w:rPr>
              <w:t>3.07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D5DA8">
            <w:pPr>
              <w:jc w:val="center"/>
            </w:pPr>
          </w:p>
        </w:tc>
      </w:tr>
      <w:tr w14:paraId="720BE5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558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0FE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3F6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80A69">
            <w:pPr>
              <w:jc w:val="center"/>
            </w:pPr>
            <w:r>
              <w:rPr>
                <w:rFonts w:ascii="宋体" w:hAnsi="宋体" w:eastAsia="宋体"/>
                <w:sz w:val="16"/>
              </w:rPr>
              <w:t>信访工作开展及时率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025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C80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EC4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0E8FC">
            <w:pPr>
              <w:jc w:val="center"/>
            </w:pPr>
            <w:r>
              <w:rPr>
                <w:rFonts w:ascii="宋体" w:hAnsi="宋体" w:eastAsia="宋体"/>
                <w:sz w:val="16"/>
              </w:rPr>
              <w:t>3.07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C88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1F8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9B1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86B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EFADE">
            <w:pPr>
              <w:jc w:val="center"/>
            </w:pPr>
            <w:r>
              <w:rPr>
                <w:rFonts w:ascii="宋体" w:hAnsi="宋体" w:eastAsia="宋体"/>
                <w:sz w:val="16"/>
              </w:rPr>
              <w:t>3.07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B1087">
            <w:pPr>
              <w:jc w:val="center"/>
            </w:pPr>
          </w:p>
        </w:tc>
      </w:tr>
      <w:tr w14:paraId="621C7D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39E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13D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0B8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AE0E2">
            <w:pPr>
              <w:jc w:val="center"/>
            </w:pPr>
            <w:r>
              <w:rPr>
                <w:rFonts w:ascii="宋体" w:hAnsi="宋体" w:eastAsia="宋体"/>
                <w:sz w:val="16"/>
              </w:rPr>
              <w:t>综合办公经费支付及时率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A61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69A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FAC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42A7D">
            <w:pPr>
              <w:jc w:val="center"/>
            </w:pPr>
            <w:r>
              <w:rPr>
                <w:rFonts w:ascii="宋体" w:hAnsi="宋体" w:eastAsia="宋体"/>
                <w:sz w:val="16"/>
              </w:rPr>
              <w:t>3.07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D73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DEA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1A0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2C5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50C6A">
            <w:pPr>
              <w:jc w:val="center"/>
            </w:pPr>
            <w:r>
              <w:rPr>
                <w:rFonts w:ascii="宋体" w:hAnsi="宋体" w:eastAsia="宋体"/>
                <w:sz w:val="16"/>
              </w:rPr>
              <w:t>3.07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FE30C">
            <w:pPr>
              <w:jc w:val="center"/>
            </w:pPr>
          </w:p>
        </w:tc>
      </w:tr>
      <w:tr w14:paraId="3E362D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51F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37B0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E20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18386">
            <w:pPr>
              <w:jc w:val="center"/>
            </w:pPr>
            <w:r>
              <w:rPr>
                <w:rFonts w:ascii="宋体" w:hAnsi="宋体" w:eastAsia="宋体"/>
                <w:sz w:val="16"/>
              </w:rPr>
              <w:t>办公通信经费支付及时率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1ED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EDB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ADA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C7FB9">
            <w:pPr>
              <w:jc w:val="center"/>
            </w:pPr>
            <w:r>
              <w:rPr>
                <w:rFonts w:ascii="宋体" w:hAnsi="宋体" w:eastAsia="宋体"/>
                <w:sz w:val="16"/>
              </w:rPr>
              <w:t>3.07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71C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06C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6AE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62B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4D334">
            <w:pPr>
              <w:jc w:val="center"/>
            </w:pPr>
            <w:r>
              <w:rPr>
                <w:rFonts w:ascii="宋体" w:hAnsi="宋体" w:eastAsia="宋体"/>
                <w:sz w:val="16"/>
              </w:rPr>
              <w:t>3.07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6A562">
            <w:pPr>
              <w:jc w:val="center"/>
            </w:pPr>
          </w:p>
        </w:tc>
      </w:tr>
      <w:tr w14:paraId="1C14D0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12D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FA0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8A3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CC735">
            <w:pPr>
              <w:jc w:val="center"/>
            </w:pPr>
            <w:r>
              <w:rPr>
                <w:rFonts w:ascii="宋体" w:hAnsi="宋体" w:eastAsia="宋体"/>
                <w:sz w:val="16"/>
              </w:rPr>
              <w:t>业务指导开展及时率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9FB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E03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735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D4FE4">
            <w:pPr>
              <w:jc w:val="center"/>
            </w:pPr>
            <w:r>
              <w:rPr>
                <w:rFonts w:ascii="宋体" w:hAnsi="宋体" w:eastAsia="宋体"/>
                <w:sz w:val="16"/>
              </w:rPr>
              <w:t>3.07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F50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31B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9EB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95A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C2D80">
            <w:pPr>
              <w:jc w:val="center"/>
            </w:pPr>
            <w:r>
              <w:rPr>
                <w:rFonts w:ascii="宋体" w:hAnsi="宋体" w:eastAsia="宋体"/>
                <w:sz w:val="16"/>
              </w:rPr>
              <w:t>3.07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B7D1C">
            <w:pPr>
              <w:jc w:val="center"/>
            </w:pPr>
          </w:p>
        </w:tc>
      </w:tr>
      <w:tr w14:paraId="43912B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799A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CA562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D493E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9A8C5">
            <w:pPr>
              <w:jc w:val="center"/>
            </w:pPr>
            <w:r>
              <w:rPr>
                <w:rFonts w:ascii="宋体" w:hAnsi="宋体" w:eastAsia="宋体"/>
                <w:sz w:val="16"/>
              </w:rPr>
              <w:t>设备采购成本控制数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F51A3">
            <w:pPr>
              <w:jc w:val="center"/>
            </w:pPr>
            <w:r>
              <w:rPr>
                <w:rFonts w:ascii="宋体" w:hAnsi="宋体" w:eastAsia="宋体"/>
                <w:sz w:val="16"/>
              </w:rPr>
              <w:t>&lt;=3.90万元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7A2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5DA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01A5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2D0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7F7B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6ABDD">
            <w:pPr>
              <w:jc w:val="center"/>
            </w:pPr>
            <w:r>
              <w:rPr>
                <w:rFonts w:ascii="宋体" w:hAnsi="宋体" w:eastAsia="宋体"/>
                <w:sz w:val="16"/>
              </w:rPr>
              <w:t>=2.14万元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4497F">
            <w:pPr>
              <w:jc w:val="center"/>
            </w:pPr>
            <w:r>
              <w:rPr>
                <w:rFonts w:ascii="宋体" w:hAnsi="宋体" w:eastAsia="宋体"/>
                <w:sz w:val="16"/>
              </w:rPr>
              <w:t>54.88%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B00C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4EC6C">
            <w:pPr>
              <w:jc w:val="center"/>
            </w:pPr>
            <w:r>
              <w:rPr>
                <w:rFonts w:ascii="宋体" w:hAnsi="宋体" w:eastAsia="宋体"/>
                <w:sz w:val="16"/>
              </w:rPr>
              <w:t>2024年</w:t>
            </w:r>
            <w:r>
              <w:rPr>
                <w:rFonts w:hint="eastAsia" w:ascii="宋体" w:hAnsi="宋体"/>
                <w:sz w:val="16"/>
                <w:lang w:eastAsia="zh-CN"/>
              </w:rPr>
              <w:t>本部门</w:t>
            </w:r>
            <w:r>
              <w:rPr>
                <w:rFonts w:ascii="宋体" w:hAnsi="宋体" w:eastAsia="宋体"/>
                <w:sz w:val="16"/>
              </w:rPr>
              <w:t>所采买办</w:t>
            </w:r>
            <w:r>
              <w:rPr>
                <w:rFonts w:hint="eastAsia" w:ascii="宋体" w:hAnsi="宋体"/>
                <w:sz w:val="16"/>
                <w:lang w:eastAsia="zh-CN"/>
              </w:rPr>
              <w:t>公设</w:t>
            </w:r>
            <w:r>
              <w:rPr>
                <w:rFonts w:ascii="宋体" w:hAnsi="宋体" w:eastAsia="宋体"/>
                <w:sz w:val="16"/>
              </w:rPr>
              <w:t>备，因市场价格下调，从而产生偏差，今后及时与供应商沟通，做好工作。</w:t>
            </w:r>
          </w:p>
        </w:tc>
      </w:tr>
      <w:tr w14:paraId="1C3AE4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497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6DA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6FA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C09FD">
            <w:pPr>
              <w:jc w:val="center"/>
            </w:pPr>
            <w:r>
              <w:rPr>
                <w:rFonts w:ascii="宋体" w:hAnsi="宋体" w:eastAsia="宋体"/>
                <w:sz w:val="16"/>
              </w:rPr>
              <w:t>通信经费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509BE">
            <w:pPr>
              <w:jc w:val="center"/>
            </w:pPr>
            <w:r>
              <w:rPr>
                <w:rFonts w:ascii="宋体" w:hAnsi="宋体" w:eastAsia="宋体"/>
                <w:sz w:val="16"/>
              </w:rPr>
              <w:t>&lt;=3.70万元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AA2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6A2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7EC9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773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08D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EA54B">
            <w:pPr>
              <w:jc w:val="center"/>
            </w:pPr>
            <w:r>
              <w:rPr>
                <w:rFonts w:ascii="宋体" w:hAnsi="宋体" w:eastAsia="宋体"/>
                <w:sz w:val="16"/>
              </w:rPr>
              <w:t>=2.85万元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3BF6A">
            <w:pPr>
              <w:jc w:val="center"/>
            </w:pPr>
            <w:r>
              <w:rPr>
                <w:rFonts w:ascii="宋体" w:hAnsi="宋体" w:eastAsia="宋体"/>
                <w:sz w:val="16"/>
              </w:rPr>
              <w:t>77.03%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AB354">
            <w:pPr>
              <w:jc w:val="center"/>
            </w:pPr>
            <w:r>
              <w:rPr>
                <w:rFonts w:ascii="宋体" w:hAnsi="宋体" w:eastAsia="宋体"/>
                <w:sz w:val="16"/>
              </w:rPr>
              <w:t>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77BA3">
            <w:pPr>
              <w:jc w:val="center"/>
            </w:pPr>
            <w:r>
              <w:rPr>
                <w:rFonts w:ascii="宋体" w:hAnsi="宋体" w:eastAsia="宋体"/>
                <w:sz w:val="16"/>
              </w:rPr>
              <w:t>在开展2024年业务工作，因接入通信人员较多，单位工作人员大部分时间使用其他通信方式，从而产生偏差，今后单</w:t>
            </w:r>
            <w:r>
              <w:rPr>
                <w:rFonts w:hint="eastAsia" w:ascii="宋体" w:hAnsi="宋体"/>
                <w:sz w:val="16"/>
                <w:lang w:eastAsia="zh-CN"/>
              </w:rPr>
              <w:t>位与</w:t>
            </w:r>
            <w:r>
              <w:rPr>
                <w:rFonts w:ascii="宋体" w:hAnsi="宋体" w:eastAsia="宋体"/>
                <w:sz w:val="16"/>
              </w:rPr>
              <w:t>各科室沟通，做好工作。</w:t>
            </w:r>
          </w:p>
        </w:tc>
      </w:tr>
      <w:tr w14:paraId="78B906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EC3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D17D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643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4F529">
            <w:pPr>
              <w:jc w:val="center"/>
            </w:pPr>
            <w:r>
              <w:rPr>
                <w:rFonts w:ascii="宋体" w:hAnsi="宋体" w:eastAsia="宋体"/>
                <w:sz w:val="16"/>
              </w:rPr>
              <w:t>综合办公经费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37673">
            <w:pPr>
              <w:jc w:val="center"/>
            </w:pPr>
            <w:r>
              <w:rPr>
                <w:rFonts w:ascii="宋体" w:hAnsi="宋体" w:eastAsia="宋体"/>
                <w:sz w:val="16"/>
              </w:rPr>
              <w:t>&lt;=12.90万元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538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E13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0C30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4F9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3CFA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F0F1C">
            <w:pPr>
              <w:jc w:val="center"/>
            </w:pPr>
            <w:r>
              <w:rPr>
                <w:rFonts w:ascii="宋体" w:hAnsi="宋体" w:eastAsia="宋体"/>
                <w:sz w:val="16"/>
              </w:rPr>
              <w:t>=18.58万元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28C6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D5F8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B7791">
            <w:pPr>
              <w:jc w:val="center"/>
            </w:pPr>
            <w:r>
              <w:rPr>
                <w:rFonts w:ascii="宋体" w:hAnsi="宋体" w:eastAsia="宋体"/>
                <w:sz w:val="16"/>
              </w:rPr>
              <w:t>2024年度我局信访安全保障工作加重，业务增加，产生偏差，今后积极与上级部门沟通，做好工作。</w:t>
            </w:r>
          </w:p>
        </w:tc>
      </w:tr>
      <w:tr w14:paraId="59C997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A97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77C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108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2922A">
            <w:pPr>
              <w:jc w:val="center"/>
            </w:pPr>
            <w:r>
              <w:rPr>
                <w:rFonts w:ascii="宋体" w:hAnsi="宋体" w:eastAsia="宋体"/>
                <w:sz w:val="16"/>
              </w:rPr>
              <w:t>业务指导成本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A1DBF">
            <w:pPr>
              <w:jc w:val="center"/>
            </w:pPr>
            <w:r>
              <w:rPr>
                <w:rFonts w:ascii="宋体" w:hAnsi="宋体" w:eastAsia="宋体"/>
                <w:sz w:val="16"/>
              </w:rPr>
              <w:t>&lt;=6.80万元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7F5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F72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19B9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013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7015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28E08">
            <w:pPr>
              <w:jc w:val="center"/>
            </w:pPr>
            <w:r>
              <w:rPr>
                <w:rFonts w:ascii="宋体" w:hAnsi="宋体" w:eastAsia="宋体"/>
                <w:sz w:val="16"/>
              </w:rPr>
              <w:t>=3.73万元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81016">
            <w:pPr>
              <w:jc w:val="center"/>
            </w:pPr>
            <w:r>
              <w:rPr>
                <w:rFonts w:ascii="宋体" w:hAnsi="宋体" w:eastAsia="宋体"/>
                <w:sz w:val="16"/>
              </w:rPr>
              <w:t>54.86%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2478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C9961">
            <w:pPr>
              <w:jc w:val="center"/>
            </w:pPr>
            <w:r>
              <w:rPr>
                <w:rFonts w:ascii="宋体" w:hAnsi="宋体" w:eastAsia="宋体"/>
                <w:sz w:val="16"/>
              </w:rPr>
              <w:t>2024年信访安全保障工作增加，平均差费值降低，引起偏差。在今后的工作中，进一步做细、做</w:t>
            </w:r>
            <w:r>
              <w:rPr>
                <w:rFonts w:hint="eastAsia" w:ascii="宋体" w:hAnsi="宋体"/>
                <w:sz w:val="16"/>
                <w:lang w:eastAsia="zh-CN"/>
              </w:rPr>
              <w:t>实</w:t>
            </w:r>
            <w:r>
              <w:rPr>
                <w:rFonts w:ascii="宋体" w:hAnsi="宋体" w:eastAsia="宋体"/>
                <w:sz w:val="16"/>
              </w:rPr>
              <w:t>、做准预算，为预算执行打好基础。</w:t>
            </w:r>
          </w:p>
        </w:tc>
      </w:tr>
      <w:tr w14:paraId="1508DA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827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CEE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FE9F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9CA68">
            <w:pPr>
              <w:jc w:val="center"/>
            </w:pPr>
            <w:r>
              <w:rPr>
                <w:rFonts w:ascii="宋体" w:hAnsi="宋体" w:eastAsia="宋体"/>
                <w:sz w:val="16"/>
              </w:rPr>
              <w:t>重大节点信访保障经费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9A4D1">
            <w:pPr>
              <w:jc w:val="center"/>
            </w:pPr>
            <w:r>
              <w:rPr>
                <w:rFonts w:ascii="宋体" w:hAnsi="宋体" w:eastAsia="宋体"/>
                <w:sz w:val="16"/>
              </w:rPr>
              <w:t>&lt;=16.36万元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52E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7A5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D9B7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F46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C49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8B1C2">
            <w:pPr>
              <w:jc w:val="center"/>
            </w:pPr>
            <w:r>
              <w:rPr>
                <w:rFonts w:ascii="宋体" w:hAnsi="宋体" w:eastAsia="宋体"/>
                <w:sz w:val="16"/>
              </w:rPr>
              <w:t>=16.36万元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C90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428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18E78">
            <w:pPr>
              <w:jc w:val="center"/>
            </w:pPr>
          </w:p>
        </w:tc>
      </w:tr>
      <w:tr w14:paraId="461418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62C8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4EC54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2776F">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0FC1F">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A5D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157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16E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92F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2FB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CCB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EE7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4C1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BA1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7AA4F">
            <w:pPr>
              <w:jc w:val="center"/>
            </w:pPr>
          </w:p>
        </w:tc>
      </w:tr>
      <w:tr w14:paraId="2AA929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2135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0DB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EE78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2D200">
            <w:pPr>
              <w:jc w:val="center"/>
            </w:pPr>
            <w:r>
              <w:rPr>
                <w:rFonts w:ascii="宋体" w:hAnsi="宋体" w:eastAsia="宋体"/>
                <w:sz w:val="16"/>
              </w:rPr>
              <w:t>保障信访工作稳步开展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12CF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381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A7D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F29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FEF7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525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B1589">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0E4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8E3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157D7">
            <w:pPr>
              <w:jc w:val="center"/>
            </w:pPr>
          </w:p>
        </w:tc>
      </w:tr>
      <w:tr w14:paraId="34FD61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12F8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93D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5999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EBB78">
            <w:pPr>
              <w:jc w:val="center"/>
            </w:pPr>
            <w:r>
              <w:rPr>
                <w:rFonts w:ascii="宋体" w:hAnsi="宋体" w:eastAsia="宋体"/>
                <w:sz w:val="16"/>
              </w:rPr>
              <w:t>设备使用人员满意度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F9BB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AE2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4D5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B93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EC2D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CA5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3333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6C1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24B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09D86">
            <w:pPr>
              <w:jc w:val="center"/>
            </w:pPr>
          </w:p>
        </w:tc>
      </w:tr>
      <w:tr w14:paraId="1697644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BF1146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4CF26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45D6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48F6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570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6DCE2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58664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4C58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D01D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AC915">
            <w:pPr>
              <w:jc w:val="center"/>
            </w:pPr>
            <w:r>
              <w:rPr>
                <w:rFonts w:ascii="宋体" w:hAnsi="宋体" w:eastAsia="宋体"/>
                <w:sz w:val="16"/>
              </w:rPr>
              <w:t>86.66分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396AE5"/>
        </w:tc>
      </w:tr>
    </w:tbl>
    <w:p w14:paraId="733B078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627A917E">
        <w:tblPrEx>
          <w:tblCellMar>
            <w:top w:w="0" w:type="dxa"/>
            <w:left w:w="108" w:type="dxa"/>
            <w:bottom w:w="0" w:type="dxa"/>
            <w:right w:w="108" w:type="dxa"/>
          </w:tblCellMar>
        </w:tblPrEx>
        <w:tc>
          <w:tcPr>
            <w:tcW w:w="8848" w:type="dxa"/>
            <w:gridSpan w:val="14"/>
            <w:vAlign w:val="center"/>
          </w:tcPr>
          <w:p w14:paraId="2583079E">
            <w:pPr>
              <w:jc w:val="center"/>
            </w:pPr>
            <w:r>
              <w:rPr>
                <w:rFonts w:ascii="宋体" w:hAnsi="宋体" w:eastAsia="宋体"/>
                <w:sz w:val="24"/>
              </w:rPr>
              <w:t>项目支出绩效自评表</w:t>
            </w:r>
          </w:p>
        </w:tc>
      </w:tr>
      <w:tr w14:paraId="30A7ACC0">
        <w:tblPrEx>
          <w:tblCellMar>
            <w:top w:w="0" w:type="dxa"/>
            <w:left w:w="108" w:type="dxa"/>
            <w:bottom w:w="0" w:type="dxa"/>
            <w:right w:w="108" w:type="dxa"/>
          </w:tblCellMar>
        </w:tblPrEx>
        <w:tc>
          <w:tcPr>
            <w:tcW w:w="8848" w:type="dxa"/>
            <w:gridSpan w:val="14"/>
            <w:vAlign w:val="center"/>
          </w:tcPr>
          <w:p w14:paraId="4659C127">
            <w:pPr>
              <w:jc w:val="center"/>
            </w:pPr>
            <w:r>
              <w:rPr>
                <w:rFonts w:ascii="宋体" w:hAnsi="宋体" w:eastAsia="宋体"/>
                <w:sz w:val="24"/>
              </w:rPr>
              <w:t>(2024年度)</w:t>
            </w:r>
          </w:p>
        </w:tc>
      </w:tr>
      <w:tr w14:paraId="175256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4151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8F0BB3B">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工作队经费</w:t>
            </w:r>
          </w:p>
        </w:tc>
      </w:tr>
      <w:tr w14:paraId="456F7F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C035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CC8F4F">
            <w:pPr>
              <w:jc w:val="center"/>
            </w:pPr>
            <w:r>
              <w:rPr>
                <w:rFonts w:ascii="宋体" w:hAnsi="宋体" w:eastAsia="宋体"/>
                <w:sz w:val="16"/>
              </w:rPr>
              <w:t>新疆巴音郭楞蒙古自治州信访局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3DF6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20B419">
            <w:pPr>
              <w:jc w:val="center"/>
            </w:pPr>
            <w:r>
              <w:rPr>
                <w:rFonts w:ascii="宋体" w:hAnsi="宋体" w:eastAsia="宋体"/>
                <w:sz w:val="16"/>
              </w:rPr>
              <w:t>新疆巴音郭楞蒙古自治州信访局</w:t>
            </w:r>
          </w:p>
        </w:tc>
      </w:tr>
      <w:tr w14:paraId="228D3A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692D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8DA9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92D6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478B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4A52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5535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54A1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88069">
            <w:pPr>
              <w:jc w:val="center"/>
            </w:pPr>
            <w:r>
              <w:rPr>
                <w:rFonts w:ascii="宋体" w:hAnsi="宋体" w:eastAsia="宋体"/>
                <w:sz w:val="16"/>
              </w:rPr>
              <w:t>得分</w:t>
            </w:r>
          </w:p>
        </w:tc>
      </w:tr>
      <w:tr w14:paraId="511615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16BAF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B418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88A1E">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87608">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5BB4D">
            <w:pPr>
              <w:jc w:val="center"/>
            </w:pPr>
            <w:r>
              <w:rPr>
                <w:rFonts w:ascii="宋体" w:hAnsi="宋体" w:eastAsia="宋体"/>
                <w:sz w:val="16"/>
              </w:rPr>
              <w:t>11.99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61A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8863D">
            <w:pPr>
              <w:jc w:val="center"/>
            </w:pPr>
            <w:r>
              <w:rPr>
                <w:rFonts w:ascii="宋体" w:hAnsi="宋体" w:eastAsia="宋体"/>
                <w:sz w:val="16"/>
              </w:rPr>
              <w:t>99.92%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A69F3">
            <w:pPr>
              <w:jc w:val="center"/>
            </w:pPr>
            <w:r>
              <w:rPr>
                <w:rFonts w:ascii="宋体" w:hAnsi="宋体" w:eastAsia="宋体"/>
                <w:sz w:val="16"/>
              </w:rPr>
              <w:t>9.98</w:t>
            </w:r>
          </w:p>
        </w:tc>
      </w:tr>
      <w:tr w14:paraId="4D78BE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DA3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15D9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A45DD">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EB573">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A553A">
            <w:pPr>
              <w:jc w:val="center"/>
            </w:pPr>
            <w:r>
              <w:rPr>
                <w:rFonts w:ascii="宋体" w:hAnsi="宋体" w:eastAsia="宋体"/>
                <w:sz w:val="16"/>
              </w:rPr>
              <w:t>11.99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AC7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722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BA537">
            <w:pPr>
              <w:jc w:val="center"/>
            </w:pPr>
            <w:r>
              <w:rPr>
                <w:rFonts w:ascii="宋体" w:hAnsi="宋体" w:eastAsia="宋体"/>
                <w:sz w:val="16"/>
              </w:rPr>
              <w:t>-</w:t>
            </w:r>
          </w:p>
        </w:tc>
      </w:tr>
      <w:tr w14:paraId="02FACC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A2FF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CBF4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886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088D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270E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A955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013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0F474">
            <w:pPr>
              <w:jc w:val="center"/>
            </w:pPr>
            <w:r>
              <w:rPr>
                <w:rFonts w:ascii="宋体" w:hAnsi="宋体" w:eastAsia="宋体"/>
                <w:sz w:val="16"/>
              </w:rPr>
              <w:t>-</w:t>
            </w:r>
          </w:p>
        </w:tc>
      </w:tr>
      <w:tr w14:paraId="074115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F8E51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09B8F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76D352">
            <w:pPr>
              <w:jc w:val="center"/>
            </w:pPr>
            <w:r>
              <w:rPr>
                <w:rFonts w:ascii="宋体" w:hAnsi="宋体" w:eastAsia="宋体"/>
                <w:sz w:val="16"/>
              </w:rPr>
              <w:t>总体目标完成情况</w:t>
            </w:r>
          </w:p>
        </w:tc>
      </w:tr>
      <w:tr w14:paraId="6FDE61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84B6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409991">
            <w:pPr>
              <w:jc w:val="both"/>
            </w:pPr>
            <w:r>
              <w:rPr>
                <w:rFonts w:ascii="宋体" w:hAnsi="宋体" w:eastAsia="宋体"/>
                <w:sz w:val="16"/>
              </w:rPr>
              <w:t>2024年巴州信访局牵头担任本年度</w:t>
            </w:r>
            <w:r>
              <w:rPr>
                <w:rFonts w:hint="eastAsia" w:ascii="宋体" w:hAnsi="宋体"/>
                <w:sz w:val="16"/>
                <w:lang w:eastAsia="zh-CN"/>
              </w:rPr>
              <w:t>为民办实事</w:t>
            </w:r>
            <w:r>
              <w:rPr>
                <w:rFonts w:ascii="宋体" w:hAnsi="宋体" w:eastAsia="宋体"/>
                <w:sz w:val="16"/>
              </w:rPr>
              <w:t>工作队队长，工作队共计4人，设立地点为库尔勒市上户镇杜尔比村。第一书记为民办实事经费2.0万元，工作队为民办实事经费10.0万元，资金到位率100%,经费支付及时率计划达到100%，工作队经费主要用于补充村级组织工作经费，积极组织开展各类活动</w:t>
            </w:r>
            <w:r>
              <w:rPr>
                <w:rFonts w:hint="eastAsia" w:ascii="宋体" w:hAnsi="宋体"/>
                <w:sz w:val="16"/>
                <w:lang w:eastAsia="zh-CN"/>
              </w:rPr>
              <w:t>。</w:t>
            </w:r>
            <w:r>
              <w:rPr>
                <w:rFonts w:ascii="宋体" w:hAnsi="宋体" w:eastAsia="宋体"/>
                <w:sz w:val="16"/>
              </w:rPr>
              <w:t>帮扶困难群众、访贫问苦；为群众送信息、送服务、送温暖，组织开展各类宣传活动。帮扶困难群众房屋修缮、村道、桥涵、引水渠维修，小磨坊、小作坊修缮，支持小型种植养殖、家庭旅游、农产品加工业发展，组织群众参观学习，开展就业创业技能培训，更新村（社区）“两委”办公设施，做好党内激励关怀帮扶，有效提高辖区居民参与度，走访慰问对象满意度计划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3941C5">
            <w:pPr>
              <w:jc w:val="both"/>
            </w:pPr>
            <w:r>
              <w:rPr>
                <w:rFonts w:ascii="宋体" w:hAnsi="宋体" w:eastAsia="宋体"/>
                <w:sz w:val="16"/>
              </w:rPr>
              <w:t>2024年巴州信访局牵头担任本年度</w:t>
            </w:r>
            <w:r>
              <w:rPr>
                <w:rFonts w:hint="eastAsia" w:ascii="宋体" w:hAnsi="宋体"/>
                <w:sz w:val="16"/>
                <w:lang w:eastAsia="zh-CN"/>
              </w:rPr>
              <w:t>为民办实事</w:t>
            </w:r>
            <w:r>
              <w:rPr>
                <w:rFonts w:ascii="宋体" w:hAnsi="宋体" w:eastAsia="宋体"/>
                <w:sz w:val="16"/>
              </w:rPr>
              <w:t>工作队队长，工作队共计4人，设立地点为库尔勒市上户镇杜尔比村。第一书记为民办实事及工作队为民办实事经费合计12万元，资金到位率100%,经费支付及时率计划达到100%，工作队经费主要用于补充村级组织工作经费，积极组织开展中秋、国庆、元旦等活动</w:t>
            </w:r>
            <w:r>
              <w:rPr>
                <w:rFonts w:hint="eastAsia" w:ascii="宋体" w:hAnsi="宋体"/>
                <w:sz w:val="16"/>
                <w:lang w:eastAsia="zh-CN"/>
              </w:rPr>
              <w:t>。</w:t>
            </w:r>
            <w:r>
              <w:rPr>
                <w:rFonts w:ascii="宋体" w:hAnsi="宋体" w:eastAsia="宋体"/>
                <w:sz w:val="16"/>
              </w:rPr>
              <w:t>帮扶困难群众、访贫问苦；为群众送信息、送服务、送温暖，组织开展各类宣传活动。帮扶困难群众房屋修缮漏水房屋，支持小型种植养殖购买鸡苗发展家禽养殖业，组织群众参观学习，开展就业创业技能学习，更新村（社区）“两委”办公设施，做好党内激励关怀帮扶，辖区居民积极参与活动提高活动参与率，</w:t>
            </w:r>
            <w:r>
              <w:rPr>
                <w:rFonts w:hint="eastAsia" w:ascii="宋体" w:hAnsi="宋体"/>
                <w:sz w:val="16"/>
                <w:lang w:eastAsia="zh-CN"/>
              </w:rPr>
              <w:t>同级</w:t>
            </w:r>
            <w:r>
              <w:rPr>
                <w:rFonts w:ascii="宋体" w:hAnsi="宋体" w:eastAsia="宋体"/>
                <w:sz w:val="16"/>
              </w:rPr>
              <w:t>走访慰问对象满意度计划达到100%。</w:t>
            </w:r>
          </w:p>
        </w:tc>
      </w:tr>
      <w:tr w14:paraId="6088F7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C763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2463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D4D1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3BDF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ECA5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BE1E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32E6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71FD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5AE2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9274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CA76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D1B0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1419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6000A">
            <w:pPr>
              <w:jc w:val="center"/>
            </w:pPr>
            <w:r>
              <w:rPr>
                <w:rFonts w:ascii="宋体" w:hAnsi="宋体" w:eastAsia="宋体"/>
                <w:sz w:val="16"/>
              </w:rPr>
              <w:t>偏差原因分析及改进措施</w:t>
            </w:r>
          </w:p>
        </w:tc>
      </w:tr>
      <w:tr w14:paraId="2173DE8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31D46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C30A6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1F1D6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3BDC2">
            <w:pPr>
              <w:jc w:val="center"/>
            </w:pPr>
            <w:r>
              <w:rPr>
                <w:rFonts w:ascii="宋体" w:hAnsi="宋体" w:eastAsia="宋体"/>
                <w:sz w:val="16"/>
              </w:rPr>
              <w:t>派驻工作队工作人员人数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AD56C">
            <w:pPr>
              <w:jc w:val="center"/>
            </w:pPr>
            <w:r>
              <w:rPr>
                <w:rFonts w:ascii="宋体" w:hAnsi="宋体" w:eastAsia="宋体"/>
                <w:sz w:val="16"/>
              </w:rPr>
              <w:t>&gt;=4人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272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11D34">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8A6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8DF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A4B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ABB0D">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99C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0DC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15B9A">
            <w:pPr>
              <w:jc w:val="center"/>
            </w:pPr>
          </w:p>
        </w:tc>
      </w:tr>
      <w:tr w14:paraId="5AB12C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80C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44B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B49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01070">
            <w:pPr>
              <w:jc w:val="center"/>
            </w:pPr>
            <w:r>
              <w:rPr>
                <w:rFonts w:hint="eastAsia" w:ascii="宋体" w:hAnsi="宋体"/>
                <w:sz w:val="16"/>
                <w:lang w:eastAsia="zh-CN"/>
              </w:rPr>
              <w:t>为民办实事</w:t>
            </w:r>
            <w:r>
              <w:rPr>
                <w:rFonts w:ascii="宋体" w:hAnsi="宋体" w:eastAsia="宋体"/>
                <w:sz w:val="16"/>
              </w:rPr>
              <w:t>、社区工作队个数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8547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1D7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59FCD">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CC8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D97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87E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4A03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1CA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1E6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E27A9">
            <w:pPr>
              <w:jc w:val="center"/>
            </w:pPr>
          </w:p>
        </w:tc>
      </w:tr>
      <w:tr w14:paraId="6AD14E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33B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B52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39E5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3FCD5">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575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48F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64261">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75B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391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CF0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357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666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754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C2216">
            <w:pPr>
              <w:jc w:val="center"/>
            </w:pPr>
          </w:p>
        </w:tc>
      </w:tr>
      <w:tr w14:paraId="6D4EF6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E21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870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B0F7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9BF06">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111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921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33454">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AC5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D28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71E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CC6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2E6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E9C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A5679">
            <w:pPr>
              <w:jc w:val="center"/>
            </w:pPr>
          </w:p>
        </w:tc>
      </w:tr>
      <w:tr w14:paraId="3FE841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04AA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0281C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41D85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0C3FE">
            <w:pPr>
              <w:jc w:val="center"/>
            </w:pPr>
            <w:r>
              <w:rPr>
                <w:rFonts w:ascii="宋体" w:hAnsi="宋体" w:eastAsia="宋体"/>
                <w:sz w:val="16"/>
              </w:rPr>
              <w:t>第一书记为民办实事经费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BE9E1">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0DB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2509A">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2DA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4F7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7C36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2A18F">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B97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643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8ADCA">
            <w:pPr>
              <w:jc w:val="center"/>
            </w:pPr>
          </w:p>
        </w:tc>
      </w:tr>
      <w:tr w14:paraId="387D4E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8A6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601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FD3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2FC35">
            <w:pPr>
              <w:jc w:val="center"/>
            </w:pPr>
            <w:r>
              <w:rPr>
                <w:rFonts w:ascii="宋体" w:hAnsi="宋体" w:eastAsia="宋体"/>
                <w:sz w:val="16"/>
              </w:rPr>
              <w:t>工作队为民办实事经费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1D9F7">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1DD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B33E0">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5C0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2DF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AC24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18C25">
            <w:pPr>
              <w:jc w:val="center"/>
            </w:pPr>
            <w:r>
              <w:rPr>
                <w:rFonts w:ascii="宋体" w:hAnsi="宋体" w:eastAsia="宋体"/>
                <w:sz w:val="16"/>
              </w:rPr>
              <w:t>=9.9万元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2CA38">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CA265">
            <w:pPr>
              <w:jc w:val="center"/>
            </w:pPr>
            <w:r>
              <w:rPr>
                <w:rFonts w:ascii="宋体" w:hAnsi="宋体" w:eastAsia="宋体"/>
                <w:sz w:val="16"/>
              </w:rPr>
              <w:t>9.75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F0935">
            <w:pPr>
              <w:jc w:val="center"/>
            </w:pPr>
            <w:r>
              <w:rPr>
                <w:rFonts w:ascii="宋体" w:hAnsi="宋体" w:eastAsia="宋体"/>
                <w:sz w:val="16"/>
              </w:rPr>
              <w:t>2024年工作队所采买部分用品，因市场价格下调，从而产生偏差，今后及时与供应商沟通，做好工作</w:t>
            </w:r>
          </w:p>
        </w:tc>
      </w:tr>
      <w:tr w14:paraId="05232A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9804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0E9B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523B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1D2DF">
            <w:pPr>
              <w:jc w:val="center"/>
            </w:pPr>
            <w:r>
              <w:rPr>
                <w:rFonts w:ascii="宋体" w:hAnsi="宋体" w:eastAsia="宋体"/>
                <w:sz w:val="16"/>
              </w:rPr>
              <w:t>提高民众参与率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3BE2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64A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6CA39">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7A18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B6AC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2CB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1D9B0">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038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6E2E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0B9C3">
            <w:pPr>
              <w:jc w:val="center"/>
            </w:pPr>
          </w:p>
        </w:tc>
      </w:tr>
      <w:tr w14:paraId="6D916F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CED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7714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E4DA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93A67">
            <w:pPr>
              <w:jc w:val="center"/>
            </w:pPr>
            <w:r>
              <w:rPr>
                <w:rFonts w:ascii="宋体" w:hAnsi="宋体" w:eastAsia="宋体"/>
                <w:sz w:val="16"/>
              </w:rPr>
              <w:t>走访慰问对象满意度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F01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520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7AA21">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34A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C931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1BE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20B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C05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D61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99FAD">
            <w:pPr>
              <w:jc w:val="center"/>
            </w:pPr>
          </w:p>
        </w:tc>
      </w:tr>
      <w:tr w14:paraId="7D14CD9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A6376E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19FAE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D45A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D782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D7B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049B2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73D37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77CD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BC8C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82BAC">
            <w:pPr>
              <w:jc w:val="center"/>
            </w:pPr>
            <w:r>
              <w:rPr>
                <w:rFonts w:ascii="宋体" w:hAnsi="宋体" w:eastAsia="宋体"/>
                <w:sz w:val="16"/>
              </w:rPr>
              <w:t>99.73分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00732E"/>
        </w:tc>
      </w:tr>
    </w:tbl>
    <w:p w14:paraId="3F5DDCE4">
      <w:r>
        <w:br w:type="page"/>
      </w:r>
    </w:p>
    <w:p w14:paraId="44567522">
      <w:pPr>
        <w:spacing w:line="640" w:lineRule="exact"/>
        <w:ind w:firstLine="640"/>
        <w:jc w:val="both"/>
        <w:outlineLvl w:val="2"/>
      </w:pPr>
      <w:r>
        <w:rPr>
          <w:rFonts w:ascii="黑体" w:hAnsi="黑体" w:eastAsia="黑体"/>
          <w:sz w:val="32"/>
        </w:rPr>
        <w:t>十二、其他需说明的事项</w:t>
      </w:r>
    </w:p>
    <w:p w14:paraId="0AFE5DC2">
      <w:pPr>
        <w:spacing w:line="580" w:lineRule="exact"/>
        <w:ind w:firstLine="640"/>
        <w:jc w:val="both"/>
      </w:pPr>
      <w:r>
        <w:rPr>
          <w:rFonts w:ascii="仿宋_GB2312" w:hAnsi="仿宋_GB2312" w:eastAsia="仿宋_GB2312"/>
          <w:b w:val="0"/>
          <w:sz w:val="32"/>
        </w:rPr>
        <w:t>本部门无其他需说明的事项。</w:t>
      </w:r>
    </w:p>
    <w:p w14:paraId="0CC55B6D">
      <w:r>
        <w:br w:type="page"/>
      </w:r>
    </w:p>
    <w:p w14:paraId="5E8FD6C9">
      <w:pPr>
        <w:spacing w:line="240" w:lineRule="auto"/>
        <w:jc w:val="center"/>
        <w:outlineLvl w:val="1"/>
      </w:pPr>
      <w:r>
        <w:rPr>
          <w:rFonts w:ascii="黑体" w:hAnsi="黑体" w:eastAsia="黑体"/>
          <w:sz w:val="32"/>
        </w:rPr>
        <w:t>第三部分 专业名词解释</w:t>
      </w:r>
    </w:p>
    <w:p w14:paraId="57A76DF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844CC1F">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38C135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4A07C5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738D3D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224A38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2C582B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450DE4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268A46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F2467C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D3F1AC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ED8B93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F5038B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270566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3589291">
      <w:r>
        <w:br w:type="page"/>
      </w:r>
    </w:p>
    <w:p w14:paraId="57670EC2">
      <w:pPr>
        <w:spacing w:line="240" w:lineRule="auto"/>
        <w:jc w:val="center"/>
        <w:outlineLvl w:val="1"/>
      </w:pPr>
      <w:r>
        <w:rPr>
          <w:rFonts w:ascii="黑体" w:hAnsi="黑体" w:eastAsia="黑体"/>
          <w:sz w:val="32"/>
        </w:rPr>
        <w:t>第四部分 部门决算报表（见附表）</w:t>
      </w:r>
    </w:p>
    <w:p w14:paraId="5BA5D4BE">
      <w:pPr>
        <w:spacing w:line="240" w:lineRule="auto"/>
        <w:ind w:firstLine="640"/>
        <w:jc w:val="both"/>
      </w:pPr>
      <w:r>
        <w:rPr>
          <w:rFonts w:ascii="仿宋_GB2312" w:hAnsi="仿宋_GB2312" w:eastAsia="仿宋_GB2312"/>
          <w:b w:val="0"/>
          <w:sz w:val="32"/>
        </w:rPr>
        <w:t>一、《收入支出决算总表》</w:t>
      </w:r>
    </w:p>
    <w:p w14:paraId="62FFEB91">
      <w:pPr>
        <w:spacing w:line="240" w:lineRule="auto"/>
        <w:ind w:firstLine="640"/>
        <w:jc w:val="both"/>
      </w:pPr>
      <w:r>
        <w:rPr>
          <w:rFonts w:ascii="仿宋_GB2312" w:hAnsi="仿宋_GB2312" w:eastAsia="仿宋_GB2312"/>
          <w:b w:val="0"/>
          <w:sz w:val="32"/>
        </w:rPr>
        <w:t>二、《收入决算表》</w:t>
      </w:r>
    </w:p>
    <w:p w14:paraId="79B1074D">
      <w:pPr>
        <w:spacing w:line="240" w:lineRule="auto"/>
        <w:ind w:firstLine="640"/>
        <w:jc w:val="both"/>
      </w:pPr>
      <w:r>
        <w:rPr>
          <w:rFonts w:ascii="仿宋_GB2312" w:hAnsi="仿宋_GB2312" w:eastAsia="仿宋_GB2312"/>
          <w:b w:val="0"/>
          <w:sz w:val="32"/>
        </w:rPr>
        <w:t>三、《支出决算表》</w:t>
      </w:r>
    </w:p>
    <w:p w14:paraId="4D733B6C">
      <w:pPr>
        <w:spacing w:line="240" w:lineRule="auto"/>
        <w:ind w:firstLine="640"/>
        <w:jc w:val="both"/>
      </w:pPr>
      <w:r>
        <w:rPr>
          <w:rFonts w:ascii="仿宋_GB2312" w:hAnsi="仿宋_GB2312" w:eastAsia="仿宋_GB2312"/>
          <w:b w:val="0"/>
          <w:sz w:val="32"/>
        </w:rPr>
        <w:t>四、《财政拨款收入支出决算总表》</w:t>
      </w:r>
    </w:p>
    <w:p w14:paraId="188F3608">
      <w:pPr>
        <w:spacing w:line="240" w:lineRule="auto"/>
        <w:ind w:firstLine="640"/>
        <w:jc w:val="both"/>
      </w:pPr>
      <w:r>
        <w:rPr>
          <w:rFonts w:ascii="仿宋_GB2312" w:hAnsi="仿宋_GB2312" w:eastAsia="仿宋_GB2312"/>
          <w:b w:val="0"/>
          <w:sz w:val="32"/>
        </w:rPr>
        <w:t>五、《一般公共预算财政拨款支出决算表》</w:t>
      </w:r>
    </w:p>
    <w:p w14:paraId="10CDB54B">
      <w:pPr>
        <w:spacing w:line="240" w:lineRule="auto"/>
        <w:ind w:firstLine="640"/>
        <w:jc w:val="both"/>
      </w:pPr>
      <w:r>
        <w:rPr>
          <w:rFonts w:ascii="仿宋_GB2312" w:hAnsi="仿宋_GB2312" w:eastAsia="仿宋_GB2312"/>
          <w:b w:val="0"/>
          <w:sz w:val="32"/>
        </w:rPr>
        <w:t>六、《一般公共预算财政拨款基本支出决算表》</w:t>
      </w:r>
    </w:p>
    <w:p w14:paraId="51042151">
      <w:pPr>
        <w:spacing w:line="240" w:lineRule="auto"/>
        <w:ind w:firstLine="640"/>
        <w:jc w:val="both"/>
      </w:pPr>
      <w:r>
        <w:rPr>
          <w:rFonts w:ascii="仿宋_GB2312" w:hAnsi="仿宋_GB2312" w:eastAsia="仿宋_GB2312"/>
          <w:b w:val="0"/>
          <w:sz w:val="32"/>
        </w:rPr>
        <w:t>七、《政府性基金预算财政拨款收入支出决算表》</w:t>
      </w:r>
    </w:p>
    <w:p w14:paraId="62AF20D4">
      <w:pPr>
        <w:spacing w:line="240" w:lineRule="auto"/>
        <w:ind w:firstLine="640"/>
        <w:jc w:val="both"/>
      </w:pPr>
      <w:r>
        <w:rPr>
          <w:rFonts w:ascii="仿宋_GB2312" w:hAnsi="仿宋_GB2312" w:eastAsia="仿宋_GB2312"/>
          <w:b w:val="0"/>
          <w:sz w:val="32"/>
        </w:rPr>
        <w:t>八、《国有资本经营预算财政拨款收入支出决算表》</w:t>
      </w:r>
    </w:p>
    <w:p w14:paraId="66159960">
      <w:pPr>
        <w:spacing w:line="240" w:lineRule="auto"/>
        <w:ind w:firstLine="640"/>
        <w:jc w:val="both"/>
      </w:pPr>
      <w:r>
        <w:rPr>
          <w:rFonts w:ascii="仿宋_GB2312" w:hAnsi="仿宋_GB2312" w:eastAsia="仿宋_GB2312"/>
          <w:b w:val="0"/>
          <w:sz w:val="32"/>
        </w:rPr>
        <w:t>九、《财政拨款“三公”经费支出决算表》</w:t>
      </w:r>
    </w:p>
    <w:p w14:paraId="4E6EBE55">
      <w:pPr>
        <w:spacing w:line="240" w:lineRule="auto"/>
        <w:ind w:firstLine="640"/>
        <w:jc w:val="both"/>
      </w:pPr>
    </w:p>
    <w:p w14:paraId="5D1A78EC">
      <w:pPr>
        <w:spacing w:line="240" w:lineRule="auto"/>
        <w:ind w:firstLine="640"/>
        <w:jc w:val="both"/>
      </w:pPr>
    </w:p>
    <w:p w14:paraId="3A723763">
      <w:pPr>
        <w:spacing w:line="240" w:lineRule="auto"/>
        <w:ind w:firstLine="640"/>
        <w:jc w:val="both"/>
      </w:pPr>
    </w:p>
    <w:p w14:paraId="404FCF70">
      <w:pPr>
        <w:spacing w:line="240" w:lineRule="auto"/>
        <w:ind w:firstLine="640"/>
        <w:jc w:val="both"/>
      </w:pPr>
    </w:p>
    <w:p w14:paraId="7175B95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10FA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9A11E99"/>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CC2F4F"/>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565742"/>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6990</Words>
  <Characters>7834</Characters>
  <Lines>0</Lines>
  <Paragraphs>0</Paragraphs>
  <TotalTime>1</TotalTime>
  <ScaleCrop>false</ScaleCrop>
  <LinksUpToDate>false</LinksUpToDate>
  <CharactersWithSpaces>7842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2025-09-11T11:41:58Z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