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nts/font7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7AF0585"/>
    <w:p w14:paraId="416F25E6">
      <w:pPr>
        <w:spacing w:line="540" w:lineRule="exact"/>
        <w:jc w:val="left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附件2：</w:t>
      </w:r>
    </w:p>
    <w:p w14:paraId="155C9943"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 w14:paraId="6EE55E67"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 w14:paraId="74FDDAC5"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 w14:paraId="51275DBC"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 w14:paraId="168E653A"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 w14:paraId="23511D96"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 w14:paraId="130DC4B9">
      <w:pPr>
        <w:spacing w:line="540" w:lineRule="exact"/>
        <w:jc w:val="center"/>
        <w:rPr>
          <w:rFonts w:ascii="方正小标宋_GBK" w:hAnsi="华文中宋" w:eastAsia="方正小标宋_GBK" w:cs="宋体"/>
          <w:b/>
          <w:kern w:val="0"/>
          <w:sz w:val="48"/>
          <w:szCs w:val="48"/>
        </w:rPr>
      </w:pPr>
      <w:r>
        <w:rPr>
          <w:rFonts w:hint="eastAsia" w:ascii="方正小标宋_GBK" w:hAnsi="华文中宋" w:eastAsia="方正小标宋_GBK" w:cs="宋体"/>
          <w:b/>
          <w:kern w:val="0"/>
          <w:sz w:val="48"/>
          <w:szCs w:val="48"/>
        </w:rPr>
        <w:t>自治区财政项目支出绩效自评报告</w:t>
      </w:r>
    </w:p>
    <w:p w14:paraId="085B75C4"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 w14:paraId="4AF3F215">
      <w:pPr>
        <w:spacing w:line="540" w:lineRule="exact"/>
        <w:jc w:val="center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 xml:space="preserve">（   </w:t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2024</w:t>
      </w:r>
      <w:r>
        <w:rPr>
          <w:rFonts w:hint="eastAsia" w:hAnsi="宋体" w:eastAsia="仿宋_GB2312" w:cs="宋体"/>
          <w:kern w:val="0"/>
          <w:sz w:val="36"/>
          <w:szCs w:val="36"/>
        </w:rPr>
        <w:t xml:space="preserve">  年度）</w:t>
      </w:r>
    </w:p>
    <w:p w14:paraId="45E3D7BC"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 w14:paraId="0A0D406D"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 w14:paraId="32DEB893">
      <w:pPr>
        <w:spacing w:line="540" w:lineRule="exact"/>
        <w:jc w:val="center"/>
        <w:rPr>
          <w:rFonts w:ascii="方正小标宋_GBK" w:hAnsi="宋体" w:eastAsia="方正小标宋_GBK" w:cs="宋体"/>
          <w:kern w:val="0"/>
          <w:sz w:val="36"/>
          <w:szCs w:val="36"/>
        </w:rPr>
      </w:pPr>
      <w:r>
        <w:rPr>
          <w:rFonts w:hint="eastAsia" w:ascii="方正小标宋_GBK" w:hAnsi="宋体" w:eastAsia="方正小标宋_GBK" w:cs="宋体"/>
          <w:kern w:val="0"/>
          <w:sz w:val="36"/>
          <w:szCs w:val="36"/>
        </w:rPr>
        <w:t>参考模板</w:t>
      </w:r>
    </w:p>
    <w:p w14:paraId="4E239773"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 w14:paraId="4F9F0133"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 w14:paraId="6A8B4DEF"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 w14:paraId="359D32DA">
      <w:pPr>
        <w:spacing w:line="540" w:lineRule="exact"/>
        <w:rPr>
          <w:rFonts w:hAnsi="宋体" w:eastAsia="仿宋_GB2312" w:cs="宋体"/>
          <w:kern w:val="0"/>
          <w:sz w:val="30"/>
          <w:szCs w:val="30"/>
        </w:rPr>
      </w:pPr>
    </w:p>
    <w:p w14:paraId="3127719B">
      <w:pPr>
        <w:spacing w:line="700" w:lineRule="exact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 xml:space="preserve">     </w:t>
      </w:r>
    </w:p>
    <w:p w14:paraId="570511DC">
      <w:pPr>
        <w:spacing w:line="700" w:lineRule="exact"/>
        <w:ind w:firstLine="900" w:firstLineChars="250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项目名称：</w:t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2024年重大节点信访保障</w:t>
      </w:r>
    </w:p>
    <w:p w14:paraId="508A27FA">
      <w:pPr>
        <w:spacing w:line="540" w:lineRule="exact"/>
        <w:ind w:firstLine="567"/>
        <w:rPr>
          <w:rFonts w:ascii="楷体" w:hAnsi="楷体" w:eastAsia="楷体"/>
          <w:b/>
          <w:bCs/>
          <w:spacing w:val="-4"/>
          <w:sz w:val="32"/>
          <w:szCs w:val="32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 xml:space="preserve">  实施单位（公章）：</w:t>
      </w:r>
      <w:r>
        <w:rPr>
          <w:rStyle w:val="19"/>
          <w:rFonts w:hint="eastAsia" w:ascii="楷体" w:hAnsi="楷体" w:eastAsia="楷体"/>
          <w:spacing w:val="-4"/>
          <w:sz w:val="28"/>
          <w:szCs w:val="28"/>
        </w:rPr>
        <w:t>新疆</w:t>
      </w:r>
      <w:r>
        <w:rPr>
          <w:rStyle w:val="19"/>
          <w:rFonts w:hint="eastAsia" w:ascii="楷体" w:hAnsi="楷体" w:eastAsia="楷体"/>
          <w:spacing w:val="-4"/>
          <w:sz w:val="28"/>
          <w:szCs w:val="28"/>
          <w:lang w:eastAsia="zh-CN"/>
        </w:rPr>
        <w:t>巴音郭楞蒙古自治州</w:t>
      </w:r>
      <w:bookmarkStart w:id="0" w:name="_GoBack"/>
      <w:bookmarkEnd w:id="0"/>
      <w:r>
        <w:rPr>
          <w:rStyle w:val="19"/>
          <w:rFonts w:hint="eastAsia" w:ascii="楷体" w:hAnsi="楷体" w:eastAsia="楷体"/>
          <w:spacing w:val="-4"/>
          <w:sz w:val="28"/>
          <w:szCs w:val="28"/>
        </w:rPr>
        <w:t>信访局</w:t>
      </w:r>
    </w:p>
    <w:p w14:paraId="79FA8640">
      <w:pPr>
        <w:spacing w:line="540" w:lineRule="exact"/>
        <w:ind w:firstLine="900" w:firstLineChars="250"/>
        <w:rPr>
          <w:rFonts w:ascii="楷体" w:hAnsi="楷体" w:eastAsia="楷体"/>
          <w:b/>
          <w:bCs/>
          <w:spacing w:val="-4"/>
          <w:sz w:val="28"/>
          <w:szCs w:val="28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主管部门（公章）：</w:t>
      </w:r>
      <w:r>
        <w:rPr>
          <w:rStyle w:val="19"/>
          <w:rFonts w:hint="eastAsia" w:ascii="楷体" w:hAnsi="楷体" w:eastAsia="楷体"/>
          <w:spacing w:val="-4"/>
          <w:sz w:val="28"/>
          <w:szCs w:val="28"/>
        </w:rPr>
        <w:t>新疆巴音郭楞蒙古自治州信访局</w:t>
      </w:r>
    </w:p>
    <w:p w14:paraId="00EF4993">
      <w:pPr>
        <w:spacing w:line="540" w:lineRule="exact"/>
        <w:ind w:firstLine="900" w:firstLineChars="250"/>
        <w:rPr>
          <w:rFonts w:ascii="楷体" w:hAnsi="楷体" w:eastAsia="楷体"/>
          <w:b/>
          <w:bCs/>
          <w:spacing w:val="-4"/>
          <w:sz w:val="32"/>
          <w:szCs w:val="32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项目负责人（签章）：</w:t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依仁且</w:t>
      </w:r>
    </w:p>
    <w:p w14:paraId="7B044FAF">
      <w:pPr>
        <w:spacing w:line="540" w:lineRule="exact"/>
        <w:ind w:left="273" w:firstLine="567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填报时间：</w:t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2025年03月21日</w:t>
      </w:r>
    </w:p>
    <w:p w14:paraId="04D672FE">
      <w:pPr>
        <w:spacing w:line="700" w:lineRule="exact"/>
        <w:ind w:firstLine="708" w:firstLineChars="236"/>
        <w:jc w:val="left"/>
        <w:rPr>
          <w:rFonts w:hAnsi="宋体" w:eastAsia="仿宋_GB2312" w:cs="宋体"/>
          <w:kern w:val="0"/>
          <w:sz w:val="30"/>
          <w:szCs w:val="30"/>
        </w:rPr>
      </w:pPr>
    </w:p>
    <w:p w14:paraId="3728BB21">
      <w:pPr>
        <w:spacing w:line="540" w:lineRule="exact"/>
        <w:rPr>
          <w:rStyle w:val="19"/>
          <w:rFonts w:ascii="黑体" w:hAnsi="黑体" w:eastAsia="黑体"/>
          <w:b w:val="0"/>
          <w:spacing w:val="-4"/>
          <w:sz w:val="32"/>
          <w:szCs w:val="32"/>
        </w:rPr>
      </w:pPr>
    </w:p>
    <w:p w14:paraId="156B0539">
      <w:pPr>
        <w:spacing w:line="540" w:lineRule="exact"/>
        <w:ind w:firstLine="640"/>
        <w:rPr>
          <w:rStyle w:val="19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/>
          <w:b w:val="0"/>
          <w:spacing w:val="-4"/>
          <w:sz w:val="32"/>
          <w:szCs w:val="32"/>
        </w:rPr>
        <w:t>一、基本情况</w:t>
      </w:r>
    </w:p>
    <w:p w14:paraId="10DEF631">
      <w:pPr>
        <w:spacing w:line="540" w:lineRule="exact"/>
        <w:ind w:firstLine="567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（一）项目概况。包括项目背景、主要内容及实施情况、资金投入和使用情况等。</w:t>
      </w:r>
    </w:p>
    <w:p w14:paraId="4D56F7B9">
      <w:pPr>
        <w:spacing w:line="540" w:lineRule="exact"/>
        <w:ind w:firstLine="567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1.项目背景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根据《自治区党委办公厅 自治区人民政府办公厅印发&lt;关于贯彻落实习近平总书记重要批示精神、进一步加强新时代新疆信访工作的意见&gt;的通知》（新党办发〔2018〕44号）要求。贯彻落实自治州党委、人民政府和上级部门关于信访和群众工作的决策部署。落实自治州党委、人民政府和上级部门关于信访和群众工作的决策部署。协调处理群众进京、赴自治区非正常上访和突发信访事件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2.项目主要内容：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项目主要内容：保障重大节点信访工作6次信访矛盾隐患大排查及督查工作；为保障赴乌进京上访“零控制”目标以及我局信访工作顺利开展；对自治区交办的信访案件、自治州党政领导批示的信访案件、进京补自治区来州重点信访案件、信访积案、特殊复杂信访案件、“三跨三分离”信访案件督办及协调办理；为保障2024年重大活动和重要节日期间信访安全工作，切实做好“三个不发生”（不发生规模性聚集上访、不发生涉及个人极端行为、不发生因信访问题引发的负面炒作）；为提高办公人员办公运转效率购买办公设备；稳步开展信访基础工作以及做好日常工作开展、人员办公基本运转；切实维护群众合法权益，促进社会和谐稳定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项目实施情况：2024年我单位重大节点信访保障6次，保障赴河北、北京及乌鲁木齐开展信访安全保障工作经费，以及上访人员寻找、劝返产生的相关经费，发放14人差旅费，2024年1-10月，我州信访总量3644件次，同比上升55.99%。从信访形式看，网上投诉1990件次，占54.61%，来访1559批次、1656人次，占42.78%，来信95件次，占2.6%，检查任务安时完成率达到99.76%，实现</w:t>
      </w:r>
      <w:r>
        <w:rPr>
          <w:rStyle w:val="19"/>
          <w:rFonts w:hint="eastAsia" w:ascii="楷体" w:hAnsi="楷体" w:eastAsia="楷体"/>
          <w:spacing w:val="-4"/>
          <w:sz w:val="32"/>
          <w:szCs w:val="32"/>
          <w:lang w:eastAsia="zh-CN"/>
        </w:rPr>
        <w:t>“全国两会”</w:t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、二十届三中全会期间、亚欧博览会“北京不去、疆内不聚、跨地不窜、网上不炒”“不发生大规模的聚集上访，不发生涉访的个人极端行为，不发生于信访问题引发的负面影响”目标要求，持续深入各县市、自治州重点部门单位实地督查，推动落实信访安全保障各有措施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3.资金投入和使用情况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（1）资金投入情况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该项目年初预算数43.66万元，全年预算数43.66万元，该项目资金已全部落实到位，资金来源为财政拨款。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（2）资金使用情况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该项目年初预算数43.66万元，全年预算数43.66万元，全年执行数43.59万元，预算执行率为99.84%，主要用于：2024年单位保障重大节点信访工作6次，协调处理群众进京、赴自治区非正常上访和突发信访事件的各项经费15.79元，指导信访业务成本3.98万元，购买设备采购成本控制数2.14万元、通信经费2.85万元以及综合办公经费18.83万元。</w:t>
      </w:r>
    </w:p>
    <w:p w14:paraId="136803A9">
      <w:pPr>
        <w:spacing w:line="540" w:lineRule="exact"/>
        <w:ind w:firstLine="567" w:firstLineChars="181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（二）项目绩效目标。包括总体目标和阶段性目标。</w:t>
      </w:r>
    </w:p>
    <w:p w14:paraId="4B78151E">
      <w:pPr>
        <w:spacing w:line="540" w:lineRule="exact"/>
        <w:ind w:firstLine="567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1.总体目标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目标1：保障重大节点信访工作6次信访矛盾隐患大排查及督查工作；目标2：为保障赴乌进京上访“零控制”目标以及我局信访工作顺利开展；目标3：对自治区交办的信访案件、自治州党政领导批示的信访案件、进京补自治区来州重点信访案件、信访积案、特殊复杂信访案件、“三跨三分离”信访案件督办及协调办理；目标4：为保障2024年重大活动和重要节日期间信访安全工作，切实做好“三个不发生”（不发生规模性聚集上访、不发生涉及个人极端行为、不发生因信访问题引发的负面炒作）；目标5：为提高办公人员办公运转效率购买办公设备；目标6：为保障信访基础工作的稳步开展；目标7：保障信访日常工作开展保障人员办公基本运转预；目标8：切实维护群众合法权益，促进社会和谐稳定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2.阶段性目标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（1）2024年上半年：保障</w:t>
      </w:r>
      <w:r>
        <w:rPr>
          <w:rStyle w:val="19"/>
          <w:rFonts w:hint="eastAsia" w:ascii="楷体" w:hAnsi="楷体" w:eastAsia="楷体"/>
          <w:spacing w:val="-4"/>
          <w:sz w:val="32"/>
          <w:szCs w:val="32"/>
          <w:lang w:eastAsia="zh-CN"/>
        </w:rPr>
        <w:t>“全国两会”</w:t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、“亚欧博览会”期间、赴河北、北京及乌鲁木齐开展信访安全保障工作经费（上访人员寻找、劝返产生经费）购置办公设备3套，以提高我单位办公效能。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2）2024年下半年：实现“二十届三中全会”“期间北京不去、疆内不聚、跨地不窜、网上不炒、不发生大规模的聚集上访，不发生涉访的个人极端行为，不发生于信访问题引发的负面影响”目标要求，持续深入各县市、自治州重点部门单位实地督查，推动落实信访安全保障各有措施。</w:t>
      </w:r>
    </w:p>
    <w:p w14:paraId="2E8DB1D6">
      <w:pPr>
        <w:spacing w:line="540" w:lineRule="exact"/>
        <w:ind w:firstLine="640"/>
        <w:rPr>
          <w:rStyle w:val="19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/>
          <w:b w:val="0"/>
          <w:spacing w:val="-4"/>
          <w:sz w:val="32"/>
          <w:szCs w:val="32"/>
        </w:rPr>
        <w:t>二、</w:t>
      </w:r>
      <w:r>
        <w:rPr>
          <w:rStyle w:val="19"/>
          <w:rFonts w:hint="eastAsia"/>
          <w:spacing w:val="-4"/>
          <w:sz w:val="32"/>
          <w:szCs w:val="32"/>
        </w:rPr>
        <w:t>绩效评价工作开展情况</w:t>
      </w:r>
    </w:p>
    <w:p w14:paraId="2B298765">
      <w:pPr>
        <w:spacing w:line="540" w:lineRule="exact"/>
        <w:ind w:firstLine="567" w:firstLineChars="181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（一）绩效评价目的、对象和范围。</w:t>
      </w:r>
    </w:p>
    <w:p w14:paraId="6AABE239">
      <w:pPr>
        <w:spacing w:line="540" w:lineRule="exact"/>
        <w:ind w:firstLine="567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1.绩效评价完整性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本项目预算绩效评价报告在编制过程中，严格遵循相关法规与标准，确保评价内容的全面性与准确性。报告涵盖了项目从预算编制、执行到完成的全过程，对项目的各项绩效指标进行了细致的梳理与评估。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在评价指标体系的构建上，充分考虑了项目的性质、目标以及预期成果，选取了具有代表性和可衡量性的关键指标，涵盖了社会效益等多个维度，力求全方位反映项目的绩效状况。同时，对于每个指标的评价标准和数据来源均进行了明确说明，确保评价结果的客观性和可追溯性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在报告的撰写结构上，按照统一的格式和规范进行编排，内容层次分明、条理清晰。首先对项目的背景、目标和预算安排进行了简要介绍，为后续的绩效评价提供了必要的背景信息；接着详细阐述了绩效评价的指标体系、评价方法和数据来源，为评价过程的透明性和可复现性奠定了基础；然后对各项绩效指标的完成情况进行了逐一分析和评价，指出了项目在实施过程中存在的问题和不足，并提出了相应的改进建议；最后对整个项目的绩效状况进行了综合总结，给出了明确的评价结论和后续工作的建议，为项目的持续改进和决策提供了有力支持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2.绩效评价的目的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1）财政支出绩效评价运用科学、规范的绩效评价方法，制定统一的评价标准，使财政资金得到事前、事中和事后多方面的控制。财政支出绩效评价贯穿于财政支出安排和实施的全过程，是对财政支出效益、管理水平、投入风险等方面的综合评价；是发挥财政调控功能、提高财政资金安排科学性、促进财政支持社会经济目标实现的重要保证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（2）项目在实施前向项目负责人提供财政支出绩效方面的资金管理信息，促进项目支出严格按照资金管理规定进行。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（3）项目绩效管理财政支出运行提供及时、有效的信息。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综合来看，通过开展有效的财政支出绩效评价管理，全面了解该项目预算编制合理性、资金使用合规性、项目管理的规范性、项目目标的实现情况、服务对象的满意度等，通过本次项目绩效评价来总结经验和教训，促进项目成果转化和应用，为今后类似项目的长效管理，提供可行性参考建议。也为下一年预算编制与评审提供充分有效的依据，以达到改进预算管理、控制节约成本，优化资源配置、提高预算资金使用效益的目的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3.绩效评价的对象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本项目预算绩效评价报告的评价对象是2024年重大节点信访保障项目及其预算执行情况。该项目由巴州信访局负责实施，旨在为保障2024年重大活动和重要节日期间信访安全工作，切实做好“三个不发生”（不发生规模性聚集上访、不发生涉及个人极端行为、不发生因信访问题引发的负面炒作）；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为提高办公人员办公运转效率购买办公设备；为保障信访基础工作的稳步开展。项目预算涵盖从2024年1月1日至2024年12月31日的全部资金投入与支出，涉及资金总额为43.66万元。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4.绩效评价的范围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本项目预算绩效评价报告的评价范围广泛而全面，涵盖了从项目立项至评价时点期间的所有关键预算活动和财务流程。具体而言，评价范围包括但不限于以下几个方面：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（1）项目预算编制与执行：全面审视项目预算的编制依据、合理性、科学性以及实际执行情况，包括预算调整的原因和效果。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（2）资金管理：深入分析项目资金的分配、使用和监管情况，确保资金使用的合规性、高效性和透明度。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（3）项目实施进度与产出：评估项目是否按照既定计划顺利推进，各项任务是否按时完成，以及项目产出的数量、质量和时效性是否符合预期。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（4）社会等影响：考察项目对社会、经济等方面的综合影响。</w:t>
      </w:r>
    </w:p>
    <w:p w14:paraId="1C5C0C9A">
      <w:pPr>
        <w:spacing w:line="540" w:lineRule="exact"/>
        <w:ind w:firstLine="567" w:firstLineChars="181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（二）绩效评价原则、评价指标体系（附表说明）、评价方法、评价标准等。</w:t>
      </w:r>
    </w:p>
    <w:p w14:paraId="47A6A0B0">
      <w:pPr>
        <w:spacing w:line="540" w:lineRule="exact"/>
        <w:ind w:firstLine="567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1.绩效评价原则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本次项目绩效评价遵循以下基本原则：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（1）科学公正。绩效评价应当运用科学合理的方法，按照规范的程序，对项目绩效进行客观、公正的反映。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（2）统筹兼顾。单位自评、部门评价和财政评价应职责明确，各有侧重，相互衔接。单位自评应由项目单位自主实施，即“谁支出、谁自评”。部门评价和财政评价应在单位自评的基础上开展。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（3）激励约束。绩效评价结果应与预算安排、政策调整、改进管理实质性挂钩，体现奖优罚劣和激励相容导向，有效要安排、低效要压减、无效要问责。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（4）公开透明。绩效评价结果应依法依规公开，并自觉接受社会监督。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2.评价指标体系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绩效评价框架是开展绩效评价的核心。绩效评价框架包括评价准则、关键评价问题、评价指标、数据来源、数据收集方法等。指标体系建立过程如下：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（1）确定评价指标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采用层次分析法，建立评价指标体系。绩效评价将指标分为项目决策指标、项目过程指标、项目产出指标、项目效益指标四个维度，最终形成一个由多个相互联系的指标组成的多层次指标体系。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（2）确定权重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确定各个指标相对于项目总体绩效的权重分值。在绩效评价指标体系中，项目决策权重为20分，项目过程权重为20分，项目产出权重为40分，项目效益权重为20分。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（3）确定指标标准值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指标标准值是绩效评价指标的尺度，既要反映同类项目的先进水平，又要符合项目的实际绩效水平。具体采用计划标准等确定此次绩效评价指标标准值。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绩效评价总分值100分，根据综合评分结果，90（含）-100分为优、80（含）-90分为良、60（含）-80分为中、60分以下为差。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具体评价指标体系详情见附件1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3.绩效评价方法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绩效评价从项目决策、项目过程、项目产出、项目效益四个维度进行评价。评价对象为项目目标实施情况，  评价核心为资金的支出完成情况和项目的产出效益。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本次评价指标中，既有定性指标又有定量指标，各类指标因考核内容不同和客观标准不同存在较大差异，因此核定具体指标时采用了不同方法，具体评价方法如下：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因素分析法。原因是通过综合分析影响绩效目标实现、实施效果的内外因素，评价绩效目标实现程度。通过对项目的开展情况、项目产出数量、成本控制、资金拨付文件及自评报告等相关资料的收集和审核，综合分析各因素对绩效目标实现的影响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4.评价标准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绩效评价标准通常包括计划标准、行业标准、历史标准等，用于对绩效指标完成情况进行比较、分析、评价。本次评价主要采用了计划标准。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1）计划标准。指以预先制定的目标、计划、预算、定额等作为评价标准。原因是计划标准以项目申请时预先制定的目标、预算、定额等数据为依据，为评价提供了清晰、量化的基准。这种标准直接关联项目立项时的政策意图和资金安排，确保评价过程有据可依，避免主观臆断。通过将实际绩效值与计划标准对比，可直接衡量目标完成程度，例如资金使用率、产出数量等指标的达标情况。这种对比方式简化了评价流程，增强了结果的可信度。</w:t>
      </w:r>
    </w:p>
    <w:p w14:paraId="24E86F06">
      <w:pPr>
        <w:spacing w:line="540" w:lineRule="exact"/>
        <w:ind w:firstLine="567" w:firstLineChars="181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（三）绩效评价工作过程。</w:t>
      </w:r>
    </w:p>
    <w:p w14:paraId="22B333EB">
      <w:pPr>
        <w:spacing w:line="540" w:lineRule="exact"/>
        <w:ind w:firstLine="567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（1）前期准备与规划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在项目绩效评价工作启动之初，成立了专门的项目评价工作小组，小组成员由党组成员、各科室骨干组成，确保从多角度、全方位对2024年重大节点信访保障项目绩效进行评价。同时，明确了评价工作的目标、范围、重点及时间安排，制定了详细的工作计划，为评价工作的顺利开展奠定了坚实基础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（2）指标体系构建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依据我单位的项目性质、目标以及预期成果，构建了科学合理的绩效评价指标体系。该指标体系涵盖了项目决策、项目过程、项目产出、项目效益四个维度，选取了具有代表性和可衡量性的关键指标，并为每个指标设定了明确的评价标准与权重，确保评价结果能够全面、准确地反映项目的绩效状况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（3）数据收集与整理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广泛收集与项目相关的各类数据，包括上级部门下发各类为保障信访工作文件、项目文档、业务数据等。在数据收集过程中，注重数据的质量与完整性，对缺失或异常的数据进行了合理的处理和补充。随后，对收集到的信息进行了系统的整理与分类，为后续的数据分析提供了有力支持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（4）数据分析与评估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对收集到的数据进行了深入挖掘与分析。通过对各项绩效指标的实际完成情况与预期目标进行对比，计算出指标的达成率，并结合指标权重进行综合评分，从而得出项目的整体绩效评价结果。在分析过程中，注重数据之间的关联性与逻辑性，深入剖析项目绩效背后的原因，识别出项目实施过程中的优势与不足，为提出有针对性的改进建议提供了依据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（5）报告撰写与反馈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根据数据分析与评估的结果，按照统一的格式和规范撰写项目预算绩效评价报告。报告内容包括项目背景、评价目的、评价指标体系、数据收集与分析方法、绩效评价结果、存在问题与改进建议等多个部分，力求条理清晰、重点突出、语言简洁明了。在报告撰写完成后，及时向项目实施主体及相关利益相关者进行反馈，充分听取各方意见与建议，对报告内容进行进一步的完善与优化，确保评价报告的质量与实用性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（6）后续跟踪与改进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在评价报告提交后，我们将持续跟踪项目的改进措施落实情况，定期对项目绩效进行复查与评估，确保项目能够根据评价结果及时调整与优化，实现绩效的持续提升。同时，根据项目实施过程中出现的新情况、新问题，适时调整绩效评价指标体系与方法，保持评价工作的适应性与前瞻性，为项目的长期稳定发展提供有力保障。</w:t>
      </w:r>
    </w:p>
    <w:p w14:paraId="6F5B929A">
      <w:pPr>
        <w:spacing w:line="540" w:lineRule="exact"/>
        <w:ind w:firstLine="640"/>
        <w:rPr>
          <w:rStyle w:val="19"/>
          <w:rFonts w:hint="eastAsia" w:ascii="黑体" w:hAnsi="黑体" w:eastAsia="黑体"/>
          <w:b w:val="0"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/>
          <w:b w:val="0"/>
          <w:spacing w:val="-4"/>
          <w:sz w:val="32"/>
          <w:szCs w:val="32"/>
        </w:rPr>
        <w:t>三、</w:t>
      </w:r>
      <w:r>
        <w:rPr>
          <w:rStyle w:val="19"/>
          <w:rFonts w:hint="eastAsia"/>
          <w:spacing w:val="-4"/>
          <w:sz w:val="32"/>
          <w:szCs w:val="32"/>
        </w:rPr>
        <w:t>综合评价情况及评价结论</w:t>
      </w:r>
    </w:p>
    <w:p w14:paraId="5EED4ED8">
      <w:pPr>
        <w:spacing w:line="540" w:lineRule="exact"/>
        <w:ind w:firstLine="567"/>
        <w:rPr>
          <w:rStyle w:val="19"/>
          <w:rFonts w:hint="eastAsia"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（一）评价情况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本项目的综合评价基于对项目各方面绩效的深入分析与评估。从项目目标的达成情况来看，2024年重大节点信访保障项目检查任务按时完成率达到99.84%，实现</w:t>
      </w:r>
      <w:r>
        <w:rPr>
          <w:rStyle w:val="19"/>
          <w:rFonts w:hint="eastAsia" w:ascii="楷体" w:hAnsi="楷体" w:eastAsia="楷体"/>
          <w:spacing w:val="-4"/>
          <w:sz w:val="32"/>
          <w:szCs w:val="32"/>
          <w:lang w:eastAsia="zh-CN"/>
        </w:rPr>
        <w:t>“全国两会”</w:t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、二十届三中全会期间、亚欧博览会“北京不去、疆内不聚、跨地不窜、网上不炒”“不发生大规模的聚集上访，不发生涉访的个人极端行为，不发生于信访问题引发的负面影响”目标要求，持续深入各县市、自治州重点部门单位实地督查，推动落实信访安全保障各有措施。在项目管理方面，巴州信访局通过有效的规划、组织与协调，项目得以顺利实施，并在预算与时间上保持了良好的控制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从项目效益的角度来看，本项目不仅实现了预期的社会效益方面产生了积极的影响。具体而言，提升办公人员处理上访人员工作能力，为项目的利益相关者带来了实实在在的利益。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综上所述，2024年重大节点信访保障项目在绩效评价中表现出色，达到了项目的预期目标，并在多个方面取得了显著的成效。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（二）评价结论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运用绩效评价组制定的评价指标体系以及财政部《项目支出绩效评价管理办法》（财预〔2020〕10号）文件的评分标准，通过数据采集、问卷调查及访谈等方式，对本项目进行客观评价，最终评分结果：总得分为95.69分，属于“优”。其中，项目决策类指标权重为20分，得分为 20分，得分率为 100%。项目过程类指标权重为20分，得分为19.95分，得分率为 99.75%。项目产出类指标权重为40分，得分为35.74分，得分率为 89.35%。项目效益类指标权重为20分，得分为20分，得分率为100%。具体打分情况详见：附件1综合评分表。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 xml:space="preserve"> 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表1综合评分表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一级指标 权重分 得分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项目决策 20 20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项目过程 20 19.95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项目产出 40 35.74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项目效益 20 20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合计 100 95.69</w:t>
      </w:r>
    </w:p>
    <w:p w14:paraId="72076C94">
      <w:pPr>
        <w:spacing w:line="540" w:lineRule="exact"/>
        <w:ind w:firstLine="640"/>
        <w:rPr>
          <w:rStyle w:val="19"/>
          <w:rFonts w:ascii="黑体" w:hAnsi="黑体" w:eastAsia="黑体"/>
        </w:rPr>
      </w:pPr>
      <w:r>
        <w:rPr>
          <w:rStyle w:val="19"/>
          <w:rFonts w:hint="eastAsia" w:ascii="黑体" w:hAnsi="黑体" w:eastAsia="黑体"/>
          <w:b w:val="0"/>
          <w:spacing w:val="-4"/>
          <w:sz w:val="32"/>
          <w:szCs w:val="32"/>
        </w:rPr>
        <w:t>四、</w:t>
      </w:r>
      <w:r>
        <w:rPr>
          <w:rStyle w:val="19"/>
          <w:rFonts w:hint="eastAsia"/>
          <w:spacing w:val="-4"/>
          <w:sz w:val="32"/>
          <w:szCs w:val="32"/>
        </w:rPr>
        <w:t>绩效评价指标分析</w:t>
      </w:r>
      <w:r>
        <w:rPr>
          <w:rStyle w:val="19"/>
          <w:rFonts w:hint="eastAsia" w:ascii="黑体" w:hAnsi="黑体" w:eastAsia="黑体"/>
          <w:b w:val="0"/>
          <w:spacing w:val="-4"/>
          <w:sz w:val="32"/>
          <w:szCs w:val="32"/>
        </w:rPr>
        <w:t xml:space="preserve"> </w:t>
      </w:r>
    </w:p>
    <w:p w14:paraId="692656FD"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（一）项目决策情况。</w:t>
      </w:r>
    </w:p>
    <w:p w14:paraId="35C84637">
      <w:pPr>
        <w:spacing w:line="540" w:lineRule="exact"/>
        <w:ind w:firstLine="567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项目决策类指标包括项目立项、绩效目标和资金投入三方面的内容，由6个三级指标构成，权重分值为20分，实际得分20分，得分率为100%。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1.项目立项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（1）立项依据充分性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该项目立项符合国家电子政务建设规划，审计系统专线要求及办公室工作职责，国产化替代相关文件等管理办法，符合行业规划要求，围绕本年度工作重点和工作计划制定经费预算，属于公共财政支持范围。本项目与部门内部其他相关项目不重复。部门发展规划及职能文件等归档完整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此项权重分值为4分，得分为4分。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（2）立项程序规范性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项目申请、设立过程符合国家电子政务建设规划，审计系统专线要求及办公室工作职责，国产化替代相关文件等管理办法要求，严格按照审批流程准备符合要求的文件、材料；根据决算依据编制工作计划和经费预算，经过与部门项目分管领导沟通、筛选确定经费预算计划，确定最终预算方案。项目的审批文件、材料符合相关要求，项目事前经过必要的党组会议、集体决策，保障了程序的规范性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此项权重分值为4分，得分为4分。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2.绩效目标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（1）绩效目标合理性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年初结合实际工作内容设定绩效目标，绩效目标依据充分，符合客观实际，能反映和考核项目绩效目标与项目实施的相符情况，依据绩效目标设定的绩效指标清晰、细化、可衡量，能反映和考核项目绩效目标的明细化情况。绩效目标表经过审核，绩效目标与实际工作内容具有相关性，预算与确定的项目投资额相匹配，对项目任务进行了详细分解。项目预期产出效益及效果符合正常的业绩水平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此项权重分值为3分，得分为3分。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（2）绩效指标明确性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项目设置了明确的预期产出效益和效果，将绩效目标细化分解为具体的绩效指标，绩效目标与项目目标任务数相对应，绩效目标设定的绩效指标清晰、细化、可衡量。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此项权重分值为3分，得分为3分。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3.资金投入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（1）预算编制科学性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本项目的预算编制经过科学论证，提供充分的测算依据佐证资料，预算内容与项目内容相匹配。项目投资额与工作任务相匹配。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在预算编制过程中，还注重了成本控制与效益最大化的原则。通过优化资源配置、提高资金使用效率等措施，确保项目在有限的预算内取得最大的经济效益与社会效益。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此项权重分值为3分，得分为3分。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（2）资金分配合理性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本项目的资金分配遵循了公平、公正、透明的原则，确保了项目资源的合理配置与高效利用。在资金分配过程中，我们充分考虑了项目的实际需求与目标，对不同阶段、不同任务的资金进行了科学的规划与安排。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综上所述，本项目的资金分配是合理的、科学的，既符合项目的实际情况，又满足了资金使用的效益最大化要求。资金分配的合理性为项目的成功实施提供了有力的保障，也为项目的绩效评价奠定了坚实的基础。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此项权重分值为3分，得分为3分。</w:t>
      </w:r>
    </w:p>
    <w:p w14:paraId="19EB7D35"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（二）项目过程情况。</w:t>
      </w:r>
    </w:p>
    <w:p w14:paraId="587C12EE">
      <w:pPr>
        <w:spacing w:line="540" w:lineRule="exact"/>
        <w:ind w:firstLine="567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项目过程类指标包括资金管理和组织实施两方面的内容，由5个三级指标构成，权重分值为20分，实际得分19.95分，得分率为99.75%。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1.资金管理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（1）资金到位率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本项目总投资43.66万元，财政资金及时足额到位，到位率100%，预算资金按计划进度执行。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此项权重分值为4分，得分为4分。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（2）预算执行率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预算编制较为详细，项目资金支出总体能够按照预算执行，预算资金支出43.59万元，预算执行率为98.84%。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此项权重分值为4分，得分为3.95分。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（3）资金使用合规性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本项目的资金使用严格按照预期绩效目标执行预算资金。制定《2024年重大节点信访保障项目实施细则》规定，对项目经费使用进行规范管理，财务制度健全、执行严格。资金的拨付有完整的审批程序和手续，在项目资金拨付和使用过程中，为确保项目资金的安全性，提高项目资金使用效率，严格遵循项目资金的拨付程序，认真审核项目实施各阶段的相关材料和手续，根据项目实施进展情况拨付资金。资金使用符合该项目的立项批复。资金不存在截留、挤占、挪用、虚列支出等情况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综上所述，本项目的资金使用是合规的、安全的，既符合国家相关法律法规与财务制度的要求，又满足了项目实施的实际需要。资金使用的合规性为项目的成功实施提供了有力的保障，也为项目的绩效评价奠定了坚实的基础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此项权重分值为4分，得分为4分。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2.组织实施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（1）管理制度健全性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制定了《2024年重大节点信访保障项目实施细则》，对财政资金进行严格管理，做到专款专用，项目资金使用符合相关的财务管理制度规定，能够反映和考核项目资金的规范运行情况；项目实施单位的财务和业务管理制度健全，能够反映和考核财务和业务管理制度对项目顺利实施的保障情况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综上所述，本项目的《2024年重大节点信访保障项目管理细则》是健全的、有效的，既符合项目的实际情况，又满足了项目管理的需要。管理制度的健全性为项目的成功实施提供了有力的保障，也为项目的绩效评价奠定了坚实的基础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此项权重分值为4分，得分为4分。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（2）制度执行有效性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本项目在执行过程中，对资金使用的合法合规性进行监督，年末对资金使用效果进行评价。项目管理、实施人员落实到位，有效按照计划执行。项目执行情况等资料齐全，项目相关手续完备，及时进行归档。综上所述，本项目的管理制度在执行过程中表现出了高度的有效性，既确保了项目的顺利进行，又实现了项目目标的有效达成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此项权重分值为4分，得分为4分。</w:t>
      </w:r>
    </w:p>
    <w:p w14:paraId="3866E9AC"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（三）项目产出情况。</w:t>
      </w:r>
    </w:p>
    <w:p w14:paraId="1918E16F">
      <w:pPr>
        <w:spacing w:line="540" w:lineRule="exact"/>
        <w:ind w:firstLine="567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项目产出类指标包括产出数量、产出质量、产出时效、产出成本四方面的内容，由14个三级指标构成，权重分为40分，实际得分35.74分，得分率为89.35%。具体产出指标完成情况如下：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①数量指标：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指标1：保障重大节点信访工作次数，指标值：&gt;=6次，实际完成值：=6次，指标完成率100 %，无偏差。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指标2：支付通信费次数，指标值：&gt;=12次，实际完成值：=12次，指标完成率100 %，无偏差。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指标3：购置设备数量，指标值：&gt;=3套，实际完成值：3套，指标完成率100 %，无偏差。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指标4：业务指导次数，指标值：&gt;=12次，实际完成值：=12次，指标完成率100 %，无偏差。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指标5：保障办公人员数量，指标值：&gt;=15人，实际完成值：=15人，指标完成率100 %，无偏差。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此项权重分值为10分，得分为10分。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②质量指标：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指标1：政府采购率，指标值：&gt;=95%，实际完成值：=100%，指标完成率100 %，偏差原因：2024年我单位执行应采必采的政府采购工作，使单位政府采购达到100%，从而产生偏差。改进措施：今后积极与上级部门沟通，做好工作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指标2：设备质量合格率，指标值：=100%，实际完成值：=100%，指标完成率100 %，无偏差。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指标3：设备验收合格率，指标值：=100%，实际完成值：=100%，指标完成率100 %，无偏差。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指标4：业务指导出勤率，指标值：=100%，实际完成值：=100%，指标完成率100 %，无偏差。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此项权重分值为10分，得分为10分。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③时效指标：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指标1：设备采购完成时间，指标值：2024年11月30前，实际完成值：2024年11月30日，指标完成率100 %，无偏差。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指标2：信访工作开展及时率，指标值：=100%，实际完成值：=100%，指标完成率100 %，无偏差。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指标3：综合办公经费支付及时率，指标值：=100%，实际完成值：=100%，指标完成率100 %，无偏差。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指标4：办公通信经费支付及时率，指标值：=100%，实际完成值：=100%，指标完成率100 %，无偏差。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指标5：业务指导开展及时率，指标值：=100%，实际完成值：=100%，指标完成率100 %，无偏差。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此项权重分值为10分，得分为10分。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④成本指标：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指标1：设备采购成本控制数，指标值：&lt;=3.90万元，实际完成值：=2.14万元，指标完成率54.88 %，偏差原因：2024年我单位所采买办公备，因市场价格下调，从而产生偏差。改进措施：今后及时与供应商沟通，做好工作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指标2：通信经费，指标值：&lt;=3.70万元，实际完成值：=2.85万元，指标完成率77.03 %，偏差原因：在开展2024年业务工作，因接入通信人员较多，单位工作人员大部分时间使用其他通信方式，从而产生偏差，改进措施：今后单位各科室沟通，做好工作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指标3：综合办公经费，指标值：&lt;=12.90万元，实际完成值：=18.83万元，指标完成率`%，偏差原因：2024年度我局信访安全保障工作加重，业务增加，产生偏差。改进措施：今后积极与上级部门沟通，做好工作。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指标4：业务指导成本，指标值：&lt;=6.80万元，实际完成值：=3.98万元，指标完成率58.5 %，偏差原因：2024年信访安全保障工作增加，平均差费值降低，引起偏差。改进措施：在今后的工作中，进一步做细、做实施、做准预算，为预算执行打好基础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指标5：重大节点信访保障经费，指标值：&lt;=16.36万元，实际完成值：=15.79万元，指标完成率96.52%，无偏差。偏差原因：2024年信访安全保障工作增加，各项费用增加，平均差费值降低，引起偏差。改进措施：在今后的工作中，进一步做细、做实施、做准预算，为预算执行打好基础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此项权重分值为10分，得分为5.74分。</w:t>
      </w:r>
    </w:p>
    <w:p w14:paraId="42D25C20"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（四）项目效益情况。</w:t>
      </w:r>
    </w:p>
    <w:p w14:paraId="45902D4F">
      <w:pPr>
        <w:spacing w:line="540" w:lineRule="exact"/>
        <w:ind w:firstLine="567"/>
        <w:rPr>
          <w:rStyle w:val="19"/>
          <w:rFonts w:hint="eastAsia"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项目效益类指标包括项目实施效益和满意度两方面的内容，由2个三级指标构成，权重分为20分，实际得分20分，得分率为100%。具体效益指标及满意度指标完成情况如下：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1.实施效益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①经济效益指标：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指标1：设备利用率，指标值=100%，实际完成值：=100%指标完成率100 %，无偏差。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②社会效益指标：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指标1：保障信访工作稳步开展，指标值：有效保障，实际完成值：达成预期指标，指标完成率100 %，无偏差。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此项权重分值为10分，得分为10分。</w:t>
      </w:r>
    </w:p>
    <w:p w14:paraId="540675D2">
      <w:pPr>
        <w:spacing w:line="540" w:lineRule="exact"/>
        <w:ind w:firstLine="567"/>
        <w:rPr>
          <w:rStyle w:val="19"/>
          <w:rFonts w:hint="eastAsia"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指标1：设备使用人员满意度，指标值：&gt;=95%，实际完成值：=95%，指标完成率100 %，无偏差。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此项权重分值为10分，得分为10分。</w:t>
      </w:r>
    </w:p>
    <w:p w14:paraId="55E9DC3C">
      <w:pPr>
        <w:spacing w:line="540" w:lineRule="exact"/>
        <w:ind w:firstLine="640"/>
        <w:rPr>
          <w:rStyle w:val="19"/>
          <w:rFonts w:ascii="黑体" w:hAnsi="黑体" w:eastAsia="黑体"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/>
          <w:b w:val="0"/>
          <w:spacing w:val="-4"/>
          <w:sz w:val="32"/>
          <w:szCs w:val="32"/>
          <w:lang w:eastAsia="zh-CN"/>
        </w:rPr>
        <w:t>五</w:t>
      </w:r>
      <w:r>
        <w:rPr>
          <w:rStyle w:val="19"/>
          <w:rFonts w:hint="eastAsia" w:ascii="黑体" w:hAnsi="黑体" w:eastAsia="黑体"/>
          <w:b w:val="0"/>
          <w:spacing w:val="-4"/>
          <w:sz w:val="32"/>
          <w:szCs w:val="32"/>
        </w:rPr>
        <w:t>、</w:t>
      </w:r>
      <w:r>
        <w:rPr>
          <w:rStyle w:val="19"/>
          <w:rFonts w:ascii="黑体" w:hAnsi="黑体" w:eastAsia="黑体"/>
          <w:b w:val="0"/>
          <w:spacing w:val="-4"/>
          <w:sz w:val="32"/>
          <w:szCs w:val="32"/>
        </w:rPr>
        <w:t>主要经验及做法、存在的问题及原因分析</w:t>
      </w:r>
    </w:p>
    <w:p w14:paraId="46CE7A49">
      <w:pPr>
        <w:spacing w:line="540" w:lineRule="exact"/>
        <w:ind w:firstLine="627" w:firstLineChars="200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（一）主要经验及做法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加强领导，落实责任。项目及时召开党组会议进行讨论，成立项目小组，给每个人进行明细的分工，严格执行差旅费报销审批制度，层层把关。严格执行审计“八不准”纪律，做到廉洁审计。厉行节约，专款专用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在项目实施过程中，严格遵守各项财务制度，严格落实把关审核制度，每一笔项目资金支出有据可依，让项目资金落于实处。严格坚持先做事、后验收、再拨付的原则，杜绝了资金被挤占和挪用现象的发生，跟踪检查到位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（二）存在的问题及原因分析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1.因轮岗、调动等因素使我单位绩效工作人员流动频繁，造成工作衔接不到位的情况。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2.相关绩效管理方面专业知识的系统性学习有待加强。各项指标的设置要进一步优化、完善，主要在细化、量化上改进。在绩效自评过程中，由干部分人员缺乏相关绩效管理专业知识，自评价工作还存在自我审定的局限性，影响评价质量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3.对于人员变动的把握不足，导致资金实际支出率未达到预期，项目执行率未达到标准。</w:t>
      </w:r>
    </w:p>
    <w:p w14:paraId="60E98857">
      <w:pPr>
        <w:ind w:firstLine="624" w:firstLineChars="200"/>
        <w:rPr>
          <w:rStyle w:val="19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/>
          <w:b w:val="0"/>
          <w:spacing w:val="-4"/>
          <w:sz w:val="32"/>
          <w:szCs w:val="32"/>
          <w:lang w:eastAsia="zh-CN"/>
        </w:rPr>
        <w:t>六</w:t>
      </w:r>
      <w:r>
        <w:rPr>
          <w:rStyle w:val="19"/>
          <w:rFonts w:ascii="黑体" w:hAnsi="黑体" w:eastAsia="黑体"/>
          <w:b w:val="0"/>
          <w:spacing w:val="-4"/>
          <w:sz w:val="32"/>
          <w:szCs w:val="32"/>
        </w:rPr>
        <w:t>、有关建议</w:t>
      </w:r>
    </w:p>
    <w:p w14:paraId="131074A8">
      <w:pPr>
        <w:spacing w:line="540" w:lineRule="exact"/>
        <w:ind w:firstLine="627" w:firstLineChars="200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1.专门设定对绩效工作人员定职、定岗、定责等相关制度措施，进一步提升我单位绩效管理工作业务水平，扎实做好绩效管理工作。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2进一步加强对绩效管理工作的组织领导，提高对预算绩效管理工作重要性的认识，总结经验查找问题，抓紧研究制定更全面更完善的绩效评价管理办法。结合食品安全考核建立绩效工作考核制度，加大全局对全面实施预算绩效管理和绩效管理工作的学习力度，让“花钱必问效，无效必问责”的理念深入工作每个环节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3.下一年我单位年初设置指标时，考虑可能的人员变动情况，将严格按照州财政局预算执行进度的相关要求，督促加快项目实施进度，切实加大预算执行力度，提高资金使用效率，年底确保全部执行完所有的预算指标，全面完成单位年初制定的各项目标任务。</w:t>
      </w:r>
    </w:p>
    <w:p w14:paraId="49209F9A">
      <w:pPr>
        <w:spacing w:line="540" w:lineRule="exact"/>
        <w:ind w:firstLine="567"/>
        <w:rPr>
          <w:rStyle w:val="19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/>
          <w:b w:val="0"/>
          <w:spacing w:val="-4"/>
          <w:sz w:val="32"/>
          <w:szCs w:val="32"/>
          <w:lang w:eastAsia="zh-CN"/>
        </w:rPr>
        <w:t>七</w:t>
      </w:r>
      <w:r>
        <w:rPr>
          <w:rStyle w:val="19"/>
          <w:rFonts w:hint="eastAsia" w:ascii="黑体" w:hAnsi="黑体" w:eastAsia="黑体"/>
          <w:b w:val="0"/>
          <w:spacing w:val="-4"/>
          <w:sz w:val="32"/>
          <w:szCs w:val="32"/>
        </w:rPr>
        <w:t>、其他需要说明的问题</w:t>
      </w:r>
    </w:p>
    <w:p w14:paraId="42053684">
      <w:pPr>
        <w:spacing w:line="540" w:lineRule="exact"/>
        <w:ind w:firstLine="627" w:firstLineChars="200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本项目无其他需说明的问题。</w:t>
      </w:r>
    </w:p>
    <w:p w14:paraId="31FD8ECB">
      <w:pPr>
        <w:spacing w:line="540" w:lineRule="exact"/>
        <w:ind w:firstLine="567"/>
        <w:rPr>
          <w:rStyle w:val="19"/>
          <w:rFonts w:ascii="仿宋" w:hAnsi="仿宋" w:eastAsia="仿宋"/>
          <w:b w:val="0"/>
          <w:spacing w:val="-4"/>
          <w:sz w:val="32"/>
          <w:szCs w:val="32"/>
        </w:rPr>
      </w:pPr>
    </w:p>
    <w:p w14:paraId="27028D2E">
      <w:pPr>
        <w:spacing w:line="540" w:lineRule="exact"/>
        <w:ind w:firstLine="567"/>
        <w:rPr>
          <w:rStyle w:val="19"/>
          <w:rFonts w:ascii="仿宋" w:hAnsi="仿宋" w:eastAsia="仿宋"/>
          <w:b w:val="0"/>
          <w:spacing w:val="-4"/>
          <w:sz w:val="32"/>
          <w:szCs w:val="32"/>
        </w:rPr>
      </w:pPr>
    </w:p>
    <w:p w14:paraId="2D524B2F">
      <w:pPr>
        <w:spacing w:line="540" w:lineRule="exact"/>
        <w:ind w:firstLine="567"/>
        <w:rPr>
          <w:rStyle w:val="19"/>
          <w:rFonts w:ascii="仿宋" w:hAnsi="仿宋" w:eastAsia="仿宋"/>
          <w:b w:val="0"/>
          <w:spacing w:val="-4"/>
          <w:sz w:val="32"/>
          <w:szCs w:val="32"/>
        </w:rPr>
      </w:pPr>
    </w:p>
    <w:p w14:paraId="5F0C1C26">
      <w:pPr>
        <w:spacing w:line="540" w:lineRule="exact"/>
        <w:ind w:firstLine="567"/>
        <w:rPr>
          <w:rStyle w:val="19"/>
          <w:rFonts w:ascii="仿宋" w:hAnsi="仿宋" w:eastAsia="仿宋"/>
          <w:b w:val="0"/>
          <w:spacing w:val="-4"/>
          <w:sz w:val="32"/>
          <w:szCs w:val="32"/>
        </w:rPr>
      </w:pPr>
    </w:p>
    <w:p w14:paraId="2C066AE6">
      <w:pPr>
        <w:spacing w:line="540" w:lineRule="exact"/>
        <w:ind w:firstLine="567"/>
        <w:rPr>
          <w:rStyle w:val="19"/>
          <w:rFonts w:ascii="仿宋" w:hAnsi="仿宋" w:eastAsia="仿宋"/>
          <w:b w:val="0"/>
          <w:spacing w:val="-4"/>
          <w:sz w:val="32"/>
          <w:szCs w:val="32"/>
        </w:rPr>
      </w:pPr>
    </w:p>
    <w:p w14:paraId="6202EFD3">
      <w:pPr>
        <w:spacing w:line="540" w:lineRule="exact"/>
        <w:ind w:firstLine="567"/>
        <w:rPr>
          <w:rStyle w:val="19"/>
          <w:rFonts w:ascii="仿宋" w:hAnsi="仿宋" w:eastAsia="仿宋"/>
          <w:b w:val="0"/>
          <w:spacing w:val="-4"/>
          <w:sz w:val="32"/>
          <w:szCs w:val="32"/>
        </w:rPr>
      </w:pPr>
    </w:p>
    <w:p w14:paraId="6EB01873">
      <w:pPr>
        <w:spacing w:line="540" w:lineRule="exact"/>
        <w:ind w:firstLine="567"/>
        <w:rPr>
          <w:rStyle w:val="19"/>
          <w:rFonts w:ascii="仿宋" w:hAnsi="仿宋" w:eastAsia="仿宋"/>
          <w:b w:val="0"/>
          <w:spacing w:val="-4"/>
          <w:sz w:val="32"/>
          <w:szCs w:val="32"/>
        </w:rPr>
      </w:pPr>
    </w:p>
    <w:p w14:paraId="6C0A6867">
      <w:pPr>
        <w:spacing w:line="540" w:lineRule="exact"/>
        <w:ind w:firstLine="567"/>
        <w:rPr>
          <w:rStyle w:val="19"/>
          <w:rFonts w:ascii="仿宋" w:hAnsi="仿宋" w:eastAsia="仿宋"/>
          <w:b w:val="0"/>
          <w:spacing w:val="-4"/>
          <w:sz w:val="32"/>
          <w:szCs w:val="32"/>
        </w:rPr>
      </w:pPr>
    </w:p>
    <w:p w14:paraId="16B43190">
      <w:pPr>
        <w:spacing w:line="540" w:lineRule="exact"/>
        <w:ind w:firstLine="567"/>
        <w:rPr>
          <w:rStyle w:val="19"/>
          <w:rFonts w:ascii="仿宋" w:hAnsi="仿宋" w:eastAsia="仿宋"/>
          <w:b w:val="0"/>
          <w:spacing w:val="-4"/>
          <w:sz w:val="32"/>
          <w:szCs w:val="32"/>
        </w:rPr>
      </w:pPr>
    </w:p>
    <w:p w14:paraId="4B701AB9">
      <w:pPr>
        <w:spacing w:line="540" w:lineRule="exact"/>
        <w:ind w:firstLine="567"/>
        <w:rPr>
          <w:rStyle w:val="19"/>
          <w:rFonts w:ascii="仿宋" w:hAnsi="仿宋" w:eastAsia="仿宋"/>
          <w:b w:val="0"/>
          <w:spacing w:val="-4"/>
          <w:sz w:val="32"/>
          <w:szCs w:val="32"/>
        </w:rPr>
      </w:pPr>
    </w:p>
    <w:p w14:paraId="33FBA6A6">
      <w:pPr>
        <w:spacing w:line="540" w:lineRule="exact"/>
        <w:ind w:firstLine="567"/>
        <w:rPr>
          <w:rStyle w:val="19"/>
          <w:rFonts w:ascii="仿宋" w:hAnsi="仿宋" w:eastAsia="仿宋"/>
          <w:b w:val="0"/>
          <w:spacing w:val="-4"/>
          <w:sz w:val="32"/>
          <w:szCs w:val="32"/>
        </w:rPr>
      </w:pPr>
    </w:p>
    <w:p w14:paraId="095E2189">
      <w:pPr>
        <w:spacing w:line="540" w:lineRule="exact"/>
        <w:ind w:firstLine="567"/>
        <w:rPr>
          <w:rStyle w:val="19"/>
          <w:rFonts w:ascii="仿宋" w:hAnsi="仿宋" w:eastAsia="仿宋"/>
          <w:b w:val="0"/>
          <w:spacing w:val="-4"/>
          <w:sz w:val="32"/>
          <w:szCs w:val="32"/>
        </w:rPr>
      </w:pPr>
    </w:p>
    <w:sectPr>
      <w:footerReference r:id="rId3" w:type="default"/>
      <w:pgSz w:w="11906" w:h="16838"/>
      <w:pgMar w:top="1440" w:right="1558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B1FBE7B5-6F1D-4813-A491-118D0712EEC4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2" w:fontKey="{8A9B2336-EF74-4880-937D-6B311B154ACF}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3" w:fontKey="{13A71F36-4C04-4FF5-8E92-6E15654016D5}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  <w:embedRegular r:id="rId4" w:fontKey="{E63CE63C-45B0-4008-8392-224BDEEE55BF}"/>
  </w:font>
  <w:font w:name="方正小标宋_GBK">
    <w:panose1 w:val="02000000000000000000"/>
    <w:charset w:val="86"/>
    <w:family w:val="script"/>
    <w:pitch w:val="default"/>
    <w:sig w:usb0="A00002BF" w:usb1="38CF7CFA" w:usb2="00082016" w:usb3="00000000" w:csb0="00040001" w:csb1="00000000"/>
    <w:embedRegular r:id="rId5" w:fontKey="{6103D228-2C82-40B3-9EFD-576825D7E679}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  <w:embedRegular r:id="rId6" w:fontKey="{006034DE-BF87-4B4B-B591-6C9F390B56B1}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7" w:fontKey="{5A17BD57-2381-4831-9680-4CB29263D456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422003363"/>
      <w:docPartObj>
        <w:docPartGallery w:val="autotext"/>
      </w:docPartObj>
    </w:sdtPr>
    <w:sdtContent>
      <w:p w14:paraId="0775F19C">
        <w:pPr>
          <w:pStyle w:val="12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1</w:t>
        </w:r>
        <w:r>
          <w:fldChar w:fldCharType="end"/>
        </w:r>
      </w:p>
    </w:sdtContent>
  </w:sdt>
  <w:p w14:paraId="13F4F050">
    <w:pPr>
      <w:pStyle w:val="1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53706D5"/>
  </w:rsids>
  <m:mathPr>
    <m:mathFont m:val="Cambria Math"/>
    <m:brkBin m:val="before"/>
    <m:brkBinSub m:val="--"/>
    <m:smallFrac m:val="0"/>
    <m:dispDef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nhideWhenUsed="0" w:uiPriority="99" w:semiHidden="0" w:name="Table Subtle 1"/>
    <w:lsdException w:uiPriority="99" w:name="Table Subtle 2"/>
    <w:lsdException w:uiPriority="99" w:name="Table Web 1"/>
    <w:lsdException w:unhideWhenUsed="0" w:uiPriority="99" w:semiHidden="0" w:name="Table Web 2"/>
    <w:lsdException w:unhideWhenUsed="0" w:uiPriority="99" w:semiHidden="0" w:name="Table Web 3"/>
    <w:lsdException w:qFormat="1" w:uiPriority="99" w:name="Balloon Text"/>
    <w:lsdException w:qFormat="1" w:unhideWhenUsed="0" w:uiPriority="0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21"/>
    <w:qFormat/>
    <w:uiPriority w:val="9"/>
    <w:pPr>
      <w:keepNext/>
      <w:widowControl/>
      <w:spacing w:before="240" w:after="60"/>
      <w:jc w:val="left"/>
      <w:outlineLvl w:val="0"/>
    </w:pPr>
    <w:rPr>
      <w:rFonts w:asciiTheme="majorHAnsi" w:hAnsiTheme="majorHAnsi" w:eastAsiaTheme="majorEastAsia"/>
      <w:b/>
      <w:bCs/>
      <w:kern w:val="32"/>
      <w:sz w:val="32"/>
      <w:szCs w:val="32"/>
    </w:rPr>
  </w:style>
  <w:style w:type="paragraph" w:styleId="3">
    <w:name w:val="heading 2"/>
    <w:basedOn w:val="1"/>
    <w:next w:val="1"/>
    <w:link w:val="22"/>
    <w:semiHidden/>
    <w:unhideWhenUsed/>
    <w:qFormat/>
    <w:uiPriority w:val="9"/>
    <w:pPr>
      <w:keepNext/>
      <w:widowControl/>
      <w:spacing w:before="240" w:after="60"/>
      <w:jc w:val="left"/>
      <w:outlineLvl w:val="1"/>
    </w:pPr>
    <w:rPr>
      <w:rFonts w:asciiTheme="majorHAnsi" w:hAnsiTheme="majorHAnsi" w:eastAsiaTheme="majorEastAsia"/>
      <w:b/>
      <w:bCs/>
      <w:i/>
      <w:iCs/>
      <w:kern w:val="0"/>
      <w:sz w:val="28"/>
      <w:szCs w:val="28"/>
    </w:rPr>
  </w:style>
  <w:style w:type="paragraph" w:styleId="4">
    <w:name w:val="heading 3"/>
    <w:basedOn w:val="1"/>
    <w:next w:val="1"/>
    <w:link w:val="23"/>
    <w:semiHidden/>
    <w:unhideWhenUsed/>
    <w:qFormat/>
    <w:uiPriority w:val="9"/>
    <w:pPr>
      <w:keepNext/>
      <w:widowControl/>
      <w:spacing w:before="240" w:after="60"/>
      <w:jc w:val="left"/>
      <w:outlineLvl w:val="2"/>
    </w:pPr>
    <w:rPr>
      <w:rFonts w:asciiTheme="majorHAnsi" w:hAnsiTheme="majorHAnsi" w:eastAsiaTheme="majorEastAsia"/>
      <w:b/>
      <w:bCs/>
      <w:kern w:val="0"/>
      <w:sz w:val="26"/>
      <w:szCs w:val="26"/>
    </w:rPr>
  </w:style>
  <w:style w:type="paragraph" w:styleId="5">
    <w:name w:val="heading 4"/>
    <w:basedOn w:val="1"/>
    <w:next w:val="1"/>
    <w:link w:val="24"/>
    <w:unhideWhenUsed/>
    <w:qFormat/>
    <w:uiPriority w:val="9"/>
    <w:pPr>
      <w:keepNext/>
      <w:widowControl/>
      <w:spacing w:before="240" w:after="60"/>
      <w:jc w:val="left"/>
      <w:outlineLvl w:val="3"/>
    </w:pPr>
    <w:rPr>
      <w:rFonts w:asciiTheme="minorHAnsi" w:hAnsiTheme="minorHAnsi" w:eastAsiaTheme="minorEastAsia"/>
      <w:b/>
      <w:bCs/>
      <w:kern w:val="0"/>
      <w:sz w:val="28"/>
      <w:szCs w:val="28"/>
    </w:rPr>
  </w:style>
  <w:style w:type="paragraph" w:styleId="6">
    <w:name w:val="heading 5"/>
    <w:basedOn w:val="1"/>
    <w:next w:val="1"/>
    <w:link w:val="25"/>
    <w:semiHidden/>
    <w:unhideWhenUsed/>
    <w:qFormat/>
    <w:uiPriority w:val="9"/>
    <w:pPr>
      <w:widowControl/>
      <w:spacing w:before="240" w:after="60"/>
      <w:jc w:val="left"/>
      <w:outlineLvl w:val="4"/>
    </w:pPr>
    <w:rPr>
      <w:rFonts w:asciiTheme="minorHAnsi" w:hAnsiTheme="minorHAnsi" w:eastAsiaTheme="minorEastAsia"/>
      <w:b/>
      <w:bCs/>
      <w:i/>
      <w:iCs/>
      <w:kern w:val="0"/>
      <w:sz w:val="26"/>
      <w:szCs w:val="26"/>
    </w:rPr>
  </w:style>
  <w:style w:type="paragraph" w:styleId="7">
    <w:name w:val="heading 6"/>
    <w:basedOn w:val="1"/>
    <w:next w:val="1"/>
    <w:link w:val="26"/>
    <w:semiHidden/>
    <w:unhideWhenUsed/>
    <w:qFormat/>
    <w:uiPriority w:val="9"/>
    <w:pPr>
      <w:widowControl/>
      <w:spacing w:before="240" w:after="60"/>
      <w:jc w:val="left"/>
      <w:outlineLvl w:val="5"/>
    </w:pPr>
    <w:rPr>
      <w:rFonts w:asciiTheme="minorHAnsi" w:hAnsiTheme="minorHAnsi" w:eastAsiaTheme="minorEastAsia"/>
      <w:b/>
      <w:bCs/>
      <w:kern w:val="0"/>
      <w:sz w:val="22"/>
      <w:szCs w:val="22"/>
    </w:rPr>
  </w:style>
  <w:style w:type="paragraph" w:styleId="8">
    <w:name w:val="heading 7"/>
    <w:basedOn w:val="1"/>
    <w:next w:val="1"/>
    <w:link w:val="27"/>
    <w:semiHidden/>
    <w:unhideWhenUsed/>
    <w:qFormat/>
    <w:uiPriority w:val="9"/>
    <w:pPr>
      <w:widowControl/>
      <w:spacing w:before="240" w:after="60"/>
      <w:jc w:val="left"/>
      <w:outlineLvl w:val="6"/>
    </w:pPr>
    <w:rPr>
      <w:rFonts w:asciiTheme="minorHAnsi" w:hAnsiTheme="minorHAnsi" w:eastAsiaTheme="minorEastAsia"/>
      <w:kern w:val="0"/>
      <w:sz w:val="24"/>
    </w:rPr>
  </w:style>
  <w:style w:type="paragraph" w:styleId="9">
    <w:name w:val="heading 8"/>
    <w:basedOn w:val="1"/>
    <w:next w:val="1"/>
    <w:link w:val="28"/>
    <w:semiHidden/>
    <w:unhideWhenUsed/>
    <w:qFormat/>
    <w:uiPriority w:val="9"/>
    <w:pPr>
      <w:widowControl/>
      <w:spacing w:before="240" w:after="60"/>
      <w:jc w:val="left"/>
      <w:outlineLvl w:val="7"/>
    </w:pPr>
    <w:rPr>
      <w:rFonts w:asciiTheme="minorHAnsi" w:hAnsiTheme="minorHAnsi" w:eastAsiaTheme="minorEastAsia"/>
      <w:i/>
      <w:iCs/>
      <w:kern w:val="0"/>
      <w:sz w:val="24"/>
    </w:rPr>
  </w:style>
  <w:style w:type="paragraph" w:styleId="10">
    <w:name w:val="heading 9"/>
    <w:basedOn w:val="1"/>
    <w:next w:val="1"/>
    <w:link w:val="29"/>
    <w:semiHidden/>
    <w:unhideWhenUsed/>
    <w:qFormat/>
    <w:uiPriority w:val="9"/>
    <w:pPr>
      <w:widowControl/>
      <w:spacing w:before="240" w:after="60"/>
      <w:jc w:val="left"/>
      <w:outlineLvl w:val="8"/>
    </w:pPr>
    <w:rPr>
      <w:rFonts w:asciiTheme="majorHAnsi" w:hAnsiTheme="majorHAnsi" w:eastAsiaTheme="majorEastAsia"/>
      <w:kern w:val="0"/>
      <w:sz w:val="22"/>
      <w:szCs w:val="22"/>
    </w:rPr>
  </w:style>
  <w:style w:type="character" w:default="1" w:styleId="18">
    <w:name w:val="Default Paragraph Font"/>
    <w:semiHidden/>
    <w:unhideWhenUsed/>
    <w:qFormat/>
    <w:uiPriority w:val="1"/>
  </w:style>
  <w:style w:type="table" w:default="1" w:styleId="1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Balloon Text"/>
    <w:basedOn w:val="1"/>
    <w:link w:val="46"/>
    <w:semiHidden/>
    <w:unhideWhenUsed/>
    <w:qFormat/>
    <w:uiPriority w:val="99"/>
    <w:rPr>
      <w:sz w:val="18"/>
      <w:szCs w:val="18"/>
    </w:rPr>
  </w:style>
  <w:style w:type="paragraph" w:styleId="12">
    <w:name w:val="footer"/>
    <w:basedOn w:val="1"/>
    <w:link w:val="45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13">
    <w:name w:val="header"/>
    <w:basedOn w:val="1"/>
    <w:link w:val="4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14">
    <w:name w:val="Subtitle"/>
    <w:basedOn w:val="1"/>
    <w:next w:val="1"/>
    <w:link w:val="31"/>
    <w:qFormat/>
    <w:uiPriority w:val="11"/>
    <w:pPr>
      <w:widowControl/>
      <w:spacing w:after="60"/>
      <w:jc w:val="center"/>
      <w:outlineLvl w:val="1"/>
    </w:pPr>
    <w:rPr>
      <w:rFonts w:asciiTheme="majorHAnsi" w:hAnsiTheme="majorHAnsi" w:eastAsiaTheme="majorEastAsia"/>
      <w:kern w:val="0"/>
      <w:sz w:val="24"/>
    </w:rPr>
  </w:style>
  <w:style w:type="paragraph" w:styleId="15">
    <w:name w:val="Title"/>
    <w:basedOn w:val="1"/>
    <w:next w:val="1"/>
    <w:link w:val="30"/>
    <w:qFormat/>
    <w:uiPriority w:val="10"/>
    <w:pPr>
      <w:widowControl/>
      <w:spacing w:before="240" w:after="60"/>
      <w:jc w:val="center"/>
      <w:outlineLvl w:val="0"/>
    </w:pPr>
    <w:rPr>
      <w:rFonts w:asciiTheme="majorHAnsi" w:hAnsiTheme="majorHAnsi" w:eastAsiaTheme="majorEastAsia"/>
      <w:b/>
      <w:bCs/>
      <w:kern w:val="28"/>
      <w:sz w:val="32"/>
      <w:szCs w:val="32"/>
    </w:rPr>
  </w:style>
  <w:style w:type="table" w:styleId="17">
    <w:name w:val="Table Grid"/>
    <w:qFormat/>
    <w:uiPriority w:val="0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19">
    <w:name w:val="Strong"/>
    <w:basedOn w:val="18"/>
    <w:qFormat/>
    <w:uiPriority w:val="0"/>
    <w:rPr>
      <w:b/>
      <w:bCs/>
    </w:rPr>
  </w:style>
  <w:style w:type="character" w:styleId="20">
    <w:name w:val="Emphasis"/>
    <w:basedOn w:val="18"/>
    <w:qFormat/>
    <w:uiPriority w:val="20"/>
    <w:rPr>
      <w:rFonts w:asciiTheme="minorHAnsi" w:hAnsiTheme="minorHAnsi"/>
      <w:b/>
      <w:i/>
      <w:iCs/>
    </w:rPr>
  </w:style>
  <w:style w:type="character" w:customStyle="1" w:styleId="21">
    <w:name w:val="标题 1 字符"/>
    <w:basedOn w:val="18"/>
    <w:link w:val="2"/>
    <w:qFormat/>
    <w:uiPriority w:val="9"/>
    <w:rPr>
      <w:rFonts w:asciiTheme="majorHAnsi" w:hAnsiTheme="majorHAnsi" w:eastAsiaTheme="majorEastAsia"/>
      <w:b/>
      <w:bCs/>
      <w:kern w:val="32"/>
      <w:sz w:val="32"/>
      <w:szCs w:val="32"/>
    </w:rPr>
  </w:style>
  <w:style w:type="character" w:customStyle="1" w:styleId="22">
    <w:name w:val="标题 2 字符"/>
    <w:basedOn w:val="18"/>
    <w:link w:val="3"/>
    <w:semiHidden/>
    <w:qFormat/>
    <w:uiPriority w:val="9"/>
    <w:rPr>
      <w:rFonts w:asciiTheme="majorHAnsi" w:hAnsiTheme="majorHAnsi" w:eastAsiaTheme="majorEastAsia"/>
      <w:b/>
      <w:bCs/>
      <w:i/>
      <w:iCs/>
      <w:sz w:val="28"/>
      <w:szCs w:val="28"/>
    </w:rPr>
  </w:style>
  <w:style w:type="character" w:customStyle="1" w:styleId="23">
    <w:name w:val="标题 3 字符"/>
    <w:basedOn w:val="18"/>
    <w:link w:val="4"/>
    <w:semiHidden/>
    <w:qFormat/>
    <w:uiPriority w:val="9"/>
    <w:rPr>
      <w:rFonts w:asciiTheme="majorHAnsi" w:hAnsiTheme="majorHAnsi" w:eastAsiaTheme="majorEastAsia"/>
      <w:b/>
      <w:bCs/>
      <w:sz w:val="26"/>
      <w:szCs w:val="26"/>
    </w:rPr>
  </w:style>
  <w:style w:type="character" w:customStyle="1" w:styleId="24">
    <w:name w:val="标题 4 字符"/>
    <w:basedOn w:val="18"/>
    <w:link w:val="5"/>
    <w:qFormat/>
    <w:uiPriority w:val="9"/>
    <w:rPr>
      <w:b/>
      <w:bCs/>
      <w:sz w:val="28"/>
      <w:szCs w:val="28"/>
    </w:rPr>
  </w:style>
  <w:style w:type="character" w:customStyle="1" w:styleId="25">
    <w:name w:val="标题 5 字符"/>
    <w:basedOn w:val="18"/>
    <w:link w:val="6"/>
    <w:semiHidden/>
    <w:qFormat/>
    <w:uiPriority w:val="9"/>
    <w:rPr>
      <w:b/>
      <w:bCs/>
      <w:i/>
      <w:iCs/>
      <w:sz w:val="26"/>
      <w:szCs w:val="26"/>
    </w:rPr>
  </w:style>
  <w:style w:type="character" w:customStyle="1" w:styleId="26">
    <w:name w:val="标题 6 字符"/>
    <w:basedOn w:val="18"/>
    <w:link w:val="7"/>
    <w:semiHidden/>
    <w:qFormat/>
    <w:uiPriority w:val="9"/>
    <w:rPr>
      <w:b/>
      <w:bCs/>
    </w:rPr>
  </w:style>
  <w:style w:type="character" w:customStyle="1" w:styleId="27">
    <w:name w:val="标题 7 字符"/>
    <w:basedOn w:val="18"/>
    <w:link w:val="8"/>
    <w:semiHidden/>
    <w:qFormat/>
    <w:uiPriority w:val="9"/>
    <w:rPr>
      <w:sz w:val="24"/>
      <w:szCs w:val="24"/>
    </w:rPr>
  </w:style>
  <w:style w:type="character" w:customStyle="1" w:styleId="28">
    <w:name w:val="标题 8 字符"/>
    <w:basedOn w:val="18"/>
    <w:link w:val="9"/>
    <w:semiHidden/>
    <w:qFormat/>
    <w:uiPriority w:val="9"/>
    <w:rPr>
      <w:i/>
      <w:iCs/>
      <w:sz w:val="24"/>
      <w:szCs w:val="24"/>
    </w:rPr>
  </w:style>
  <w:style w:type="character" w:customStyle="1" w:styleId="29">
    <w:name w:val="标题 9 字符"/>
    <w:basedOn w:val="18"/>
    <w:link w:val="10"/>
    <w:semiHidden/>
    <w:qFormat/>
    <w:uiPriority w:val="9"/>
    <w:rPr>
      <w:rFonts w:asciiTheme="majorHAnsi" w:hAnsiTheme="majorHAnsi" w:eastAsiaTheme="majorEastAsia"/>
    </w:rPr>
  </w:style>
  <w:style w:type="character" w:customStyle="1" w:styleId="30">
    <w:name w:val="标题 字符"/>
    <w:basedOn w:val="18"/>
    <w:link w:val="15"/>
    <w:qFormat/>
    <w:uiPriority w:val="10"/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customStyle="1" w:styleId="31">
    <w:name w:val="副标题 字符"/>
    <w:basedOn w:val="18"/>
    <w:link w:val="14"/>
    <w:qFormat/>
    <w:uiPriority w:val="11"/>
    <w:rPr>
      <w:rFonts w:asciiTheme="majorHAnsi" w:hAnsiTheme="majorHAnsi" w:eastAsiaTheme="majorEastAsia"/>
      <w:sz w:val="24"/>
      <w:szCs w:val="24"/>
    </w:rPr>
  </w:style>
  <w:style w:type="paragraph" w:styleId="32">
    <w:name w:val="No Spacing"/>
    <w:basedOn w:val="1"/>
    <w:qFormat/>
    <w:uiPriority w:val="1"/>
    <w:pPr>
      <w:widowControl/>
      <w:jc w:val="left"/>
    </w:pPr>
    <w:rPr>
      <w:rFonts w:asciiTheme="minorHAnsi" w:hAnsiTheme="minorHAnsi" w:eastAsiaTheme="minorEastAsia"/>
      <w:kern w:val="0"/>
      <w:sz w:val="24"/>
      <w:szCs w:val="32"/>
      <w:lang w:eastAsia="en-US" w:bidi="en-US"/>
    </w:rPr>
  </w:style>
  <w:style w:type="paragraph" w:styleId="33">
    <w:name w:val="List Paragraph"/>
    <w:basedOn w:val="1"/>
    <w:qFormat/>
    <w:uiPriority w:val="34"/>
    <w:pPr>
      <w:widowControl/>
      <w:ind w:left="720"/>
      <w:contextualSpacing/>
      <w:jc w:val="left"/>
    </w:pPr>
    <w:rPr>
      <w:rFonts w:asciiTheme="minorHAnsi" w:hAnsiTheme="minorHAnsi" w:eastAsiaTheme="minorEastAsia"/>
      <w:kern w:val="0"/>
      <w:sz w:val="24"/>
      <w:lang w:eastAsia="en-US" w:bidi="en-US"/>
    </w:rPr>
  </w:style>
  <w:style w:type="paragraph" w:styleId="34">
    <w:name w:val="Quote"/>
    <w:basedOn w:val="1"/>
    <w:next w:val="1"/>
    <w:link w:val="35"/>
    <w:qFormat/>
    <w:uiPriority w:val="29"/>
    <w:pPr>
      <w:widowControl/>
      <w:jc w:val="left"/>
    </w:pPr>
    <w:rPr>
      <w:rFonts w:asciiTheme="minorHAnsi" w:hAnsiTheme="minorHAnsi" w:eastAsiaTheme="minorEastAsia"/>
      <w:i/>
      <w:kern w:val="0"/>
      <w:sz w:val="24"/>
    </w:rPr>
  </w:style>
  <w:style w:type="character" w:customStyle="1" w:styleId="35">
    <w:name w:val="引用 字符"/>
    <w:basedOn w:val="18"/>
    <w:link w:val="34"/>
    <w:qFormat/>
    <w:uiPriority w:val="29"/>
    <w:rPr>
      <w:i/>
      <w:sz w:val="24"/>
      <w:szCs w:val="24"/>
    </w:rPr>
  </w:style>
  <w:style w:type="paragraph" w:styleId="36">
    <w:name w:val="Intense Quote"/>
    <w:basedOn w:val="1"/>
    <w:next w:val="1"/>
    <w:link w:val="37"/>
    <w:qFormat/>
    <w:uiPriority w:val="30"/>
    <w:pPr>
      <w:widowControl/>
      <w:ind w:left="720" w:right="720"/>
      <w:jc w:val="left"/>
    </w:pPr>
    <w:rPr>
      <w:rFonts w:asciiTheme="minorHAnsi" w:hAnsiTheme="minorHAnsi" w:eastAsiaTheme="minorEastAsia"/>
      <w:b/>
      <w:i/>
      <w:kern w:val="0"/>
      <w:sz w:val="24"/>
      <w:szCs w:val="22"/>
    </w:rPr>
  </w:style>
  <w:style w:type="character" w:customStyle="1" w:styleId="37">
    <w:name w:val="明显引用 字符"/>
    <w:basedOn w:val="18"/>
    <w:link w:val="36"/>
    <w:qFormat/>
    <w:uiPriority w:val="30"/>
    <w:rPr>
      <w:b/>
      <w:i/>
      <w:sz w:val="24"/>
    </w:rPr>
  </w:style>
  <w:style w:type="character" w:customStyle="1" w:styleId="38">
    <w:name w:val="不明显强调1"/>
    <w:qFormat/>
    <w:uiPriority w:val="19"/>
    <w:rPr>
      <w:i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39">
    <w:name w:val="明显强调1"/>
    <w:basedOn w:val="18"/>
    <w:qFormat/>
    <w:uiPriority w:val="21"/>
    <w:rPr>
      <w:b/>
      <w:i/>
      <w:sz w:val="24"/>
      <w:szCs w:val="24"/>
      <w:u w:val="single"/>
    </w:rPr>
  </w:style>
  <w:style w:type="character" w:customStyle="1" w:styleId="40">
    <w:name w:val="不明显参考1"/>
    <w:basedOn w:val="18"/>
    <w:qFormat/>
    <w:uiPriority w:val="31"/>
    <w:rPr>
      <w:sz w:val="24"/>
      <w:szCs w:val="24"/>
      <w:u w:val="single"/>
    </w:rPr>
  </w:style>
  <w:style w:type="character" w:customStyle="1" w:styleId="41">
    <w:name w:val="明显参考1"/>
    <w:basedOn w:val="18"/>
    <w:qFormat/>
    <w:uiPriority w:val="32"/>
    <w:rPr>
      <w:b/>
      <w:sz w:val="24"/>
      <w:u w:val="single"/>
    </w:rPr>
  </w:style>
  <w:style w:type="character" w:customStyle="1" w:styleId="42">
    <w:name w:val="书籍标题1"/>
    <w:basedOn w:val="18"/>
    <w:qFormat/>
    <w:uiPriority w:val="33"/>
    <w:rPr>
      <w:rFonts w:asciiTheme="majorHAnsi" w:hAnsiTheme="majorHAnsi" w:eastAsiaTheme="majorEastAsia"/>
      <w:b/>
      <w:i/>
      <w:sz w:val="24"/>
      <w:szCs w:val="24"/>
    </w:rPr>
  </w:style>
  <w:style w:type="paragraph" w:customStyle="1" w:styleId="43">
    <w:name w:val="TOC 标题1"/>
    <w:basedOn w:val="2"/>
    <w:next w:val="1"/>
    <w:semiHidden/>
    <w:unhideWhenUsed/>
    <w:qFormat/>
    <w:uiPriority w:val="39"/>
    <w:pPr>
      <w:outlineLvl w:val="9"/>
    </w:pPr>
    <w:rPr>
      <w:lang w:eastAsia="en-US" w:bidi="en-US"/>
    </w:rPr>
  </w:style>
  <w:style w:type="character" w:customStyle="1" w:styleId="44">
    <w:name w:val="页眉 字符"/>
    <w:basedOn w:val="18"/>
    <w:link w:val="13"/>
    <w:qFormat/>
    <w:uiPriority w:val="99"/>
    <w:rPr>
      <w:rFonts w:ascii="Calibri" w:hAnsi="Calibri" w:eastAsia="宋体"/>
      <w:kern w:val="2"/>
      <w:sz w:val="18"/>
      <w:szCs w:val="18"/>
    </w:rPr>
  </w:style>
  <w:style w:type="character" w:customStyle="1" w:styleId="45">
    <w:name w:val="页脚 字符"/>
    <w:basedOn w:val="18"/>
    <w:link w:val="12"/>
    <w:qFormat/>
    <w:uiPriority w:val="99"/>
    <w:rPr>
      <w:rFonts w:ascii="Calibri" w:hAnsi="Calibri" w:eastAsia="宋体"/>
      <w:kern w:val="2"/>
      <w:sz w:val="18"/>
      <w:szCs w:val="18"/>
    </w:rPr>
  </w:style>
  <w:style w:type="character" w:customStyle="1" w:styleId="46">
    <w:name w:val="批注框文本 字符"/>
    <w:basedOn w:val="18"/>
    <w:link w:val="11"/>
    <w:semiHidden/>
    <w:qFormat/>
    <w:uiPriority w:val="99"/>
    <w:rPr>
      <w:rFonts w:ascii="Times New Roman" w:hAnsi="Times New Roman" w:eastAsia="宋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7" Type="http://schemas.openxmlformats.org/officeDocument/2006/relationships/font" Target="fonts/font7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2052-11.8.2.10972</vt:lpwstr>
  </property>
  <property fmtid="{D5CDD505-2E9C-101B-9397-08002B2CF9AE}" pid="3" name="ICV">
    <vt:lpwstr>160D1BA1944349B08C48068401F6E698</vt:lpwstr>
  </property>
</Properties>
</file>

<file path=customXml/itemProps1.xml><?xml version="1.0" encoding="utf-8"?>
<ds:datastoreItem xmlns:ds="http://schemas.openxmlformats.org/officeDocument/2006/customXml" ds:itemID="{58cace81-cfbf-45d5-82ad-1a2828df173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21</Pages>
  <Words>10325</Words>
  <Characters>10877</Characters>
  <Lines>5</Lines>
  <Paragraphs>1</Paragraphs>
  <TotalTime>1</TotalTime>
  <ScaleCrop>false</ScaleCrop>
  <LinksUpToDate>false</LinksUpToDate>
  <CharactersWithSpaces>10930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2018-08-15T02:06:00Z</dcterms:created>
  <dc:creator>赵 恺_xFF08_预算处_xFF09_</dc:creator>
  <cp:lastModifiedBy>Qxb</cp:lastModifiedBy>
  <cp:lastPrinted>2018-12-31T10:56:00Z</cp:lastPrinted>
  <dcterms:modified xsi:type="dcterms:W3CDTF">2025-09-22T09:19:49Z</dcterms:modified>
  <cp:revision>64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160D1BA1944349B08C48068401F6E698</vt:lpwstr>
  </property>
  <property fmtid="{D5CDD505-2E9C-101B-9397-08002B2CF9AE}" pid="4" name="KSOTemplateDocerSaveRecord">
    <vt:lpwstr>eyJoZGlkIjoiNjhiMzgzMWJiNDVmMjc4YmZhYzYxZmZlMGEwZTI0MDIiLCJ1c2VySWQiOiIxMDczMzg0NjQwIn0=</vt:lpwstr>
  </property>
</Properties>
</file>