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巴音郭楞蒙古自治州总工会2024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174A0CB">
      <w:r>
        <w:br w:type="page"/>
      </w:r>
    </w:p>
    <w:p w14:paraId="00C04915">
      <w:pPr>
        <w:spacing w:line="640" w:lineRule="exact"/>
        <w:jc w:val="center"/>
        <w:outlineLvl w:val="1"/>
      </w:pPr>
      <w:r>
        <w:rPr>
          <w:rFonts w:ascii="黑体" w:hAnsi="黑体" w:eastAsia="黑体"/>
          <w:sz w:val="32"/>
        </w:rPr>
        <w:t>第一部分 部门概况</w:t>
      </w:r>
    </w:p>
    <w:p w14:paraId="0FBCEAE2">
      <w:pPr>
        <w:spacing w:line="640" w:lineRule="exact"/>
        <w:ind w:firstLine="640"/>
        <w:jc w:val="both"/>
        <w:outlineLvl w:val="2"/>
      </w:pPr>
      <w:r>
        <w:rPr>
          <w:rFonts w:ascii="黑体" w:hAnsi="黑体" w:eastAsia="黑体"/>
          <w:sz w:val="32"/>
        </w:rPr>
        <w:t>一、主要职能</w:t>
      </w:r>
    </w:p>
    <w:p w14:paraId="19E3E61D">
      <w:pPr>
        <w:spacing w:line="580" w:lineRule="exact"/>
        <w:ind w:firstLine="640"/>
        <w:jc w:val="both"/>
      </w:pPr>
      <w:r>
        <w:rPr>
          <w:rFonts w:ascii="仿宋_GB2312" w:hAnsi="仿宋_GB2312" w:eastAsia="仿宋_GB2312"/>
          <w:sz w:val="32"/>
        </w:rPr>
        <w:t>工会的基本职责是维护职工合法权益。工会在企业、事业单位中，通过平等协商和集体合同制度，协调劳动关系，维护职工权益。工会依法通过职工代表大会或其他形式，组织职工参与本部门的民主决策、</w:t>
      </w:r>
      <w:r>
        <w:rPr>
          <w:rFonts w:hint="eastAsia" w:ascii="仿宋_GB2312" w:hAnsi="仿宋_GB2312" w:eastAsia="仿宋_GB2312"/>
          <w:sz w:val="32"/>
          <w:lang w:eastAsia="zh-CN"/>
        </w:rPr>
        <w:t>民主管理、民主监督</w:t>
      </w:r>
      <w:r>
        <w:rPr>
          <w:rFonts w:ascii="仿宋_GB2312" w:hAnsi="仿宋_GB2312" w:eastAsia="仿宋_GB2312"/>
          <w:sz w:val="32"/>
        </w:rPr>
        <w:t>。协助自治州人民政府做好劳动模范的推荐、评选和管理工作；负责全国劳动模范、</w:t>
      </w:r>
      <w:r>
        <w:rPr>
          <w:rFonts w:hint="eastAsia" w:ascii="仿宋_GB2312" w:hAnsi="仿宋_GB2312" w:eastAsia="仿宋_GB2312"/>
          <w:sz w:val="32"/>
          <w:lang w:eastAsia="zh-CN"/>
        </w:rPr>
        <w:t>全国五一劳动奖章</w:t>
      </w:r>
      <w:r>
        <w:rPr>
          <w:rFonts w:ascii="仿宋_GB2312" w:hAnsi="仿宋_GB2312" w:eastAsia="仿宋_GB2312"/>
          <w:sz w:val="32"/>
        </w:rPr>
        <w:t>、奖状和“开发建设新疆”奖章、奖状获得者的评选、推荐和管理工作，承担自治州党委、自治州人民政府交办的其他工作。工会密切联系职工，是党和政府联系职工群众的纽带。</w:t>
      </w:r>
    </w:p>
    <w:p w14:paraId="46783C82">
      <w:pPr>
        <w:spacing w:line="640" w:lineRule="exact"/>
        <w:ind w:firstLine="640"/>
        <w:jc w:val="both"/>
        <w:outlineLvl w:val="2"/>
      </w:pPr>
      <w:r>
        <w:rPr>
          <w:rFonts w:ascii="黑体" w:hAnsi="黑体" w:eastAsia="黑体"/>
          <w:sz w:val="32"/>
        </w:rPr>
        <w:t>二、机构设置及人员情况</w:t>
      </w:r>
    </w:p>
    <w:p w14:paraId="628A2B03">
      <w:pPr>
        <w:spacing w:line="580" w:lineRule="exact"/>
        <w:ind w:firstLine="640"/>
        <w:jc w:val="both"/>
      </w:pPr>
      <w:r>
        <w:rPr>
          <w:rFonts w:ascii="仿宋_GB2312" w:hAnsi="仿宋_GB2312" w:eastAsia="仿宋_GB2312"/>
          <w:sz w:val="32"/>
        </w:rPr>
        <w:t>巴音郭楞蒙古自治州总工会2024年度，实有人数37人，其中：在职人员16人，减少2人；离休人员0人，增加0人；退休人员21人,减少1人。</w:t>
      </w:r>
    </w:p>
    <w:p w14:paraId="7F4D944C">
      <w:pPr>
        <w:spacing w:line="580" w:lineRule="exact"/>
        <w:ind w:firstLine="640"/>
        <w:jc w:val="both"/>
      </w:pPr>
      <w:r>
        <w:rPr>
          <w:rFonts w:ascii="仿宋_GB2312" w:hAnsi="仿宋_GB2312" w:eastAsia="仿宋_GB2312"/>
          <w:sz w:val="32"/>
        </w:rPr>
        <w:t>巴音郭楞蒙古自治州总工会无下属预算单位，下设3个科室，分别是：办公室、基层工作部、工人文化宫。</w:t>
      </w:r>
    </w:p>
    <w:p w14:paraId="5D71E502">
      <w:r>
        <w:br w:type="page"/>
      </w:r>
    </w:p>
    <w:p w14:paraId="748004AE">
      <w:pPr>
        <w:spacing w:line="240" w:lineRule="auto"/>
        <w:jc w:val="center"/>
        <w:outlineLvl w:val="1"/>
      </w:pPr>
      <w:r>
        <w:rPr>
          <w:rFonts w:ascii="黑体" w:hAnsi="黑体" w:eastAsia="黑体"/>
          <w:sz w:val="32"/>
        </w:rPr>
        <w:t>第二部分 部门决算情况说明</w:t>
      </w:r>
    </w:p>
    <w:p w14:paraId="0662B73E">
      <w:pPr>
        <w:spacing w:line="640" w:lineRule="exact"/>
        <w:ind w:firstLine="640"/>
        <w:jc w:val="both"/>
        <w:outlineLvl w:val="2"/>
      </w:pPr>
      <w:r>
        <w:rPr>
          <w:rFonts w:ascii="黑体" w:hAnsi="黑体" w:eastAsia="黑体"/>
          <w:sz w:val="32"/>
        </w:rPr>
        <w:t>一、收入支出决算总体情况说明</w:t>
      </w:r>
    </w:p>
    <w:p w14:paraId="711285A4">
      <w:pPr>
        <w:spacing w:line="580" w:lineRule="exact"/>
        <w:ind w:firstLine="640"/>
        <w:jc w:val="both"/>
      </w:pPr>
      <w:r>
        <w:rPr>
          <w:rFonts w:ascii="仿宋_GB2312" w:hAnsi="仿宋_GB2312" w:eastAsia="仿宋_GB2312"/>
          <w:b/>
          <w:sz w:val="32"/>
        </w:rPr>
        <w:t>2024年度收入总计398.24万元，</w:t>
      </w:r>
      <w:r>
        <w:rPr>
          <w:rFonts w:ascii="仿宋_GB2312" w:hAnsi="仿宋_GB2312" w:eastAsia="仿宋_GB2312"/>
          <w:b w:val="0"/>
          <w:sz w:val="32"/>
        </w:rPr>
        <w:t>其中：本年收入合计398.24万元，使用非财政拨款结余（含专用结余）0.00万元，年初结转和结余0.00万元。</w:t>
      </w:r>
    </w:p>
    <w:p w14:paraId="0DCC23A9">
      <w:pPr>
        <w:spacing w:line="580" w:lineRule="exact"/>
        <w:ind w:firstLine="640"/>
        <w:jc w:val="both"/>
      </w:pPr>
      <w:r>
        <w:rPr>
          <w:rFonts w:ascii="仿宋_GB2312" w:hAnsi="仿宋_GB2312" w:eastAsia="仿宋_GB2312"/>
          <w:b/>
          <w:sz w:val="32"/>
        </w:rPr>
        <w:t>2024年度支出总计398.24万元，</w:t>
      </w:r>
      <w:r>
        <w:rPr>
          <w:rFonts w:ascii="仿宋_GB2312" w:hAnsi="仿宋_GB2312" w:eastAsia="仿宋_GB2312"/>
          <w:b w:val="0"/>
          <w:sz w:val="32"/>
        </w:rPr>
        <w:t>其中：本年支出合计398.24万元，结余分配0.00万元，年末结转和结余0.00万元。</w:t>
      </w:r>
    </w:p>
    <w:p w14:paraId="08484BD8">
      <w:pPr>
        <w:spacing w:line="580" w:lineRule="exact"/>
        <w:ind w:firstLine="640"/>
        <w:jc w:val="both"/>
      </w:pPr>
      <w:r>
        <w:rPr>
          <w:rFonts w:ascii="仿宋_GB2312" w:hAnsi="仿宋_GB2312" w:eastAsia="仿宋_GB2312"/>
          <w:b w:val="0"/>
          <w:sz w:val="32"/>
        </w:rPr>
        <w:t>收入支出总体与上年相比，减少5.26万元，下降1.30%，主要原因是：本年在职人员减少，相关人员经费较上年减少。</w:t>
      </w:r>
    </w:p>
    <w:p w14:paraId="52442D63">
      <w:pPr>
        <w:spacing w:line="640" w:lineRule="exact"/>
        <w:ind w:firstLine="640"/>
        <w:jc w:val="both"/>
        <w:outlineLvl w:val="2"/>
      </w:pPr>
      <w:r>
        <w:rPr>
          <w:rFonts w:ascii="黑体" w:hAnsi="黑体" w:eastAsia="黑体"/>
          <w:sz w:val="32"/>
        </w:rPr>
        <w:t>二、收入决算情况说明</w:t>
      </w:r>
    </w:p>
    <w:p w14:paraId="3787AE47">
      <w:pPr>
        <w:spacing w:line="580" w:lineRule="exact"/>
        <w:ind w:firstLine="640"/>
        <w:jc w:val="both"/>
      </w:pPr>
      <w:r>
        <w:rPr>
          <w:rFonts w:ascii="仿宋_GB2312" w:hAnsi="仿宋_GB2312" w:eastAsia="仿宋_GB2312"/>
          <w:b/>
          <w:sz w:val="32"/>
        </w:rPr>
        <w:t>本年收入398.24万元，</w:t>
      </w:r>
      <w:r>
        <w:rPr>
          <w:rFonts w:ascii="仿宋_GB2312" w:hAnsi="仿宋_GB2312" w:eastAsia="仿宋_GB2312"/>
          <w:b w:val="0"/>
          <w:sz w:val="32"/>
        </w:rPr>
        <w:t>其中：财政拨款收入398.24万元，占100.00%；上级补助收入0.00万元，占0.00%；事业收入0.00万元，占0.00%；经营收入0.00万元，占0.00%；附属单位上缴收入0.00万元，占0.00%；其他收入0.00万元，占0.00%。</w:t>
      </w:r>
    </w:p>
    <w:p w14:paraId="467F1C7E">
      <w:pPr>
        <w:spacing w:line="640" w:lineRule="exact"/>
        <w:ind w:firstLine="640"/>
        <w:jc w:val="both"/>
        <w:outlineLvl w:val="2"/>
      </w:pPr>
      <w:r>
        <w:rPr>
          <w:rFonts w:ascii="黑体" w:hAnsi="黑体" w:eastAsia="黑体"/>
          <w:sz w:val="32"/>
        </w:rPr>
        <w:t>三、支出决算情况说明</w:t>
      </w:r>
    </w:p>
    <w:p w14:paraId="37AD2248">
      <w:pPr>
        <w:spacing w:line="580" w:lineRule="exact"/>
        <w:ind w:firstLine="640"/>
        <w:jc w:val="both"/>
      </w:pPr>
      <w:r>
        <w:rPr>
          <w:rFonts w:ascii="仿宋_GB2312" w:hAnsi="仿宋_GB2312" w:eastAsia="仿宋_GB2312"/>
          <w:b/>
          <w:sz w:val="32"/>
        </w:rPr>
        <w:t>本年支出398.24万元，</w:t>
      </w:r>
      <w:r>
        <w:rPr>
          <w:rFonts w:ascii="仿宋_GB2312" w:hAnsi="仿宋_GB2312" w:eastAsia="仿宋_GB2312"/>
          <w:b w:val="0"/>
          <w:sz w:val="32"/>
        </w:rPr>
        <w:t>其中：基本支出381.54万元，占95.81%；项目支出16.70万元，占4.19%；上缴上级支出0.00万元，占0.00%；经营支出0.00万元，占0.00%；对附属单位补助支出0.00万元，占0.00%。</w:t>
      </w:r>
    </w:p>
    <w:p w14:paraId="4206C66B">
      <w:pPr>
        <w:spacing w:line="640" w:lineRule="exact"/>
        <w:ind w:firstLine="640"/>
        <w:jc w:val="both"/>
        <w:outlineLvl w:val="2"/>
      </w:pPr>
      <w:r>
        <w:rPr>
          <w:rFonts w:ascii="黑体" w:hAnsi="黑体" w:eastAsia="黑体"/>
          <w:sz w:val="32"/>
        </w:rPr>
        <w:t>四、财政拨款收入支出决算总体情况说明</w:t>
      </w:r>
    </w:p>
    <w:p w14:paraId="5A27ADF3">
      <w:pPr>
        <w:spacing w:line="580" w:lineRule="exact"/>
        <w:ind w:firstLine="640"/>
        <w:jc w:val="both"/>
      </w:pPr>
      <w:r>
        <w:rPr>
          <w:rFonts w:ascii="仿宋_GB2312" w:hAnsi="仿宋_GB2312" w:eastAsia="仿宋_GB2312"/>
          <w:b/>
          <w:sz w:val="32"/>
        </w:rPr>
        <w:t>2024年度财政拨款收入总计398.24万元，</w:t>
      </w:r>
      <w:r>
        <w:rPr>
          <w:rFonts w:ascii="仿宋_GB2312" w:hAnsi="仿宋_GB2312" w:eastAsia="仿宋_GB2312"/>
          <w:b w:val="0"/>
          <w:sz w:val="32"/>
        </w:rPr>
        <w:t>其中：年初财政拨款结转和结余0.00万元，本年财政拨款收入398.24万元。</w:t>
      </w:r>
      <w:r>
        <w:rPr>
          <w:rFonts w:ascii="仿宋_GB2312" w:hAnsi="仿宋_GB2312" w:eastAsia="仿宋_GB2312"/>
          <w:b/>
          <w:sz w:val="32"/>
        </w:rPr>
        <w:t>财政拨款支出总计398.24万元，</w:t>
      </w:r>
      <w:r>
        <w:rPr>
          <w:rFonts w:ascii="仿宋_GB2312" w:hAnsi="仿宋_GB2312" w:eastAsia="仿宋_GB2312"/>
          <w:b w:val="0"/>
          <w:sz w:val="32"/>
        </w:rPr>
        <w:t>其中：年末财政拨款结转和结余0.00万元，本年财政拨款支出398.24万元。</w:t>
      </w:r>
    </w:p>
    <w:p w14:paraId="48EC155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减少5.26万元，下降1.30%，主要原因是：本年在职人员减少，相关人员经费较上年减少。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年初预算数395.35万元，决算数398.24万元，预决算差异率0.73%，主要原因是：年中追加人员工资、社保、公积金基数调增部分资金，导致预决算存在差异。</w:t>
      </w:r>
    </w:p>
    <w:p w14:paraId="1F397E5A">
      <w:pPr>
        <w:spacing w:line="640" w:lineRule="exact"/>
        <w:ind w:firstLine="640"/>
        <w:jc w:val="both"/>
        <w:outlineLvl w:val="2"/>
      </w:pPr>
      <w:r>
        <w:rPr>
          <w:rFonts w:ascii="黑体" w:hAnsi="黑体" w:eastAsia="黑体"/>
          <w:sz w:val="32"/>
        </w:rPr>
        <w:t>五、一般公共预算财政拨款支出决算情况说明</w:t>
      </w:r>
    </w:p>
    <w:p w14:paraId="21A6D72D">
      <w:pPr>
        <w:spacing w:line="640" w:lineRule="exact"/>
        <w:ind w:firstLine="640"/>
        <w:jc w:val="both"/>
        <w:outlineLvl w:val="3"/>
      </w:pPr>
      <w:r>
        <w:rPr>
          <w:rFonts w:ascii="楷体_GB2312" w:hAnsi="楷体_GB2312" w:eastAsia="楷体_GB2312"/>
          <w:b/>
          <w:sz w:val="32"/>
        </w:rPr>
        <w:t>（一）一般公共预算财政拨款支出决算总体情况</w:t>
      </w:r>
    </w:p>
    <w:p w14:paraId="4B97367F">
      <w:pPr>
        <w:spacing w:line="580" w:lineRule="exact"/>
        <w:ind w:firstLine="640"/>
        <w:jc w:val="both"/>
      </w:pPr>
      <w:r>
        <w:rPr>
          <w:rFonts w:ascii="仿宋_GB2312" w:hAnsi="仿宋_GB2312" w:eastAsia="仿宋_GB2312"/>
          <w:b/>
          <w:sz w:val="32"/>
        </w:rPr>
        <w:t>2024年度一般公共预算财政拨款支出398.24万元，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减少5.26万元，下降1.30%，主要原因是：本年在职人员减少，相关人员经费较上年减少。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年初预算数395.35万元，决算数398.24万元，预决算差异率0.73%，主要原因是：年中追加人员工资、社保、公积金基数调增部分资金，导致预决算存在差异。</w:t>
      </w:r>
    </w:p>
    <w:p w14:paraId="75F876FF">
      <w:pPr>
        <w:spacing w:line="640" w:lineRule="exact"/>
        <w:ind w:firstLine="640"/>
        <w:jc w:val="both"/>
        <w:outlineLvl w:val="3"/>
      </w:pPr>
      <w:r>
        <w:rPr>
          <w:rFonts w:ascii="楷体_GB2312" w:hAnsi="楷体_GB2312" w:eastAsia="楷体_GB2312"/>
          <w:b/>
          <w:sz w:val="32"/>
        </w:rPr>
        <w:t>（二）一般公共预算财政拨款支出决算结构情况</w:t>
      </w:r>
    </w:p>
    <w:p w14:paraId="6D87C7E5">
      <w:pPr>
        <w:spacing w:line="580" w:lineRule="exact"/>
        <w:ind w:firstLine="640"/>
        <w:jc w:val="both"/>
      </w:pPr>
      <w:r>
        <w:rPr>
          <w:rFonts w:ascii="仿宋_GB2312" w:hAnsi="仿宋_GB2312" w:eastAsia="仿宋_GB2312"/>
          <w:b w:val="0"/>
          <w:sz w:val="32"/>
        </w:rPr>
        <w:t>1.一般公共服务支出(类)298.98万元,占75.08%。</w:t>
      </w:r>
    </w:p>
    <w:p w14:paraId="6046C9F6">
      <w:pPr>
        <w:spacing w:line="580" w:lineRule="exact"/>
        <w:ind w:firstLine="640"/>
        <w:jc w:val="both"/>
      </w:pPr>
      <w:r>
        <w:rPr>
          <w:rFonts w:ascii="仿宋_GB2312" w:hAnsi="仿宋_GB2312" w:eastAsia="仿宋_GB2312"/>
          <w:b w:val="0"/>
          <w:sz w:val="32"/>
        </w:rPr>
        <w:t>2.教育支出(类)1.00万元,占0.25%。</w:t>
      </w:r>
    </w:p>
    <w:p w14:paraId="164965E3">
      <w:pPr>
        <w:spacing w:line="580" w:lineRule="exact"/>
        <w:ind w:firstLine="640"/>
        <w:jc w:val="both"/>
      </w:pPr>
      <w:r>
        <w:rPr>
          <w:rFonts w:ascii="仿宋_GB2312" w:hAnsi="仿宋_GB2312" w:eastAsia="仿宋_GB2312"/>
          <w:b w:val="0"/>
          <w:sz w:val="32"/>
        </w:rPr>
        <w:t>3.社会保障和就业支出(类)57.92万元,占14.54%。</w:t>
      </w:r>
    </w:p>
    <w:p w14:paraId="15C468C7">
      <w:pPr>
        <w:spacing w:line="580" w:lineRule="exact"/>
        <w:ind w:firstLine="640"/>
        <w:jc w:val="both"/>
      </w:pPr>
      <w:r>
        <w:rPr>
          <w:rFonts w:ascii="仿宋_GB2312" w:hAnsi="仿宋_GB2312" w:eastAsia="仿宋_GB2312"/>
          <w:b w:val="0"/>
          <w:sz w:val="32"/>
        </w:rPr>
        <w:t>4.卫生健康支出(类)16.50万元,占4.14%。</w:t>
      </w:r>
    </w:p>
    <w:p w14:paraId="2FE2A081">
      <w:pPr>
        <w:spacing w:line="580" w:lineRule="exact"/>
        <w:ind w:firstLine="640"/>
        <w:jc w:val="both"/>
      </w:pPr>
      <w:r>
        <w:rPr>
          <w:rFonts w:ascii="仿宋_GB2312" w:hAnsi="仿宋_GB2312" w:eastAsia="仿宋_GB2312"/>
          <w:b w:val="0"/>
          <w:sz w:val="32"/>
        </w:rPr>
        <w:t>5.住房保障支出(类)23.84万元,占5.99%。</w:t>
      </w:r>
    </w:p>
    <w:p w14:paraId="4BD988B1">
      <w:pPr>
        <w:spacing w:line="640" w:lineRule="exact"/>
        <w:ind w:firstLine="640"/>
        <w:jc w:val="both"/>
        <w:outlineLvl w:val="3"/>
      </w:pPr>
      <w:r>
        <w:rPr>
          <w:rFonts w:ascii="楷体_GB2312" w:hAnsi="楷体_GB2312" w:eastAsia="楷体_GB2312"/>
          <w:b/>
          <w:sz w:val="32"/>
        </w:rPr>
        <w:t>（三）一般公共预算财政拨款支出决算具体情况</w:t>
      </w:r>
    </w:p>
    <w:p w14:paraId="36090C59">
      <w:pPr>
        <w:spacing w:line="580" w:lineRule="exact"/>
        <w:ind w:firstLine="640"/>
        <w:jc w:val="both"/>
      </w:pPr>
      <w:r>
        <w:rPr>
          <w:rFonts w:ascii="仿宋_GB2312" w:hAnsi="仿宋_GB2312" w:eastAsia="仿宋_GB2312"/>
          <w:b w:val="0"/>
          <w:sz w:val="32"/>
        </w:rPr>
        <w:t>1.一般公共服务支出(类)群众团体事务(款)行政运行(项):支出决算数为184.96万元，比上年决算增加11.43万元，增长6.59%,主要原因是：本年功能科目调整，去世人员的死亡抚恤经费上年在死亡抚恤科目列支，本年在行政运行科目列支，导致经费增加。</w:t>
      </w:r>
    </w:p>
    <w:p w14:paraId="697FA5FD">
      <w:pPr>
        <w:spacing w:line="580" w:lineRule="exact"/>
        <w:ind w:firstLine="640"/>
        <w:jc w:val="both"/>
      </w:pPr>
      <w:r>
        <w:rPr>
          <w:rFonts w:ascii="仿宋_GB2312" w:hAnsi="仿宋_GB2312" w:eastAsia="仿宋_GB2312"/>
          <w:b w:val="0"/>
          <w:sz w:val="32"/>
        </w:rPr>
        <w:t>2.一般公共服务支出(类)群众团体事务(款)一般行政管理事务(项):支出决算数为16.70万元，比上年决算增加16.70万元，增长100.00%,主要原因是：本年增加为民办实事工作经费。</w:t>
      </w:r>
    </w:p>
    <w:p w14:paraId="23BD41B5">
      <w:pPr>
        <w:spacing w:line="580" w:lineRule="exact"/>
        <w:ind w:firstLine="640"/>
        <w:jc w:val="both"/>
      </w:pPr>
      <w:r>
        <w:rPr>
          <w:rFonts w:ascii="仿宋_GB2312" w:hAnsi="仿宋_GB2312" w:eastAsia="仿宋_GB2312"/>
          <w:b w:val="0"/>
          <w:sz w:val="32"/>
        </w:rPr>
        <w:t>3.一般公共服务支出(类)群众团体事务(款)事业运行(项):支出决算数为97.32万元，比上年决算减少12.07万元，下降11.03%,主要原因是：本年在职人员减少，相应人员经费较上年减少。</w:t>
      </w:r>
    </w:p>
    <w:p w14:paraId="6888A46C">
      <w:pPr>
        <w:spacing w:line="580" w:lineRule="exact"/>
        <w:ind w:firstLine="640"/>
        <w:jc w:val="both"/>
      </w:pPr>
      <w:r>
        <w:rPr>
          <w:rFonts w:ascii="仿宋_GB2312" w:hAnsi="仿宋_GB2312" w:eastAsia="仿宋_GB2312"/>
          <w:b w:val="0"/>
          <w:sz w:val="32"/>
        </w:rPr>
        <w:t>4.教育支出(类)进修及培训(款)培训支出(项):支出决算数为1.00万元，比上年决算增加0.00万元，增长0.00%,主要原因是：本年培训经费支出与上年一致，无变化。</w:t>
      </w:r>
    </w:p>
    <w:p w14:paraId="23746729">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16.60万元，比上年决算减少4.11万元，下降19.85%,主要原因是：本年功能科目调整，部分退休人员经费上年在行政单位离退休科目列支，本年在事业单位离退休科目列支，相应经费减少。</w:t>
      </w:r>
    </w:p>
    <w:p w14:paraId="0F8A2803">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7.26万元，比上年决算增加7.26万元，增长100.00%,主要原因是：本年功能科目调整，部分退休人员经费上年在行政单位离退休科目列支，本年在事业单位离退休科目列支，相应经费增加。</w:t>
      </w:r>
    </w:p>
    <w:p w14:paraId="3F39230B">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31.64万元，比上年决算减少1.05万元，下降3.21%,主要原因是：本年在职人员减少，单位基本养老保险缴费较上年减少。</w:t>
      </w:r>
    </w:p>
    <w:p w14:paraId="554A6076">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8.社会保障和就业支出(类)行政事业单位养老支出(款)机关事业单位职业年金缴费支出(项):支出决算数为2.42万元，比上年决算增加2.42万元，增长100.00%,主要原因是：本年</w:t>
      </w:r>
      <w:r>
        <w:rPr>
          <w:rFonts w:hint="eastAsia" w:ascii="仿宋_GB2312" w:hAnsi="仿宋_GB2312" w:eastAsia="仿宋_GB2312"/>
          <w:b w:val="0"/>
          <w:sz w:val="32"/>
          <w:lang w:val="en-US" w:eastAsia="zh-CN"/>
        </w:rPr>
        <w:t>新增调出</w:t>
      </w:r>
      <w:r>
        <w:rPr>
          <w:rFonts w:ascii="仿宋_GB2312" w:hAnsi="仿宋_GB2312" w:eastAsia="仿宋_GB2312"/>
          <w:b w:val="0"/>
          <w:sz w:val="32"/>
        </w:rPr>
        <w:t>人员，职业年金缴费支出增加。</w:t>
      </w:r>
    </w:p>
    <w:p w14:paraId="78604676">
      <w:pPr>
        <w:spacing w:line="580" w:lineRule="exact"/>
        <w:ind w:firstLine="640"/>
        <w:jc w:val="both"/>
      </w:pPr>
      <w:r>
        <w:rPr>
          <w:rFonts w:ascii="仿宋_GB2312" w:hAnsi="仿宋_GB2312" w:eastAsia="仿宋_GB2312"/>
          <w:b w:val="0"/>
          <w:sz w:val="32"/>
        </w:rPr>
        <w:t>9.社会保障和就业支出(类)抚恤(款)死亡抚恤(项):支出决算数为0.00万元，比上年决算减少25.81万元，下降100.00%,主要原因是：本年功能科目调整，去世人员的死亡抚恤经费上年在死亡抚恤科目列支，本年在行政运行科目列支，导致经费减少。</w:t>
      </w:r>
    </w:p>
    <w:p w14:paraId="5EAC6416">
      <w:pPr>
        <w:spacing w:line="580" w:lineRule="exact"/>
        <w:ind w:firstLine="640"/>
        <w:jc w:val="both"/>
      </w:pPr>
      <w:r>
        <w:rPr>
          <w:rFonts w:ascii="仿宋_GB2312" w:hAnsi="仿宋_GB2312" w:eastAsia="仿宋_GB2312"/>
          <w:b w:val="0"/>
          <w:sz w:val="32"/>
        </w:rPr>
        <w:t>10.卫生健康支出(类)行政事业单位医疗(款)行政单位医疗(项):支出决算数为7.51万元，比上年决算减少1.25万元，下降14.27%,主要原因是：本年在职人员减少，行政单位医疗支出较上年减少。</w:t>
      </w:r>
    </w:p>
    <w:p w14:paraId="7AB1B525">
      <w:pPr>
        <w:spacing w:line="580" w:lineRule="exact"/>
        <w:ind w:firstLine="640"/>
        <w:jc w:val="both"/>
      </w:pPr>
      <w:r>
        <w:rPr>
          <w:rFonts w:ascii="仿宋_GB2312" w:hAnsi="仿宋_GB2312" w:eastAsia="仿宋_GB2312"/>
          <w:b w:val="0"/>
          <w:sz w:val="32"/>
        </w:rPr>
        <w:t>11.卫生健康支出(类)行政事业单位医疗(款)事业单位医疗(项):支出决算数为5.50万元，比上年决算增加0.02万元，增长0.36%,主要原因是：本年在职人员工资基数调增，医疗缴费基数上涨，相应支出增加。</w:t>
      </w:r>
    </w:p>
    <w:p w14:paraId="0704FC55">
      <w:pPr>
        <w:spacing w:line="580" w:lineRule="exact"/>
        <w:ind w:firstLine="640"/>
        <w:jc w:val="both"/>
      </w:pPr>
      <w:r>
        <w:rPr>
          <w:rFonts w:ascii="仿宋_GB2312" w:hAnsi="仿宋_GB2312" w:eastAsia="仿宋_GB2312"/>
          <w:b w:val="0"/>
          <w:sz w:val="32"/>
        </w:rPr>
        <w:t>12.卫生健康支出(类)行政事业单位医疗(款)公务员医疗补助(项):支出决算数为3.04万元，比上年决算减少0.21万元，下降6.46%,主要原因是：本年在职人员减少，公务员医疗补助较上年减少。</w:t>
      </w:r>
    </w:p>
    <w:p w14:paraId="2CD2734A">
      <w:pPr>
        <w:spacing w:line="580" w:lineRule="exact"/>
        <w:ind w:firstLine="640"/>
        <w:jc w:val="both"/>
      </w:pPr>
      <w:r>
        <w:rPr>
          <w:rFonts w:ascii="仿宋_GB2312" w:hAnsi="仿宋_GB2312" w:eastAsia="仿宋_GB2312"/>
          <w:b w:val="0"/>
          <w:sz w:val="32"/>
        </w:rPr>
        <w:t>13.卫生健康支出(类)行政事业单位医疗(款)其他行政事业单位医疗支出(项):支出决算数为0.45万元，比上年决算减少0.37万元，下降45.12%,主要原因是：本年在职人员减少，其他行政事业单位医疗支出较上年减少。</w:t>
      </w:r>
    </w:p>
    <w:p w14:paraId="410CC674">
      <w:pPr>
        <w:spacing w:line="580" w:lineRule="exact"/>
        <w:ind w:firstLine="640"/>
        <w:jc w:val="both"/>
      </w:pPr>
      <w:r>
        <w:rPr>
          <w:rFonts w:ascii="仿宋_GB2312" w:hAnsi="仿宋_GB2312" w:eastAsia="仿宋_GB2312"/>
          <w:b w:val="0"/>
          <w:sz w:val="32"/>
        </w:rPr>
        <w:t>14.住房保障支出(类)住房改革支出(款)住房公积金(项):支出决算数为23.84万元，比上年决算增加1.79万元，增长8.12%,主要原因是：本年在职人员工资基数调增，公积金缴费基数上涨，相应支出增加。</w:t>
      </w:r>
    </w:p>
    <w:p w14:paraId="0412F400">
      <w:pPr>
        <w:spacing w:line="640" w:lineRule="exact"/>
        <w:ind w:firstLine="640"/>
        <w:jc w:val="both"/>
        <w:outlineLvl w:val="2"/>
      </w:pPr>
      <w:r>
        <w:rPr>
          <w:rFonts w:ascii="黑体" w:hAnsi="黑体" w:eastAsia="黑体"/>
          <w:sz w:val="32"/>
        </w:rPr>
        <w:t>六、一般公共预算财政拨款基本支出决算情况说明</w:t>
      </w:r>
    </w:p>
    <w:p w14:paraId="05513269">
      <w:pPr>
        <w:spacing w:line="580" w:lineRule="exact"/>
        <w:ind w:firstLine="640"/>
        <w:jc w:val="both"/>
      </w:pPr>
      <w:r>
        <w:rPr>
          <w:rFonts w:ascii="仿宋_GB2312" w:hAnsi="仿宋_GB2312" w:eastAsia="仿宋_GB2312"/>
          <w:b w:val="0"/>
          <w:sz w:val="32"/>
        </w:rPr>
        <w:t>2024年度一般公共预算财政拨款基本支出381.54万元，其中：</w:t>
      </w:r>
      <w:r>
        <w:rPr>
          <w:rFonts w:ascii="仿宋_GB2312" w:hAnsi="仿宋_GB2312" w:eastAsia="仿宋_GB2312"/>
          <w:b/>
          <w:sz w:val="32"/>
        </w:rPr>
        <w:t>人员经费355.59万元，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抚恤金、生活补助、奖励金。</w:t>
      </w:r>
    </w:p>
    <w:p w14:paraId="34BE8D34">
      <w:pPr>
        <w:spacing w:line="580" w:lineRule="exact"/>
        <w:ind w:firstLine="640"/>
        <w:jc w:val="both"/>
      </w:pPr>
      <w:r>
        <w:rPr>
          <w:rFonts w:ascii="仿宋_GB2312" w:hAnsi="仿宋_GB2312" w:eastAsia="仿宋_GB2312"/>
          <w:b/>
          <w:sz w:val="32"/>
        </w:rPr>
        <w:t>公用经费25.96万元，</w:t>
      </w:r>
      <w:r>
        <w:rPr>
          <w:rFonts w:ascii="仿宋_GB2312" w:hAnsi="仿宋_GB2312" w:eastAsia="仿宋_GB2312"/>
          <w:b w:val="0"/>
          <w:sz w:val="32"/>
        </w:rPr>
        <w:t>包括：办公费、水费、电费、邮电费、取暖费、物业管理费、差旅费、培训费、工会经费、福利费、公务用车运行维护费、其他交通费用、其他商品和服务支出。</w:t>
      </w:r>
    </w:p>
    <w:p w14:paraId="0393F249">
      <w:pPr>
        <w:spacing w:line="640" w:lineRule="exact"/>
        <w:ind w:firstLine="640"/>
        <w:jc w:val="both"/>
        <w:outlineLvl w:val="2"/>
      </w:pPr>
      <w:r>
        <w:rPr>
          <w:rFonts w:ascii="黑体" w:hAnsi="黑体" w:eastAsia="黑体"/>
          <w:sz w:val="32"/>
        </w:rPr>
        <w:t>七、政府性基金预算财政拨款收入支出决算情况说明</w:t>
      </w:r>
    </w:p>
    <w:p w14:paraId="42C16730">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2CD9B662">
      <w:pPr>
        <w:spacing w:line="640" w:lineRule="exact"/>
        <w:ind w:firstLine="640"/>
        <w:jc w:val="both"/>
        <w:outlineLvl w:val="2"/>
      </w:pPr>
      <w:r>
        <w:rPr>
          <w:rFonts w:ascii="黑体" w:hAnsi="黑体" w:eastAsia="黑体"/>
          <w:sz w:val="32"/>
        </w:rPr>
        <w:t>八、国有资本经营预算财政拨款收入支出决算情况说明</w:t>
      </w:r>
    </w:p>
    <w:p w14:paraId="4E12B6EB">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2FF533A0">
      <w:pPr>
        <w:spacing w:line="640" w:lineRule="exact"/>
        <w:ind w:firstLine="640"/>
        <w:jc w:val="both"/>
        <w:outlineLvl w:val="2"/>
      </w:pPr>
      <w:r>
        <w:rPr>
          <w:rFonts w:ascii="黑体" w:hAnsi="黑体" w:eastAsia="黑体"/>
          <w:sz w:val="32"/>
        </w:rPr>
        <w:t>九、财政拨款“三公”经费支出决算情况说明</w:t>
      </w:r>
    </w:p>
    <w:p w14:paraId="5EB37C5E">
      <w:pPr>
        <w:spacing w:line="580" w:lineRule="exact"/>
        <w:ind w:firstLine="640"/>
        <w:jc w:val="both"/>
      </w:pPr>
      <w:r>
        <w:rPr>
          <w:rFonts w:ascii="仿宋_GB2312" w:hAnsi="仿宋_GB2312" w:eastAsia="仿宋_GB2312"/>
          <w:b/>
          <w:sz w:val="32"/>
        </w:rPr>
        <w:t>2024年度财政拨款“三公”经费支出4.46万元，</w:t>
      </w:r>
      <w:r>
        <w:rPr>
          <w:rFonts w:ascii="仿宋_GB2312" w:hAnsi="仿宋_GB2312" w:eastAsia="仿宋_GB2312"/>
          <w:b w:val="0"/>
          <w:sz w:val="32"/>
        </w:rPr>
        <w:t>比上年增加0.45万</w:t>
      </w:r>
      <w:bookmarkStart w:id="0" w:name="_GoBack"/>
      <w:r>
        <w:rPr>
          <w:rFonts w:ascii="仿宋_GB2312" w:hAnsi="仿宋_GB2312" w:eastAsia="仿宋_GB2312"/>
          <w:b w:val="0"/>
          <w:sz w:val="32"/>
        </w:rPr>
        <w:t>元，增长11.22%，主要原因是：本部门公务用车日渐老化，维修维护成本增加，导致财政拨款“三</w:t>
      </w:r>
      <w:bookmarkEnd w:id="0"/>
      <w:r>
        <w:rPr>
          <w:rFonts w:ascii="仿宋_GB2312" w:hAnsi="仿宋_GB2312" w:eastAsia="仿宋_GB2312"/>
          <w:b w:val="0"/>
          <w:sz w:val="32"/>
        </w:rPr>
        <w:t>公”经费较上年增加。其中：因公出国（境）费支出0.00万元，占0.00%，比上年增加0.00万元，增长0.00%，主要原因是：2023年与2024年均未安排因公出国（境）费支出。公务用车购置及运行维护费支出4.46万元，占100.00%，比上年增加0.45万元，增长11.22%，主要原因是：本部门公务用车日渐老化，维修维护成本增加，导致公务用车运行维护费较上年增加。公务接待费支出0.00万元，占0.00%，比上年增加0.00万元，增长0.00%，主要原因是：2023年与2024年均未安排公务接待费支出。</w:t>
      </w:r>
    </w:p>
    <w:p w14:paraId="34CC5181">
      <w:pPr>
        <w:spacing w:line="580" w:lineRule="exact"/>
        <w:ind w:firstLine="640"/>
        <w:jc w:val="both"/>
      </w:pPr>
      <w:r>
        <w:rPr>
          <w:rFonts w:ascii="仿宋_GB2312" w:hAnsi="仿宋_GB2312" w:eastAsia="仿宋_GB2312"/>
          <w:b/>
          <w:sz w:val="32"/>
        </w:rPr>
        <w:t>具体情况如下：</w:t>
      </w:r>
    </w:p>
    <w:p w14:paraId="3DE7EC0A">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4F80A97">
      <w:pPr>
        <w:spacing w:line="580" w:lineRule="exact"/>
        <w:ind w:firstLine="640"/>
        <w:jc w:val="both"/>
      </w:pPr>
      <w:r>
        <w:rPr>
          <w:rFonts w:ascii="仿宋_GB2312" w:hAnsi="仿宋_GB2312" w:eastAsia="仿宋_GB2312"/>
          <w:b w:val="0"/>
          <w:sz w:val="32"/>
        </w:rPr>
        <w:t>公务用车购置及运行维护费4.46万元，其中：公务用车购置费0.00万元，公务用车运行维护费4.46万元。公务用车运行维护费开支内容包括车辆加油费、维修费、保险费、审车费、过路费。公务用车购置数0辆，公务用车保有量2辆。国有资产占用情况中固定资产车辆0辆，与公务用车保有量差异原因是：借用其他单位车辆，车辆费用由本部门支付。</w:t>
      </w:r>
    </w:p>
    <w:p w14:paraId="30FAD601">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78DC7FA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5.60万元，决算数4.46万元，预决算差异率-20.36%，主要原因是：严格落实中央八项规定精神，厉行节约，减少经费支出。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5.60万元，决算数4.46万元，预决算差异率-20.36%，主要原因是：严格落实中央八项规定精神，厉行节约，减少经费支出。公务接待费全年预算数0.00万元，决算数0.00万元，预决算差异率0.00%，主要原因是：本部门无公务接待费。</w:t>
      </w:r>
    </w:p>
    <w:p w14:paraId="7888C99E">
      <w:pPr>
        <w:spacing w:line="640" w:lineRule="exact"/>
        <w:ind w:firstLine="640"/>
        <w:jc w:val="both"/>
        <w:outlineLvl w:val="2"/>
      </w:pPr>
      <w:r>
        <w:rPr>
          <w:rFonts w:ascii="黑体" w:hAnsi="黑体" w:eastAsia="黑体"/>
          <w:sz w:val="32"/>
        </w:rPr>
        <w:t>十、其他重要事项的情况说明</w:t>
      </w:r>
    </w:p>
    <w:p w14:paraId="3B3FE936">
      <w:pPr>
        <w:spacing w:line="640" w:lineRule="exact"/>
        <w:ind w:firstLine="640"/>
        <w:jc w:val="both"/>
        <w:outlineLvl w:val="3"/>
      </w:pPr>
      <w:r>
        <w:rPr>
          <w:rFonts w:ascii="楷体_GB2312" w:hAnsi="楷体_GB2312" w:eastAsia="楷体_GB2312"/>
          <w:b/>
          <w:sz w:val="32"/>
        </w:rPr>
        <w:t>（一）机关运行经费及公用经费支出情况</w:t>
      </w:r>
    </w:p>
    <w:p w14:paraId="11C5CAF6">
      <w:pPr>
        <w:spacing w:line="580" w:lineRule="exact"/>
        <w:ind w:firstLine="640"/>
        <w:jc w:val="both"/>
      </w:pPr>
      <w:r>
        <w:rPr>
          <w:rFonts w:ascii="仿宋_GB2312" w:hAnsi="仿宋_GB2312" w:eastAsia="仿宋_GB2312"/>
          <w:b w:val="0"/>
          <w:sz w:val="32"/>
        </w:rPr>
        <w:t>2024年度巴音郭楞蒙古自治州总工会（行政单位和参照公务员法管理事业单位）机关运行经费支出25.96万元，比上年增加2.08万元，增长8.71%，主要原因是：本年更新、维护补充办公用品，导致机关运行经费较上年增加。</w:t>
      </w:r>
    </w:p>
    <w:p w14:paraId="6914610D">
      <w:pPr>
        <w:spacing w:line="640" w:lineRule="exact"/>
        <w:ind w:firstLine="640"/>
        <w:jc w:val="both"/>
        <w:outlineLvl w:val="3"/>
      </w:pPr>
      <w:r>
        <w:rPr>
          <w:rFonts w:ascii="楷体_GB2312" w:hAnsi="楷体_GB2312" w:eastAsia="楷体_GB2312"/>
          <w:b/>
          <w:sz w:val="32"/>
        </w:rPr>
        <w:t>（二）政府采购情况</w:t>
      </w:r>
    </w:p>
    <w:p w14:paraId="64151B22">
      <w:pPr>
        <w:spacing w:line="580" w:lineRule="exact"/>
        <w:ind w:firstLine="640"/>
        <w:jc w:val="both"/>
      </w:pPr>
      <w:r>
        <w:rPr>
          <w:rFonts w:ascii="仿宋_GB2312" w:hAnsi="仿宋_GB2312" w:eastAsia="仿宋_GB2312"/>
          <w:b w:val="0"/>
          <w:sz w:val="32"/>
        </w:rPr>
        <w:t>2024年度政府采购支出总额2.30万元，其中：政府采购货物支出0.44万元、政府采购工程支出0.00万元、政府采购服务支出1.86万元。</w:t>
      </w:r>
    </w:p>
    <w:p w14:paraId="6C989E12">
      <w:pPr>
        <w:spacing w:line="580" w:lineRule="exact"/>
        <w:ind w:firstLine="640"/>
        <w:jc w:val="both"/>
      </w:pPr>
      <w:r>
        <w:rPr>
          <w:rFonts w:ascii="仿宋_GB2312" w:hAnsi="仿宋_GB2312" w:eastAsia="仿宋_GB2312"/>
          <w:b w:val="0"/>
          <w:sz w:val="32"/>
        </w:rPr>
        <w:t>授予中小企业合同金额2.30万元，占政府采购支出总额的100.00%，其中：授予小微企业合同金额2.30万元，占政府采购支出总额的100.00%。</w:t>
      </w:r>
    </w:p>
    <w:p w14:paraId="248E5FE3">
      <w:pPr>
        <w:spacing w:line="640" w:lineRule="exact"/>
        <w:ind w:firstLine="640"/>
        <w:jc w:val="both"/>
        <w:outlineLvl w:val="3"/>
      </w:pPr>
      <w:r>
        <w:rPr>
          <w:rFonts w:ascii="楷体_GB2312" w:hAnsi="楷体_GB2312" w:eastAsia="楷体_GB2312"/>
          <w:b/>
          <w:sz w:val="32"/>
        </w:rPr>
        <w:t>（三）国有资产占用情况说明</w:t>
      </w:r>
    </w:p>
    <w:p w14:paraId="245DAE0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部门无其他用车。单价100万元（含）以上设备（不含车辆）0台（套）。</w:t>
      </w:r>
    </w:p>
    <w:p w14:paraId="6A793687">
      <w:pPr>
        <w:spacing w:line="640" w:lineRule="exact"/>
        <w:ind w:firstLine="640"/>
        <w:jc w:val="both"/>
        <w:outlineLvl w:val="2"/>
      </w:pPr>
      <w:r>
        <w:rPr>
          <w:rFonts w:ascii="黑体" w:hAnsi="黑体" w:eastAsia="黑体"/>
          <w:sz w:val="32"/>
        </w:rPr>
        <w:t>十一、预算绩效的情况说明</w:t>
      </w:r>
    </w:p>
    <w:p w14:paraId="7A0EB356">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398.24万元，实际执行总额398.24万元；预算绩效评价项目1个，全年预算数17.00万元，全年执行数16.70万元。预算绩效管理取得的成效：1、核心理念根本转变，从要钱难到花钱必问效。2、强化了责任意识。3、增加了成本效益观念。4、预算管理从零星到全方面，从事前评估、事中监控、事后评价全覆盖。5、提高了公共服务质量和政策实施效果。6、增加了政府透明度和公信力。6、为国家治理现代化奠定坚实的基础。发现的问题及原因：1、年初有些指标设置不科学，目标与实际脱节，造成偏差率较大。2、监控结果未及时反馈，及时纠偏跟不上。下一步改进措施：1、科学设置指标，和实际工作相结合，减少偏差率。2</w:t>
      </w:r>
      <w:r>
        <w:rPr>
          <w:rFonts w:hint="eastAsia" w:ascii="仿宋_GB2312" w:hAnsi="仿宋_GB2312" w:eastAsia="仿宋_GB2312"/>
          <w:b w:val="0"/>
          <w:sz w:val="32"/>
          <w:lang w:eastAsia="zh-CN"/>
        </w:rPr>
        <w:t>及</w:t>
      </w:r>
      <w:r>
        <w:rPr>
          <w:rFonts w:ascii="仿宋_GB2312" w:hAnsi="仿宋_GB2312" w:eastAsia="仿宋_GB2312"/>
          <w:b w:val="0"/>
          <w:sz w:val="32"/>
        </w:rPr>
        <w:t>时将监控结果反馈相关部门，减少人为因素，及时纠偏。具体附部门整体支出绩效自评表，项目支出绩效自评表。</w:t>
      </w:r>
    </w:p>
    <w:p w14:paraId="7154019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80D7D43">
        <w:tc>
          <w:tcPr>
            <w:tcW w:w="8840" w:type="dxa"/>
            <w:gridSpan w:val="8"/>
            <w:vAlign w:val="center"/>
          </w:tcPr>
          <w:p w14:paraId="0CBF3C19">
            <w:pPr>
              <w:jc w:val="center"/>
            </w:pPr>
            <w:r>
              <w:rPr>
                <w:rFonts w:ascii="宋体" w:hAnsi="宋体" w:eastAsia="宋体"/>
                <w:sz w:val="24"/>
              </w:rPr>
              <w:t>部门整体支出绩效自评表</w:t>
            </w:r>
          </w:p>
        </w:tc>
      </w:tr>
      <w:tr w14:paraId="228FB05A">
        <w:tblPrEx>
          <w:tblCellMar>
            <w:top w:w="0" w:type="dxa"/>
            <w:left w:w="108" w:type="dxa"/>
            <w:bottom w:w="0" w:type="dxa"/>
            <w:right w:w="108" w:type="dxa"/>
          </w:tblCellMar>
        </w:tblPrEx>
        <w:tc>
          <w:tcPr>
            <w:tcW w:w="8840" w:type="dxa"/>
            <w:gridSpan w:val="8"/>
            <w:vAlign w:val="center"/>
          </w:tcPr>
          <w:p w14:paraId="0DC517CA">
            <w:pPr>
              <w:jc w:val="center"/>
            </w:pPr>
            <w:r>
              <w:rPr>
                <w:rFonts w:ascii="宋体" w:hAnsi="宋体" w:eastAsia="宋体"/>
                <w:sz w:val="24"/>
              </w:rPr>
              <w:t>（2024年度）</w:t>
            </w:r>
          </w:p>
        </w:tc>
      </w:tr>
      <w:tr w14:paraId="5ABD688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B70138">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7D468">
            <w:pPr>
              <w:jc w:val="center"/>
            </w:pPr>
            <w:r>
              <w:rPr>
                <w:rFonts w:ascii="宋体" w:hAnsi="宋体" w:eastAsia="宋体"/>
                <w:sz w:val="16"/>
              </w:rPr>
              <w:t>巴音郭楞蒙古自治州总工会</w:t>
            </w:r>
          </w:p>
        </w:tc>
      </w:tr>
      <w:tr w14:paraId="0977A48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7F123">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4AE2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360FE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DBDF1A">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CA14A">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6938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144E1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BC63A">
            <w:pPr>
              <w:jc w:val="center"/>
            </w:pPr>
            <w:r>
              <w:rPr>
                <w:rFonts w:ascii="宋体" w:hAnsi="宋体" w:eastAsia="宋体"/>
                <w:sz w:val="16"/>
              </w:rPr>
              <w:t>得分</w:t>
            </w:r>
          </w:p>
        </w:tc>
      </w:tr>
      <w:tr w14:paraId="215D43E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2AE4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5AF57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CA1F1C">
            <w:pPr>
              <w:jc w:val="center"/>
            </w:pPr>
            <w:r>
              <w:rPr>
                <w:rFonts w:ascii="宋体" w:hAnsi="宋体" w:eastAsia="宋体"/>
                <w:sz w:val="16"/>
              </w:rPr>
              <w:t>395.35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1669B4">
            <w:pPr>
              <w:jc w:val="center"/>
            </w:pPr>
            <w:r>
              <w:rPr>
                <w:rFonts w:ascii="宋体" w:hAnsi="宋体" w:eastAsia="宋体"/>
                <w:sz w:val="16"/>
              </w:rPr>
              <w:t>398.24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431685">
            <w:pPr>
              <w:jc w:val="center"/>
            </w:pPr>
            <w:r>
              <w:rPr>
                <w:rFonts w:ascii="宋体" w:hAnsi="宋体" w:eastAsia="宋体"/>
                <w:sz w:val="16"/>
              </w:rPr>
              <w:t>398.24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D6CEE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ADCE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33FB9E">
            <w:pPr>
              <w:jc w:val="center"/>
            </w:pPr>
            <w:r>
              <w:rPr>
                <w:rFonts w:ascii="宋体" w:hAnsi="宋体" w:eastAsia="宋体"/>
                <w:sz w:val="16"/>
              </w:rPr>
              <w:t>10</w:t>
            </w:r>
          </w:p>
        </w:tc>
      </w:tr>
      <w:tr w14:paraId="29459A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83457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72CB4">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D7196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FE615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1B52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7E1CC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3CBEC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8AF87">
            <w:pPr>
              <w:jc w:val="center"/>
            </w:pPr>
            <w:r>
              <w:rPr>
                <w:rFonts w:ascii="宋体" w:hAnsi="宋体" w:eastAsia="宋体"/>
                <w:sz w:val="16"/>
              </w:rPr>
              <w:t>-</w:t>
            </w:r>
          </w:p>
        </w:tc>
      </w:tr>
      <w:tr w14:paraId="2277BBE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FF79B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F0D56">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CC9BC3">
            <w:pPr>
              <w:jc w:val="center"/>
            </w:pPr>
            <w:r>
              <w:rPr>
                <w:rFonts w:ascii="宋体" w:hAnsi="宋体" w:eastAsia="宋体"/>
                <w:sz w:val="16"/>
              </w:rPr>
              <w:t>395.35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A9E20C">
            <w:pPr>
              <w:jc w:val="center"/>
            </w:pPr>
            <w:r>
              <w:rPr>
                <w:rFonts w:ascii="宋体" w:hAnsi="宋体" w:eastAsia="宋体"/>
                <w:sz w:val="16"/>
              </w:rPr>
              <w:t>398.24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2FE521">
            <w:pPr>
              <w:jc w:val="center"/>
            </w:pPr>
            <w:r>
              <w:rPr>
                <w:rFonts w:ascii="宋体" w:hAnsi="宋体" w:eastAsia="宋体"/>
                <w:sz w:val="16"/>
              </w:rPr>
              <w:t>398.24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457B0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0CCB9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15790">
            <w:pPr>
              <w:jc w:val="center"/>
            </w:pPr>
            <w:r>
              <w:rPr>
                <w:rFonts w:ascii="宋体" w:hAnsi="宋体" w:eastAsia="宋体"/>
                <w:sz w:val="16"/>
              </w:rPr>
              <w:t>-</w:t>
            </w:r>
          </w:p>
        </w:tc>
      </w:tr>
      <w:tr w14:paraId="25B00EF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21FD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5F1EB">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60587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5C71D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111A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95E89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46985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6A4287">
            <w:pPr>
              <w:jc w:val="center"/>
            </w:pPr>
            <w:r>
              <w:rPr>
                <w:rFonts w:ascii="宋体" w:hAnsi="宋体" w:eastAsia="宋体"/>
                <w:sz w:val="16"/>
              </w:rPr>
              <w:t>-</w:t>
            </w:r>
          </w:p>
        </w:tc>
      </w:tr>
      <w:tr w14:paraId="4896460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7A72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459B5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59C358">
            <w:pPr>
              <w:jc w:val="center"/>
            </w:pPr>
            <w:r>
              <w:rPr>
                <w:rFonts w:ascii="宋体" w:hAnsi="宋体" w:eastAsia="宋体"/>
                <w:sz w:val="16"/>
              </w:rPr>
              <w:t>实际完成情况</w:t>
            </w:r>
          </w:p>
        </w:tc>
      </w:tr>
      <w:tr w14:paraId="54DC91F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CFC6D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808719">
            <w:pPr>
              <w:jc w:val="both"/>
            </w:pPr>
            <w:r>
              <w:rPr>
                <w:rFonts w:ascii="宋体" w:hAnsi="宋体" w:eastAsia="宋体"/>
                <w:sz w:val="16"/>
              </w:rPr>
              <w:t>工会组织是密切联系职工，是党和政府联系职工群众的桥梁</w:t>
            </w:r>
            <w:r>
              <w:rPr>
                <w:rFonts w:hint="eastAsia" w:ascii="宋体" w:hAnsi="宋体"/>
                <w:sz w:val="16"/>
                <w:lang w:eastAsia="zh-CN"/>
              </w:rPr>
              <w:t>和</w:t>
            </w:r>
            <w:r>
              <w:rPr>
                <w:rFonts w:ascii="宋体" w:hAnsi="宋体" w:eastAsia="宋体"/>
                <w:sz w:val="16"/>
              </w:rPr>
              <w:t>纽带，是维护职工合法权益，组织开展劳动竞赛，组织职工参与</w:t>
            </w:r>
            <w:r>
              <w:rPr>
                <w:rFonts w:hint="eastAsia" w:ascii="宋体" w:hAnsi="宋体"/>
                <w:sz w:val="16"/>
                <w:lang w:eastAsia="zh-CN"/>
              </w:rPr>
              <w:t>本部门</w:t>
            </w:r>
            <w:r>
              <w:rPr>
                <w:rFonts w:ascii="宋体" w:hAnsi="宋体" w:eastAsia="宋体"/>
                <w:sz w:val="16"/>
              </w:rPr>
              <w:t>民主管理、民主决策，民主监督。依照法律和《中国工会章程》，组织和指导全州各级工会坚定不移地贯彻落实党的全心全意依靠工人阶级的根本指导方针，进一步突出和履行维护职能,做好劳动模范、</w:t>
            </w:r>
            <w:r>
              <w:rPr>
                <w:rFonts w:hint="eastAsia" w:ascii="宋体" w:hAnsi="宋体"/>
                <w:sz w:val="16"/>
                <w:lang w:eastAsia="zh-CN"/>
              </w:rPr>
              <w:t>全国五一劳动奖章</w:t>
            </w:r>
            <w:r>
              <w:rPr>
                <w:rFonts w:ascii="宋体" w:hAnsi="宋体" w:eastAsia="宋体"/>
                <w:sz w:val="16"/>
              </w:rPr>
              <w:t>的评选、推荐和管理工作，开展劳动竞赛。负责全州工会经费和工会资产的管理、审查、审计工作；贯彻全国总工会、自治区总工会关于兴办职工劳动福利事业的有关政策和规定，负责对全州职工劳动福利事业的指导、协调工作完成州党委安</w:t>
            </w:r>
            <w:r>
              <w:rPr>
                <w:rFonts w:hint="eastAsia" w:ascii="宋体" w:hAnsi="宋体"/>
                <w:sz w:val="16"/>
                <w:lang w:eastAsia="zh-CN"/>
              </w:rPr>
              <w:t>排的</w:t>
            </w:r>
            <w:r>
              <w:rPr>
                <w:rFonts w:ascii="宋体" w:hAnsi="宋体" w:eastAsia="宋体"/>
                <w:sz w:val="16"/>
              </w:rPr>
              <w:t>其他工作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D3CACA">
            <w:pPr>
              <w:jc w:val="both"/>
            </w:pPr>
            <w:r>
              <w:rPr>
                <w:rFonts w:ascii="宋体" w:hAnsi="宋体" w:eastAsia="宋体"/>
                <w:sz w:val="16"/>
              </w:rPr>
              <w:t>2024年在自治区总工会、自治州党委正确领导下，圆满完成全年目标任务，组织职工参与</w:t>
            </w:r>
            <w:r>
              <w:rPr>
                <w:rFonts w:hint="eastAsia" w:ascii="宋体" w:hAnsi="宋体"/>
                <w:sz w:val="16"/>
                <w:lang w:eastAsia="zh-CN"/>
              </w:rPr>
              <w:t>本部门</w:t>
            </w:r>
            <w:r>
              <w:rPr>
                <w:rFonts w:ascii="宋体" w:hAnsi="宋体" w:eastAsia="宋体"/>
                <w:sz w:val="16"/>
              </w:rPr>
              <w:t>民主管理、民主决策，民主监督，参加劳动竞赛活动、组织开展各类文体活动。具体如下：1、2024年慰问劳模612人，体现党和政府对劳模的关心关爱。2、慰问困难职工73户，提高了困难职工生活水平，鼓励他们通过辛勤劳动，早日摆脱困难。3、参加职工互助保障活动人数41916人，减轻了职工看病成本。4、开展文体活动108场次，丰富了职工文化生活，提高职工身体健康素质。</w:t>
            </w:r>
          </w:p>
        </w:tc>
      </w:tr>
      <w:tr w14:paraId="01354FD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1719E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B19BC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6D22FF">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1D0A93">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08AB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265EA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EF077A">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F35BE3">
            <w:pPr>
              <w:jc w:val="center"/>
            </w:pPr>
            <w:r>
              <w:rPr>
                <w:rFonts w:ascii="宋体" w:hAnsi="宋体" w:eastAsia="宋体"/>
                <w:sz w:val="16"/>
              </w:rPr>
              <w:t>得分</w:t>
            </w:r>
          </w:p>
        </w:tc>
      </w:tr>
      <w:tr w14:paraId="17A2F30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FF03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958D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B83D7">
            <w:pPr>
              <w:jc w:val="center"/>
            </w:pPr>
            <w:r>
              <w:rPr>
                <w:rFonts w:ascii="宋体" w:hAnsi="宋体" w:eastAsia="宋体"/>
                <w:sz w:val="16"/>
              </w:rPr>
              <w:t>全州开展文体活动场次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2C8447">
            <w:pPr>
              <w:jc w:val="center"/>
            </w:pPr>
            <w:r>
              <w:rPr>
                <w:rFonts w:ascii="宋体" w:hAnsi="宋体" w:eastAsia="宋体"/>
                <w:sz w:val="16"/>
              </w:rPr>
              <w:t>&gt;=20场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F579E0">
            <w:pPr>
              <w:jc w:val="center"/>
            </w:pPr>
            <w:r>
              <w:rPr>
                <w:rFonts w:ascii="宋体" w:hAnsi="宋体" w:eastAsia="宋体"/>
                <w:sz w:val="16"/>
              </w:rPr>
              <w:t>自治州总工会2024年工作要点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5123E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79619B">
            <w:pPr>
              <w:jc w:val="center"/>
            </w:pPr>
            <w:r>
              <w:rPr>
                <w:rFonts w:ascii="宋体" w:hAnsi="宋体" w:eastAsia="宋体"/>
                <w:sz w:val="16"/>
              </w:rPr>
              <w:t>108场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C17443">
            <w:pPr>
              <w:jc w:val="center"/>
            </w:pPr>
            <w:r>
              <w:rPr>
                <w:rFonts w:ascii="宋体" w:hAnsi="宋体" w:eastAsia="宋体"/>
                <w:sz w:val="16"/>
              </w:rPr>
              <w:t>30</w:t>
            </w:r>
          </w:p>
        </w:tc>
      </w:tr>
      <w:tr w14:paraId="2248BDB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FF413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02181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FE50E6">
            <w:pPr>
              <w:jc w:val="center"/>
            </w:pPr>
            <w:r>
              <w:rPr>
                <w:rFonts w:ascii="宋体" w:hAnsi="宋体" w:eastAsia="宋体"/>
                <w:sz w:val="16"/>
              </w:rPr>
              <w:t>慰问劳动模范和先进工作者人数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DF41E7">
            <w:pPr>
              <w:jc w:val="center"/>
            </w:pPr>
            <w:r>
              <w:rPr>
                <w:rFonts w:ascii="宋体" w:hAnsi="宋体" w:eastAsia="宋体"/>
                <w:sz w:val="16"/>
              </w:rPr>
              <w:t>&gt;=615人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91BFEA">
            <w:pPr>
              <w:jc w:val="center"/>
            </w:pPr>
            <w:r>
              <w:rPr>
                <w:rFonts w:ascii="宋体" w:hAnsi="宋体" w:eastAsia="宋体"/>
                <w:sz w:val="16"/>
              </w:rPr>
              <w:t>新工发</w:t>
            </w:r>
            <w:r>
              <w:rPr>
                <w:rFonts w:hint="eastAsia" w:ascii="宋体" w:hAnsi="宋体"/>
                <w:sz w:val="16"/>
                <w:lang w:eastAsia="zh-CN"/>
              </w:rPr>
              <w:t>〔2022〕59号</w:t>
            </w:r>
            <w:r>
              <w:rPr>
                <w:rFonts w:ascii="宋体" w:hAnsi="宋体" w:eastAsia="宋体"/>
                <w:sz w:val="16"/>
              </w:rPr>
              <w:t>关于印发《新疆维吾尔自治区工会劳模服务管理办法（试行）的通知）》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2F99B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EA665D">
            <w:pPr>
              <w:jc w:val="center"/>
            </w:pPr>
            <w:r>
              <w:rPr>
                <w:rFonts w:ascii="宋体" w:hAnsi="宋体" w:eastAsia="宋体"/>
                <w:sz w:val="16"/>
              </w:rPr>
              <w:t>612人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2E449">
            <w:pPr>
              <w:jc w:val="center"/>
            </w:pPr>
            <w:r>
              <w:rPr>
                <w:rFonts w:ascii="宋体" w:hAnsi="宋体" w:eastAsia="宋体"/>
                <w:sz w:val="16"/>
              </w:rPr>
              <w:t>19.9</w:t>
            </w:r>
          </w:p>
        </w:tc>
      </w:tr>
      <w:tr w14:paraId="261FC1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942D5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DFD23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C80E1">
            <w:pPr>
              <w:jc w:val="center"/>
            </w:pPr>
            <w:r>
              <w:rPr>
                <w:rFonts w:ascii="宋体" w:hAnsi="宋体" w:eastAsia="宋体"/>
                <w:sz w:val="16"/>
              </w:rPr>
              <w:t>专项帮扶资金覆盖困难职工户数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B814B">
            <w:pPr>
              <w:jc w:val="center"/>
            </w:pPr>
            <w:r>
              <w:rPr>
                <w:rFonts w:ascii="宋体" w:hAnsi="宋体" w:eastAsia="宋体"/>
                <w:sz w:val="16"/>
              </w:rPr>
              <w:t>&gt;=80户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D8F876">
            <w:pPr>
              <w:jc w:val="center"/>
            </w:pPr>
            <w:r>
              <w:rPr>
                <w:rFonts w:ascii="宋体" w:hAnsi="宋体" w:eastAsia="宋体"/>
                <w:sz w:val="16"/>
              </w:rPr>
              <w:t>新工发</w:t>
            </w:r>
            <w:r>
              <w:rPr>
                <w:rFonts w:hint="eastAsia" w:ascii="宋体" w:hAnsi="宋体"/>
                <w:sz w:val="16"/>
                <w:lang w:eastAsia="zh-CN"/>
              </w:rPr>
              <w:t>〔2022〕26号</w:t>
            </w:r>
            <w:r>
              <w:rPr>
                <w:rFonts w:ascii="宋体" w:hAnsi="宋体" w:eastAsia="宋体"/>
                <w:sz w:val="16"/>
              </w:rPr>
              <w:t>《新疆工会送温暖资金使用管理实施细则》的通知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D92ED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47F8D">
            <w:pPr>
              <w:jc w:val="center"/>
            </w:pPr>
            <w:r>
              <w:rPr>
                <w:rFonts w:ascii="宋体" w:hAnsi="宋体" w:eastAsia="宋体"/>
                <w:sz w:val="16"/>
              </w:rPr>
              <w:t>73户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12D2C6">
            <w:pPr>
              <w:jc w:val="center"/>
            </w:pPr>
            <w:r>
              <w:rPr>
                <w:rFonts w:ascii="宋体" w:hAnsi="宋体" w:eastAsia="宋体"/>
                <w:sz w:val="16"/>
              </w:rPr>
              <w:t>18.25</w:t>
            </w:r>
          </w:p>
        </w:tc>
      </w:tr>
      <w:tr w14:paraId="774A248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D25B6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ED065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D20C2">
            <w:pPr>
              <w:jc w:val="center"/>
            </w:pPr>
            <w:r>
              <w:rPr>
                <w:rFonts w:ascii="宋体" w:hAnsi="宋体" w:eastAsia="宋体"/>
                <w:sz w:val="16"/>
              </w:rPr>
              <w:t>职工互助医疗保障人数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36B32D">
            <w:pPr>
              <w:jc w:val="center"/>
            </w:pPr>
            <w:r>
              <w:rPr>
                <w:rFonts w:ascii="宋体" w:hAnsi="宋体" w:eastAsia="宋体"/>
                <w:sz w:val="16"/>
              </w:rPr>
              <w:t>&gt;=30000人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9F8296">
            <w:pPr>
              <w:jc w:val="center"/>
            </w:pPr>
            <w:r>
              <w:rPr>
                <w:rFonts w:ascii="宋体" w:hAnsi="宋体" w:eastAsia="宋体"/>
                <w:sz w:val="16"/>
              </w:rPr>
              <w:t>新工办</w:t>
            </w:r>
            <w:r>
              <w:rPr>
                <w:rFonts w:hint="eastAsia" w:ascii="宋体" w:hAnsi="宋体"/>
                <w:sz w:val="16"/>
                <w:lang w:eastAsia="zh-CN"/>
              </w:rPr>
              <w:t>〔2024〕6号</w:t>
            </w:r>
            <w:r>
              <w:rPr>
                <w:rFonts w:ascii="宋体" w:hAnsi="宋体" w:eastAsia="宋体"/>
                <w:sz w:val="16"/>
              </w:rPr>
              <w:t>关于开展第四期在职职工医疗互助保障活动的通知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577E8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20FB92">
            <w:pPr>
              <w:jc w:val="center"/>
            </w:pPr>
            <w:r>
              <w:rPr>
                <w:rFonts w:ascii="宋体" w:hAnsi="宋体" w:eastAsia="宋体"/>
                <w:sz w:val="16"/>
              </w:rPr>
              <w:t>41916人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2BC010">
            <w:pPr>
              <w:jc w:val="center"/>
            </w:pPr>
            <w:r>
              <w:rPr>
                <w:rFonts w:ascii="宋体" w:hAnsi="宋体" w:eastAsia="宋体"/>
                <w:sz w:val="16"/>
              </w:rPr>
              <w:t>20</w:t>
            </w:r>
          </w:p>
        </w:tc>
      </w:tr>
    </w:tbl>
    <w:p w14:paraId="07BC6FEA">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14"/>
        <w:gridCol w:w="696"/>
        <w:gridCol w:w="614"/>
        <w:gridCol w:w="614"/>
        <w:gridCol w:w="620"/>
        <w:gridCol w:w="614"/>
        <w:gridCol w:w="620"/>
        <w:gridCol w:w="776"/>
        <w:gridCol w:w="776"/>
        <w:gridCol w:w="631"/>
        <w:gridCol w:w="632"/>
      </w:tblGrid>
      <w:tr w14:paraId="336F31DE">
        <w:tblPrEx>
          <w:tblCellMar>
            <w:top w:w="0" w:type="dxa"/>
            <w:left w:w="108" w:type="dxa"/>
            <w:bottom w:w="0" w:type="dxa"/>
            <w:right w:w="108" w:type="dxa"/>
          </w:tblCellMar>
        </w:tblPrEx>
        <w:tc>
          <w:tcPr>
            <w:tcW w:w="8848" w:type="dxa"/>
            <w:gridSpan w:val="14"/>
            <w:vAlign w:val="center"/>
          </w:tcPr>
          <w:p w14:paraId="55CF4D9F">
            <w:pPr>
              <w:jc w:val="center"/>
            </w:pPr>
            <w:r>
              <w:rPr>
                <w:rFonts w:ascii="宋体" w:hAnsi="宋体" w:eastAsia="宋体"/>
                <w:sz w:val="24"/>
              </w:rPr>
              <w:t>项目支出绩效自评表</w:t>
            </w:r>
          </w:p>
        </w:tc>
      </w:tr>
      <w:tr w14:paraId="67CBD690">
        <w:tblPrEx>
          <w:tblCellMar>
            <w:top w:w="0" w:type="dxa"/>
            <w:left w:w="108" w:type="dxa"/>
            <w:bottom w:w="0" w:type="dxa"/>
            <w:right w:w="108" w:type="dxa"/>
          </w:tblCellMar>
        </w:tblPrEx>
        <w:tc>
          <w:tcPr>
            <w:tcW w:w="8848" w:type="dxa"/>
            <w:gridSpan w:val="14"/>
            <w:vAlign w:val="center"/>
          </w:tcPr>
          <w:p w14:paraId="0B1FDDFD">
            <w:pPr>
              <w:jc w:val="center"/>
            </w:pPr>
            <w:r>
              <w:rPr>
                <w:rFonts w:ascii="宋体" w:hAnsi="宋体" w:eastAsia="宋体"/>
                <w:sz w:val="24"/>
              </w:rPr>
              <w:t>(2024年度)</w:t>
            </w:r>
          </w:p>
        </w:tc>
      </w:tr>
      <w:tr w14:paraId="12845D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46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ABB64F">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218D60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3C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8BFCEC">
            <w:pPr>
              <w:jc w:val="center"/>
            </w:pPr>
            <w:r>
              <w:rPr>
                <w:rFonts w:ascii="宋体" w:hAnsi="宋体" w:eastAsia="宋体"/>
                <w:sz w:val="16"/>
              </w:rPr>
              <w:t>巴音郭楞蒙古自治州总工会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74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8B2DE6">
            <w:pPr>
              <w:jc w:val="center"/>
            </w:pPr>
            <w:r>
              <w:rPr>
                <w:rFonts w:ascii="宋体" w:hAnsi="宋体" w:eastAsia="宋体"/>
                <w:sz w:val="16"/>
              </w:rPr>
              <w:t>巴音郭楞蒙古自治州总工会</w:t>
            </w:r>
          </w:p>
        </w:tc>
      </w:tr>
      <w:tr w14:paraId="609A76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5E34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40F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1C0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B1B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0FE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61A3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BB6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50FB">
            <w:pPr>
              <w:jc w:val="center"/>
            </w:pPr>
            <w:r>
              <w:rPr>
                <w:rFonts w:ascii="宋体" w:hAnsi="宋体" w:eastAsia="宋体"/>
                <w:sz w:val="16"/>
              </w:rPr>
              <w:t>得分</w:t>
            </w:r>
          </w:p>
        </w:tc>
      </w:tr>
      <w:tr w14:paraId="17D29F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DE3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46A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8990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5413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F3C89">
            <w:pPr>
              <w:jc w:val="center"/>
            </w:pPr>
            <w:r>
              <w:rPr>
                <w:rFonts w:ascii="宋体" w:hAnsi="宋体" w:eastAsia="宋体"/>
                <w:sz w:val="16"/>
              </w:rPr>
              <w:t>16.70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674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DCE2D">
            <w:pPr>
              <w:jc w:val="center"/>
            </w:pPr>
            <w:r>
              <w:rPr>
                <w:rFonts w:ascii="宋体" w:hAnsi="宋体" w:eastAsia="宋体"/>
                <w:sz w:val="16"/>
              </w:rPr>
              <w:t>98.24%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4401">
            <w:pPr>
              <w:jc w:val="center"/>
            </w:pPr>
            <w:r>
              <w:rPr>
                <w:rFonts w:ascii="宋体" w:hAnsi="宋体" w:eastAsia="宋体"/>
                <w:sz w:val="16"/>
              </w:rPr>
              <w:t>10.00</w:t>
            </w:r>
          </w:p>
        </w:tc>
      </w:tr>
      <w:tr w14:paraId="6BA2E0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863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E27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9E1A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9A49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03D1F">
            <w:pPr>
              <w:jc w:val="center"/>
            </w:pPr>
            <w:r>
              <w:rPr>
                <w:rFonts w:ascii="宋体" w:hAnsi="宋体" w:eastAsia="宋体"/>
                <w:sz w:val="16"/>
              </w:rPr>
              <w:t>16.70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A4C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827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C0A9">
            <w:pPr>
              <w:jc w:val="center"/>
            </w:pPr>
            <w:r>
              <w:rPr>
                <w:rFonts w:ascii="宋体" w:hAnsi="宋体" w:eastAsia="宋体"/>
                <w:sz w:val="16"/>
              </w:rPr>
              <w:t>-</w:t>
            </w:r>
          </w:p>
        </w:tc>
      </w:tr>
      <w:tr w14:paraId="17E2B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96F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E9C4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D91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F26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1E3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9D2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0AC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2D8A">
            <w:pPr>
              <w:jc w:val="center"/>
            </w:pPr>
            <w:r>
              <w:rPr>
                <w:rFonts w:ascii="宋体" w:hAnsi="宋体" w:eastAsia="宋体"/>
                <w:sz w:val="16"/>
              </w:rPr>
              <w:t>-</w:t>
            </w:r>
          </w:p>
        </w:tc>
      </w:tr>
      <w:tr w14:paraId="62B326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010C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71E7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D6216D">
            <w:pPr>
              <w:jc w:val="center"/>
            </w:pPr>
            <w:r>
              <w:rPr>
                <w:rFonts w:ascii="宋体" w:hAnsi="宋体" w:eastAsia="宋体"/>
                <w:sz w:val="16"/>
              </w:rPr>
              <w:t>总体目标完成情况</w:t>
            </w:r>
          </w:p>
        </w:tc>
      </w:tr>
      <w:tr w14:paraId="6E90D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80C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CE09C9">
            <w:pPr>
              <w:jc w:val="both"/>
            </w:pPr>
            <w:r>
              <w:rPr>
                <w:rFonts w:ascii="宋体" w:hAnsi="宋体" w:eastAsia="宋体"/>
                <w:sz w:val="16"/>
              </w:rPr>
              <w:t>充分发挥社区各支力量作用聚焦落实总目标，解决群众最关心、最直接、最现实的利益问题，积极开展访贫问苦5次，有效推进脱贫攻坚、做好群众工作、加强基层组织各项工作任务。把更多资金投入到改善民生上，发展劳动生产力，提高居民收入和生活水平、生活质量，确保工作队有钱办事、把实事办实、把好事办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364E36">
            <w:pPr>
              <w:jc w:val="both"/>
            </w:pPr>
            <w:r>
              <w:rPr>
                <w:rFonts w:ascii="宋体" w:hAnsi="宋体" w:eastAsia="宋体"/>
                <w:sz w:val="16"/>
              </w:rPr>
              <w:t>全年支出为民办实事资金16.70万元，其中：完成开展慰问群众8次，购买慰问品4.25万元，开展各类群众活动10场次，经费5.25万元，为小区安装路灯3.7万元，修缮小区道路、下水道3.5万元。把更多资金投入到改善民生上，发展劳动生产力，提高居民收入和生活水平、生活质量，确保工作队有钱办事、把实事办实、把好事办好。</w:t>
            </w:r>
          </w:p>
        </w:tc>
      </w:tr>
      <w:tr w14:paraId="19CBF8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0B80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D5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09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B3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957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B1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901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756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FDC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7C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55B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6E0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287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644A">
            <w:pPr>
              <w:jc w:val="center"/>
            </w:pPr>
            <w:r>
              <w:rPr>
                <w:rFonts w:ascii="宋体" w:hAnsi="宋体" w:eastAsia="宋体"/>
                <w:sz w:val="16"/>
              </w:rPr>
              <w:t>偏差原因分析及改进措施</w:t>
            </w:r>
          </w:p>
        </w:tc>
      </w:tr>
      <w:tr w14:paraId="36954F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BA82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4C3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A00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D6AA">
            <w:pPr>
              <w:jc w:val="center"/>
            </w:pPr>
            <w:r>
              <w:rPr>
                <w:rFonts w:ascii="宋体" w:hAnsi="宋体" w:eastAsia="宋体"/>
                <w:sz w:val="16"/>
              </w:rPr>
              <w:t>派</w:t>
            </w: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516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AE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08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C9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86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8A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3D9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F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42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38C8">
            <w:pPr>
              <w:jc w:val="center"/>
            </w:pPr>
          </w:p>
        </w:tc>
      </w:tr>
      <w:tr w14:paraId="4C530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DB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B0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02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F571">
            <w:pPr>
              <w:jc w:val="center"/>
            </w:pPr>
            <w:r>
              <w:rPr>
                <w:rFonts w:ascii="宋体" w:hAnsi="宋体" w:eastAsia="宋体"/>
                <w:sz w:val="16"/>
              </w:rPr>
              <w:t>访贫问苦群众次数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9C6A">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9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DB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C4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61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479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B91E">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85B1">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D6A3">
            <w:pPr>
              <w:jc w:val="center"/>
            </w:pPr>
            <w:r>
              <w:rPr>
                <w:rFonts w:ascii="宋体" w:hAnsi="宋体" w:eastAsia="宋体"/>
                <w:sz w:val="16"/>
              </w:rPr>
              <w:t>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507C">
            <w:pPr>
              <w:jc w:val="center"/>
            </w:pPr>
            <w:r>
              <w:rPr>
                <w:rFonts w:ascii="宋体" w:hAnsi="宋体" w:eastAsia="宋体"/>
                <w:sz w:val="16"/>
              </w:rPr>
              <w:t>加大慰问群众力度，比计划多慰问3次。</w:t>
            </w:r>
          </w:p>
        </w:tc>
      </w:tr>
      <w:tr w14:paraId="60CB64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4C6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EAE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83B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8E78">
            <w:pPr>
              <w:jc w:val="center"/>
            </w:pPr>
            <w:r>
              <w:rPr>
                <w:rFonts w:ascii="宋体" w:hAnsi="宋体" w:eastAsia="宋体"/>
                <w:sz w:val="16"/>
              </w:rPr>
              <w:t>派驻第一书记人数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8CB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0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9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2C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49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C6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91A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52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D9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193E">
            <w:pPr>
              <w:jc w:val="center"/>
            </w:pPr>
          </w:p>
        </w:tc>
      </w:tr>
      <w:tr w14:paraId="227D9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166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41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D8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2DC6">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1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23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65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CC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2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CC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0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1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C6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9D64">
            <w:pPr>
              <w:jc w:val="center"/>
            </w:pPr>
          </w:p>
        </w:tc>
      </w:tr>
      <w:tr w14:paraId="7143E0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ED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88F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7F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1AA6">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C6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9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5D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F1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F6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04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7C12">
            <w:pPr>
              <w:jc w:val="center"/>
            </w:pPr>
            <w:r>
              <w:rPr>
                <w:rFonts w:ascii="宋体" w:hAnsi="宋体" w:eastAsia="宋体"/>
                <w:sz w:val="16"/>
              </w:rPr>
              <w:t>=98.25%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4A30">
            <w:pPr>
              <w:jc w:val="center"/>
            </w:pPr>
            <w:r>
              <w:rPr>
                <w:rFonts w:ascii="宋体" w:hAnsi="宋体" w:eastAsia="宋体"/>
                <w:sz w:val="16"/>
              </w:rPr>
              <w:t>98.25%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A035">
            <w:pPr>
              <w:jc w:val="center"/>
            </w:pPr>
            <w:r>
              <w:rPr>
                <w:rFonts w:ascii="宋体" w:hAnsi="宋体" w:eastAsia="宋体"/>
                <w:sz w:val="16"/>
              </w:rPr>
              <w:t>7.65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13A0">
            <w:pPr>
              <w:jc w:val="center"/>
            </w:pPr>
            <w:r>
              <w:rPr>
                <w:rFonts w:ascii="宋体" w:hAnsi="宋体" w:eastAsia="宋体"/>
                <w:sz w:val="16"/>
              </w:rPr>
              <w:t>项目资金因用途限定，年底指标用途不允许调整，故未支出完。改进措施：及时按项目进度支付资金，在规定时间完成支付。</w:t>
            </w:r>
          </w:p>
        </w:tc>
      </w:tr>
      <w:tr w14:paraId="442BB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C78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F919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3F7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84CC">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48D7">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0F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17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F8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78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E3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F534">
            <w:pPr>
              <w:jc w:val="center"/>
            </w:pPr>
            <w:r>
              <w:rPr>
                <w:rFonts w:ascii="宋体" w:hAnsi="宋体" w:eastAsia="宋体"/>
                <w:sz w:val="16"/>
              </w:rPr>
              <w: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66A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B4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698B">
            <w:pPr>
              <w:jc w:val="center"/>
            </w:pPr>
            <w:r>
              <w:rPr>
                <w:rFonts w:ascii="宋体" w:hAnsi="宋体" w:eastAsia="宋体"/>
                <w:sz w:val="16"/>
              </w:rPr>
              <w:t>资金因用途限定，年底指标用途不允许调整，故有结余。改进措施：对项目实施科学管理规划，把资金全方位用到项目上，把好事办实，发挥项目资金效益。</w:t>
            </w:r>
          </w:p>
        </w:tc>
      </w:tr>
      <w:tr w14:paraId="70653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06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528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6A0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DB29">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3FB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44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2F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99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1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FC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3F6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19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1F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DB59">
            <w:pPr>
              <w:jc w:val="center"/>
            </w:pPr>
          </w:p>
        </w:tc>
      </w:tr>
      <w:tr w14:paraId="2BF45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883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302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A9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34A4">
            <w:pPr>
              <w:jc w:val="center"/>
            </w:pPr>
            <w:r>
              <w:rPr>
                <w:rFonts w:ascii="宋体" w:hAnsi="宋体" w:eastAsia="宋体"/>
                <w:sz w:val="16"/>
              </w:rPr>
              <w:t>受益社区群众人数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D04B">
            <w:pPr>
              <w:jc w:val="center"/>
            </w:pPr>
            <w:r>
              <w:rPr>
                <w:rFonts w:ascii="宋体" w:hAnsi="宋体" w:eastAsia="宋体"/>
                <w:sz w:val="16"/>
              </w:rPr>
              <w:t>&gt;=1500人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CA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BF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6D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79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13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BC07">
            <w:pPr>
              <w:jc w:val="center"/>
            </w:pPr>
            <w:r>
              <w:rPr>
                <w:rFonts w:ascii="宋体" w:hAnsi="宋体" w:eastAsia="宋体"/>
                <w:sz w:val="16"/>
              </w:rPr>
              <w:t>=1550人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DBD4">
            <w:pPr>
              <w:jc w:val="center"/>
            </w:pPr>
            <w:r>
              <w:rPr>
                <w:rFonts w:ascii="宋体" w:hAnsi="宋体" w:eastAsia="宋体"/>
                <w:sz w:val="16"/>
              </w:rPr>
              <w:t>103.33%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4E3A">
            <w:pPr>
              <w:jc w:val="center"/>
            </w:pPr>
            <w:r>
              <w:rPr>
                <w:rFonts w:ascii="宋体" w:hAnsi="宋体" w:eastAsia="宋体"/>
                <w:sz w:val="16"/>
              </w:rPr>
              <w:t>19.33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CEE5">
            <w:pPr>
              <w:jc w:val="center"/>
            </w:pPr>
            <w:r>
              <w:rPr>
                <w:rFonts w:ascii="宋体" w:hAnsi="宋体" w:eastAsia="宋体"/>
                <w:sz w:val="16"/>
              </w:rPr>
              <w:t>大力开展访贫问苦活动，受益群众比计划多50人。</w:t>
            </w:r>
          </w:p>
        </w:tc>
      </w:tr>
      <w:tr w14:paraId="432D6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B09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07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C2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E4B5">
            <w:pPr>
              <w:jc w:val="center"/>
            </w:pPr>
            <w:r>
              <w:rPr>
                <w:rFonts w:ascii="宋体" w:hAnsi="宋体" w:eastAsia="宋体"/>
                <w:sz w:val="16"/>
              </w:rPr>
              <w:t>社区群众满意度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BE0C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CD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5D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0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AA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44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6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7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7A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8586">
            <w:pPr>
              <w:jc w:val="center"/>
            </w:pPr>
          </w:p>
        </w:tc>
      </w:tr>
      <w:tr w14:paraId="0BDCB8B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2C63E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994F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EF4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8FDA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6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CD62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843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6AB3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26F2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783F">
            <w:pPr>
              <w:jc w:val="center"/>
            </w:pPr>
            <w:r>
              <w:rPr>
                <w:rFonts w:ascii="宋体" w:hAnsi="宋体" w:eastAsia="宋体"/>
                <w:sz w:val="16"/>
              </w:rPr>
              <w:t>93.68分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C631D"/>
        </w:tc>
      </w:tr>
    </w:tbl>
    <w:p w14:paraId="33E76BA1">
      <w:r>
        <w:br w:type="page"/>
      </w:r>
    </w:p>
    <w:p w14:paraId="26A2EBD9">
      <w:pPr>
        <w:spacing w:line="640" w:lineRule="exact"/>
        <w:ind w:firstLine="640"/>
        <w:jc w:val="both"/>
        <w:outlineLvl w:val="2"/>
      </w:pPr>
      <w:r>
        <w:rPr>
          <w:rFonts w:ascii="黑体" w:hAnsi="黑体" w:eastAsia="黑体"/>
          <w:sz w:val="32"/>
        </w:rPr>
        <w:t>十二、其他需说明的事项</w:t>
      </w:r>
    </w:p>
    <w:p w14:paraId="69BFAD56">
      <w:pPr>
        <w:spacing w:line="580" w:lineRule="exact"/>
        <w:ind w:firstLine="640"/>
        <w:jc w:val="both"/>
      </w:pPr>
      <w:r>
        <w:rPr>
          <w:rFonts w:ascii="仿宋_GB2312" w:hAnsi="仿宋_GB2312" w:eastAsia="仿宋_GB2312"/>
          <w:b w:val="0"/>
          <w:sz w:val="32"/>
        </w:rPr>
        <w:t>本部门无其他需说明的事项。</w:t>
      </w:r>
    </w:p>
    <w:p w14:paraId="08D4D3B2">
      <w:r>
        <w:br w:type="page"/>
      </w:r>
    </w:p>
    <w:p w14:paraId="6A8A4CE0">
      <w:pPr>
        <w:spacing w:line="240" w:lineRule="auto"/>
        <w:jc w:val="center"/>
        <w:outlineLvl w:val="1"/>
      </w:pPr>
      <w:r>
        <w:rPr>
          <w:rFonts w:ascii="黑体" w:hAnsi="黑体" w:eastAsia="黑体"/>
          <w:sz w:val="32"/>
        </w:rPr>
        <w:t>第三部分 专业名词解释</w:t>
      </w:r>
    </w:p>
    <w:p w14:paraId="28868B8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A244D2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4C0952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EB3B38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39C2F4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4B9BDF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45C5AF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4D12AC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0332A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869FD0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89D5D1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F939FB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E3E599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E44BE0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05172E3">
      <w:r>
        <w:br w:type="page"/>
      </w:r>
    </w:p>
    <w:p w14:paraId="18977287">
      <w:pPr>
        <w:spacing w:line="240" w:lineRule="auto"/>
        <w:jc w:val="center"/>
        <w:outlineLvl w:val="1"/>
      </w:pPr>
      <w:r>
        <w:rPr>
          <w:rFonts w:ascii="黑体" w:hAnsi="黑体" w:eastAsia="黑体"/>
          <w:sz w:val="32"/>
        </w:rPr>
        <w:t>第四部分 部门决算报表（见附表）</w:t>
      </w:r>
    </w:p>
    <w:p w14:paraId="0A80C8B9">
      <w:pPr>
        <w:spacing w:line="240" w:lineRule="auto"/>
        <w:ind w:firstLine="640"/>
        <w:jc w:val="both"/>
      </w:pPr>
      <w:r>
        <w:rPr>
          <w:rFonts w:ascii="仿宋_GB2312" w:hAnsi="仿宋_GB2312" w:eastAsia="仿宋_GB2312"/>
          <w:b w:val="0"/>
          <w:sz w:val="32"/>
        </w:rPr>
        <w:t>一、《收入支出决算总表》</w:t>
      </w:r>
    </w:p>
    <w:p w14:paraId="79B972C8">
      <w:pPr>
        <w:spacing w:line="240" w:lineRule="auto"/>
        <w:ind w:firstLine="640"/>
        <w:jc w:val="both"/>
      </w:pPr>
      <w:r>
        <w:rPr>
          <w:rFonts w:ascii="仿宋_GB2312" w:hAnsi="仿宋_GB2312" w:eastAsia="仿宋_GB2312"/>
          <w:b w:val="0"/>
          <w:sz w:val="32"/>
        </w:rPr>
        <w:t>二、《收入决算表》</w:t>
      </w:r>
    </w:p>
    <w:p w14:paraId="713C22F5">
      <w:pPr>
        <w:spacing w:line="240" w:lineRule="auto"/>
        <w:ind w:firstLine="640"/>
        <w:jc w:val="both"/>
      </w:pPr>
      <w:r>
        <w:rPr>
          <w:rFonts w:ascii="仿宋_GB2312" w:hAnsi="仿宋_GB2312" w:eastAsia="仿宋_GB2312"/>
          <w:b w:val="0"/>
          <w:sz w:val="32"/>
        </w:rPr>
        <w:t>三、《支出决算表》</w:t>
      </w:r>
    </w:p>
    <w:p w14:paraId="6BA57465">
      <w:pPr>
        <w:spacing w:line="240" w:lineRule="auto"/>
        <w:ind w:firstLine="640"/>
        <w:jc w:val="both"/>
      </w:pPr>
      <w:r>
        <w:rPr>
          <w:rFonts w:ascii="仿宋_GB2312" w:hAnsi="仿宋_GB2312" w:eastAsia="仿宋_GB2312"/>
          <w:b w:val="0"/>
          <w:sz w:val="32"/>
        </w:rPr>
        <w:t>四、《财政拨款收入支出决算总表》</w:t>
      </w:r>
    </w:p>
    <w:p w14:paraId="35818E16">
      <w:pPr>
        <w:spacing w:line="240" w:lineRule="auto"/>
        <w:ind w:firstLine="640"/>
        <w:jc w:val="both"/>
      </w:pPr>
      <w:r>
        <w:rPr>
          <w:rFonts w:ascii="仿宋_GB2312" w:hAnsi="仿宋_GB2312" w:eastAsia="仿宋_GB2312"/>
          <w:b w:val="0"/>
          <w:sz w:val="32"/>
        </w:rPr>
        <w:t>五、《一般公共预算财政拨款支出决算表》</w:t>
      </w:r>
    </w:p>
    <w:p w14:paraId="60E3D9D7">
      <w:pPr>
        <w:spacing w:line="240" w:lineRule="auto"/>
        <w:ind w:firstLine="640"/>
        <w:jc w:val="both"/>
      </w:pPr>
      <w:r>
        <w:rPr>
          <w:rFonts w:ascii="仿宋_GB2312" w:hAnsi="仿宋_GB2312" w:eastAsia="仿宋_GB2312"/>
          <w:b w:val="0"/>
          <w:sz w:val="32"/>
        </w:rPr>
        <w:t>六、《一般公共预算财政拨款基本支出决算表》</w:t>
      </w:r>
    </w:p>
    <w:p w14:paraId="3AD42810">
      <w:pPr>
        <w:spacing w:line="240" w:lineRule="auto"/>
        <w:ind w:firstLine="640"/>
        <w:jc w:val="both"/>
      </w:pPr>
      <w:r>
        <w:rPr>
          <w:rFonts w:ascii="仿宋_GB2312" w:hAnsi="仿宋_GB2312" w:eastAsia="仿宋_GB2312"/>
          <w:b w:val="0"/>
          <w:sz w:val="32"/>
        </w:rPr>
        <w:t>七、《政府性基金预算财政拨款收入支出决算表》</w:t>
      </w:r>
    </w:p>
    <w:p w14:paraId="30B86DFD">
      <w:pPr>
        <w:spacing w:line="240" w:lineRule="auto"/>
        <w:ind w:firstLine="640"/>
        <w:jc w:val="both"/>
      </w:pPr>
      <w:r>
        <w:rPr>
          <w:rFonts w:ascii="仿宋_GB2312" w:hAnsi="仿宋_GB2312" w:eastAsia="仿宋_GB2312"/>
          <w:b w:val="0"/>
          <w:sz w:val="32"/>
        </w:rPr>
        <w:t>八、《国有资本经营预算财政拨款收入支出决算表》</w:t>
      </w:r>
    </w:p>
    <w:p w14:paraId="2DC06CA3">
      <w:pPr>
        <w:spacing w:line="240" w:lineRule="auto"/>
        <w:ind w:firstLine="640"/>
        <w:jc w:val="both"/>
      </w:pPr>
      <w:r>
        <w:rPr>
          <w:rFonts w:ascii="仿宋_GB2312" w:hAnsi="仿宋_GB2312" w:eastAsia="仿宋_GB2312"/>
          <w:b w:val="0"/>
          <w:sz w:val="32"/>
        </w:rPr>
        <w:t>九、《财政拨款“三公”经费支出决算表》</w:t>
      </w:r>
    </w:p>
    <w:p w14:paraId="6A965023">
      <w:pPr>
        <w:spacing w:line="240" w:lineRule="auto"/>
        <w:ind w:firstLine="640"/>
        <w:jc w:val="both"/>
      </w:pPr>
    </w:p>
    <w:p w14:paraId="5148E273">
      <w:pPr>
        <w:spacing w:line="240" w:lineRule="auto"/>
        <w:ind w:firstLine="640"/>
        <w:jc w:val="both"/>
      </w:pPr>
    </w:p>
    <w:p w14:paraId="41C6AE20">
      <w:pPr>
        <w:spacing w:line="240" w:lineRule="auto"/>
        <w:ind w:firstLine="640"/>
        <w:jc w:val="both"/>
      </w:pPr>
    </w:p>
    <w:p w14:paraId="17FBD86E">
      <w:pPr>
        <w:spacing w:line="240" w:lineRule="auto"/>
        <w:ind w:firstLine="640"/>
        <w:jc w:val="both"/>
      </w:pPr>
    </w:p>
    <w:p w14:paraId="40A82F8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16000C"/>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732753"/>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5978</Words>
  <Characters>6842</Characters>
  <Lines>0</Lines>
  <Paragraphs>0</Paragraphs>
  <TotalTime>4</TotalTime>
  <ScaleCrop>false</ScaleCrop>
  <LinksUpToDate>false</LinksUpToDate>
  <CharactersWithSpaces>6850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2025-09-11T10:25:12Z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