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新疆巴音郭楞蒙古自治州归国华侨联合会2024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08331E">
      <w:r>
        <w:br w:type="page"/>
      </w:r>
    </w:p>
    <w:p w14:paraId="3ECADEEB">
      <w:pPr>
        <w:spacing w:line="640" w:lineRule="exact"/>
        <w:jc w:val="center"/>
        <w:outlineLvl w:val="1"/>
      </w:pPr>
      <w:r>
        <w:rPr>
          <w:rFonts w:ascii="黑体" w:hAnsi="黑体" w:eastAsia="黑体"/>
          <w:sz w:val="32"/>
        </w:rPr>
        <w:t>第一部分 部门概况</w:t>
      </w:r>
    </w:p>
    <w:p w14:paraId="1670F3C3">
      <w:pPr>
        <w:spacing w:line="640" w:lineRule="exact"/>
        <w:ind w:firstLine="640"/>
        <w:jc w:val="both"/>
        <w:outlineLvl w:val="2"/>
      </w:pPr>
      <w:r>
        <w:rPr>
          <w:rFonts w:ascii="黑体" w:hAnsi="黑体" w:eastAsia="黑体"/>
          <w:sz w:val="32"/>
        </w:rPr>
        <w:t>一、主要职能</w:t>
      </w:r>
    </w:p>
    <w:p w14:paraId="585B2878">
      <w:pPr>
        <w:spacing w:line="580" w:lineRule="exact"/>
        <w:ind w:firstLine="640"/>
        <w:jc w:val="both"/>
      </w:pPr>
      <w:r>
        <w:rPr>
          <w:rFonts w:ascii="仿宋_GB2312" w:hAnsi="仿宋_GB2312" w:eastAsia="仿宋_GB2312"/>
          <w:sz w:val="32"/>
        </w:rPr>
        <w:t>团结和动员全州归侨、侨眷投身改革开放和现代化建设，教育归侨、侨眷遵守我国宪法和法律，维护社会主义法制，维护侨益，参政议政，做好第三、四代华侨、华人工作，协助有关部门做好统一战线工作。</w:t>
      </w:r>
    </w:p>
    <w:p w14:paraId="4BDFBF50">
      <w:pPr>
        <w:spacing w:line="640" w:lineRule="exact"/>
        <w:ind w:firstLine="640"/>
        <w:jc w:val="both"/>
        <w:outlineLvl w:val="2"/>
      </w:pPr>
      <w:r>
        <w:rPr>
          <w:rFonts w:ascii="黑体" w:hAnsi="黑体" w:eastAsia="黑体"/>
          <w:sz w:val="32"/>
        </w:rPr>
        <w:t>二、机构设置及人员情况</w:t>
      </w:r>
    </w:p>
    <w:p w14:paraId="10277C43">
      <w:pPr>
        <w:spacing w:line="580" w:lineRule="exact"/>
        <w:ind w:firstLine="640"/>
        <w:jc w:val="both"/>
      </w:pPr>
      <w:r>
        <w:rPr>
          <w:rFonts w:ascii="仿宋_GB2312" w:hAnsi="仿宋_GB2312" w:eastAsia="仿宋_GB2312"/>
          <w:sz w:val="32"/>
        </w:rPr>
        <w:t>新疆巴音郭楞蒙古自治州归国华侨联合会2024年度，实有人数9人，其中：在职人员4人，增加0人；离休人员0人，增加0人；退休人员5人,增加0人。</w:t>
      </w:r>
    </w:p>
    <w:p w14:paraId="79B9F883">
      <w:pPr>
        <w:spacing w:line="580" w:lineRule="exact"/>
        <w:ind w:firstLine="640"/>
        <w:jc w:val="both"/>
      </w:pPr>
      <w:r>
        <w:rPr>
          <w:rFonts w:ascii="仿宋_GB2312" w:hAnsi="仿宋_GB2312" w:eastAsia="仿宋_GB2312"/>
          <w:sz w:val="32"/>
        </w:rPr>
        <w:t>新疆巴音郭楞蒙古自治州归国华侨联合会无下属预算单位，下设1个科室，分别是：办公室。</w:t>
      </w:r>
    </w:p>
    <w:p w14:paraId="7FC836A1">
      <w:r>
        <w:br w:type="page"/>
      </w:r>
    </w:p>
    <w:p w14:paraId="4443BF95">
      <w:pPr>
        <w:spacing w:line="240" w:lineRule="auto"/>
        <w:jc w:val="center"/>
        <w:outlineLvl w:val="1"/>
      </w:pPr>
      <w:r>
        <w:rPr>
          <w:rFonts w:ascii="黑体" w:hAnsi="黑体" w:eastAsia="黑体"/>
          <w:sz w:val="32"/>
        </w:rPr>
        <w:t>第二部分 部门决算情况说明</w:t>
      </w:r>
    </w:p>
    <w:p w14:paraId="24E37DEC">
      <w:pPr>
        <w:spacing w:line="640" w:lineRule="exact"/>
        <w:ind w:firstLine="640"/>
        <w:jc w:val="both"/>
        <w:outlineLvl w:val="2"/>
      </w:pPr>
      <w:r>
        <w:rPr>
          <w:rFonts w:ascii="黑体" w:hAnsi="黑体" w:eastAsia="黑体"/>
          <w:sz w:val="32"/>
        </w:rPr>
        <w:t>一、收入支出决算总体情况说明</w:t>
      </w:r>
    </w:p>
    <w:p w14:paraId="6A0FD809">
      <w:pPr>
        <w:spacing w:line="580" w:lineRule="exact"/>
        <w:ind w:firstLine="640"/>
        <w:jc w:val="both"/>
      </w:pPr>
      <w:r>
        <w:rPr>
          <w:rFonts w:ascii="仿宋_GB2312" w:hAnsi="仿宋_GB2312" w:eastAsia="仿宋_GB2312"/>
          <w:b/>
          <w:sz w:val="32"/>
        </w:rPr>
        <w:t>2024年度收入总计101.96万元，</w:t>
      </w:r>
      <w:r>
        <w:rPr>
          <w:rFonts w:ascii="仿宋_GB2312" w:hAnsi="仿宋_GB2312" w:eastAsia="仿宋_GB2312"/>
          <w:b w:val="0"/>
          <w:sz w:val="32"/>
        </w:rPr>
        <w:t>其中：本年收入合计101.96万元，使用非财政拨款结余（含专用结余）0.00万元，年初结转和结余0.00万元。</w:t>
      </w:r>
    </w:p>
    <w:p w14:paraId="6DF6E438">
      <w:pPr>
        <w:spacing w:line="580" w:lineRule="exact"/>
        <w:ind w:firstLine="640"/>
        <w:jc w:val="both"/>
      </w:pPr>
      <w:r>
        <w:rPr>
          <w:rFonts w:ascii="仿宋_GB2312" w:hAnsi="仿宋_GB2312" w:eastAsia="仿宋_GB2312"/>
          <w:b/>
          <w:sz w:val="32"/>
        </w:rPr>
        <w:t>2024年度支出总计101.96万元，</w:t>
      </w:r>
      <w:r>
        <w:rPr>
          <w:rFonts w:ascii="仿宋_GB2312" w:hAnsi="仿宋_GB2312" w:eastAsia="仿宋_GB2312"/>
          <w:b w:val="0"/>
          <w:sz w:val="32"/>
        </w:rPr>
        <w:t>其中：本年支出合计101.96万元，结余分配0.00万元，年末结转和结余0.00万元。</w:t>
      </w:r>
    </w:p>
    <w:p w14:paraId="6D18ED1F">
      <w:pPr>
        <w:spacing w:line="580" w:lineRule="exact"/>
        <w:ind w:firstLine="640"/>
        <w:jc w:val="both"/>
      </w:pPr>
      <w:r>
        <w:rPr>
          <w:rFonts w:ascii="仿宋_GB2312" w:hAnsi="仿宋_GB2312" w:eastAsia="仿宋_GB2312"/>
          <w:b w:val="0"/>
          <w:sz w:val="32"/>
        </w:rPr>
        <w:t>收入支出总体与上年相比，增加1.72万元，增长1.72%，主要原因是：本年在职人员工资调增，社保、公积金基数调增，人员经费增加。</w:t>
      </w:r>
    </w:p>
    <w:p w14:paraId="3DD5F215">
      <w:pPr>
        <w:spacing w:line="640" w:lineRule="exact"/>
        <w:ind w:firstLine="640"/>
        <w:jc w:val="both"/>
        <w:outlineLvl w:val="2"/>
      </w:pPr>
      <w:r>
        <w:rPr>
          <w:rFonts w:ascii="黑体" w:hAnsi="黑体" w:eastAsia="黑体"/>
          <w:sz w:val="32"/>
        </w:rPr>
        <w:t>二、收入决算情况说明</w:t>
      </w:r>
    </w:p>
    <w:p w14:paraId="3B98C96A">
      <w:pPr>
        <w:spacing w:line="580" w:lineRule="exact"/>
        <w:ind w:firstLine="640"/>
        <w:jc w:val="both"/>
      </w:pPr>
      <w:r>
        <w:rPr>
          <w:rFonts w:ascii="仿宋_GB2312" w:hAnsi="仿宋_GB2312" w:eastAsia="仿宋_GB2312"/>
          <w:b/>
          <w:sz w:val="32"/>
        </w:rPr>
        <w:t>本年收入101.96万元，</w:t>
      </w:r>
      <w:r>
        <w:rPr>
          <w:rFonts w:ascii="仿宋_GB2312" w:hAnsi="仿宋_GB2312" w:eastAsia="仿宋_GB2312"/>
          <w:b w:val="0"/>
          <w:sz w:val="32"/>
        </w:rPr>
        <w:t>其中：财政拨款收入101.96万元，占100.00%；上级补助收入0.00万元，占0.00%；事业收入0.00万元，占0.00%；经营收入0.00万元，占0.00%；附属单位上缴收入0.00万元，占0.00%；其他收入0.00万元，占0.00%。</w:t>
      </w:r>
    </w:p>
    <w:p w14:paraId="41439EE2">
      <w:pPr>
        <w:spacing w:line="640" w:lineRule="exact"/>
        <w:ind w:firstLine="640"/>
        <w:jc w:val="both"/>
        <w:outlineLvl w:val="2"/>
      </w:pPr>
      <w:r>
        <w:rPr>
          <w:rFonts w:ascii="黑体" w:hAnsi="黑体" w:eastAsia="黑体"/>
          <w:sz w:val="32"/>
        </w:rPr>
        <w:t>三、支出决算情况说明</w:t>
      </w:r>
    </w:p>
    <w:p w14:paraId="251021A6">
      <w:pPr>
        <w:spacing w:line="580" w:lineRule="exact"/>
        <w:ind w:firstLine="640"/>
        <w:jc w:val="both"/>
      </w:pPr>
      <w:r>
        <w:rPr>
          <w:rFonts w:ascii="仿宋_GB2312" w:hAnsi="仿宋_GB2312" w:eastAsia="仿宋_GB2312"/>
          <w:b/>
          <w:sz w:val="32"/>
        </w:rPr>
        <w:t>本年支出101.96万元，</w:t>
      </w:r>
      <w:r>
        <w:rPr>
          <w:rFonts w:ascii="仿宋_GB2312" w:hAnsi="仿宋_GB2312" w:eastAsia="仿宋_GB2312"/>
          <w:b w:val="0"/>
          <w:sz w:val="32"/>
        </w:rPr>
        <w:t>其中：基本支出91.77万元，占90.01%；项目支出10.19万元，占9.99%；上缴上级支出0.00万元，占0.00%；经营支出0.00万元，占0.00%；对附属单位补助支出0.00万元，占0.00%。</w:t>
      </w:r>
    </w:p>
    <w:p w14:paraId="26A48CE0">
      <w:pPr>
        <w:spacing w:line="640" w:lineRule="exact"/>
        <w:ind w:firstLine="640"/>
        <w:jc w:val="both"/>
        <w:outlineLvl w:val="2"/>
      </w:pPr>
      <w:r>
        <w:rPr>
          <w:rFonts w:ascii="黑体" w:hAnsi="黑体" w:eastAsia="黑体"/>
          <w:sz w:val="32"/>
        </w:rPr>
        <w:t>四、财政拨款收入支出决算总体情况说明</w:t>
      </w:r>
    </w:p>
    <w:p w14:paraId="0111BF7C">
      <w:pPr>
        <w:spacing w:line="580" w:lineRule="exact"/>
        <w:ind w:firstLine="640"/>
        <w:jc w:val="both"/>
      </w:pPr>
      <w:r>
        <w:rPr>
          <w:rFonts w:ascii="仿宋_GB2312" w:hAnsi="仿宋_GB2312" w:eastAsia="仿宋_GB2312"/>
          <w:b/>
          <w:sz w:val="32"/>
        </w:rPr>
        <w:t>2024年度财政拨款收入总计101.96万元，</w:t>
      </w:r>
      <w:r>
        <w:rPr>
          <w:rFonts w:ascii="仿宋_GB2312" w:hAnsi="仿宋_GB2312" w:eastAsia="仿宋_GB2312"/>
          <w:b w:val="0"/>
          <w:sz w:val="32"/>
        </w:rPr>
        <w:t>其中：年初财政拨款结转和结余0.00万元，本年财政拨款收入101.96万元。</w:t>
      </w:r>
      <w:r>
        <w:rPr>
          <w:rFonts w:ascii="仿宋_GB2312" w:hAnsi="仿宋_GB2312" w:eastAsia="仿宋_GB2312"/>
          <w:b/>
          <w:sz w:val="32"/>
        </w:rPr>
        <w:t>财政拨款支出总计101.96万元，</w:t>
      </w:r>
      <w:r>
        <w:rPr>
          <w:rFonts w:ascii="仿宋_GB2312" w:hAnsi="仿宋_GB2312" w:eastAsia="仿宋_GB2312"/>
          <w:b w:val="0"/>
          <w:sz w:val="32"/>
        </w:rPr>
        <w:t>其中：年末财政拨款结转和结余0.00万元，本年财政拨款支出101.96万元。</w:t>
      </w:r>
    </w:p>
    <w:p w14:paraId="6A19D62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增加1.72万元，增长1.72%，主要原因是：本年在职人员工资调增，社保、公积金基数调增，人员经费增加。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年初预算数109.17万元，决算数101.96万元，预决算差异率-6.60%，主要原因是：年中调减自治州第七次归侨侨眷代表大会经费项目，导致预决算存在差异。</w:t>
      </w:r>
    </w:p>
    <w:p w14:paraId="3276F2C0">
      <w:pPr>
        <w:spacing w:line="640" w:lineRule="exact"/>
        <w:ind w:firstLine="640"/>
        <w:jc w:val="both"/>
        <w:outlineLvl w:val="2"/>
      </w:pPr>
      <w:r>
        <w:rPr>
          <w:rFonts w:ascii="黑体" w:hAnsi="黑体" w:eastAsia="黑体"/>
          <w:sz w:val="32"/>
        </w:rPr>
        <w:t>五、一般公共预算财政拨款支出决算情况说明</w:t>
      </w:r>
    </w:p>
    <w:p w14:paraId="174A4BD3">
      <w:pPr>
        <w:spacing w:line="640" w:lineRule="exact"/>
        <w:ind w:firstLine="640"/>
        <w:jc w:val="both"/>
        <w:outlineLvl w:val="3"/>
      </w:pPr>
      <w:r>
        <w:rPr>
          <w:rFonts w:ascii="楷体_GB2312" w:hAnsi="楷体_GB2312" w:eastAsia="楷体_GB2312"/>
          <w:b/>
          <w:sz w:val="32"/>
        </w:rPr>
        <w:t>（一）一般公共预算财政拨款支出决算总体情况</w:t>
      </w:r>
    </w:p>
    <w:p w14:paraId="0E4EBDE5">
      <w:pPr>
        <w:spacing w:line="580" w:lineRule="exact"/>
        <w:ind w:firstLine="640"/>
        <w:jc w:val="both"/>
      </w:pPr>
      <w:r>
        <w:rPr>
          <w:rFonts w:ascii="仿宋_GB2312" w:hAnsi="仿宋_GB2312" w:eastAsia="仿宋_GB2312"/>
          <w:b/>
          <w:sz w:val="32"/>
        </w:rPr>
        <w:t>2024年度一般公共预算财政拨款支出101.96万元，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增加1.72万元，增长1.72%，主要原因是：本年在职人员工资调增，社保、公积金基数调增，人员经费增加。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年初预算数109.17万元，决算数101.96万元，预决算差异率-6.60%，主要原因是：年中调减自治州第七次归侨侨眷代表大会经费项目，导致预决算存在差异。</w:t>
      </w:r>
    </w:p>
    <w:p w14:paraId="5CBB9191">
      <w:pPr>
        <w:spacing w:line="640" w:lineRule="exact"/>
        <w:ind w:firstLine="640"/>
        <w:jc w:val="both"/>
        <w:outlineLvl w:val="3"/>
      </w:pPr>
      <w:r>
        <w:rPr>
          <w:rFonts w:ascii="楷体_GB2312" w:hAnsi="楷体_GB2312" w:eastAsia="楷体_GB2312"/>
          <w:b/>
          <w:sz w:val="32"/>
        </w:rPr>
        <w:t>（二）一般公共预算财政拨款支出决算结构情况</w:t>
      </w:r>
    </w:p>
    <w:p w14:paraId="49AC2F09">
      <w:pPr>
        <w:spacing w:line="580" w:lineRule="exact"/>
        <w:ind w:firstLine="640"/>
        <w:jc w:val="both"/>
      </w:pPr>
      <w:r>
        <w:rPr>
          <w:rFonts w:ascii="仿宋_GB2312" w:hAnsi="仿宋_GB2312" w:eastAsia="仿宋_GB2312"/>
          <w:b w:val="0"/>
          <w:sz w:val="32"/>
        </w:rPr>
        <w:t>1.一般公共服务支出(类)76.57万元,占75.10%。</w:t>
      </w:r>
    </w:p>
    <w:p w14:paraId="63556482">
      <w:pPr>
        <w:spacing w:line="580" w:lineRule="exact"/>
        <w:ind w:firstLine="640"/>
        <w:jc w:val="both"/>
      </w:pPr>
      <w:r>
        <w:rPr>
          <w:rFonts w:ascii="仿宋_GB2312" w:hAnsi="仿宋_GB2312" w:eastAsia="仿宋_GB2312"/>
          <w:b w:val="0"/>
          <w:sz w:val="32"/>
        </w:rPr>
        <w:t>2.教育支出(类)0.10万元,占0.10%。</w:t>
      </w:r>
    </w:p>
    <w:p w14:paraId="346A053B">
      <w:pPr>
        <w:spacing w:line="580" w:lineRule="exact"/>
        <w:ind w:firstLine="640"/>
        <w:jc w:val="both"/>
      </w:pPr>
      <w:r>
        <w:rPr>
          <w:rFonts w:ascii="仿宋_GB2312" w:hAnsi="仿宋_GB2312" w:eastAsia="仿宋_GB2312"/>
          <w:b w:val="0"/>
          <w:sz w:val="32"/>
        </w:rPr>
        <w:t>3.社会保障和就业支出(类)13.61万元,占13.35%。</w:t>
      </w:r>
    </w:p>
    <w:p w14:paraId="1DBE74F2">
      <w:pPr>
        <w:spacing w:line="580" w:lineRule="exact"/>
        <w:ind w:firstLine="640"/>
        <w:jc w:val="both"/>
      </w:pPr>
      <w:r>
        <w:rPr>
          <w:rFonts w:ascii="仿宋_GB2312" w:hAnsi="仿宋_GB2312" w:eastAsia="仿宋_GB2312"/>
          <w:b w:val="0"/>
          <w:sz w:val="32"/>
        </w:rPr>
        <w:t>4.卫生健康支出(类)5.28万元,占5.18%。</w:t>
      </w:r>
    </w:p>
    <w:p w14:paraId="33AF1067">
      <w:pPr>
        <w:spacing w:line="580" w:lineRule="exact"/>
        <w:ind w:firstLine="640"/>
        <w:jc w:val="both"/>
      </w:pPr>
      <w:r>
        <w:rPr>
          <w:rFonts w:ascii="仿宋_GB2312" w:hAnsi="仿宋_GB2312" w:eastAsia="仿宋_GB2312"/>
          <w:b w:val="0"/>
          <w:sz w:val="32"/>
        </w:rPr>
        <w:t>5.住房保障支出(类)6.41万元,占6.29%。</w:t>
      </w:r>
    </w:p>
    <w:p w14:paraId="7263F01D">
      <w:pPr>
        <w:spacing w:line="640" w:lineRule="exact"/>
        <w:ind w:firstLine="640"/>
        <w:jc w:val="both"/>
        <w:outlineLvl w:val="3"/>
      </w:pPr>
      <w:r>
        <w:rPr>
          <w:rFonts w:ascii="楷体_GB2312" w:hAnsi="楷体_GB2312" w:eastAsia="楷体_GB2312"/>
          <w:b/>
          <w:sz w:val="32"/>
        </w:rPr>
        <w:t>（三）一般公共预算财政拨款支出决算具体情况</w:t>
      </w:r>
    </w:p>
    <w:p w14:paraId="3D9E78D7">
      <w:pPr>
        <w:spacing w:line="580" w:lineRule="exact"/>
        <w:ind w:firstLine="640"/>
        <w:jc w:val="both"/>
      </w:pPr>
      <w:r>
        <w:rPr>
          <w:rFonts w:ascii="仿宋_GB2312" w:hAnsi="仿宋_GB2312" w:eastAsia="仿宋_GB2312"/>
          <w:b w:val="0"/>
          <w:sz w:val="32"/>
        </w:rPr>
        <w:t>1.一般公共服务支出(类)民主党派及工商联事务(款)行政运行(项):支出决算数为66.38万元，比上年决算增加7.99万元，增长13.68%,主要原因是：本年在职人员工资调增，导致相关人员经费较上年有所增加。</w:t>
      </w:r>
    </w:p>
    <w:p w14:paraId="0C47307A">
      <w:pPr>
        <w:spacing w:line="580" w:lineRule="exact"/>
        <w:ind w:firstLine="640"/>
        <w:jc w:val="both"/>
      </w:pPr>
      <w:r>
        <w:rPr>
          <w:rFonts w:ascii="仿宋_GB2312" w:hAnsi="仿宋_GB2312" w:eastAsia="仿宋_GB2312"/>
          <w:b w:val="0"/>
          <w:sz w:val="32"/>
        </w:rPr>
        <w:t>2.一般公共服务支出(类)民主党派及工商联事务(款)一般行政管理事务(项):支出决算数为10.19万元，比上年决算减少3.34万元，下降24.69%,主要原因是：本年减少自治州第七次归侨侨眷代表大会经费项目。</w:t>
      </w:r>
    </w:p>
    <w:p w14:paraId="412B74DE">
      <w:pPr>
        <w:spacing w:line="580" w:lineRule="exact"/>
        <w:ind w:firstLine="640"/>
        <w:jc w:val="both"/>
      </w:pPr>
      <w:r>
        <w:rPr>
          <w:rFonts w:ascii="仿宋_GB2312" w:hAnsi="仿宋_GB2312" w:eastAsia="仿宋_GB2312"/>
          <w:b w:val="0"/>
          <w:sz w:val="32"/>
        </w:rPr>
        <w:t>3.教育支出(类)进修及培训(款)培训支出(项):支出决算数为0.10万元，比上年决算增加0.10万元，增长100.00%,主要原因是：本年功能科目调整，培训经费上年度在行政运行科目列支，本年单独列支，导致经费较上年增加。</w:t>
      </w:r>
    </w:p>
    <w:p w14:paraId="65D72622">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4.社会保障和就业支出(类)行政事业单位养老支出(款)行政单位离退休(项):支出决算数为5.32万元，比上年决算增加1.98万元，增长59.28%,主要原因是：本年增加退休人员基础绩效奖，退休费支出增加。</w:t>
      </w:r>
    </w:p>
    <w:p w14:paraId="171B8C72">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8.28万元，比上年决算增加1.27万元，增长18.12%,主要原因是：本年在职人员工资基数调增，养老缴费基数上涨，相应支出增加。</w:t>
      </w:r>
    </w:p>
    <w:p w14:paraId="399B9E0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7.05万元，下降100.00%,主要原因是：本年无新增退休人员，职业年金缴费较上年减少。</w:t>
      </w:r>
    </w:p>
    <w:p w14:paraId="621EC0CF">
      <w:pPr>
        <w:spacing w:line="580" w:lineRule="exact"/>
        <w:ind w:firstLine="640"/>
        <w:jc w:val="both"/>
      </w:pPr>
      <w:r>
        <w:rPr>
          <w:rFonts w:ascii="仿宋_GB2312" w:hAnsi="仿宋_GB2312" w:eastAsia="仿宋_GB2312"/>
          <w:b w:val="0"/>
          <w:sz w:val="32"/>
        </w:rPr>
        <w:t>7.卫生健康支出(类)行政事业单位医疗(款)行政单位医疗(项):支出决算数为3.62万元，比上年决算减少0.03万元，下降0.82%,主要原因是：本年在职人员调入调出，人员职级不同，缴费基数不同，导致行政单位医疗较上年减少。</w:t>
      </w:r>
    </w:p>
    <w:p w14:paraId="170F5803">
      <w:pPr>
        <w:spacing w:line="580" w:lineRule="exact"/>
        <w:ind w:firstLine="640"/>
        <w:jc w:val="both"/>
      </w:pPr>
      <w:r>
        <w:rPr>
          <w:rFonts w:ascii="仿宋_GB2312" w:hAnsi="仿宋_GB2312" w:eastAsia="仿宋_GB2312"/>
          <w:b w:val="0"/>
          <w:sz w:val="32"/>
        </w:rPr>
        <w:t>8.卫生健康支出(类)行政事业单位医疗(款)公务员医疗补助(项):支出决算数为1.55万元，比上年决算减少0.14万元，下降8.28%,主要原因是：本年在职人员调入调出，人员职级不同，缴费基数不同，导致公务员医疗补助较上年减少。</w:t>
      </w:r>
    </w:p>
    <w:p w14:paraId="736B1B42">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0.10万元，比上年决算减少0.10万元，下降50.00%,主要原因是：本年在职人员调入调出，人员职级不同，缴费基数不同，导致其他行政事业单位医疗较上年减少。</w:t>
      </w:r>
    </w:p>
    <w:p w14:paraId="2486C087">
      <w:pPr>
        <w:spacing w:line="580" w:lineRule="exact"/>
        <w:ind w:firstLine="640"/>
        <w:jc w:val="both"/>
      </w:pPr>
      <w:r>
        <w:rPr>
          <w:rFonts w:ascii="仿宋_GB2312" w:hAnsi="仿宋_GB2312" w:eastAsia="仿宋_GB2312"/>
          <w:b w:val="0"/>
          <w:sz w:val="32"/>
        </w:rPr>
        <w:t>10.住房保障支出(类)住房改革支出(款)住房公积金(项):支出决算数为6.41万元，比上年决算增加1.01万元，增长18.70%,主要原因是：本年在职人员工资基数调增，公积金缴费基数上涨，相应支出增加。</w:t>
      </w:r>
    </w:p>
    <w:p w14:paraId="09CFAFAE">
      <w:pPr>
        <w:spacing w:line="640" w:lineRule="exact"/>
        <w:ind w:firstLine="640"/>
        <w:jc w:val="both"/>
        <w:outlineLvl w:val="2"/>
      </w:pPr>
      <w:r>
        <w:rPr>
          <w:rFonts w:ascii="黑体" w:hAnsi="黑体" w:eastAsia="黑体"/>
          <w:sz w:val="32"/>
        </w:rPr>
        <w:t>六、一般公共预算财政拨款基本支出决算情况说明</w:t>
      </w:r>
    </w:p>
    <w:p w14:paraId="495DF71A">
      <w:pPr>
        <w:spacing w:line="580" w:lineRule="exact"/>
        <w:ind w:firstLine="640"/>
        <w:jc w:val="both"/>
      </w:pPr>
      <w:r>
        <w:rPr>
          <w:rFonts w:ascii="仿宋_GB2312" w:hAnsi="仿宋_GB2312" w:eastAsia="仿宋_GB2312"/>
          <w:b w:val="0"/>
          <w:sz w:val="32"/>
        </w:rPr>
        <w:t>2024年度一般公共预算财政拨款基本支出91.77万元，其中：</w:t>
      </w:r>
      <w:r>
        <w:rPr>
          <w:rFonts w:ascii="仿宋_GB2312" w:hAnsi="仿宋_GB2312" w:eastAsia="仿宋_GB2312"/>
          <w:b/>
          <w:sz w:val="32"/>
        </w:rPr>
        <w:t>人员经费85.44万元，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包括：基本工资、津贴补贴、奖金、伙食补助费、机关事业单位基本养老保险缴费、职工基本医疗保险缴费、公务员医疗补助缴费、其他社会保障缴费、住房公积金、退休费、生活补助、奖励金。</w:t>
      </w:r>
    </w:p>
    <w:p w14:paraId="78DAF820">
      <w:pPr>
        <w:spacing w:line="580" w:lineRule="exact"/>
        <w:ind w:firstLine="640"/>
        <w:jc w:val="both"/>
      </w:pPr>
      <w:r>
        <w:rPr>
          <w:rFonts w:ascii="仿宋_GB2312" w:hAnsi="仿宋_GB2312" w:eastAsia="仿宋_GB2312"/>
          <w:b/>
          <w:sz w:val="32"/>
        </w:rPr>
        <w:t>公用经费6.33万元，</w:t>
      </w:r>
      <w:r>
        <w:rPr>
          <w:rFonts w:ascii="仿宋_GB2312" w:hAnsi="仿宋_GB2312" w:eastAsia="仿宋_GB2312"/>
          <w:b w:val="0"/>
          <w:sz w:val="32"/>
        </w:rPr>
        <w:t>包括：办公费、邮电费、取暖费、培训费、劳务费、工会经费、福利费、公务用车运行维护费、其他商品和服务支出。</w:t>
      </w:r>
    </w:p>
    <w:p w14:paraId="36452DF1">
      <w:pPr>
        <w:spacing w:line="640" w:lineRule="exact"/>
        <w:ind w:firstLine="640"/>
        <w:jc w:val="both"/>
        <w:outlineLvl w:val="2"/>
      </w:pPr>
      <w:r>
        <w:rPr>
          <w:rFonts w:ascii="黑体" w:hAnsi="黑体" w:eastAsia="黑体"/>
          <w:sz w:val="32"/>
        </w:rPr>
        <w:t>七、政府性基金预算财政拨款收入支出决算情况说明</w:t>
      </w:r>
    </w:p>
    <w:p w14:paraId="0100EA8D">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E58FC41">
      <w:pPr>
        <w:spacing w:line="640" w:lineRule="exact"/>
        <w:ind w:firstLine="640"/>
        <w:jc w:val="both"/>
        <w:outlineLvl w:val="2"/>
      </w:pPr>
      <w:r>
        <w:rPr>
          <w:rFonts w:ascii="黑体" w:hAnsi="黑体" w:eastAsia="黑体"/>
          <w:sz w:val="32"/>
        </w:rPr>
        <w:t>八、国有资本经营预算财政拨款收入支出决算情况说明</w:t>
      </w:r>
    </w:p>
    <w:p w14:paraId="6946C1C0">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56B042A">
      <w:pPr>
        <w:spacing w:line="640" w:lineRule="exact"/>
        <w:ind w:firstLine="640"/>
        <w:jc w:val="both"/>
        <w:outlineLvl w:val="2"/>
      </w:pPr>
      <w:r>
        <w:rPr>
          <w:rFonts w:ascii="黑体" w:hAnsi="黑体" w:eastAsia="黑体"/>
          <w:sz w:val="32"/>
        </w:rPr>
        <w:t>九、财政拨款“三公”经费支出决算情况说明</w:t>
      </w:r>
    </w:p>
    <w:p w14:paraId="7FB7DCBD">
      <w:pPr>
        <w:spacing w:line="580" w:lineRule="exact"/>
        <w:ind w:firstLine="640"/>
        <w:jc w:val="both"/>
      </w:pPr>
      <w:r>
        <w:rPr>
          <w:rFonts w:ascii="仿宋_GB2312" w:hAnsi="仿宋_GB2312" w:eastAsia="仿宋_GB2312"/>
          <w:b/>
          <w:sz w:val="32"/>
        </w:rPr>
        <w:t>2024年度财政拨款“三公”经费支出1.02万元，</w:t>
      </w:r>
      <w:r>
        <w:rPr>
          <w:rFonts w:ascii="仿宋_GB2312" w:hAnsi="仿宋_GB2312" w:eastAsia="仿宋_GB2312"/>
          <w:b w:val="0"/>
          <w:sz w:val="32"/>
        </w:rPr>
        <w:t>比上年增加0.76万元，增长292.31%，主要原因是：本部门公务用车日渐老化，维修维护成本增加，导致财政拨款“三公”经费支出较上年增加。其中：因公出国（境）费支出0.00万元，占0.00%，比上年增加0.00万元，增长0.00%，主要原因是：2023年与2024年均未安排因公出国（境）费支出。公务用车购置及运行维护费支出1.02万元，占100.00%，比上年增加0.76万元，增长292.31%，主要原因是：本部门公务用车日渐老化，维修维护成本增加，导致公务用车运行维护费较上年增加。公务接待费支出0.00万元，占0.00%，比上年增加0.00万元，增长0.00%，主要原因是：2023年与2024年均未安排公务接待费支出。</w:t>
      </w:r>
    </w:p>
    <w:p w14:paraId="1BAC0EE9">
      <w:pPr>
        <w:spacing w:line="580" w:lineRule="exact"/>
        <w:ind w:firstLine="640"/>
        <w:jc w:val="both"/>
      </w:pPr>
      <w:r>
        <w:rPr>
          <w:rFonts w:ascii="仿宋_GB2312" w:hAnsi="仿宋_GB2312" w:eastAsia="仿宋_GB2312"/>
          <w:b/>
          <w:sz w:val="32"/>
        </w:rPr>
        <w:t>具体情况如下：</w:t>
      </w:r>
    </w:p>
    <w:p w14:paraId="1B480C06">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A368D94">
      <w:pPr>
        <w:spacing w:line="580" w:lineRule="exact"/>
        <w:ind w:firstLine="640"/>
        <w:jc w:val="both"/>
      </w:pPr>
      <w:r>
        <w:rPr>
          <w:rFonts w:ascii="仿宋_GB2312" w:hAnsi="仿宋_GB2312" w:eastAsia="仿宋_GB2312"/>
          <w:b w:val="0"/>
          <w:sz w:val="32"/>
        </w:rPr>
        <w:t>公务用车购置及运行维护费1.02万元，其中：公务用车购置费0.00万元，公务用车运行维护费1.02万元。公务用车运行维护费开支内容包括车辆加油费、维修费、保险费、审车费、过路费。公务用车购置数0辆，公务用车保有量1辆。国有资产占用情况中固定资产车辆1辆，与公务用车保有量差异原因是：本部门固定资产车辆与公务用车保有量一致无差异。</w:t>
      </w:r>
    </w:p>
    <w:p w14:paraId="2D71E261">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1BFBA60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1.02万元，决算数1.02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1.02万元，决算数1.02万元，预决算差异率0.00%，主要原因是：严格按照预算执行，预决算无差异。公务接待费全年预算数0.00万元，决算数0.00万元，预决算差异率0.00%，主要原因是：本部门无公务接待费。</w:t>
      </w:r>
    </w:p>
    <w:p w14:paraId="4724FEFC">
      <w:pPr>
        <w:spacing w:line="640" w:lineRule="exact"/>
        <w:ind w:firstLine="640"/>
        <w:jc w:val="both"/>
        <w:outlineLvl w:val="2"/>
      </w:pPr>
      <w:r>
        <w:rPr>
          <w:rFonts w:ascii="黑体" w:hAnsi="黑体" w:eastAsia="黑体"/>
          <w:sz w:val="32"/>
        </w:rPr>
        <w:t>十、其他重要事项的情况说明</w:t>
      </w:r>
    </w:p>
    <w:p w14:paraId="7A92B8A3">
      <w:pPr>
        <w:spacing w:line="640" w:lineRule="exact"/>
        <w:ind w:firstLine="640"/>
        <w:jc w:val="both"/>
        <w:outlineLvl w:val="3"/>
      </w:pPr>
      <w:r>
        <w:rPr>
          <w:rFonts w:ascii="楷体_GB2312" w:hAnsi="楷体_GB2312" w:eastAsia="楷体_GB2312"/>
          <w:b/>
          <w:sz w:val="32"/>
        </w:rPr>
        <w:t>（一）机关运行经费及公用经费支出情况</w:t>
      </w:r>
    </w:p>
    <w:p w14:paraId="7F87A7CB">
      <w:pPr>
        <w:spacing w:line="580" w:lineRule="exact"/>
        <w:ind w:firstLine="640"/>
        <w:jc w:val="both"/>
      </w:pPr>
      <w:r>
        <w:rPr>
          <w:rFonts w:ascii="仿宋_GB2312" w:hAnsi="仿宋_GB2312" w:eastAsia="仿宋_GB2312"/>
          <w:b w:val="0"/>
          <w:sz w:val="32"/>
        </w:rPr>
        <w:t>2024年度新疆巴音郭楞蒙古自治州归国华侨联合会（行政单位和参照公务员法管理事业单位）机关运行经费支出6.33万元，比上年增加2.61万元，增长70.16%，主要原因是：本年劳务费增加，导致机关运行经费增加。</w:t>
      </w:r>
    </w:p>
    <w:p w14:paraId="5738B36E">
      <w:pPr>
        <w:spacing w:line="640" w:lineRule="exact"/>
        <w:ind w:firstLine="640"/>
        <w:jc w:val="both"/>
        <w:outlineLvl w:val="3"/>
      </w:pPr>
      <w:r>
        <w:rPr>
          <w:rFonts w:ascii="楷体_GB2312" w:hAnsi="楷体_GB2312" w:eastAsia="楷体_GB2312"/>
          <w:b/>
          <w:sz w:val="32"/>
        </w:rPr>
        <w:t>（二）政府采购情况</w:t>
      </w:r>
    </w:p>
    <w:p w14:paraId="47D01262">
      <w:pPr>
        <w:spacing w:line="580" w:lineRule="exact"/>
        <w:ind w:firstLine="640"/>
        <w:jc w:val="both"/>
      </w:pPr>
      <w:r>
        <w:rPr>
          <w:rFonts w:ascii="仿宋_GB2312" w:hAnsi="仿宋_GB2312" w:eastAsia="仿宋_GB2312"/>
          <w:b w:val="0"/>
          <w:sz w:val="32"/>
        </w:rPr>
        <w:t>2024年度政府采购支出总额1.71万元，其中：政府采购货物支出0.74万元、政府采购工程支出0.00万元、政府采购服务支出0.97万元。</w:t>
      </w:r>
    </w:p>
    <w:p w14:paraId="6B80F3BA">
      <w:pPr>
        <w:spacing w:line="580" w:lineRule="exact"/>
        <w:ind w:firstLine="640"/>
        <w:jc w:val="both"/>
      </w:pPr>
      <w:r>
        <w:rPr>
          <w:rFonts w:ascii="仿宋_GB2312" w:hAnsi="仿宋_GB2312" w:eastAsia="仿宋_GB2312"/>
          <w:b w:val="0"/>
          <w:sz w:val="32"/>
        </w:rPr>
        <w:t>授予中小企业合同金额1.32万元，占政府采购支出总额的77.19%，其中：授予小微企业合同金额1.32万元，占政府采购支出总额的77.19%。</w:t>
      </w:r>
    </w:p>
    <w:p w14:paraId="0AFE5F56">
      <w:pPr>
        <w:spacing w:line="640" w:lineRule="exact"/>
        <w:ind w:firstLine="640"/>
        <w:jc w:val="both"/>
        <w:outlineLvl w:val="3"/>
      </w:pPr>
      <w:r>
        <w:rPr>
          <w:rFonts w:ascii="楷体_GB2312" w:hAnsi="楷体_GB2312" w:eastAsia="楷体_GB2312"/>
          <w:b/>
          <w:sz w:val="32"/>
        </w:rPr>
        <w:t>（三）国有资产占用情况说明</w:t>
      </w:r>
    </w:p>
    <w:p w14:paraId="4A1B4155">
      <w:pPr>
        <w:spacing w:line="580" w:lineRule="exact"/>
        <w:ind w:firstLine="640"/>
        <w:jc w:val="both"/>
      </w:pPr>
      <w:r>
        <w:rPr>
          <w:rFonts w:ascii="仿宋_GB2312" w:hAnsi="仿宋_GB2312" w:eastAsia="仿宋_GB2312"/>
          <w:b w:val="0"/>
          <w:sz w:val="32"/>
        </w:rPr>
        <w:t>截至2024年12月31日，房屋0.00平方米，价值0.00万元。车辆1辆，价值9.76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CC43238">
      <w:pPr>
        <w:spacing w:line="640" w:lineRule="exact"/>
        <w:ind w:firstLine="640"/>
        <w:jc w:val="both"/>
        <w:outlineLvl w:val="2"/>
      </w:pPr>
      <w:r>
        <w:rPr>
          <w:rFonts w:ascii="黑体" w:hAnsi="黑体" w:eastAsia="黑体"/>
          <w:sz w:val="32"/>
        </w:rPr>
        <w:t>十一、预算绩效的情况说明</w:t>
      </w:r>
    </w:p>
    <w:p w14:paraId="6B3F843E">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101.96万元，实际执行总额101.96万元；预算绩效评价项目1个，全年预算数10.19万元，全年执行数10.19万元。预算绩效管理取得的成效：一是围绕核心职能科学设定绩效指标，年度绩效目标完成率显著提高，重点工作任务按计划推进；二是建立动态绩效监控机制，及时调整执行偏差，资金使用更加精准高效，低效无效支出有效减少；三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和部门评价报告。</w:t>
      </w:r>
    </w:p>
    <w:p w14:paraId="0DB1B7A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5F94FE1">
        <w:tblPrEx>
          <w:tblCellMar>
            <w:top w:w="0" w:type="dxa"/>
            <w:left w:w="108" w:type="dxa"/>
            <w:bottom w:w="0" w:type="dxa"/>
            <w:right w:w="108" w:type="dxa"/>
          </w:tblCellMar>
        </w:tblPrEx>
        <w:tc>
          <w:tcPr>
            <w:tcW w:w="8840" w:type="dxa"/>
            <w:gridSpan w:val="8"/>
            <w:vAlign w:val="center"/>
          </w:tcPr>
          <w:p w14:paraId="6E38E33D">
            <w:pPr>
              <w:jc w:val="center"/>
            </w:pPr>
            <w:r>
              <w:rPr>
                <w:rFonts w:ascii="宋体" w:hAnsi="宋体" w:eastAsia="宋体"/>
                <w:sz w:val="24"/>
              </w:rPr>
              <w:t>部门整体支出绩效自评表</w:t>
            </w:r>
          </w:p>
        </w:tc>
      </w:tr>
      <w:tr w14:paraId="15C33409">
        <w:tblPrEx>
          <w:tblCellMar>
            <w:top w:w="0" w:type="dxa"/>
            <w:left w:w="108" w:type="dxa"/>
            <w:bottom w:w="0" w:type="dxa"/>
            <w:right w:w="108" w:type="dxa"/>
          </w:tblCellMar>
        </w:tblPrEx>
        <w:tc>
          <w:tcPr>
            <w:tcW w:w="8840" w:type="dxa"/>
            <w:gridSpan w:val="8"/>
            <w:vAlign w:val="center"/>
          </w:tcPr>
          <w:p w14:paraId="2FA94F3A">
            <w:pPr>
              <w:jc w:val="center"/>
            </w:pPr>
            <w:r>
              <w:rPr>
                <w:rFonts w:ascii="宋体" w:hAnsi="宋体" w:eastAsia="宋体"/>
                <w:sz w:val="24"/>
              </w:rPr>
              <w:t>（2024年度）</w:t>
            </w:r>
          </w:p>
        </w:tc>
      </w:tr>
      <w:tr w14:paraId="606C674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FB5C5">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FD20C">
            <w:pPr>
              <w:jc w:val="center"/>
            </w:pPr>
            <w:r>
              <w:rPr>
                <w:rFonts w:ascii="宋体" w:hAnsi="宋体" w:eastAsia="宋体"/>
                <w:sz w:val="16"/>
              </w:rPr>
              <w:t>新疆巴音郭楞蒙古自治州归国华侨联合会</w:t>
            </w:r>
          </w:p>
        </w:tc>
      </w:tr>
      <w:tr w14:paraId="4EF6A9A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54360">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9EB4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D6C75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8FCAB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3B500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F14F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E219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71CA1">
            <w:pPr>
              <w:jc w:val="center"/>
            </w:pPr>
            <w:r>
              <w:rPr>
                <w:rFonts w:ascii="宋体" w:hAnsi="宋体" w:eastAsia="宋体"/>
                <w:sz w:val="16"/>
              </w:rPr>
              <w:t>得分</w:t>
            </w:r>
          </w:p>
        </w:tc>
      </w:tr>
      <w:tr w14:paraId="5D1A4A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69AB0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9F72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359FE">
            <w:pPr>
              <w:jc w:val="center"/>
            </w:pPr>
            <w:r>
              <w:rPr>
                <w:rFonts w:ascii="宋体" w:hAnsi="宋体" w:eastAsia="宋体"/>
                <w:sz w:val="16"/>
              </w:rPr>
              <w:t>109.17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31838B">
            <w:pPr>
              <w:jc w:val="center"/>
            </w:pPr>
            <w:r>
              <w:rPr>
                <w:rFonts w:ascii="宋体" w:hAnsi="宋体" w:eastAsia="宋体"/>
                <w:sz w:val="16"/>
              </w:rPr>
              <w:t>101.96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1A6DA">
            <w:pPr>
              <w:jc w:val="center"/>
            </w:pPr>
            <w:r>
              <w:rPr>
                <w:rFonts w:ascii="宋体" w:hAnsi="宋体" w:eastAsia="宋体"/>
                <w:sz w:val="16"/>
              </w:rPr>
              <w:t>101.96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58CC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FDF8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BA035">
            <w:pPr>
              <w:jc w:val="center"/>
            </w:pPr>
            <w:r>
              <w:rPr>
                <w:rFonts w:ascii="宋体" w:hAnsi="宋体" w:eastAsia="宋体"/>
                <w:sz w:val="16"/>
              </w:rPr>
              <w:t>10</w:t>
            </w:r>
          </w:p>
        </w:tc>
      </w:tr>
      <w:tr w14:paraId="31BD4F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8A7C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C475F">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1753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DF33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690F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3840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131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8537D6">
            <w:pPr>
              <w:jc w:val="center"/>
            </w:pPr>
            <w:r>
              <w:rPr>
                <w:rFonts w:ascii="宋体" w:hAnsi="宋体" w:eastAsia="宋体"/>
                <w:sz w:val="16"/>
              </w:rPr>
              <w:t>-</w:t>
            </w:r>
          </w:p>
        </w:tc>
      </w:tr>
      <w:tr w14:paraId="51470B2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3782B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A3811">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F69822">
            <w:pPr>
              <w:jc w:val="center"/>
            </w:pPr>
            <w:r>
              <w:rPr>
                <w:rFonts w:ascii="宋体" w:hAnsi="宋体" w:eastAsia="宋体"/>
                <w:sz w:val="16"/>
              </w:rPr>
              <w:t>109.17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86E879">
            <w:pPr>
              <w:jc w:val="center"/>
            </w:pPr>
            <w:r>
              <w:rPr>
                <w:rFonts w:ascii="宋体" w:hAnsi="宋体" w:eastAsia="宋体"/>
                <w:sz w:val="16"/>
              </w:rPr>
              <w:t>101.96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D3721">
            <w:pPr>
              <w:jc w:val="center"/>
            </w:pPr>
            <w:r>
              <w:rPr>
                <w:rFonts w:ascii="宋体" w:hAnsi="宋体" w:eastAsia="宋体"/>
                <w:sz w:val="16"/>
              </w:rPr>
              <w:t>101.96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955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EEF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FA0FF">
            <w:pPr>
              <w:jc w:val="center"/>
            </w:pPr>
            <w:r>
              <w:rPr>
                <w:rFonts w:ascii="宋体" w:hAnsi="宋体" w:eastAsia="宋体"/>
                <w:sz w:val="16"/>
              </w:rPr>
              <w:t>-</w:t>
            </w:r>
          </w:p>
        </w:tc>
      </w:tr>
      <w:tr w14:paraId="23B315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71663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60A6B">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B198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0D57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E14B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3D77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CA9A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9785A">
            <w:pPr>
              <w:jc w:val="center"/>
            </w:pPr>
            <w:r>
              <w:rPr>
                <w:rFonts w:ascii="宋体" w:hAnsi="宋体" w:eastAsia="宋体"/>
                <w:sz w:val="16"/>
              </w:rPr>
              <w:t>-</w:t>
            </w:r>
          </w:p>
        </w:tc>
      </w:tr>
      <w:tr w14:paraId="102D07E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8D57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62B5B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40D031">
            <w:pPr>
              <w:jc w:val="center"/>
            </w:pPr>
            <w:r>
              <w:rPr>
                <w:rFonts w:ascii="宋体" w:hAnsi="宋体" w:eastAsia="宋体"/>
                <w:sz w:val="16"/>
              </w:rPr>
              <w:t>实际完成情况</w:t>
            </w:r>
          </w:p>
        </w:tc>
      </w:tr>
      <w:tr w14:paraId="68B7CAF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4BD77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35CB41">
            <w:pPr>
              <w:jc w:val="both"/>
            </w:pPr>
            <w:r>
              <w:rPr>
                <w:rFonts w:ascii="宋体" w:hAnsi="宋体" w:eastAsia="宋体"/>
                <w:sz w:val="16"/>
              </w:rPr>
              <w:t>召开侨联年度会议，传达上级会议精神；参加上级侨联业务培训；组织侨爱心公益活动；面向社会和侨界宣传《</w:t>
            </w:r>
            <w:r>
              <w:rPr>
                <w:rFonts w:hint="eastAsia" w:ascii="宋体" w:hAnsi="宋体"/>
                <w:sz w:val="16"/>
                <w:lang w:eastAsia="zh-CN"/>
              </w:rPr>
              <w:t>中华人民共和国归侨侨眷权益保护法</w:t>
            </w:r>
            <w:r>
              <w:rPr>
                <w:rFonts w:ascii="宋体" w:hAnsi="宋体" w:eastAsia="宋体"/>
                <w:sz w:val="16"/>
              </w:rPr>
              <w:t>》及其实施办法,开展法律咨询、法律宣讲；慰问州、县重点归侨侨眷，并组建全年全州新建“侨胞之家”；开展调研慰问活动，发挥工作队派出单位后盾作用。按照州党委保密工作的要求，更新国产化设备；购置办公用品及耗材，保障单位工作正常运转，积极</w:t>
            </w:r>
            <w:r>
              <w:rPr>
                <w:rFonts w:hint="eastAsia" w:ascii="宋体" w:hAnsi="宋体"/>
                <w:sz w:val="16"/>
                <w:lang w:eastAsia="zh-CN"/>
              </w:rPr>
              <w:t>参加</w:t>
            </w:r>
            <w:r>
              <w:rPr>
                <w:rFonts w:ascii="宋体" w:hAnsi="宋体" w:eastAsia="宋体"/>
                <w:sz w:val="16"/>
              </w:rPr>
              <w:t>各级侨联业务培训、指导县市侨联开展工作。团结和动员全州归侨、侨眷投身改革开放和现代化建设，协助有关部门做好统一战线工作。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9285B7">
            <w:pPr>
              <w:jc w:val="both"/>
            </w:pPr>
            <w:r>
              <w:rPr>
                <w:rFonts w:ascii="宋体" w:hAnsi="宋体" w:eastAsia="宋体"/>
                <w:sz w:val="16"/>
              </w:rPr>
              <w:t>2024年组织党组中心组专题学习和会议20次，开展涉侨工作2次，在全州新建“侨胞之家”1个，举办自治州侨联干部和归侨侨眷代表人士培训班，开展党的侨务</w:t>
            </w:r>
            <w:r>
              <w:rPr>
                <w:rFonts w:hint="eastAsia" w:ascii="宋体" w:hAnsi="宋体"/>
                <w:sz w:val="16"/>
                <w:lang w:eastAsia="zh-CN"/>
              </w:rPr>
              <w:t>党的理论和路线方针政策</w:t>
            </w:r>
            <w:r>
              <w:rPr>
                <w:rFonts w:ascii="宋体" w:hAnsi="宋体" w:eastAsia="宋体"/>
                <w:sz w:val="16"/>
              </w:rPr>
              <w:t>学习宣讲，组织第七届侨联委员和各县市侨联负责人传达学习党的二十届三中全会精神，牵头组织开展全会精神的学习宣传和贯彻落实。在统战支部的精心组织下，开展“三会一课”学习活动42次，开展侨界活动1次，通过围绕原著学、系统深入学、联系实际学，切实增强理论指导实践、推动工作的思想自觉和行动自觉；选派7人（次）参加上级侨联及相关部门的业务培训，不断提升侨联干部为侨服务能力。</w:t>
            </w:r>
          </w:p>
        </w:tc>
      </w:tr>
      <w:tr w14:paraId="1BB84CB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3974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D1BA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2A07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205D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F37B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BEF75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A9CED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6DDD6">
            <w:pPr>
              <w:jc w:val="center"/>
            </w:pPr>
            <w:r>
              <w:rPr>
                <w:rFonts w:ascii="宋体" w:hAnsi="宋体" w:eastAsia="宋体"/>
                <w:sz w:val="16"/>
              </w:rPr>
              <w:t>得分</w:t>
            </w:r>
          </w:p>
        </w:tc>
      </w:tr>
      <w:tr w14:paraId="211C878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B7B8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AC71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6022C">
            <w:pPr>
              <w:jc w:val="center"/>
            </w:pPr>
            <w:r>
              <w:rPr>
                <w:rFonts w:ascii="宋体" w:hAnsi="宋体" w:eastAsia="宋体"/>
                <w:sz w:val="16"/>
              </w:rPr>
              <w:t>开展涉侨工作次数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506C6">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8BB36">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52C62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61E21">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1BE90E">
            <w:pPr>
              <w:jc w:val="center"/>
            </w:pPr>
            <w:r>
              <w:rPr>
                <w:rFonts w:ascii="宋体" w:hAnsi="宋体" w:eastAsia="宋体"/>
                <w:sz w:val="16"/>
              </w:rPr>
              <w:t>20</w:t>
            </w:r>
          </w:p>
        </w:tc>
      </w:tr>
      <w:tr w14:paraId="4E6CA6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07729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F7D63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2C607">
            <w:pPr>
              <w:jc w:val="center"/>
            </w:pPr>
            <w:r>
              <w:rPr>
                <w:rFonts w:ascii="宋体" w:hAnsi="宋体" w:eastAsia="宋体"/>
                <w:sz w:val="16"/>
              </w:rPr>
              <w:t>全年全州新建“侨胞之家”数量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0BEA0">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9DB1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F860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B2052">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355BD">
            <w:pPr>
              <w:jc w:val="center"/>
            </w:pPr>
            <w:r>
              <w:rPr>
                <w:rFonts w:ascii="宋体" w:hAnsi="宋体" w:eastAsia="宋体"/>
                <w:sz w:val="16"/>
              </w:rPr>
              <w:t>20</w:t>
            </w:r>
          </w:p>
        </w:tc>
      </w:tr>
      <w:tr w14:paraId="320DB84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F354A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FCF50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049D7B">
            <w:pPr>
              <w:jc w:val="center"/>
            </w:pPr>
            <w:r>
              <w:rPr>
                <w:rFonts w:ascii="宋体" w:hAnsi="宋体" w:eastAsia="宋体"/>
                <w:sz w:val="16"/>
              </w:rPr>
              <w:t>举办归侨侨眷培训班次数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FABC1F">
            <w:pPr>
              <w:jc w:val="center"/>
            </w:pPr>
            <w:r>
              <w:rPr>
                <w:rFonts w:ascii="宋体" w:hAnsi="宋体" w:eastAsia="宋体"/>
                <w:sz w:val="16"/>
              </w:rPr>
              <w:t>&gt;=1期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CAAD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23BFF">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71593">
            <w:pPr>
              <w:jc w:val="center"/>
            </w:pPr>
            <w:r>
              <w:rPr>
                <w:rFonts w:ascii="宋体" w:hAnsi="宋体" w:eastAsia="宋体"/>
                <w:sz w:val="16"/>
              </w:rPr>
              <w:t>1期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66D61">
            <w:pPr>
              <w:jc w:val="center"/>
            </w:pPr>
            <w:r>
              <w:rPr>
                <w:rFonts w:ascii="宋体" w:hAnsi="宋体" w:eastAsia="宋体"/>
                <w:sz w:val="16"/>
              </w:rPr>
              <w:t>25</w:t>
            </w:r>
          </w:p>
        </w:tc>
      </w:tr>
      <w:tr w14:paraId="207CA6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ABE13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C322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A511F">
            <w:pPr>
              <w:jc w:val="center"/>
            </w:pPr>
            <w:r>
              <w:rPr>
                <w:rFonts w:ascii="宋体" w:hAnsi="宋体" w:eastAsia="宋体"/>
                <w:sz w:val="16"/>
              </w:rPr>
              <w:t>开展侨界活动次数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D77EC">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88E09A">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EB6496">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8D1EC">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60299A">
            <w:pPr>
              <w:jc w:val="center"/>
            </w:pPr>
            <w:r>
              <w:rPr>
                <w:rFonts w:ascii="宋体" w:hAnsi="宋体" w:eastAsia="宋体"/>
                <w:sz w:val="16"/>
              </w:rPr>
              <w:t>25</w:t>
            </w:r>
          </w:p>
        </w:tc>
      </w:tr>
    </w:tbl>
    <w:p w14:paraId="3D929E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449AAC54">
        <w:tblPrEx>
          <w:tblCellMar>
            <w:top w:w="0" w:type="dxa"/>
            <w:left w:w="108" w:type="dxa"/>
            <w:bottom w:w="0" w:type="dxa"/>
            <w:right w:w="108" w:type="dxa"/>
          </w:tblCellMar>
        </w:tblPrEx>
        <w:tc>
          <w:tcPr>
            <w:tcW w:w="8848" w:type="dxa"/>
            <w:gridSpan w:val="14"/>
            <w:vAlign w:val="center"/>
          </w:tcPr>
          <w:p w14:paraId="02214AF8">
            <w:pPr>
              <w:jc w:val="center"/>
            </w:pPr>
            <w:r>
              <w:rPr>
                <w:rFonts w:ascii="宋体" w:hAnsi="宋体" w:eastAsia="宋体"/>
                <w:sz w:val="24"/>
              </w:rPr>
              <w:t>项目支出绩效自评表</w:t>
            </w:r>
          </w:p>
        </w:tc>
      </w:tr>
      <w:tr w14:paraId="26A61285">
        <w:tblPrEx>
          <w:tblCellMar>
            <w:top w:w="0" w:type="dxa"/>
            <w:left w:w="108" w:type="dxa"/>
            <w:bottom w:w="0" w:type="dxa"/>
            <w:right w:w="108" w:type="dxa"/>
          </w:tblCellMar>
        </w:tblPrEx>
        <w:tc>
          <w:tcPr>
            <w:tcW w:w="8848" w:type="dxa"/>
            <w:gridSpan w:val="14"/>
            <w:vAlign w:val="center"/>
          </w:tcPr>
          <w:p w14:paraId="78408967">
            <w:pPr>
              <w:jc w:val="center"/>
            </w:pPr>
            <w:r>
              <w:rPr>
                <w:rFonts w:ascii="宋体" w:hAnsi="宋体" w:eastAsia="宋体"/>
                <w:sz w:val="24"/>
              </w:rPr>
              <w:t>(2024年度)</w:t>
            </w:r>
          </w:p>
        </w:tc>
      </w:tr>
      <w:tr w14:paraId="61C1C9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9B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219FAC">
            <w:pPr>
              <w:jc w:val="center"/>
            </w:pPr>
            <w:r>
              <w:rPr>
                <w:rFonts w:ascii="宋体" w:hAnsi="宋体" w:eastAsia="宋体"/>
                <w:sz w:val="16"/>
              </w:rPr>
              <w:t>2024年侨联业务工作项目</w:t>
            </w:r>
          </w:p>
        </w:tc>
      </w:tr>
      <w:tr w14:paraId="1F3053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22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BA3626">
            <w:pPr>
              <w:jc w:val="center"/>
            </w:pPr>
            <w:r>
              <w:rPr>
                <w:rFonts w:ascii="宋体" w:hAnsi="宋体" w:eastAsia="宋体"/>
                <w:sz w:val="16"/>
              </w:rPr>
              <w:t>新疆巴州归国华侨联合会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21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5964DF">
            <w:pPr>
              <w:jc w:val="center"/>
            </w:pPr>
            <w:r>
              <w:rPr>
                <w:rFonts w:ascii="宋体" w:hAnsi="宋体" w:eastAsia="宋体"/>
                <w:sz w:val="16"/>
              </w:rPr>
              <w:t>新疆巴州归国华侨联合会</w:t>
            </w:r>
          </w:p>
        </w:tc>
      </w:tr>
      <w:tr w14:paraId="330610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D802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426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AE8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53F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5C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C098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822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8B3C">
            <w:pPr>
              <w:jc w:val="center"/>
            </w:pPr>
            <w:r>
              <w:rPr>
                <w:rFonts w:ascii="宋体" w:hAnsi="宋体" w:eastAsia="宋体"/>
                <w:sz w:val="16"/>
              </w:rPr>
              <w:t>得分</w:t>
            </w:r>
          </w:p>
        </w:tc>
      </w:tr>
      <w:tr w14:paraId="69160D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8CA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B36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4C992">
            <w:pPr>
              <w:jc w:val="center"/>
            </w:pPr>
            <w:r>
              <w:rPr>
                <w:rFonts w:ascii="宋体" w:hAnsi="宋体" w:eastAsia="宋体"/>
                <w:sz w:val="16"/>
              </w:rPr>
              <w:t>10.19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6641F">
            <w:pPr>
              <w:jc w:val="center"/>
            </w:pPr>
            <w:r>
              <w:rPr>
                <w:rFonts w:ascii="宋体" w:hAnsi="宋体" w:eastAsia="宋体"/>
                <w:sz w:val="16"/>
              </w:rPr>
              <w:t>10.19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8E7AB">
            <w:pPr>
              <w:jc w:val="center"/>
            </w:pPr>
            <w:r>
              <w:rPr>
                <w:rFonts w:ascii="宋体" w:hAnsi="宋体" w:eastAsia="宋体"/>
                <w:sz w:val="16"/>
              </w:rPr>
              <w:t>10.19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406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BBDA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D599">
            <w:pPr>
              <w:jc w:val="center"/>
            </w:pPr>
            <w:r>
              <w:rPr>
                <w:rFonts w:ascii="宋体" w:hAnsi="宋体" w:eastAsia="宋体"/>
                <w:sz w:val="16"/>
              </w:rPr>
              <w:t>10.00</w:t>
            </w:r>
          </w:p>
        </w:tc>
      </w:tr>
      <w:tr w14:paraId="638D4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F5B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61D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0A119">
            <w:pPr>
              <w:jc w:val="center"/>
            </w:pPr>
            <w:r>
              <w:rPr>
                <w:rFonts w:ascii="宋体" w:hAnsi="宋体" w:eastAsia="宋体"/>
                <w:sz w:val="16"/>
              </w:rPr>
              <w:t>10.19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195B">
            <w:pPr>
              <w:jc w:val="center"/>
            </w:pPr>
            <w:r>
              <w:rPr>
                <w:rFonts w:ascii="宋体" w:hAnsi="宋体" w:eastAsia="宋体"/>
                <w:sz w:val="16"/>
              </w:rPr>
              <w:t>10.19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AEAE2">
            <w:pPr>
              <w:jc w:val="center"/>
            </w:pPr>
            <w:r>
              <w:rPr>
                <w:rFonts w:ascii="宋体" w:hAnsi="宋体" w:eastAsia="宋体"/>
                <w:sz w:val="16"/>
              </w:rPr>
              <w:t>10.19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39D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4C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A576">
            <w:pPr>
              <w:jc w:val="center"/>
            </w:pPr>
            <w:r>
              <w:rPr>
                <w:rFonts w:ascii="宋体" w:hAnsi="宋体" w:eastAsia="宋体"/>
                <w:sz w:val="16"/>
              </w:rPr>
              <w:t>-</w:t>
            </w:r>
          </w:p>
        </w:tc>
      </w:tr>
      <w:tr w14:paraId="326AE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5C4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38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92A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FB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67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80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C1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5529">
            <w:pPr>
              <w:jc w:val="center"/>
            </w:pPr>
            <w:r>
              <w:rPr>
                <w:rFonts w:ascii="宋体" w:hAnsi="宋体" w:eastAsia="宋体"/>
                <w:sz w:val="16"/>
              </w:rPr>
              <w:t>-</w:t>
            </w:r>
          </w:p>
        </w:tc>
      </w:tr>
      <w:tr w14:paraId="1F8A5B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5EC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9B8C1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C483B6">
            <w:pPr>
              <w:jc w:val="center"/>
            </w:pPr>
            <w:r>
              <w:rPr>
                <w:rFonts w:ascii="宋体" w:hAnsi="宋体" w:eastAsia="宋体"/>
                <w:sz w:val="16"/>
              </w:rPr>
              <w:t>总体目标完成情况</w:t>
            </w:r>
          </w:p>
        </w:tc>
      </w:tr>
      <w:tr w14:paraId="593EB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A20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D82F5">
            <w:pPr>
              <w:jc w:val="both"/>
            </w:pPr>
            <w:r>
              <w:rPr>
                <w:rFonts w:ascii="宋体" w:hAnsi="宋体" w:eastAsia="宋体"/>
                <w:sz w:val="16"/>
              </w:rPr>
              <w:t>参加各级侨联业务培训，指导县市侨联开展工作预计6次：组织侨爱心公益等活动；推进侨联改革；面向社会和侨界宣传《</w:t>
            </w:r>
            <w:r>
              <w:rPr>
                <w:rFonts w:hint="eastAsia" w:ascii="宋体" w:hAnsi="宋体"/>
                <w:sz w:val="16"/>
                <w:lang w:eastAsia="zh-CN"/>
              </w:rPr>
              <w:t>中华人民共和国归侨侨眷权益保护法</w:t>
            </w:r>
            <w:r>
              <w:rPr>
                <w:rFonts w:ascii="宋体" w:hAnsi="宋体" w:eastAsia="宋体"/>
                <w:sz w:val="16"/>
              </w:rPr>
              <w:t>》及其实施办法，开展法律咨询、法律宣讲；慰问州、县重点归侨侨眷；开展涉侨工作预计2次。按照州党委保密和档案工作要求，配备专用保密工作的设施预计1套，购置办公用品及耗材，有效保障单位工作正常运转；团结和动员全州归侨侨眷投身改革开放和现代化建设，教育归侨侨眷遵守我国宪法和法律，维护社会主义法治，维护侨益，参政议政，做好华侨、华人工作，协助有关部门做好统一战线的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D70CD9">
            <w:pPr>
              <w:jc w:val="both"/>
            </w:pPr>
            <w:r>
              <w:rPr>
                <w:rFonts w:ascii="宋体" w:hAnsi="宋体" w:eastAsia="宋体"/>
                <w:sz w:val="16"/>
              </w:rPr>
              <w:t>单位团结和动员全州归侨侨眷投身改革开放和现代化建设，教育归侨侨眷遵守我国宪法和法律，通过开展涉侨工作2次，依法保护华侨、归侨、侨眷的合法利益，指导县市侨联工作2次，提升社会各界对侨务法律法规的认知，为</w:t>
            </w:r>
            <w:r>
              <w:rPr>
                <w:rFonts w:hint="eastAsia" w:ascii="宋体" w:hAnsi="宋体"/>
                <w:sz w:val="16"/>
                <w:lang w:eastAsia="zh-CN"/>
              </w:rPr>
              <w:t>更好地</w:t>
            </w:r>
            <w:r>
              <w:rPr>
                <w:rFonts w:ascii="宋体" w:hAnsi="宋体" w:eastAsia="宋体"/>
                <w:sz w:val="16"/>
              </w:rPr>
              <w:t>维护社会主义法治，维护侨益，参政议政，做好华侨、华人工作，协助有关部门做好统一战线的工作，为保障单位正常运转购置办公设备1套，以提高办公效能。</w:t>
            </w:r>
          </w:p>
        </w:tc>
      </w:tr>
      <w:tr w14:paraId="47A302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9EC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30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2C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2E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9EB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D1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50F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11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BEB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B0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B7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009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020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82C7">
            <w:pPr>
              <w:jc w:val="center"/>
            </w:pPr>
            <w:r>
              <w:rPr>
                <w:rFonts w:ascii="宋体" w:hAnsi="宋体" w:eastAsia="宋体"/>
                <w:sz w:val="16"/>
              </w:rPr>
              <w:t>偏差原因分析及改进措施</w:t>
            </w:r>
          </w:p>
        </w:tc>
      </w:tr>
      <w:tr w14:paraId="563565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C6B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D36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608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3675">
            <w:pPr>
              <w:jc w:val="center"/>
            </w:pPr>
            <w:r>
              <w:rPr>
                <w:rFonts w:ascii="宋体" w:hAnsi="宋体" w:eastAsia="宋体"/>
                <w:sz w:val="16"/>
              </w:rPr>
              <w:t>开展涉侨工作次数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6BF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8A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C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36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7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FC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60D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5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84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6D09">
            <w:pPr>
              <w:jc w:val="center"/>
            </w:pPr>
          </w:p>
        </w:tc>
      </w:tr>
      <w:tr w14:paraId="36B23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24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D2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3E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0F04">
            <w:pPr>
              <w:jc w:val="center"/>
            </w:pPr>
            <w:r>
              <w:rPr>
                <w:rFonts w:ascii="宋体" w:hAnsi="宋体" w:eastAsia="宋体"/>
                <w:sz w:val="16"/>
              </w:rPr>
              <w:t>支付通信费次数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00B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B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7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13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5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FA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114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6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8F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DAA6">
            <w:pPr>
              <w:jc w:val="center"/>
            </w:pPr>
          </w:p>
        </w:tc>
      </w:tr>
      <w:tr w14:paraId="1DCE4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FD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15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3F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C7AB">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E559">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E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1D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0B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56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4A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30E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C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52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61DC">
            <w:pPr>
              <w:jc w:val="center"/>
            </w:pPr>
          </w:p>
        </w:tc>
      </w:tr>
      <w:tr w14:paraId="15C5E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D4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25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D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122E">
            <w:pPr>
              <w:jc w:val="center"/>
            </w:pPr>
            <w:r>
              <w:rPr>
                <w:rFonts w:ascii="宋体" w:hAnsi="宋体" w:eastAsia="宋体"/>
                <w:sz w:val="16"/>
              </w:rPr>
              <w:t>参加各级侨联业务、指导县市侨联开展工作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508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6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3C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8E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B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AE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031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45CF">
            <w:pPr>
              <w:jc w:val="center"/>
            </w:pPr>
            <w:r>
              <w:rPr>
                <w:rFonts w:ascii="宋体" w:hAnsi="宋体" w:eastAsia="宋体"/>
                <w:sz w:val="16"/>
              </w:rPr>
              <w:t>33.34%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64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9FB7">
            <w:pPr>
              <w:jc w:val="center"/>
            </w:pPr>
            <w:r>
              <w:rPr>
                <w:rFonts w:ascii="宋体" w:hAnsi="宋体" w:eastAsia="宋体"/>
                <w:sz w:val="16"/>
              </w:rPr>
              <w:t>2024年因单位主席、副主席分别抽调支持其他工作，从而无法开展年初工作计划，因此产生偏差。</w:t>
            </w:r>
            <w:r>
              <w:rPr>
                <w:rFonts w:hint="eastAsia" w:ascii="宋体" w:hAnsi="宋体"/>
                <w:sz w:val="16"/>
                <w:lang w:eastAsia="zh-CN"/>
              </w:rPr>
              <w:t>今后</w:t>
            </w:r>
            <w:r>
              <w:rPr>
                <w:rFonts w:ascii="宋体" w:hAnsi="宋体" w:eastAsia="宋体"/>
                <w:sz w:val="16"/>
              </w:rPr>
              <w:t>工</w:t>
            </w:r>
            <w:bookmarkStart w:id="0" w:name="_GoBack"/>
            <w:r>
              <w:rPr>
                <w:rFonts w:hint="eastAsia" w:ascii="宋体" w:hAnsi="宋体"/>
                <w:sz w:val="16"/>
                <w:lang w:eastAsia="zh-CN"/>
              </w:rPr>
              <w:t>作中</w:t>
            </w:r>
            <w:bookmarkEnd w:id="0"/>
            <w:r>
              <w:rPr>
                <w:rFonts w:ascii="宋体" w:hAnsi="宋体" w:eastAsia="宋体"/>
                <w:sz w:val="16"/>
              </w:rPr>
              <w:t>及</w:t>
            </w:r>
            <w:r>
              <w:rPr>
                <w:rFonts w:hint="eastAsia" w:ascii="宋体" w:hAnsi="宋体"/>
                <w:sz w:val="16"/>
                <w:lang w:eastAsia="zh-CN"/>
              </w:rPr>
              <w:t>时与</w:t>
            </w:r>
            <w:r>
              <w:rPr>
                <w:rFonts w:ascii="宋体" w:hAnsi="宋体" w:eastAsia="宋体"/>
                <w:sz w:val="16"/>
              </w:rPr>
              <w:t>相关部门沟通，做好单位计划内工作</w:t>
            </w:r>
            <w:r>
              <w:rPr>
                <w:rFonts w:hint="eastAsia" w:ascii="宋体" w:hAnsi="宋体"/>
                <w:sz w:val="16"/>
                <w:lang w:eastAsia="zh-CN"/>
              </w:rPr>
              <w:t>开展</w:t>
            </w:r>
            <w:r>
              <w:rPr>
                <w:rFonts w:ascii="宋体" w:hAnsi="宋体" w:eastAsia="宋体"/>
                <w:sz w:val="16"/>
              </w:rPr>
              <w:t>。</w:t>
            </w:r>
          </w:p>
        </w:tc>
      </w:tr>
      <w:tr w14:paraId="6F7FD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BD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89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7E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7D03">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141A1">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C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0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65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8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1F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EB7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F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CD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7641">
            <w:pPr>
              <w:jc w:val="center"/>
            </w:pPr>
          </w:p>
        </w:tc>
      </w:tr>
      <w:tr w14:paraId="068F9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DF0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3F2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0F7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074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2E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6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D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F9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8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03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C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3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20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1AC3">
            <w:pPr>
              <w:jc w:val="center"/>
            </w:pPr>
            <w:r>
              <w:rPr>
                <w:rFonts w:ascii="宋体" w:hAnsi="宋体" w:eastAsia="宋体"/>
                <w:sz w:val="16"/>
              </w:rPr>
              <w:t>2024年根据采购办要求应采必采，所有购买物品均进行采购，因此产生偏差。</w:t>
            </w:r>
          </w:p>
        </w:tc>
      </w:tr>
      <w:tr w14:paraId="36719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195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D7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EE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9DD2">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8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5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6B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45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9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C0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7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B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7E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9149">
            <w:pPr>
              <w:jc w:val="center"/>
            </w:pPr>
          </w:p>
        </w:tc>
      </w:tr>
      <w:tr w14:paraId="628C1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68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88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73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797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F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4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B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CA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5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C1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4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6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2E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5812">
            <w:pPr>
              <w:jc w:val="center"/>
            </w:pPr>
          </w:p>
        </w:tc>
      </w:tr>
      <w:tr w14:paraId="2181A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64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43A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EA2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24C5">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FC3B">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6D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3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63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05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DB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80F6">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4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44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EC53">
            <w:pPr>
              <w:jc w:val="center"/>
            </w:pPr>
          </w:p>
        </w:tc>
      </w:tr>
      <w:tr w14:paraId="5DA16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A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6B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A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776D">
            <w:pPr>
              <w:jc w:val="center"/>
            </w:pPr>
            <w:r>
              <w:rPr>
                <w:rFonts w:ascii="宋体" w:hAnsi="宋体" w:eastAsia="宋体"/>
                <w:sz w:val="16"/>
              </w:rPr>
              <w:t>参加各级侨联业务、指导县市侨联开展工作经费支付及时率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9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B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A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64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5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83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B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4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0E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29F3">
            <w:pPr>
              <w:jc w:val="center"/>
            </w:pPr>
          </w:p>
        </w:tc>
      </w:tr>
      <w:tr w14:paraId="3FF29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B6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1D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B8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ABA3">
            <w:pPr>
              <w:jc w:val="center"/>
            </w:pPr>
            <w:r>
              <w:rPr>
                <w:rFonts w:ascii="宋体" w:hAnsi="宋体" w:eastAsia="宋体"/>
                <w:sz w:val="16"/>
              </w:rPr>
              <w:t>综合办公经费支付及时率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9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A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E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7B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7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09D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7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E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E1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02BB">
            <w:pPr>
              <w:jc w:val="center"/>
            </w:pPr>
          </w:p>
        </w:tc>
      </w:tr>
      <w:tr w14:paraId="672260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DE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34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71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5DCA">
            <w:pPr>
              <w:jc w:val="center"/>
            </w:pPr>
            <w:r>
              <w:rPr>
                <w:rFonts w:ascii="宋体" w:hAnsi="宋体" w:eastAsia="宋体"/>
                <w:sz w:val="16"/>
              </w:rPr>
              <w:t>办公通信经费支付及时率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0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4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CD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CA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A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CC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E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9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EE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0F63">
            <w:pPr>
              <w:jc w:val="center"/>
            </w:pPr>
          </w:p>
        </w:tc>
      </w:tr>
      <w:tr w14:paraId="72220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CF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24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2B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D903">
            <w:pPr>
              <w:jc w:val="center"/>
            </w:pPr>
            <w:r>
              <w:rPr>
                <w:rFonts w:ascii="宋体" w:hAnsi="宋体" w:eastAsia="宋体"/>
                <w:sz w:val="16"/>
              </w:rPr>
              <w:t>开展涉侨工作经费支付及时率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7F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2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87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1D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B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C7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B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2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CE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9011">
            <w:pPr>
              <w:jc w:val="center"/>
            </w:pPr>
          </w:p>
        </w:tc>
      </w:tr>
      <w:tr w14:paraId="124D1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5A7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BA2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692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8213">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C497">
            <w:pPr>
              <w:jc w:val="center"/>
            </w:pPr>
            <w:r>
              <w:rPr>
                <w:rFonts w:ascii="宋体" w:hAnsi="宋体" w:eastAsia="宋体"/>
                <w:sz w:val="16"/>
              </w:rPr>
              <w:t>&lt;=1.29万元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C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2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80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B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0A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7A88">
            <w:pPr>
              <w:jc w:val="center"/>
            </w:pPr>
            <w:r>
              <w:rPr>
                <w:rFonts w:ascii="宋体" w:hAnsi="宋体" w:eastAsia="宋体"/>
                <w:sz w:val="16"/>
              </w:rPr>
              <w:t>=0.74万元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D086">
            <w:pPr>
              <w:jc w:val="center"/>
            </w:pPr>
            <w:r>
              <w:rPr>
                <w:rFonts w:ascii="宋体" w:hAnsi="宋体" w:eastAsia="宋体"/>
                <w:sz w:val="16"/>
              </w:rPr>
              <w:t>57.37%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A4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445">
            <w:pPr>
              <w:jc w:val="center"/>
            </w:pPr>
            <w:r>
              <w:rPr>
                <w:rFonts w:ascii="宋体" w:hAnsi="宋体" w:eastAsia="宋体"/>
                <w:sz w:val="16"/>
              </w:rPr>
              <w:t>因供货商价格下调，因此产生偏差，今后在工作及时与供应商联系，做好采购成本预算</w:t>
            </w:r>
            <w:r>
              <w:rPr>
                <w:rFonts w:hint="eastAsia" w:ascii="宋体" w:hAnsi="宋体"/>
                <w:sz w:val="16"/>
                <w:lang w:eastAsia="zh-CN"/>
              </w:rPr>
              <w:t>。</w:t>
            </w:r>
          </w:p>
        </w:tc>
      </w:tr>
      <w:tr w14:paraId="574AA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F8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8C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B4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DEAF">
            <w:pPr>
              <w:jc w:val="center"/>
            </w:pPr>
            <w:r>
              <w:rPr>
                <w:rFonts w:ascii="宋体" w:hAnsi="宋体" w:eastAsia="宋体"/>
                <w:sz w:val="16"/>
              </w:rPr>
              <w:t>办公通信经费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10FB">
            <w:pPr>
              <w:jc w:val="center"/>
            </w:pPr>
            <w:r>
              <w:rPr>
                <w:rFonts w:ascii="宋体" w:hAnsi="宋体" w:eastAsia="宋体"/>
                <w:sz w:val="16"/>
              </w:rPr>
              <w:t>&lt;=0.63万元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6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8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9B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69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6C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20EE">
            <w:pPr>
              <w:jc w:val="center"/>
            </w:pPr>
            <w:r>
              <w:rPr>
                <w:rFonts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B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DA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D92A">
            <w:pPr>
              <w:jc w:val="center"/>
            </w:pPr>
          </w:p>
        </w:tc>
      </w:tr>
      <w:tr w14:paraId="51EDC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3A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D1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F9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64E0">
            <w:pPr>
              <w:jc w:val="center"/>
            </w:pPr>
            <w:r>
              <w:rPr>
                <w:rFonts w:ascii="宋体" w:hAnsi="宋体" w:eastAsia="宋体"/>
                <w:sz w:val="16"/>
              </w:rPr>
              <w:t>综合办公经费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8D94">
            <w:pPr>
              <w:jc w:val="center"/>
            </w:pPr>
            <w:r>
              <w:rPr>
                <w:rFonts w:ascii="宋体" w:hAnsi="宋体" w:eastAsia="宋体"/>
                <w:sz w:val="16"/>
              </w:rPr>
              <w:t>&lt;=3.45万元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6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F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90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D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97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CF2D">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FA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B1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5EA4">
            <w:pPr>
              <w:jc w:val="center"/>
            </w:pPr>
            <w:r>
              <w:rPr>
                <w:rFonts w:ascii="宋体" w:hAnsi="宋体" w:eastAsia="宋体"/>
                <w:sz w:val="16"/>
              </w:rPr>
              <w:t>2024年根据上级要求，采购相应办公物品，因此产生偏差。今后在工作中单位各科室做好沟通，完成预算工作要求。</w:t>
            </w:r>
          </w:p>
        </w:tc>
      </w:tr>
      <w:tr w14:paraId="46D49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9F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AA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BE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591E">
            <w:pPr>
              <w:jc w:val="center"/>
            </w:pPr>
            <w:r>
              <w:rPr>
                <w:rFonts w:ascii="宋体" w:hAnsi="宋体" w:eastAsia="宋体"/>
                <w:sz w:val="16"/>
              </w:rPr>
              <w:t>参加各级侨联业务、指导县市侨联开展工作经费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0953">
            <w:pPr>
              <w:jc w:val="center"/>
            </w:pPr>
            <w:r>
              <w:rPr>
                <w:rFonts w:ascii="宋体" w:hAnsi="宋体" w:eastAsia="宋体"/>
                <w:sz w:val="16"/>
              </w:rPr>
              <w:t>&lt;=3.20万元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3B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8B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CC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8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F7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BC02">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0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63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87FE">
            <w:pPr>
              <w:jc w:val="center"/>
            </w:pPr>
          </w:p>
        </w:tc>
      </w:tr>
      <w:tr w14:paraId="6171B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B9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158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44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0BF5">
            <w:pPr>
              <w:jc w:val="center"/>
            </w:pPr>
            <w:r>
              <w:rPr>
                <w:rFonts w:ascii="宋体" w:hAnsi="宋体" w:eastAsia="宋体"/>
                <w:sz w:val="16"/>
              </w:rPr>
              <w:t>开展涉侨工作经费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9909">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7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F0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F9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8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AB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4B464">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7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2E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8501">
            <w:pPr>
              <w:jc w:val="center"/>
            </w:pPr>
          </w:p>
        </w:tc>
      </w:tr>
      <w:tr w14:paraId="2EF1D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AFC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447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054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30AD">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1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1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1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37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BB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166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4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F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8E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7878">
            <w:pPr>
              <w:jc w:val="center"/>
            </w:pPr>
          </w:p>
        </w:tc>
      </w:tr>
      <w:tr w14:paraId="148BB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25C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D2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0F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5D6F">
            <w:pPr>
              <w:jc w:val="center"/>
            </w:pPr>
            <w:r>
              <w:rPr>
                <w:rFonts w:ascii="宋体" w:hAnsi="宋体" w:eastAsia="宋体"/>
                <w:sz w:val="16"/>
              </w:rPr>
              <w:t>依法</w:t>
            </w:r>
            <w:r>
              <w:rPr>
                <w:rFonts w:hint="eastAsia" w:ascii="宋体" w:hAnsi="宋体"/>
                <w:sz w:val="16"/>
                <w:lang w:eastAsia="zh-CN"/>
              </w:rPr>
              <w:t>互助</w:t>
            </w:r>
            <w:r>
              <w:rPr>
                <w:rFonts w:ascii="宋体" w:hAnsi="宋体" w:eastAsia="宋体"/>
                <w:sz w:val="16"/>
              </w:rPr>
              <w:t>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FF7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6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7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09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A4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194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37F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2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75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1F97">
            <w:pPr>
              <w:jc w:val="center"/>
            </w:pPr>
          </w:p>
        </w:tc>
      </w:tr>
      <w:tr w14:paraId="442E2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54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F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62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BD44">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4F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39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D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9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AB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3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2B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A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81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8455">
            <w:pPr>
              <w:jc w:val="center"/>
            </w:pPr>
            <w:r>
              <w:rPr>
                <w:rFonts w:ascii="宋体" w:hAnsi="宋体" w:eastAsia="宋体"/>
                <w:sz w:val="16"/>
              </w:rPr>
              <w:t>2024年根据采购办要求应采必采，所有购买物品均进行采购，因此产生偏差</w:t>
            </w:r>
          </w:p>
        </w:tc>
      </w:tr>
      <w:tr w14:paraId="7F66E0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D8ED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ADE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C5BD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2F4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D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2CB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507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B12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D3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E570">
            <w:pPr>
              <w:jc w:val="center"/>
            </w:pPr>
            <w:r>
              <w:rPr>
                <w:rFonts w:ascii="宋体" w:hAnsi="宋体" w:eastAsia="宋体"/>
                <w:sz w:val="16"/>
              </w:rPr>
              <w:t>89.00分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2BF6D"/>
        </w:tc>
      </w:tr>
    </w:tbl>
    <w:p w14:paraId="34604D12">
      <w:r>
        <w:br w:type="page"/>
      </w:r>
    </w:p>
    <w:p w14:paraId="04A424B8">
      <w:pPr>
        <w:spacing w:line="640" w:lineRule="exact"/>
        <w:ind w:firstLine="640"/>
        <w:jc w:val="both"/>
        <w:outlineLvl w:val="2"/>
      </w:pPr>
      <w:r>
        <w:rPr>
          <w:rFonts w:ascii="黑体" w:hAnsi="黑体" w:eastAsia="黑体"/>
          <w:sz w:val="32"/>
        </w:rPr>
        <w:t>十二、其他需说明的事项</w:t>
      </w:r>
    </w:p>
    <w:p w14:paraId="39C15CF5">
      <w:pPr>
        <w:spacing w:line="580" w:lineRule="exact"/>
        <w:ind w:firstLine="640"/>
        <w:jc w:val="both"/>
      </w:pPr>
      <w:r>
        <w:rPr>
          <w:rFonts w:ascii="仿宋_GB2312" w:hAnsi="仿宋_GB2312" w:eastAsia="仿宋_GB2312"/>
          <w:b w:val="0"/>
          <w:sz w:val="32"/>
        </w:rPr>
        <w:t>本部门无其他需说明的事项。</w:t>
      </w:r>
    </w:p>
    <w:p w14:paraId="4B573F0C">
      <w:r>
        <w:br w:type="page"/>
      </w:r>
    </w:p>
    <w:p w14:paraId="76D68D65">
      <w:pPr>
        <w:spacing w:line="240" w:lineRule="auto"/>
        <w:jc w:val="center"/>
        <w:outlineLvl w:val="1"/>
      </w:pPr>
      <w:r>
        <w:rPr>
          <w:rFonts w:ascii="黑体" w:hAnsi="黑体" w:eastAsia="黑体"/>
          <w:sz w:val="32"/>
        </w:rPr>
        <w:t>第三部分 专业名词解释</w:t>
      </w:r>
    </w:p>
    <w:p w14:paraId="0104EDC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53D4C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5AD84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AEC37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549AA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EA6F1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3FA8E8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53DAC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38573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B2E98D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A392A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17AD4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E71E78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A4DB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5B1CC8">
      <w:r>
        <w:br w:type="page"/>
      </w:r>
    </w:p>
    <w:p w14:paraId="1A07490B">
      <w:pPr>
        <w:spacing w:line="240" w:lineRule="auto"/>
        <w:jc w:val="center"/>
        <w:outlineLvl w:val="1"/>
      </w:pPr>
      <w:r>
        <w:rPr>
          <w:rFonts w:ascii="黑体" w:hAnsi="黑体" w:eastAsia="黑体"/>
          <w:sz w:val="32"/>
        </w:rPr>
        <w:t>第四部分 部门决算报表（见附表）</w:t>
      </w:r>
    </w:p>
    <w:p w14:paraId="1B11843A">
      <w:pPr>
        <w:spacing w:line="240" w:lineRule="auto"/>
        <w:ind w:firstLine="640"/>
        <w:jc w:val="both"/>
      </w:pPr>
      <w:r>
        <w:rPr>
          <w:rFonts w:ascii="仿宋_GB2312" w:hAnsi="仿宋_GB2312" w:eastAsia="仿宋_GB2312"/>
          <w:b w:val="0"/>
          <w:sz w:val="32"/>
        </w:rPr>
        <w:t>一、《收入支出决算总表》</w:t>
      </w:r>
    </w:p>
    <w:p w14:paraId="6E6D59A0">
      <w:pPr>
        <w:spacing w:line="240" w:lineRule="auto"/>
        <w:ind w:firstLine="640"/>
        <w:jc w:val="both"/>
      </w:pPr>
      <w:r>
        <w:rPr>
          <w:rFonts w:ascii="仿宋_GB2312" w:hAnsi="仿宋_GB2312" w:eastAsia="仿宋_GB2312"/>
          <w:b w:val="0"/>
          <w:sz w:val="32"/>
        </w:rPr>
        <w:t>二、《收入决算表》</w:t>
      </w:r>
    </w:p>
    <w:p w14:paraId="6732B059">
      <w:pPr>
        <w:spacing w:line="240" w:lineRule="auto"/>
        <w:ind w:firstLine="640"/>
        <w:jc w:val="both"/>
      </w:pPr>
      <w:r>
        <w:rPr>
          <w:rFonts w:ascii="仿宋_GB2312" w:hAnsi="仿宋_GB2312" w:eastAsia="仿宋_GB2312"/>
          <w:b w:val="0"/>
          <w:sz w:val="32"/>
        </w:rPr>
        <w:t>三、《支出决算表》</w:t>
      </w:r>
    </w:p>
    <w:p w14:paraId="59B4156F">
      <w:pPr>
        <w:spacing w:line="240" w:lineRule="auto"/>
        <w:ind w:firstLine="640"/>
        <w:jc w:val="both"/>
      </w:pPr>
      <w:r>
        <w:rPr>
          <w:rFonts w:ascii="仿宋_GB2312" w:hAnsi="仿宋_GB2312" w:eastAsia="仿宋_GB2312"/>
          <w:b w:val="0"/>
          <w:sz w:val="32"/>
        </w:rPr>
        <w:t>四、《财政拨款收入支出决算总表》</w:t>
      </w:r>
    </w:p>
    <w:p w14:paraId="3A8176AC">
      <w:pPr>
        <w:spacing w:line="240" w:lineRule="auto"/>
        <w:ind w:firstLine="640"/>
        <w:jc w:val="both"/>
      </w:pPr>
      <w:r>
        <w:rPr>
          <w:rFonts w:ascii="仿宋_GB2312" w:hAnsi="仿宋_GB2312" w:eastAsia="仿宋_GB2312"/>
          <w:b w:val="0"/>
          <w:sz w:val="32"/>
        </w:rPr>
        <w:t>五、《一般公共预算财政拨款支出决算表》</w:t>
      </w:r>
    </w:p>
    <w:p w14:paraId="2EF7F7DB">
      <w:pPr>
        <w:spacing w:line="240" w:lineRule="auto"/>
        <w:ind w:firstLine="640"/>
        <w:jc w:val="both"/>
      </w:pPr>
      <w:r>
        <w:rPr>
          <w:rFonts w:ascii="仿宋_GB2312" w:hAnsi="仿宋_GB2312" w:eastAsia="仿宋_GB2312"/>
          <w:b w:val="0"/>
          <w:sz w:val="32"/>
        </w:rPr>
        <w:t>六、《一般公共预算财政拨款基本支出决算表》</w:t>
      </w:r>
    </w:p>
    <w:p w14:paraId="0CEA2853">
      <w:pPr>
        <w:spacing w:line="240" w:lineRule="auto"/>
        <w:ind w:firstLine="640"/>
        <w:jc w:val="both"/>
      </w:pPr>
      <w:r>
        <w:rPr>
          <w:rFonts w:ascii="仿宋_GB2312" w:hAnsi="仿宋_GB2312" w:eastAsia="仿宋_GB2312"/>
          <w:b w:val="0"/>
          <w:sz w:val="32"/>
        </w:rPr>
        <w:t>七、《政府性基金预算财政拨款收入支出决算表》</w:t>
      </w:r>
    </w:p>
    <w:p w14:paraId="418AC563">
      <w:pPr>
        <w:spacing w:line="240" w:lineRule="auto"/>
        <w:ind w:firstLine="640"/>
        <w:jc w:val="both"/>
      </w:pPr>
      <w:r>
        <w:rPr>
          <w:rFonts w:ascii="仿宋_GB2312" w:hAnsi="仿宋_GB2312" w:eastAsia="仿宋_GB2312"/>
          <w:b w:val="0"/>
          <w:sz w:val="32"/>
        </w:rPr>
        <w:t>八、《国有资本经营预算财政拨款收入支出决算表》</w:t>
      </w:r>
    </w:p>
    <w:p w14:paraId="18299E59">
      <w:pPr>
        <w:spacing w:line="240" w:lineRule="auto"/>
        <w:ind w:firstLine="640"/>
        <w:jc w:val="both"/>
      </w:pPr>
      <w:r>
        <w:rPr>
          <w:rFonts w:ascii="仿宋_GB2312" w:hAnsi="仿宋_GB2312" w:eastAsia="仿宋_GB2312"/>
          <w:b w:val="0"/>
          <w:sz w:val="32"/>
        </w:rPr>
        <w:t>九、《财政拨款“三公”经费支出决算表》</w:t>
      </w:r>
    </w:p>
    <w:p w14:paraId="648153B4">
      <w:pPr>
        <w:spacing w:line="240" w:lineRule="auto"/>
        <w:ind w:firstLine="640"/>
        <w:jc w:val="both"/>
      </w:pPr>
    </w:p>
    <w:p w14:paraId="5BA1DC1F">
      <w:pPr>
        <w:spacing w:line="240" w:lineRule="auto"/>
        <w:ind w:firstLine="640"/>
        <w:jc w:val="both"/>
      </w:pPr>
    </w:p>
    <w:p w14:paraId="6BD10B66">
      <w:pPr>
        <w:spacing w:line="240" w:lineRule="auto"/>
        <w:ind w:firstLine="640"/>
        <w:jc w:val="both"/>
      </w:pPr>
    </w:p>
    <w:p w14:paraId="7022E6BF">
      <w:pPr>
        <w:spacing w:line="240" w:lineRule="auto"/>
        <w:ind w:firstLine="640"/>
        <w:jc w:val="both"/>
      </w:pPr>
    </w:p>
    <w:p w14:paraId="7C8E513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955DEC"/>
    <w:rsid w:val="29116777"/>
    <w:rsid w:val="2A053397"/>
    <w:rsid w:val="2A444FB1"/>
    <w:rsid w:val="2A6064E2"/>
    <w:rsid w:val="2C1965E9"/>
    <w:rsid w:val="2D1136DF"/>
    <w:rsid w:val="2DAE0E44"/>
    <w:rsid w:val="2FD27414"/>
    <w:rsid w:val="313F1D52"/>
    <w:rsid w:val="318029AB"/>
    <w:rsid w:val="31C63837"/>
    <w:rsid w:val="326F0A17"/>
    <w:rsid w:val="3277581B"/>
    <w:rsid w:val="359267BA"/>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4695</Words>
  <Characters>5356</Characters>
  <Lines>0</Lines>
  <Paragraphs>0</Paragraphs>
  <TotalTime>5</TotalTime>
  <ScaleCrop>false</ScaleCrop>
  <LinksUpToDate>false</LinksUpToDate>
  <CharactersWithSpaces>5364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2025-09-11T10:49:13Z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