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巴音郭楞蒙古自治州工商业联合会2024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13D3B0">
      <w:r>
        <w:br w:type="page"/>
      </w:r>
    </w:p>
    <w:p w14:paraId="227496A4">
      <w:pPr>
        <w:spacing w:line="640" w:lineRule="exact"/>
        <w:jc w:val="center"/>
        <w:outlineLvl w:val="1"/>
      </w:pPr>
      <w:r>
        <w:rPr>
          <w:rFonts w:ascii="黑体" w:hAnsi="黑体" w:eastAsia="黑体"/>
          <w:sz w:val="32"/>
        </w:rPr>
        <w:t>第一部分 部门概况</w:t>
      </w:r>
    </w:p>
    <w:p w14:paraId="6DDCCA12">
      <w:pPr>
        <w:spacing w:line="640" w:lineRule="exact"/>
        <w:ind w:firstLine="640"/>
        <w:jc w:val="both"/>
        <w:outlineLvl w:val="2"/>
      </w:pPr>
      <w:r>
        <w:rPr>
          <w:rFonts w:ascii="黑体" w:hAnsi="黑体" w:eastAsia="黑体"/>
          <w:sz w:val="32"/>
        </w:rPr>
        <w:t>一、主要职能</w:t>
      </w:r>
    </w:p>
    <w:p w14:paraId="1C5E6702">
      <w:pPr>
        <w:spacing w:line="580" w:lineRule="exact"/>
        <w:ind w:firstLine="640"/>
        <w:jc w:val="both"/>
      </w:pPr>
      <w:r>
        <w:rPr>
          <w:rFonts w:ascii="仿宋_GB2312" w:hAnsi="仿宋_GB2312" w:eastAsia="仿宋_GB2312"/>
          <w:sz w:val="32"/>
        </w:rPr>
        <w:t>工商联是中国共产党领导的面向工商界、以非公有制企业和非公有制经济人士为主体的人民团体和商会组织，是党和政府联系非公有制经济人士的桥梁纽带，是政府管理和服务非公有制经济的助手。具有</w:t>
      </w:r>
      <w:bookmarkStart w:id="0" w:name="_GoBack"/>
      <w:r>
        <w:rPr>
          <w:rFonts w:ascii="仿宋_GB2312" w:hAnsi="仿宋_GB2312" w:eastAsia="仿宋_GB2312"/>
          <w:sz w:val="32"/>
        </w:rPr>
        <w:t>统战</w:t>
      </w:r>
      <w:bookmarkEnd w:id="0"/>
      <w:r>
        <w:rPr>
          <w:rFonts w:ascii="仿宋_GB2312" w:hAnsi="仿宋_GB2312" w:eastAsia="仿宋_GB2312"/>
          <w:sz w:val="32"/>
        </w:rPr>
        <w:t>性、经济性、民间性有机统一的基本特征，以非公有制经济健康发展和非公有制经济人士健康成长为工作主题。充分发挥在非公有制经济人士思想政治工作中的引导作用，在非公有制经济人士参与国家政治生活和社会事务中的重要作用，在政府管理和服务非公有制经济中的助手作用，在行业协会商会改革发展中的促进作用，在构建和谐劳动关系、加强和创新社会管理中的协同作用。</w:t>
      </w:r>
    </w:p>
    <w:p w14:paraId="241AD9E3">
      <w:pPr>
        <w:spacing w:line="640" w:lineRule="exact"/>
        <w:ind w:firstLine="640"/>
        <w:jc w:val="both"/>
        <w:outlineLvl w:val="2"/>
      </w:pPr>
      <w:r>
        <w:rPr>
          <w:rFonts w:ascii="黑体" w:hAnsi="黑体" w:eastAsia="黑体"/>
          <w:sz w:val="32"/>
        </w:rPr>
        <w:t>二、机构设置及人员情况</w:t>
      </w:r>
    </w:p>
    <w:p w14:paraId="5C5CB256">
      <w:pPr>
        <w:spacing w:line="580" w:lineRule="exact"/>
        <w:ind w:firstLine="640"/>
        <w:jc w:val="both"/>
      </w:pPr>
      <w:r>
        <w:rPr>
          <w:rFonts w:ascii="仿宋_GB2312" w:hAnsi="仿宋_GB2312" w:eastAsia="仿宋_GB2312"/>
          <w:sz w:val="32"/>
        </w:rPr>
        <w:t>巴音郭楞蒙古自治州工商业联合会2024年度，实有人数16人，其中：在职人员8人，增加0人；离休人员0人，增加0人；退休人员8人,增加1人。</w:t>
      </w:r>
    </w:p>
    <w:p w14:paraId="08311544">
      <w:pPr>
        <w:spacing w:line="580" w:lineRule="exact"/>
        <w:ind w:firstLine="640"/>
        <w:jc w:val="both"/>
      </w:pPr>
      <w:r>
        <w:rPr>
          <w:rFonts w:ascii="仿宋_GB2312" w:hAnsi="仿宋_GB2312" w:eastAsia="仿宋_GB2312"/>
          <w:sz w:val="32"/>
        </w:rPr>
        <w:t>巴音郭楞蒙古自治州工商业联合会无下属预算单位，下设3个科室，分别是：办公室、党建工作部、非公有制经济投诉维权服务中心。</w:t>
      </w:r>
    </w:p>
    <w:p w14:paraId="77705AA7">
      <w:r>
        <w:br w:type="page"/>
      </w:r>
    </w:p>
    <w:p w14:paraId="4741AFAA">
      <w:pPr>
        <w:spacing w:line="240" w:lineRule="auto"/>
        <w:jc w:val="center"/>
        <w:outlineLvl w:val="1"/>
      </w:pPr>
      <w:r>
        <w:rPr>
          <w:rFonts w:ascii="黑体" w:hAnsi="黑体" w:eastAsia="黑体"/>
          <w:sz w:val="32"/>
        </w:rPr>
        <w:t>第二部分 部门决算情况说明</w:t>
      </w:r>
    </w:p>
    <w:p w14:paraId="06D38044">
      <w:pPr>
        <w:spacing w:line="640" w:lineRule="exact"/>
        <w:ind w:firstLine="640"/>
        <w:jc w:val="both"/>
        <w:outlineLvl w:val="2"/>
      </w:pPr>
      <w:r>
        <w:rPr>
          <w:rFonts w:ascii="黑体" w:hAnsi="黑体" w:eastAsia="黑体"/>
          <w:sz w:val="32"/>
        </w:rPr>
        <w:t>一、收入支出决算总体情况说明</w:t>
      </w:r>
    </w:p>
    <w:p w14:paraId="1873796A">
      <w:pPr>
        <w:spacing w:line="580" w:lineRule="exact"/>
        <w:ind w:firstLine="640"/>
        <w:jc w:val="both"/>
      </w:pPr>
      <w:r>
        <w:rPr>
          <w:rFonts w:ascii="仿宋_GB2312" w:hAnsi="仿宋_GB2312" w:eastAsia="仿宋_GB2312"/>
          <w:b/>
          <w:sz w:val="32"/>
        </w:rPr>
        <w:t>2024年度收入总计340.46万元，</w:t>
      </w:r>
      <w:r>
        <w:rPr>
          <w:rFonts w:ascii="仿宋_GB2312" w:hAnsi="仿宋_GB2312" w:eastAsia="仿宋_GB2312"/>
          <w:b w:val="0"/>
          <w:sz w:val="32"/>
        </w:rPr>
        <w:t>其中：本年收入合计340.46万元，使用非财政拨款结余（含专用结余）0.00万元，年初结转和结余0.00万元。</w:t>
      </w:r>
    </w:p>
    <w:p w14:paraId="4F804A80">
      <w:pPr>
        <w:spacing w:line="580" w:lineRule="exact"/>
        <w:ind w:firstLine="640"/>
        <w:jc w:val="both"/>
      </w:pPr>
      <w:r>
        <w:rPr>
          <w:rFonts w:ascii="仿宋_GB2312" w:hAnsi="仿宋_GB2312" w:eastAsia="仿宋_GB2312"/>
          <w:b/>
          <w:sz w:val="32"/>
        </w:rPr>
        <w:t>2024年度支出总计340.46万元，</w:t>
      </w:r>
      <w:r>
        <w:rPr>
          <w:rFonts w:ascii="仿宋_GB2312" w:hAnsi="仿宋_GB2312" w:eastAsia="仿宋_GB2312"/>
          <w:b w:val="0"/>
          <w:sz w:val="32"/>
        </w:rPr>
        <w:t>其中：本年支出合计340.46万元，结余分配0.00万元，年末结转和结余0.00万元。</w:t>
      </w:r>
    </w:p>
    <w:p w14:paraId="43256E05">
      <w:pPr>
        <w:spacing w:line="580" w:lineRule="exact"/>
        <w:ind w:firstLine="640"/>
        <w:jc w:val="both"/>
      </w:pPr>
      <w:r>
        <w:rPr>
          <w:rFonts w:ascii="仿宋_GB2312" w:hAnsi="仿宋_GB2312" w:eastAsia="仿宋_GB2312"/>
          <w:b w:val="0"/>
          <w:sz w:val="32"/>
        </w:rPr>
        <w:t>收入支出总体与上年相比，增加17.94万元，增长5.56%，主要原因是：本年增加自治州第二批优秀专家工作室建设支持经费项目，导致经费较上年增加。</w:t>
      </w:r>
    </w:p>
    <w:p w14:paraId="47F83875">
      <w:pPr>
        <w:spacing w:line="640" w:lineRule="exact"/>
        <w:ind w:firstLine="640"/>
        <w:jc w:val="both"/>
        <w:outlineLvl w:val="2"/>
      </w:pPr>
      <w:r>
        <w:rPr>
          <w:rFonts w:ascii="黑体" w:hAnsi="黑体" w:eastAsia="黑体"/>
          <w:sz w:val="32"/>
        </w:rPr>
        <w:t>二、收入决算情况说明</w:t>
      </w:r>
    </w:p>
    <w:p w14:paraId="729B8911">
      <w:pPr>
        <w:spacing w:line="580" w:lineRule="exact"/>
        <w:ind w:firstLine="640"/>
        <w:jc w:val="both"/>
      </w:pPr>
      <w:r>
        <w:rPr>
          <w:rFonts w:ascii="仿宋_GB2312" w:hAnsi="仿宋_GB2312" w:eastAsia="仿宋_GB2312"/>
          <w:b/>
          <w:sz w:val="32"/>
        </w:rPr>
        <w:t>本年收入340.46万元，</w:t>
      </w:r>
      <w:r>
        <w:rPr>
          <w:rFonts w:ascii="仿宋_GB2312" w:hAnsi="仿宋_GB2312" w:eastAsia="仿宋_GB2312"/>
          <w:b w:val="0"/>
          <w:sz w:val="32"/>
        </w:rPr>
        <w:t>其中：财政拨款收入240.71万元，占70.70%；上级补助收入0.00万元，占0.00%；事业收入0.00万元，占0.00%；经营收入0.00万元，占0.00%；附属单位上缴收入0.00万元，占0.00%；其他收入99.75万元，占29.30%。</w:t>
      </w:r>
    </w:p>
    <w:p w14:paraId="6004E707">
      <w:pPr>
        <w:spacing w:line="640" w:lineRule="exact"/>
        <w:ind w:firstLine="640"/>
        <w:jc w:val="both"/>
        <w:outlineLvl w:val="2"/>
      </w:pPr>
      <w:r>
        <w:rPr>
          <w:rFonts w:ascii="黑体" w:hAnsi="黑体" w:eastAsia="黑体"/>
          <w:sz w:val="32"/>
        </w:rPr>
        <w:t>三、支出决算情况说明</w:t>
      </w:r>
    </w:p>
    <w:p w14:paraId="09E797BB">
      <w:pPr>
        <w:spacing w:line="580" w:lineRule="exact"/>
        <w:ind w:firstLine="640"/>
        <w:jc w:val="both"/>
      </w:pPr>
      <w:r>
        <w:rPr>
          <w:rFonts w:ascii="仿宋_GB2312" w:hAnsi="仿宋_GB2312" w:eastAsia="仿宋_GB2312"/>
          <w:b/>
          <w:sz w:val="32"/>
        </w:rPr>
        <w:t>本年支出340.46万元，</w:t>
      </w:r>
      <w:r>
        <w:rPr>
          <w:rFonts w:ascii="仿宋_GB2312" w:hAnsi="仿宋_GB2312" w:eastAsia="仿宋_GB2312"/>
          <w:b w:val="0"/>
          <w:sz w:val="32"/>
        </w:rPr>
        <w:t>其中：基本支出218.71万元，占64.24%；项目支出121.75万元，占35.76%；上缴上级支出0.00万元，占0.00%；经营支出0.00万元，占0.00%；对附属单位补助支出0.00万元，占0.00%。</w:t>
      </w:r>
    </w:p>
    <w:p w14:paraId="3DCD4F94">
      <w:pPr>
        <w:spacing w:line="640" w:lineRule="exact"/>
        <w:ind w:firstLine="640"/>
        <w:jc w:val="both"/>
        <w:outlineLvl w:val="2"/>
      </w:pPr>
      <w:r>
        <w:rPr>
          <w:rFonts w:ascii="黑体" w:hAnsi="黑体" w:eastAsia="黑体"/>
          <w:sz w:val="32"/>
        </w:rPr>
        <w:t>四、财政拨款收入支出决算总体情况说明</w:t>
      </w:r>
    </w:p>
    <w:p w14:paraId="784BDB74">
      <w:pPr>
        <w:spacing w:line="580" w:lineRule="exact"/>
        <w:ind w:firstLine="640"/>
        <w:jc w:val="both"/>
      </w:pPr>
      <w:r>
        <w:rPr>
          <w:rFonts w:ascii="仿宋_GB2312" w:hAnsi="仿宋_GB2312" w:eastAsia="仿宋_GB2312"/>
          <w:b/>
          <w:sz w:val="32"/>
        </w:rPr>
        <w:t>2024年度财政拨款收入总计240.71万元，</w:t>
      </w:r>
      <w:r>
        <w:rPr>
          <w:rFonts w:ascii="仿宋_GB2312" w:hAnsi="仿宋_GB2312" w:eastAsia="仿宋_GB2312"/>
          <w:b w:val="0"/>
          <w:sz w:val="32"/>
        </w:rPr>
        <w:t>其中：年初财政拨款结转和结余0.00万元，本年财政拨款收入240.71万元。</w:t>
      </w:r>
      <w:r>
        <w:rPr>
          <w:rFonts w:ascii="仿宋_GB2312" w:hAnsi="仿宋_GB2312" w:eastAsia="仿宋_GB2312"/>
          <w:b/>
          <w:sz w:val="32"/>
        </w:rPr>
        <w:t>财政拨款支出总计240.71万元，</w:t>
      </w:r>
      <w:r>
        <w:rPr>
          <w:rFonts w:ascii="仿宋_GB2312" w:hAnsi="仿宋_GB2312" w:eastAsia="仿宋_GB2312"/>
          <w:b w:val="0"/>
          <w:sz w:val="32"/>
        </w:rPr>
        <w:t>其中：年末财政拨款结转和结余0.00万元，本年财政拨款支出240.71万元。</w:t>
      </w:r>
    </w:p>
    <w:p w14:paraId="49ABE1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增加23.19万元，增长10.66%，主要原因是：本年增加自治州第二批优秀专家工作室建设支持经费项目，导致经费较上年增加。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年初预算数219.38万元，决算数240.71万元，预决算差异率9.72%，主要原因是：年中追加自治州第二批优秀专家工作室建设支持经费项目；年中追加人员工资、社保、公积金基数调增部分资金，导致预决算存在差异。</w:t>
      </w:r>
    </w:p>
    <w:p w14:paraId="490A7CF7">
      <w:pPr>
        <w:spacing w:line="640" w:lineRule="exact"/>
        <w:ind w:firstLine="640"/>
        <w:jc w:val="both"/>
        <w:outlineLvl w:val="2"/>
      </w:pPr>
      <w:r>
        <w:rPr>
          <w:rFonts w:ascii="黑体" w:hAnsi="黑体" w:eastAsia="黑体"/>
          <w:sz w:val="32"/>
        </w:rPr>
        <w:t>五、一般公共预算财政拨款支出决算情况说明</w:t>
      </w:r>
    </w:p>
    <w:p w14:paraId="24209DA5">
      <w:pPr>
        <w:spacing w:line="640" w:lineRule="exact"/>
        <w:ind w:firstLine="640"/>
        <w:jc w:val="both"/>
        <w:outlineLvl w:val="3"/>
      </w:pPr>
      <w:r>
        <w:rPr>
          <w:rFonts w:ascii="楷体_GB2312" w:hAnsi="楷体_GB2312" w:eastAsia="楷体_GB2312"/>
          <w:b/>
          <w:sz w:val="32"/>
        </w:rPr>
        <w:t>（一）一般公共预算财政拨款支出决算总体情况</w:t>
      </w:r>
    </w:p>
    <w:p w14:paraId="26A48F95">
      <w:pPr>
        <w:spacing w:line="580" w:lineRule="exact"/>
        <w:ind w:firstLine="640"/>
        <w:jc w:val="both"/>
      </w:pPr>
      <w:r>
        <w:rPr>
          <w:rFonts w:ascii="仿宋_GB2312" w:hAnsi="仿宋_GB2312" w:eastAsia="仿宋_GB2312"/>
          <w:b/>
          <w:sz w:val="32"/>
        </w:rPr>
        <w:t>2024年度一般公共预算财政拨款支出240.71万元，</w:t>
      </w:r>
      <w:r>
        <w:rPr>
          <w:rFonts w:ascii="仿宋_GB2312" w:hAnsi="仿宋_GB2312" w:eastAsia="仿宋_GB2312"/>
          <w:b w:val="0"/>
          <w:sz w:val="32"/>
        </w:rPr>
        <w:t>占本年支出合计的70.70%。</w:t>
      </w:r>
      <w:r>
        <w:rPr>
          <w:rFonts w:ascii="仿宋_GB2312" w:hAnsi="仿宋_GB2312" w:eastAsia="仿宋_GB2312"/>
          <w:b/>
          <w:sz w:val="32"/>
        </w:rPr>
        <w:t>与上年相比，</w:t>
      </w:r>
      <w:r>
        <w:rPr>
          <w:rFonts w:ascii="仿宋_GB2312" w:hAnsi="仿宋_GB2312" w:eastAsia="仿宋_GB2312"/>
          <w:b w:val="0"/>
          <w:sz w:val="32"/>
        </w:rPr>
        <w:t>增加23.19万元，增长10.66%，主要原因是：本年增加自治州第二批优秀专家工作室建设支持经费项目，导致经费较上年增加。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年初预算数219.38万元，决算数240.71万元，预决算差异率9.72%，主要原因是：年中追加自治州第二批优秀专家工作室建设支持经费项目；年中追加人员工资、社保、公积金基数调增部分资金，导致预决算存在差异。</w:t>
      </w:r>
    </w:p>
    <w:p w14:paraId="0184D4CA">
      <w:pPr>
        <w:spacing w:line="640" w:lineRule="exact"/>
        <w:ind w:firstLine="640"/>
        <w:jc w:val="both"/>
        <w:outlineLvl w:val="3"/>
      </w:pPr>
      <w:r>
        <w:rPr>
          <w:rFonts w:ascii="楷体_GB2312" w:hAnsi="楷体_GB2312" w:eastAsia="楷体_GB2312"/>
          <w:b/>
          <w:sz w:val="32"/>
        </w:rPr>
        <w:t>（二）一般公共预算财政拨款支出决算结构情况</w:t>
      </w:r>
    </w:p>
    <w:p w14:paraId="34BD8688">
      <w:pPr>
        <w:spacing w:line="580" w:lineRule="exact"/>
        <w:ind w:firstLine="640"/>
        <w:jc w:val="both"/>
      </w:pPr>
      <w:r>
        <w:rPr>
          <w:rFonts w:ascii="仿宋_GB2312" w:hAnsi="仿宋_GB2312" w:eastAsia="仿宋_GB2312"/>
          <w:b w:val="0"/>
          <w:sz w:val="32"/>
        </w:rPr>
        <w:t>1.一般公共服务支出(类)187.65万元,占77.96%。</w:t>
      </w:r>
    </w:p>
    <w:p w14:paraId="237446F5">
      <w:pPr>
        <w:spacing w:line="580" w:lineRule="exact"/>
        <w:ind w:firstLine="640"/>
        <w:jc w:val="both"/>
      </w:pPr>
      <w:r>
        <w:rPr>
          <w:rFonts w:ascii="仿宋_GB2312" w:hAnsi="仿宋_GB2312" w:eastAsia="仿宋_GB2312"/>
          <w:b w:val="0"/>
          <w:sz w:val="32"/>
        </w:rPr>
        <w:t>2.教育支出(类)0.65万元,占0.27%。</w:t>
      </w:r>
    </w:p>
    <w:p w14:paraId="05E1DA04">
      <w:pPr>
        <w:spacing w:line="580" w:lineRule="exact"/>
        <w:ind w:firstLine="640"/>
        <w:jc w:val="both"/>
      </w:pPr>
      <w:r>
        <w:rPr>
          <w:rFonts w:ascii="仿宋_GB2312" w:hAnsi="仿宋_GB2312" w:eastAsia="仿宋_GB2312"/>
          <w:b w:val="0"/>
          <w:sz w:val="32"/>
        </w:rPr>
        <w:t>3.社会保障和就业支出(类)32.34万元,占13.44%。</w:t>
      </w:r>
    </w:p>
    <w:p w14:paraId="4CC096DB">
      <w:pPr>
        <w:spacing w:line="580" w:lineRule="exact"/>
        <w:ind w:firstLine="640"/>
        <w:jc w:val="both"/>
      </w:pPr>
      <w:r>
        <w:rPr>
          <w:rFonts w:ascii="仿宋_GB2312" w:hAnsi="仿宋_GB2312" w:eastAsia="仿宋_GB2312"/>
          <w:b w:val="0"/>
          <w:sz w:val="32"/>
        </w:rPr>
        <w:t>4.卫生健康支出(类)10.15万元,占4.22%。</w:t>
      </w:r>
    </w:p>
    <w:p w14:paraId="7A5F4E39">
      <w:pPr>
        <w:spacing w:line="580" w:lineRule="exact"/>
        <w:ind w:firstLine="640"/>
        <w:jc w:val="both"/>
      </w:pPr>
      <w:r>
        <w:rPr>
          <w:rFonts w:ascii="仿宋_GB2312" w:hAnsi="仿宋_GB2312" w:eastAsia="仿宋_GB2312"/>
          <w:b w:val="0"/>
          <w:sz w:val="32"/>
        </w:rPr>
        <w:t>5.住房保障支出(类)9.92万元,占4.12%。</w:t>
      </w:r>
    </w:p>
    <w:p w14:paraId="0C3BE0A4">
      <w:pPr>
        <w:spacing w:line="640" w:lineRule="exact"/>
        <w:ind w:firstLine="640"/>
        <w:jc w:val="both"/>
        <w:outlineLvl w:val="3"/>
      </w:pPr>
      <w:r>
        <w:rPr>
          <w:rFonts w:ascii="楷体_GB2312" w:hAnsi="楷体_GB2312" w:eastAsia="楷体_GB2312"/>
          <w:b/>
          <w:sz w:val="32"/>
        </w:rPr>
        <w:t>（三）一般公共预算财政拨款支出决算具体情况</w:t>
      </w:r>
    </w:p>
    <w:p w14:paraId="37BB6C21">
      <w:pPr>
        <w:spacing w:line="580" w:lineRule="exact"/>
        <w:ind w:firstLine="640"/>
        <w:jc w:val="both"/>
      </w:pPr>
      <w:r>
        <w:rPr>
          <w:rFonts w:ascii="仿宋_GB2312" w:hAnsi="仿宋_GB2312" w:eastAsia="仿宋_GB2312"/>
          <w:b w:val="0"/>
          <w:sz w:val="32"/>
        </w:rPr>
        <w:t>1.一般公共服务支出(类)民主党派及工商联事务(款)行政运行(项):支出决算数为158.53万元，比上年决算增加17.82万元，增长12.66%,主要原因是：本年在职人员工资调增，导致相关人员经费较上年有所增加。</w:t>
      </w:r>
    </w:p>
    <w:p w14:paraId="59275AAA">
      <w:pPr>
        <w:spacing w:line="580" w:lineRule="exact"/>
        <w:ind w:firstLine="640"/>
        <w:jc w:val="both"/>
      </w:pPr>
      <w:r>
        <w:rPr>
          <w:rFonts w:ascii="仿宋_GB2312" w:hAnsi="仿宋_GB2312" w:eastAsia="仿宋_GB2312"/>
          <w:b w:val="0"/>
          <w:sz w:val="32"/>
        </w:rPr>
        <w:t>2.一般公共服务支出(类)民主党派及工商联事务(款)一般行政管理事务(项):支出决算数为22.00万元，比上年决算增加7.50万元，增长51.72%,主要原因是：本年增加自治州第二批优秀专家工作室建设支持经费项目。</w:t>
      </w:r>
    </w:p>
    <w:p w14:paraId="1D5F48E4">
      <w:pPr>
        <w:spacing w:line="580" w:lineRule="exact"/>
        <w:ind w:firstLine="640"/>
        <w:jc w:val="both"/>
      </w:pPr>
      <w:r>
        <w:rPr>
          <w:rFonts w:ascii="仿宋_GB2312" w:hAnsi="仿宋_GB2312" w:eastAsia="仿宋_GB2312"/>
          <w:b w:val="0"/>
          <w:sz w:val="32"/>
        </w:rPr>
        <w:t>3.一般公共服务支出(类)民主党派及工商联事务(款)事业运行(项):支出决算数为7.12万元，比上年决算减少3.81万元，下降34.86%,主要原因是：本年事业在职人员调入调出，人员职级不同，工资基数不同，导致人员经费较上年减少。</w:t>
      </w:r>
    </w:p>
    <w:p w14:paraId="493693D8">
      <w:pPr>
        <w:spacing w:line="580" w:lineRule="exact"/>
        <w:ind w:firstLine="640"/>
        <w:jc w:val="both"/>
      </w:pPr>
      <w:r>
        <w:rPr>
          <w:rFonts w:ascii="仿宋_GB2312" w:hAnsi="仿宋_GB2312" w:eastAsia="仿宋_GB2312"/>
          <w:b w:val="0"/>
          <w:sz w:val="32"/>
        </w:rPr>
        <w:t>4.教育支出(类)进修及培训(款)培训支出(项):支出决算数为0.65万元，比上年决算增加0.02万元，增长3.17%,主要原因是：为提升干部职工的职业技能、职业素养，提升工作效率，组织干部职工参加自治州相关业务培训次数增加，相应的培训费增加。</w:t>
      </w:r>
    </w:p>
    <w:p w14:paraId="20D77507">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5.社会保障和就业支出(类)行政事业单位养老支出(款)行政单位离退休(项):支出决算数为7.73万元，比上年决算增加1.15万元，增长17.48%,主要原因是：本年退休人员增加，退休费支出增加。</w:t>
      </w:r>
    </w:p>
    <w:p w14:paraId="0FDB15F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16.80万元，比上年决算增加2.06万元，增长13.98%,主要原因是：本年在职人员工资基数调增，养老缴费基数上涨，相应支出增加。</w:t>
      </w:r>
    </w:p>
    <w:p w14:paraId="59062F56">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7.80万元，比上年决算减少1.91万元，下降19.67%,主要原因是：本年新增退休人员较上年减少，职业年金缴费较上年减少。</w:t>
      </w:r>
    </w:p>
    <w:p w14:paraId="00627D72">
      <w:pPr>
        <w:spacing w:line="580" w:lineRule="exact"/>
        <w:ind w:firstLine="640"/>
        <w:jc w:val="both"/>
      </w:pPr>
      <w:r>
        <w:rPr>
          <w:rFonts w:ascii="仿宋_GB2312" w:hAnsi="仿宋_GB2312" w:eastAsia="仿宋_GB2312"/>
          <w:b w:val="0"/>
          <w:sz w:val="32"/>
        </w:rPr>
        <w:t>8.卫生健康支出(类)行政事业单位医疗(款)行政单位医疗(项):支出决算数为6.75万元，比上年决算增加1.13万元，增长20.11%,主要原因是：本年在职人员工资基数调增，医疗缴费基数上涨，相应行政单位医疗支出增加。</w:t>
      </w:r>
    </w:p>
    <w:p w14:paraId="48CA8311">
      <w:pPr>
        <w:spacing w:line="580" w:lineRule="exact"/>
        <w:ind w:firstLine="640"/>
        <w:jc w:val="both"/>
      </w:pPr>
      <w:r>
        <w:rPr>
          <w:rFonts w:ascii="仿宋_GB2312" w:hAnsi="仿宋_GB2312" w:eastAsia="仿宋_GB2312"/>
          <w:b w:val="0"/>
          <w:sz w:val="32"/>
        </w:rPr>
        <w:t>9.卫生健康支出(类)行政事业单位医疗(款)事业单位医疗(项):支出决算数为0.66万元，比上年决算增加0.04万元，增长6.45%,主要原因是：本年在职人员工资基数调增，医疗缴费基数上涨，相应事业单位医疗支出增加。</w:t>
      </w:r>
    </w:p>
    <w:p w14:paraId="5020580F">
      <w:pPr>
        <w:spacing w:line="580" w:lineRule="exact"/>
        <w:ind w:firstLine="640"/>
        <w:jc w:val="both"/>
      </w:pPr>
      <w:r>
        <w:rPr>
          <w:rFonts w:ascii="仿宋_GB2312" w:hAnsi="仿宋_GB2312" w:eastAsia="仿宋_GB2312"/>
          <w:b w:val="0"/>
          <w:sz w:val="32"/>
        </w:rPr>
        <w:t>10.卫生健康支出(类)行政事业单位医疗(款)公务员医疗补助(项):支出决算数为2.54万元，比上年决算增加0.10万元，增长4.10%,主要原因是：本年在职人员工资基数调增，医疗缴费基数上涨，相应公务员医疗补助支出增加。</w:t>
      </w:r>
    </w:p>
    <w:p w14:paraId="6D5007BF">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0.20万元，比上年决算减少0.16万元，下降44.44%,主要原因是：本年在职人员调入调出，人员职级不同，缴费基数不同，导致其他行政事业单位医疗较上年减少。</w:t>
      </w:r>
    </w:p>
    <w:p w14:paraId="4E8FA390">
      <w:pPr>
        <w:spacing w:line="580" w:lineRule="exact"/>
        <w:ind w:firstLine="640"/>
        <w:jc w:val="both"/>
      </w:pPr>
      <w:r>
        <w:rPr>
          <w:rFonts w:ascii="仿宋_GB2312" w:hAnsi="仿宋_GB2312" w:eastAsia="仿宋_GB2312"/>
          <w:b w:val="0"/>
          <w:sz w:val="32"/>
        </w:rPr>
        <w:t>12.住房保障支出(类)住房改革支出(款)住房公积金(项):支出决算数为9.92万元，比上年决算减少0.76万元，下降7.12%,主要原因是：本年在职人员调入调出，人员职级不同，缴费基数不同，导致住房公积金较上年减少。</w:t>
      </w:r>
    </w:p>
    <w:p w14:paraId="4F5E43DE">
      <w:pPr>
        <w:spacing w:line="640" w:lineRule="exact"/>
        <w:ind w:firstLine="640"/>
        <w:jc w:val="both"/>
        <w:outlineLvl w:val="2"/>
      </w:pPr>
      <w:r>
        <w:rPr>
          <w:rFonts w:ascii="黑体" w:hAnsi="黑体" w:eastAsia="黑体"/>
          <w:sz w:val="32"/>
        </w:rPr>
        <w:t>六、一般公共预算财政拨款基本支出决算情况说明</w:t>
      </w:r>
    </w:p>
    <w:p w14:paraId="470E1816">
      <w:pPr>
        <w:spacing w:line="580" w:lineRule="exact"/>
        <w:ind w:firstLine="640"/>
        <w:jc w:val="both"/>
      </w:pPr>
      <w:r>
        <w:rPr>
          <w:rFonts w:ascii="仿宋_GB2312" w:hAnsi="仿宋_GB2312" w:eastAsia="仿宋_GB2312"/>
          <w:b w:val="0"/>
          <w:sz w:val="32"/>
        </w:rPr>
        <w:t>2024年度一般公共预算财政拨款基本支出218.71万元，其中：</w:t>
      </w:r>
      <w:r>
        <w:rPr>
          <w:rFonts w:ascii="仿宋_GB2312" w:hAnsi="仿宋_GB2312" w:eastAsia="仿宋_GB2312"/>
          <w:b/>
          <w:sz w:val="32"/>
        </w:rPr>
        <w:t>人员经费187.77万元，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生活补助、奖励金。</w:t>
      </w:r>
    </w:p>
    <w:p w14:paraId="16B3B33A">
      <w:pPr>
        <w:spacing w:line="580" w:lineRule="exact"/>
        <w:ind w:firstLine="640"/>
        <w:jc w:val="both"/>
      </w:pPr>
      <w:r>
        <w:rPr>
          <w:rFonts w:ascii="仿宋_GB2312" w:hAnsi="仿宋_GB2312" w:eastAsia="仿宋_GB2312"/>
          <w:b/>
          <w:sz w:val="32"/>
        </w:rPr>
        <w:t>公用经费30.94万元，</w:t>
      </w:r>
      <w:r>
        <w:rPr>
          <w:rFonts w:ascii="仿宋_GB2312" w:hAnsi="仿宋_GB2312" w:eastAsia="仿宋_GB2312"/>
          <w:b w:val="0"/>
          <w:sz w:val="32"/>
        </w:rPr>
        <w:t>包括：办公费、水费、电费、邮电费、取暖费、物业管理费、差旅费、培训费、委托业务费、工会经费、福利费、公务用车运行维护费、其他商品和服务支出、办公设备购置。</w:t>
      </w:r>
    </w:p>
    <w:p w14:paraId="3BA76179">
      <w:pPr>
        <w:spacing w:line="640" w:lineRule="exact"/>
        <w:ind w:firstLine="640"/>
        <w:jc w:val="both"/>
        <w:outlineLvl w:val="2"/>
      </w:pPr>
      <w:r>
        <w:rPr>
          <w:rFonts w:ascii="黑体" w:hAnsi="黑体" w:eastAsia="黑体"/>
          <w:sz w:val="32"/>
        </w:rPr>
        <w:t>七、政府性基金预算财政拨款收入支出决算情况说明</w:t>
      </w:r>
    </w:p>
    <w:p w14:paraId="504DB407">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FEC6152">
      <w:pPr>
        <w:spacing w:line="640" w:lineRule="exact"/>
        <w:ind w:firstLine="640"/>
        <w:jc w:val="both"/>
        <w:outlineLvl w:val="2"/>
      </w:pPr>
      <w:r>
        <w:rPr>
          <w:rFonts w:ascii="黑体" w:hAnsi="黑体" w:eastAsia="黑体"/>
          <w:sz w:val="32"/>
        </w:rPr>
        <w:t>八、国有资本经营预算财政拨款收入支出决算情况说明</w:t>
      </w:r>
    </w:p>
    <w:p w14:paraId="0CAD935E">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3F0A1FDC">
      <w:pPr>
        <w:spacing w:line="640" w:lineRule="exact"/>
        <w:ind w:firstLine="640"/>
        <w:jc w:val="both"/>
        <w:outlineLvl w:val="2"/>
      </w:pPr>
      <w:r>
        <w:rPr>
          <w:rFonts w:ascii="黑体" w:hAnsi="黑体" w:eastAsia="黑体"/>
          <w:sz w:val="32"/>
        </w:rPr>
        <w:t>九、财政拨款“三公”经费支出决算情况说明</w:t>
      </w:r>
    </w:p>
    <w:p w14:paraId="2409CBA3">
      <w:pPr>
        <w:spacing w:line="580" w:lineRule="exact"/>
        <w:ind w:firstLine="640"/>
        <w:jc w:val="both"/>
      </w:pPr>
      <w:r>
        <w:rPr>
          <w:rFonts w:ascii="仿宋_GB2312" w:hAnsi="仿宋_GB2312" w:eastAsia="仿宋_GB2312"/>
          <w:b/>
          <w:sz w:val="32"/>
        </w:rPr>
        <w:t>2024年度财政拨款“三公”经费支出1.74万元，</w:t>
      </w:r>
      <w:r>
        <w:rPr>
          <w:rFonts w:ascii="仿宋_GB2312" w:hAnsi="仿宋_GB2312" w:eastAsia="仿宋_GB2312"/>
          <w:b w:val="0"/>
          <w:sz w:val="32"/>
        </w:rPr>
        <w:t>比上年减少1.06万元，下降37.86%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1.74万元，占100.00%，比上年减少1.06万元，下降37.86%，主要原因是：严格落实中央八项规定精神，厉行节约，减少公务用车运行维护费。公务接待费支出0.00万元，占0.00%，比上年增加0.00万元，增长0.00%，主要原因是：2023年与2024年均未安排公务接待费支出。</w:t>
      </w:r>
    </w:p>
    <w:p w14:paraId="1D9AEC5A">
      <w:pPr>
        <w:spacing w:line="580" w:lineRule="exact"/>
        <w:ind w:firstLine="640"/>
        <w:jc w:val="both"/>
      </w:pPr>
      <w:r>
        <w:rPr>
          <w:rFonts w:ascii="仿宋_GB2312" w:hAnsi="仿宋_GB2312" w:eastAsia="仿宋_GB2312"/>
          <w:b/>
          <w:sz w:val="32"/>
        </w:rPr>
        <w:t>具体情况如下：</w:t>
      </w:r>
    </w:p>
    <w:p w14:paraId="75B13B7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7998C529">
      <w:pPr>
        <w:spacing w:line="580" w:lineRule="exact"/>
        <w:ind w:firstLine="640"/>
        <w:jc w:val="both"/>
      </w:pPr>
      <w:r>
        <w:rPr>
          <w:rFonts w:ascii="仿宋_GB2312" w:hAnsi="仿宋_GB2312" w:eastAsia="仿宋_GB2312"/>
          <w:b w:val="0"/>
          <w:sz w:val="32"/>
        </w:rPr>
        <w:t>公务用车购置及运行维护费1.74万元，其中：公务用车购置费0.00万元，公务用车运行维护费1.74万元。公务用车运行维护费开支内容包括车辆加油费、维修费、保险费、审车费、过路费。公务用车购置数0辆，公务用车保有量1辆。国有资产占用情况中固定资产车辆1辆，与公务用车保有量差异原因是：本部门固定资产车辆与公务用车保有量一致无差异。</w:t>
      </w:r>
    </w:p>
    <w:p w14:paraId="42C5D3ED">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47BA718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1.74万元，决算数1.74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1.74万元，决算数1.74万元，预决算差异率0.00%，主要原因是：严格按照预算执行，预决算无差异。公务接待费全年预算数0.00万元，决算数0.00万元，预决算差异率0.00%，主要原因是：本部门无公务接待费。</w:t>
      </w:r>
    </w:p>
    <w:p w14:paraId="3CB0C615">
      <w:pPr>
        <w:spacing w:line="640" w:lineRule="exact"/>
        <w:ind w:firstLine="640"/>
        <w:jc w:val="both"/>
        <w:outlineLvl w:val="2"/>
      </w:pPr>
      <w:r>
        <w:rPr>
          <w:rFonts w:ascii="黑体" w:hAnsi="黑体" w:eastAsia="黑体"/>
          <w:sz w:val="32"/>
        </w:rPr>
        <w:t>十、其他重要事项的情况说明</w:t>
      </w:r>
    </w:p>
    <w:p w14:paraId="674CFEBE">
      <w:pPr>
        <w:spacing w:line="640" w:lineRule="exact"/>
        <w:ind w:firstLine="640"/>
        <w:jc w:val="both"/>
        <w:outlineLvl w:val="3"/>
      </w:pPr>
      <w:r>
        <w:rPr>
          <w:rFonts w:ascii="楷体_GB2312" w:hAnsi="楷体_GB2312" w:eastAsia="楷体_GB2312"/>
          <w:b/>
          <w:sz w:val="32"/>
        </w:rPr>
        <w:t>（一）机关运行经费及公用经费支出情况</w:t>
      </w:r>
    </w:p>
    <w:p w14:paraId="62271BFA">
      <w:pPr>
        <w:spacing w:line="580" w:lineRule="exact"/>
        <w:ind w:firstLine="640"/>
        <w:jc w:val="both"/>
      </w:pPr>
      <w:r>
        <w:rPr>
          <w:rFonts w:ascii="仿宋_GB2312" w:hAnsi="仿宋_GB2312" w:eastAsia="仿宋_GB2312"/>
          <w:b w:val="0"/>
          <w:sz w:val="32"/>
        </w:rPr>
        <w:t>2024年度巴音郭楞蒙古自治州工商业联合会（行政单位和参照公务员法管理事业单位）机关运行经费支出30.94万元，比上年减少0.88万元，下降2.77%，主要原因是：严控经费支出，厉行节约，减少经费支出。</w:t>
      </w:r>
    </w:p>
    <w:p w14:paraId="40AB8C4D">
      <w:pPr>
        <w:spacing w:line="640" w:lineRule="exact"/>
        <w:ind w:firstLine="640"/>
        <w:jc w:val="both"/>
        <w:outlineLvl w:val="3"/>
      </w:pPr>
      <w:r>
        <w:rPr>
          <w:rFonts w:ascii="楷体_GB2312" w:hAnsi="楷体_GB2312" w:eastAsia="楷体_GB2312"/>
          <w:b/>
          <w:sz w:val="32"/>
        </w:rPr>
        <w:t>（二）政府采购情况</w:t>
      </w:r>
    </w:p>
    <w:p w14:paraId="5FBE6700">
      <w:pPr>
        <w:spacing w:line="580" w:lineRule="exact"/>
        <w:ind w:firstLine="640"/>
        <w:jc w:val="both"/>
      </w:pPr>
      <w:r>
        <w:rPr>
          <w:rFonts w:ascii="仿宋_GB2312" w:hAnsi="仿宋_GB2312" w:eastAsia="仿宋_GB2312"/>
          <w:b w:val="0"/>
          <w:sz w:val="32"/>
        </w:rPr>
        <w:t>2024年度政府采购支出总额3.32万元，其中：政府采购货物支出2.20万元、政府采购工程支出0.00万元、政府采购服务支出1.12万元。</w:t>
      </w:r>
    </w:p>
    <w:p w14:paraId="1BDAFD6A">
      <w:pPr>
        <w:spacing w:line="580" w:lineRule="exact"/>
        <w:ind w:firstLine="640"/>
        <w:jc w:val="both"/>
      </w:pPr>
      <w:r>
        <w:rPr>
          <w:rFonts w:ascii="仿宋_GB2312" w:hAnsi="仿宋_GB2312" w:eastAsia="仿宋_GB2312"/>
          <w:b w:val="0"/>
          <w:sz w:val="32"/>
        </w:rPr>
        <w:t>授予中小企业合同金额1.70万元，占政府采购支出总额的51.20%，其中：授予小微企业合同金额1.39万元，占政府采购支出总额的41.87%。</w:t>
      </w:r>
    </w:p>
    <w:p w14:paraId="0FDEF6F8">
      <w:pPr>
        <w:spacing w:line="640" w:lineRule="exact"/>
        <w:ind w:firstLine="640"/>
        <w:jc w:val="both"/>
        <w:outlineLvl w:val="3"/>
      </w:pPr>
      <w:r>
        <w:rPr>
          <w:rFonts w:ascii="楷体_GB2312" w:hAnsi="楷体_GB2312" w:eastAsia="楷体_GB2312"/>
          <w:b/>
          <w:sz w:val="32"/>
        </w:rPr>
        <w:t>（三）国有资产占用情况说明</w:t>
      </w:r>
    </w:p>
    <w:p w14:paraId="6929A4E6">
      <w:pPr>
        <w:spacing w:line="580" w:lineRule="exact"/>
        <w:ind w:firstLine="640"/>
        <w:jc w:val="both"/>
      </w:pPr>
      <w:r>
        <w:rPr>
          <w:rFonts w:ascii="仿宋_GB2312" w:hAnsi="仿宋_GB2312" w:eastAsia="仿宋_GB2312"/>
          <w:b w:val="0"/>
          <w:sz w:val="32"/>
        </w:rPr>
        <w:t>截至2024年12月31日，房屋0.00平方米，价值0.00万元。车辆1辆，价值15.92万元，其中：副部（省）级及以上领导用车0辆、主要负责人用车1辆、机要通信用车0辆、应急保障用车0辆、执法执勤用车0辆、特种专业技术用车0辆、离退休干部服务用车0辆、其他用车0辆，其他用车主要是：本部门无其他用车。单价100万元（含）以上设备（不含车辆）0台（套）。</w:t>
      </w:r>
    </w:p>
    <w:p w14:paraId="3B80303E">
      <w:pPr>
        <w:spacing w:line="640" w:lineRule="exact"/>
        <w:ind w:firstLine="640"/>
        <w:jc w:val="both"/>
        <w:outlineLvl w:val="2"/>
      </w:pPr>
      <w:r>
        <w:rPr>
          <w:rFonts w:ascii="黑体" w:hAnsi="黑体" w:eastAsia="黑体"/>
          <w:sz w:val="32"/>
        </w:rPr>
        <w:t>十一、预算绩效的情况说明</w:t>
      </w:r>
    </w:p>
    <w:p w14:paraId="728EA959">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根据预算绩效管理要求，本部门2024年度预算绩效管理形成整体支出绩效自评表1个，全年预算总额340.46万元，实际执行总额340.46万元；预算绩效评价项目2个，全年预算数</w:t>
      </w:r>
      <w:r>
        <w:rPr>
          <w:rFonts w:hint="eastAsia" w:ascii="仿宋_GB2312" w:hAnsi="仿宋_GB2312" w:eastAsia="仿宋_GB2312"/>
          <w:b w:val="0"/>
          <w:sz w:val="32"/>
          <w:lang w:val="en-US" w:eastAsia="zh-CN"/>
        </w:rPr>
        <w:t>22</w:t>
      </w:r>
      <w:r>
        <w:rPr>
          <w:rFonts w:ascii="仿宋_GB2312" w:hAnsi="仿宋_GB2312" w:eastAsia="仿宋_GB2312"/>
          <w:b w:val="0"/>
          <w:sz w:val="32"/>
        </w:rPr>
        <w:t>.00万元，全年执行数</w:t>
      </w:r>
      <w:r>
        <w:rPr>
          <w:rFonts w:hint="eastAsia" w:ascii="仿宋_GB2312" w:hAnsi="仿宋_GB2312" w:eastAsia="仿宋_GB2312"/>
          <w:b w:val="0"/>
          <w:sz w:val="32"/>
          <w:lang w:val="en-US" w:eastAsia="zh-CN"/>
        </w:rPr>
        <w:t>22</w:t>
      </w:r>
      <w:r>
        <w:rPr>
          <w:rFonts w:ascii="仿宋_GB2312" w:hAnsi="仿宋_GB2312" w:eastAsia="仿宋_GB2312"/>
          <w:b w:val="0"/>
          <w:sz w:val="32"/>
        </w:rPr>
        <w:t>.00万元。预算绩效管理取得的成效：一是围绕核心职能科学设定绩效指标，年度绩效目标完成率显著提高，重点工作任务按计划推进；二是建立动态绩效监控机制，及时调整执行偏差，资金使用更加精准高效，低效无效支出有效减少；三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和部门评价报告。</w:t>
      </w:r>
    </w:p>
    <w:p w14:paraId="782B963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0453C38">
        <w:tblPrEx>
          <w:tblCellMar>
            <w:top w:w="0" w:type="dxa"/>
            <w:left w:w="108" w:type="dxa"/>
            <w:bottom w:w="0" w:type="dxa"/>
            <w:right w:w="108" w:type="dxa"/>
          </w:tblCellMar>
        </w:tblPrEx>
        <w:tc>
          <w:tcPr>
            <w:tcW w:w="8840" w:type="dxa"/>
            <w:gridSpan w:val="8"/>
            <w:vAlign w:val="center"/>
          </w:tcPr>
          <w:p w14:paraId="04FEA511">
            <w:pPr>
              <w:jc w:val="center"/>
            </w:pPr>
            <w:r>
              <w:rPr>
                <w:rFonts w:ascii="宋体" w:hAnsi="宋体" w:eastAsia="宋体"/>
                <w:sz w:val="24"/>
              </w:rPr>
              <w:t>部门整体支出绩效自评表</w:t>
            </w:r>
          </w:p>
        </w:tc>
      </w:tr>
      <w:tr w14:paraId="4CFC74F8">
        <w:tblPrEx>
          <w:tblCellMar>
            <w:top w:w="0" w:type="dxa"/>
            <w:left w:w="108" w:type="dxa"/>
            <w:bottom w:w="0" w:type="dxa"/>
            <w:right w:w="108" w:type="dxa"/>
          </w:tblCellMar>
        </w:tblPrEx>
        <w:tc>
          <w:tcPr>
            <w:tcW w:w="8840" w:type="dxa"/>
            <w:gridSpan w:val="8"/>
            <w:vAlign w:val="center"/>
          </w:tcPr>
          <w:p w14:paraId="6DC9B0D1">
            <w:pPr>
              <w:jc w:val="center"/>
            </w:pPr>
            <w:r>
              <w:rPr>
                <w:rFonts w:ascii="宋体" w:hAnsi="宋体" w:eastAsia="宋体"/>
                <w:sz w:val="24"/>
              </w:rPr>
              <w:t>（2024年度）</w:t>
            </w:r>
          </w:p>
        </w:tc>
      </w:tr>
      <w:tr w14:paraId="58585D7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E51D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5FB61">
            <w:pPr>
              <w:jc w:val="center"/>
            </w:pPr>
            <w:r>
              <w:rPr>
                <w:rFonts w:ascii="宋体" w:hAnsi="宋体" w:eastAsia="宋体"/>
                <w:sz w:val="16"/>
              </w:rPr>
              <w:t>巴音郭楞蒙古自治州工商业联合会</w:t>
            </w:r>
          </w:p>
        </w:tc>
      </w:tr>
      <w:tr w14:paraId="0251000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5987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70441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8CC36">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DE24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4E8DA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93DB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565E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9E26D">
            <w:pPr>
              <w:jc w:val="center"/>
            </w:pPr>
            <w:r>
              <w:rPr>
                <w:rFonts w:ascii="宋体" w:hAnsi="宋体" w:eastAsia="宋体"/>
                <w:sz w:val="16"/>
              </w:rPr>
              <w:t>得分</w:t>
            </w:r>
          </w:p>
        </w:tc>
      </w:tr>
      <w:tr w14:paraId="4E4788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4AF1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81447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BF50AF">
            <w:pPr>
              <w:jc w:val="center"/>
            </w:pPr>
            <w:r>
              <w:rPr>
                <w:rFonts w:ascii="宋体" w:hAnsi="宋体" w:eastAsia="宋体"/>
                <w:sz w:val="16"/>
              </w:rPr>
              <w:t>219.38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EA7BC">
            <w:pPr>
              <w:jc w:val="center"/>
            </w:pPr>
            <w:r>
              <w:rPr>
                <w:rFonts w:ascii="宋体" w:hAnsi="宋体" w:eastAsia="宋体"/>
                <w:sz w:val="16"/>
              </w:rPr>
              <w:t>340.46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53753">
            <w:pPr>
              <w:jc w:val="center"/>
            </w:pPr>
            <w:r>
              <w:rPr>
                <w:rFonts w:ascii="宋体" w:hAnsi="宋体" w:eastAsia="宋体"/>
                <w:sz w:val="16"/>
              </w:rPr>
              <w:t>340.46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A98B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0DFA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0473B">
            <w:pPr>
              <w:jc w:val="center"/>
            </w:pPr>
            <w:r>
              <w:rPr>
                <w:rFonts w:ascii="宋体" w:hAnsi="宋体" w:eastAsia="宋体"/>
                <w:sz w:val="16"/>
              </w:rPr>
              <w:t>10</w:t>
            </w:r>
          </w:p>
        </w:tc>
      </w:tr>
      <w:tr w14:paraId="619177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9C16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165D2">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C9A7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DD82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3809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DC52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FDA6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57AB5">
            <w:pPr>
              <w:jc w:val="center"/>
            </w:pPr>
            <w:r>
              <w:rPr>
                <w:rFonts w:ascii="宋体" w:hAnsi="宋体" w:eastAsia="宋体"/>
                <w:sz w:val="16"/>
              </w:rPr>
              <w:t>-</w:t>
            </w:r>
          </w:p>
        </w:tc>
      </w:tr>
      <w:tr w14:paraId="4A0F156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12B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9EA3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E100B">
            <w:pPr>
              <w:jc w:val="center"/>
            </w:pPr>
            <w:r>
              <w:rPr>
                <w:rFonts w:ascii="宋体" w:hAnsi="宋体" w:eastAsia="宋体"/>
                <w:sz w:val="16"/>
              </w:rPr>
              <w:t>219.38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FB794">
            <w:pPr>
              <w:jc w:val="center"/>
            </w:pPr>
            <w:r>
              <w:rPr>
                <w:rFonts w:ascii="宋体" w:hAnsi="宋体" w:eastAsia="宋体"/>
                <w:sz w:val="16"/>
              </w:rPr>
              <w:t>340.46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BC6363">
            <w:pPr>
              <w:jc w:val="center"/>
            </w:pPr>
            <w:r>
              <w:rPr>
                <w:rFonts w:ascii="宋体" w:hAnsi="宋体" w:eastAsia="宋体"/>
                <w:sz w:val="16"/>
              </w:rPr>
              <w:t>340.46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ADD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8E5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36245">
            <w:pPr>
              <w:jc w:val="center"/>
            </w:pPr>
            <w:r>
              <w:rPr>
                <w:rFonts w:ascii="宋体" w:hAnsi="宋体" w:eastAsia="宋体"/>
                <w:sz w:val="16"/>
              </w:rPr>
              <w:t>-</w:t>
            </w:r>
          </w:p>
        </w:tc>
      </w:tr>
      <w:tr w14:paraId="386D2D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3C5A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E89D7">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EBEA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86EB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E34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63DC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82C6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39221">
            <w:pPr>
              <w:jc w:val="center"/>
            </w:pPr>
            <w:r>
              <w:rPr>
                <w:rFonts w:ascii="宋体" w:hAnsi="宋体" w:eastAsia="宋体"/>
                <w:sz w:val="16"/>
              </w:rPr>
              <w:t>-</w:t>
            </w:r>
          </w:p>
        </w:tc>
      </w:tr>
      <w:tr w14:paraId="7861693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7E099">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C61D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9A66D6">
            <w:pPr>
              <w:jc w:val="center"/>
            </w:pPr>
            <w:r>
              <w:rPr>
                <w:rFonts w:ascii="宋体" w:hAnsi="宋体" w:eastAsia="宋体"/>
                <w:sz w:val="16"/>
              </w:rPr>
              <w:t>实际完成情况</w:t>
            </w:r>
          </w:p>
        </w:tc>
      </w:tr>
      <w:tr w14:paraId="5DD33F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6DFBD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E774E2">
            <w:pPr>
              <w:jc w:val="both"/>
            </w:pPr>
            <w:r>
              <w:rPr>
                <w:rFonts w:ascii="宋体" w:hAnsi="宋体" w:eastAsia="宋体"/>
                <w:sz w:val="16"/>
              </w:rPr>
              <w:t>围绕民营经济发展，开展调研活动；组织非公经济参加各类展会、对外经济联络和经贸考察交流，外出参观考察，对非公有制经济组织及人士教育培训（包括以会代训），帮助会员企业拓展市场；组织非公有制经济对外招商、项目对接洽谈活动。配合有关部门开展非公有制会员企业党建工作，积极引导非公有制企业及其非公有制经济人士承担社会责任，法治宣传，配合有关部门抓好非公企业普法。有效保障部门单位人员发放工资福利支出及运转支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F9A97">
            <w:pPr>
              <w:jc w:val="both"/>
            </w:pPr>
            <w:r>
              <w:rPr>
                <w:rFonts w:ascii="宋体" w:hAnsi="宋体" w:eastAsia="宋体"/>
                <w:sz w:val="16"/>
              </w:rPr>
              <w:t>加强和改进非公有制经济人士思想政治工作，围绕民营经济发展，开展调研活动1次；组织非公经济参加各类展会、对外经济联络和经贸考察交流1次，外出参观考察，对非公有制经济组织及人士教育培训（包括以会代训）1次，帮助会员企业拓展市场；组织非公有制经济对外招商、项目对接洽谈活动1次。配合有关部门开展非公有制会员企业党建工作，积极引导非公有制企业及其非公有制经济人士承担社会责任，法治宣传，配合有关部门抓好非公企业普法。有效保障部门单位人员发放工资福利支出及运转支出。</w:t>
            </w:r>
          </w:p>
        </w:tc>
      </w:tr>
      <w:tr w14:paraId="6A1417C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5972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BF1B8">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1FAFA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85DDE">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408B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570F7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26BF49">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82FBDB">
            <w:pPr>
              <w:jc w:val="center"/>
            </w:pPr>
            <w:r>
              <w:rPr>
                <w:rFonts w:ascii="宋体" w:hAnsi="宋体" w:eastAsia="宋体"/>
                <w:sz w:val="16"/>
              </w:rPr>
              <w:t>得分</w:t>
            </w:r>
          </w:p>
        </w:tc>
      </w:tr>
      <w:tr w14:paraId="60CB742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40B2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E607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1CFBC">
            <w:pPr>
              <w:jc w:val="center"/>
            </w:pPr>
            <w:r>
              <w:rPr>
                <w:rFonts w:ascii="宋体" w:hAnsi="宋体" w:eastAsia="宋体"/>
                <w:sz w:val="16"/>
              </w:rPr>
              <w:t>对非公有制经济组织及人士教育培训（包括以会代训）次数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E6CBA">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4491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1D7D4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21938">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29288">
            <w:pPr>
              <w:jc w:val="center"/>
            </w:pPr>
            <w:r>
              <w:rPr>
                <w:rFonts w:ascii="宋体" w:hAnsi="宋体" w:eastAsia="宋体"/>
                <w:sz w:val="16"/>
              </w:rPr>
              <w:t>20</w:t>
            </w:r>
          </w:p>
        </w:tc>
      </w:tr>
      <w:tr w14:paraId="71ED79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2DC4E2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91050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D3B75F">
            <w:pPr>
              <w:jc w:val="center"/>
            </w:pPr>
            <w:r>
              <w:rPr>
                <w:rFonts w:ascii="宋体" w:hAnsi="宋体" w:eastAsia="宋体"/>
                <w:sz w:val="16"/>
              </w:rPr>
              <w:t>开展民营经济调研活动次数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06C8A">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ED274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950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1C25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0549A2">
            <w:pPr>
              <w:jc w:val="center"/>
            </w:pPr>
            <w:r>
              <w:rPr>
                <w:rFonts w:ascii="宋体" w:hAnsi="宋体" w:eastAsia="宋体"/>
                <w:sz w:val="16"/>
              </w:rPr>
              <w:t>20</w:t>
            </w:r>
          </w:p>
        </w:tc>
      </w:tr>
      <w:tr w14:paraId="0502180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FF25E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A7E08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85563">
            <w:pPr>
              <w:jc w:val="center"/>
            </w:pPr>
            <w:r>
              <w:rPr>
                <w:rFonts w:ascii="宋体" w:hAnsi="宋体" w:eastAsia="宋体"/>
                <w:sz w:val="16"/>
              </w:rPr>
              <w:t>参与各类展会、活动次数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00955B">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C5B4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2A603">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B837F">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BA5E8D">
            <w:pPr>
              <w:jc w:val="center"/>
            </w:pPr>
            <w:r>
              <w:rPr>
                <w:rFonts w:ascii="宋体" w:hAnsi="宋体" w:eastAsia="宋体"/>
                <w:sz w:val="16"/>
              </w:rPr>
              <w:t>25</w:t>
            </w:r>
          </w:p>
        </w:tc>
      </w:tr>
      <w:tr w14:paraId="537279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46B05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CA00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74D32">
            <w:pPr>
              <w:jc w:val="center"/>
            </w:pPr>
            <w:r>
              <w:rPr>
                <w:rFonts w:ascii="宋体" w:hAnsi="宋体" w:eastAsia="宋体"/>
                <w:sz w:val="16"/>
              </w:rPr>
              <w:t>参与招商、项目对接活动次数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6AC928">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C67D8">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F1A0B">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C124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C659F">
            <w:pPr>
              <w:jc w:val="center"/>
            </w:pPr>
            <w:r>
              <w:rPr>
                <w:rFonts w:ascii="宋体" w:hAnsi="宋体" w:eastAsia="宋体"/>
                <w:sz w:val="16"/>
              </w:rPr>
              <w:t>25</w:t>
            </w:r>
          </w:p>
        </w:tc>
      </w:tr>
    </w:tbl>
    <w:p w14:paraId="2A7D9D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FCA7C10">
        <w:tblPrEx>
          <w:tblCellMar>
            <w:top w:w="0" w:type="dxa"/>
            <w:left w:w="108" w:type="dxa"/>
            <w:bottom w:w="0" w:type="dxa"/>
            <w:right w:w="108" w:type="dxa"/>
          </w:tblCellMar>
        </w:tblPrEx>
        <w:tc>
          <w:tcPr>
            <w:tcW w:w="8848" w:type="dxa"/>
            <w:gridSpan w:val="14"/>
            <w:vAlign w:val="center"/>
          </w:tcPr>
          <w:p w14:paraId="3FDA3666">
            <w:pPr>
              <w:jc w:val="center"/>
            </w:pPr>
            <w:r>
              <w:rPr>
                <w:rFonts w:ascii="宋体" w:hAnsi="宋体" w:eastAsia="宋体"/>
                <w:sz w:val="24"/>
              </w:rPr>
              <w:t>项目支出绩效自评表</w:t>
            </w:r>
          </w:p>
        </w:tc>
      </w:tr>
      <w:tr w14:paraId="0FCCF683">
        <w:tblPrEx>
          <w:tblCellMar>
            <w:top w:w="0" w:type="dxa"/>
            <w:left w:w="108" w:type="dxa"/>
            <w:bottom w:w="0" w:type="dxa"/>
            <w:right w:w="108" w:type="dxa"/>
          </w:tblCellMar>
        </w:tblPrEx>
        <w:tc>
          <w:tcPr>
            <w:tcW w:w="8848" w:type="dxa"/>
            <w:gridSpan w:val="14"/>
            <w:vAlign w:val="center"/>
          </w:tcPr>
          <w:p w14:paraId="4627CD0C">
            <w:pPr>
              <w:jc w:val="center"/>
            </w:pPr>
            <w:r>
              <w:rPr>
                <w:rFonts w:ascii="宋体" w:hAnsi="宋体" w:eastAsia="宋体"/>
                <w:sz w:val="24"/>
              </w:rPr>
              <w:t>(2024年度)</w:t>
            </w:r>
          </w:p>
        </w:tc>
      </w:tr>
      <w:tr w14:paraId="6A46CC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B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F67D28">
            <w:pPr>
              <w:jc w:val="center"/>
            </w:pPr>
            <w:r>
              <w:rPr>
                <w:rFonts w:ascii="宋体" w:hAnsi="宋体" w:eastAsia="宋体"/>
                <w:sz w:val="16"/>
              </w:rPr>
              <w:t>非公有制经济组织教育、调研及党建专项业务项目</w:t>
            </w:r>
          </w:p>
        </w:tc>
      </w:tr>
      <w:tr w14:paraId="54E9B3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B43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809CB">
            <w:pPr>
              <w:jc w:val="center"/>
            </w:pPr>
            <w:r>
              <w:rPr>
                <w:rFonts w:ascii="宋体" w:hAnsi="宋体" w:eastAsia="宋体"/>
                <w:sz w:val="16"/>
              </w:rPr>
              <w:t>巴音郭楞蒙古自治州工商业联合会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F9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82EBA6">
            <w:pPr>
              <w:jc w:val="center"/>
            </w:pPr>
            <w:r>
              <w:rPr>
                <w:rFonts w:ascii="宋体" w:hAnsi="宋体" w:eastAsia="宋体"/>
                <w:sz w:val="16"/>
              </w:rPr>
              <w:t>巴音郭楞蒙古自治州工商业联合会</w:t>
            </w:r>
          </w:p>
        </w:tc>
      </w:tr>
      <w:tr w14:paraId="66D671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795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5A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7BA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D1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3FA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5079">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E9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2190">
            <w:pPr>
              <w:jc w:val="center"/>
            </w:pPr>
            <w:r>
              <w:rPr>
                <w:rFonts w:ascii="宋体" w:hAnsi="宋体" w:eastAsia="宋体"/>
                <w:sz w:val="16"/>
              </w:rPr>
              <w:t>得分</w:t>
            </w:r>
          </w:p>
        </w:tc>
      </w:tr>
      <w:tr w14:paraId="3F9A5C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5A3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4E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4AEC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AE9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1334B">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503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C07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1FFE">
            <w:pPr>
              <w:jc w:val="center"/>
            </w:pPr>
            <w:r>
              <w:rPr>
                <w:rFonts w:ascii="宋体" w:hAnsi="宋体" w:eastAsia="宋体"/>
                <w:sz w:val="16"/>
              </w:rPr>
              <w:t>10.00</w:t>
            </w:r>
          </w:p>
        </w:tc>
      </w:tr>
      <w:tr w14:paraId="020AD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6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38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9C1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80DF">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8AC0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F2B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77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A6DE">
            <w:pPr>
              <w:jc w:val="center"/>
            </w:pPr>
            <w:r>
              <w:rPr>
                <w:rFonts w:ascii="宋体" w:hAnsi="宋体" w:eastAsia="宋体"/>
                <w:sz w:val="16"/>
              </w:rPr>
              <w:t>-</w:t>
            </w:r>
          </w:p>
        </w:tc>
      </w:tr>
      <w:tr w14:paraId="2827E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CDE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EEB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06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9DF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D9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D99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51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1FF1">
            <w:pPr>
              <w:jc w:val="center"/>
            </w:pPr>
            <w:r>
              <w:rPr>
                <w:rFonts w:ascii="宋体" w:hAnsi="宋体" w:eastAsia="宋体"/>
                <w:sz w:val="16"/>
              </w:rPr>
              <w:t>-</w:t>
            </w:r>
          </w:p>
        </w:tc>
      </w:tr>
      <w:tr w14:paraId="00132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FFB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0BA1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17B8F7">
            <w:pPr>
              <w:jc w:val="center"/>
            </w:pPr>
            <w:r>
              <w:rPr>
                <w:rFonts w:ascii="宋体" w:hAnsi="宋体" w:eastAsia="宋体"/>
                <w:sz w:val="16"/>
              </w:rPr>
              <w:t>总体目标完成情况</w:t>
            </w:r>
          </w:p>
        </w:tc>
      </w:tr>
      <w:tr w14:paraId="0BA3C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4C3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32DF9">
            <w:pPr>
              <w:jc w:val="both"/>
            </w:pPr>
            <w:r>
              <w:rPr>
                <w:rFonts w:ascii="宋体" w:hAnsi="宋体" w:eastAsia="宋体"/>
                <w:sz w:val="16"/>
              </w:rPr>
              <w:t>加强和改进非公有制经济人士思想政治工作，围绕民营经济发展开展调研活动，推动经贸交流与协作，组织企业参加各类展会，组织非公有制经济人士对外经济联络和经贸考察交流、对外招商、项目对接洽谈活动预计4次。按照州党委保密和档案工作要求，配备专用保密工作的设施预计2台，购置办公用品及耗材，有效保障单位工作正常运转加强和巩固脱贫攻坚成效。加强自治州非公有制经济组织党的建设工作，走访慰问非公有制经济党组织老党员、老模范、困难党员。代表并维护会员的合法权益，协调和帮助民营企业解决实际困难和问题。从而促进非公有制经济人士健康成长，支持非公有制经济健康发展，维护非公经济合法权益，促进和谐劳动关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05045">
            <w:pPr>
              <w:jc w:val="both"/>
            </w:pPr>
            <w:r>
              <w:rPr>
                <w:rFonts w:ascii="宋体" w:hAnsi="宋体" w:eastAsia="宋体"/>
                <w:sz w:val="16"/>
              </w:rPr>
              <w:t>参与民营经济调研、参展、招商等活动4次，加强和改进非公有制经济人士思想政治工作，围绕民营经济发展开展调研活动，推动经贸交流与协作。组织非公有制经济党组织老党员、老模范、困难党员。代表维护会员的合法权益，协调和帮助民营企业解决实际困难和问题。为更好</w:t>
            </w:r>
            <w:r>
              <w:rPr>
                <w:rFonts w:hint="eastAsia" w:ascii="宋体" w:hAnsi="宋体"/>
                <w:sz w:val="16"/>
                <w:lang w:eastAsia="zh-CN"/>
              </w:rPr>
              <w:t>地</w:t>
            </w:r>
            <w:r>
              <w:rPr>
                <w:rFonts w:ascii="宋体" w:hAnsi="宋体" w:eastAsia="宋体"/>
                <w:sz w:val="16"/>
              </w:rPr>
              <w:t>保障该项目能够按照预期制定的目标实施，购置办公设备2台，保障8名办公人员的工作经费及时支付，为促进非公有制经济人士健康成长，支持非公有制经济健康发展，维护非公经济合法权益，促进和谐劳动关系。</w:t>
            </w:r>
          </w:p>
        </w:tc>
      </w:tr>
      <w:tr w14:paraId="7DCD29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A8D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9A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6D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B7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5F8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AA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336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5E7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BEB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B0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576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9E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A7B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651D">
            <w:pPr>
              <w:jc w:val="center"/>
            </w:pPr>
            <w:r>
              <w:rPr>
                <w:rFonts w:ascii="宋体" w:hAnsi="宋体" w:eastAsia="宋体"/>
                <w:sz w:val="16"/>
              </w:rPr>
              <w:t>偏差原因分析及改进措施</w:t>
            </w:r>
          </w:p>
        </w:tc>
      </w:tr>
      <w:tr w14:paraId="5FD1A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D34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1A8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B42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5243">
            <w:pPr>
              <w:jc w:val="center"/>
            </w:pPr>
            <w:r>
              <w:rPr>
                <w:rFonts w:ascii="宋体" w:hAnsi="宋体" w:eastAsia="宋体"/>
                <w:sz w:val="16"/>
              </w:rPr>
              <w:t>参与民营经济调研、参展、招商次数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DF9E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5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E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E1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4C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01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01D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F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2B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E224">
            <w:pPr>
              <w:jc w:val="center"/>
            </w:pPr>
          </w:p>
        </w:tc>
      </w:tr>
      <w:tr w14:paraId="1FA52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34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44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1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EBD3">
            <w:pPr>
              <w:jc w:val="center"/>
            </w:pPr>
            <w:r>
              <w:rPr>
                <w:rFonts w:ascii="宋体" w:hAnsi="宋体" w:eastAsia="宋体"/>
                <w:sz w:val="16"/>
              </w:rPr>
              <w:t>购置设备数量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3E07">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0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6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C3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83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85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AC94">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0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6B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AE24">
            <w:pPr>
              <w:jc w:val="center"/>
            </w:pPr>
          </w:p>
        </w:tc>
      </w:tr>
      <w:tr w14:paraId="27D72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3C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D0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AC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369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E847">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F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95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B0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B0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21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0FF5">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E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5B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09D5">
            <w:pPr>
              <w:jc w:val="center"/>
            </w:pPr>
          </w:p>
        </w:tc>
      </w:tr>
      <w:tr w14:paraId="76628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E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975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B22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09D2">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9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3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8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8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F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F0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3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D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FD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7E2E">
            <w:pPr>
              <w:jc w:val="center"/>
            </w:pPr>
          </w:p>
        </w:tc>
      </w:tr>
      <w:tr w14:paraId="3A944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5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E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95C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391F">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7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E9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F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90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8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4F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F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0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28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70D5">
            <w:pPr>
              <w:jc w:val="center"/>
            </w:pPr>
          </w:p>
        </w:tc>
      </w:tr>
      <w:tr w14:paraId="57478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0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4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0A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B337">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8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D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A2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D7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F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862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7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4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94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82C5">
            <w:pPr>
              <w:jc w:val="center"/>
            </w:pPr>
          </w:p>
        </w:tc>
      </w:tr>
      <w:tr w14:paraId="146FB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D1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17A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444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B1FC">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C77D">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D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D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80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86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8F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4120">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6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09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0AB0">
            <w:pPr>
              <w:jc w:val="center"/>
            </w:pPr>
          </w:p>
        </w:tc>
      </w:tr>
      <w:tr w14:paraId="4E74A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77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A5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80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29E0">
            <w:pPr>
              <w:jc w:val="center"/>
            </w:pPr>
            <w:r>
              <w:rPr>
                <w:rFonts w:ascii="宋体" w:hAnsi="宋体" w:eastAsia="宋体"/>
                <w:sz w:val="16"/>
              </w:rPr>
              <w:t>参与民营经济调研、参展、招商经费支付及时率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4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9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EC4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A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7E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7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5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00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D4D3">
            <w:pPr>
              <w:jc w:val="center"/>
            </w:pPr>
          </w:p>
        </w:tc>
      </w:tr>
      <w:tr w14:paraId="74BB6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C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A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A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79D6">
            <w:pPr>
              <w:jc w:val="center"/>
            </w:pPr>
            <w:r>
              <w:rPr>
                <w:rFonts w:ascii="宋体" w:hAnsi="宋体" w:eastAsia="宋体"/>
                <w:sz w:val="16"/>
              </w:rPr>
              <w:t>综合办公经费支付及时率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7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9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2A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AD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D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A3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8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D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56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BEE3">
            <w:pPr>
              <w:jc w:val="center"/>
            </w:pPr>
          </w:p>
        </w:tc>
      </w:tr>
      <w:tr w14:paraId="0F885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466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B4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EF7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2543">
            <w:pPr>
              <w:jc w:val="center"/>
            </w:pPr>
            <w:r>
              <w:rPr>
                <w:rFonts w:ascii="宋体" w:hAnsi="宋体" w:eastAsia="宋体"/>
                <w:sz w:val="16"/>
              </w:rPr>
              <w:t>设备采购成本控制数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B87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96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7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7E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D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07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4462">
            <w:pPr>
              <w:jc w:val="center"/>
            </w:pPr>
            <w:r>
              <w:rPr>
                <w:rFonts w:ascii="宋体" w:hAnsi="宋体" w:eastAsia="宋体"/>
                <w:sz w:val="16"/>
              </w:rPr>
              <w:t>=1.36万元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F95B">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C77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E7E2">
            <w:pPr>
              <w:jc w:val="center"/>
            </w:pPr>
            <w:r>
              <w:rPr>
                <w:rFonts w:ascii="宋体" w:hAnsi="宋体" w:eastAsia="宋体"/>
                <w:sz w:val="16"/>
              </w:rPr>
              <w:t>偏差原因：年初预算设置不准确，未能精准预测到设备采购的成本，其余经费用于综合办公经费。改进措施：针对经费的支出制定更加详细的预算计划，结合以前年度支出，精准预测，确保目标的高效达成。</w:t>
            </w:r>
          </w:p>
        </w:tc>
      </w:tr>
      <w:tr w14:paraId="5AA2A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15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2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6E9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8E82">
            <w:pPr>
              <w:jc w:val="center"/>
            </w:pPr>
            <w:r>
              <w:rPr>
                <w:rFonts w:ascii="宋体" w:hAnsi="宋体" w:eastAsia="宋体"/>
                <w:sz w:val="16"/>
              </w:rPr>
              <w:t>综合办公经费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8793">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F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16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75D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5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00C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96AA">
            <w:pPr>
              <w:jc w:val="center"/>
            </w:pPr>
            <w:r>
              <w:rPr>
                <w:rFonts w:ascii="宋体" w:hAnsi="宋体" w:eastAsia="宋体"/>
                <w:sz w:val="16"/>
              </w:rPr>
              <w:t>=7.14万元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BE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14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1516">
            <w:pPr>
              <w:jc w:val="center"/>
            </w:pPr>
            <w:r>
              <w:rPr>
                <w:rFonts w:ascii="宋体" w:hAnsi="宋体" w:eastAsia="宋体"/>
                <w:sz w:val="16"/>
              </w:rPr>
              <w:t>年初预算设置不准确，未能精准预测到综合办公费用，导致综合办公经费超出指标值。改进措施：针对经费的支出制定更加详细的预算计划，结合以前年度支出，精准预测，确保目标的高效达成。</w:t>
            </w:r>
          </w:p>
        </w:tc>
      </w:tr>
      <w:tr w14:paraId="58BFC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F9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1F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B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9506">
            <w:pPr>
              <w:jc w:val="center"/>
            </w:pPr>
            <w:r>
              <w:rPr>
                <w:rFonts w:ascii="宋体" w:hAnsi="宋体" w:eastAsia="宋体"/>
                <w:sz w:val="16"/>
              </w:rPr>
              <w:t>参与民营经济调研、参展、招商经费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D6A6">
            <w:pPr>
              <w:jc w:val="center"/>
            </w:pPr>
            <w:r>
              <w:rPr>
                <w:rFonts w:ascii="宋体" w:hAnsi="宋体" w:eastAsia="宋体"/>
                <w:sz w:val="16"/>
              </w:rPr>
              <w:t>&lt;=5.50万元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4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0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9D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E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3C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4CA8">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8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28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DF41">
            <w:pPr>
              <w:jc w:val="center"/>
            </w:pPr>
          </w:p>
        </w:tc>
      </w:tr>
      <w:tr w14:paraId="6DCC5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4B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F5B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D51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4B9E1">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C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0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D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B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45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29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D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A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5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F8BA">
            <w:pPr>
              <w:jc w:val="center"/>
            </w:pPr>
          </w:p>
        </w:tc>
      </w:tr>
      <w:tr w14:paraId="60BC9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4F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B3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1B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56DF">
            <w:pPr>
              <w:jc w:val="center"/>
            </w:pPr>
            <w:r>
              <w:rPr>
                <w:rFonts w:ascii="宋体" w:hAnsi="宋体" w:eastAsia="宋体"/>
                <w:sz w:val="16"/>
              </w:rPr>
              <w:t>促进非公有制经济人士健康成长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99C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6E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5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10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3A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944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21E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0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2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34EB">
            <w:pPr>
              <w:jc w:val="center"/>
            </w:pPr>
          </w:p>
        </w:tc>
      </w:tr>
      <w:tr w14:paraId="7149F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0B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21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F4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CE66">
            <w:pPr>
              <w:jc w:val="center"/>
            </w:pPr>
            <w:r>
              <w:rPr>
                <w:rFonts w:ascii="宋体" w:hAnsi="宋体" w:eastAsia="宋体"/>
                <w:sz w:val="16"/>
              </w:rPr>
              <w:t>设备使用人员满意度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FC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B3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0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D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E8D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B6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C0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F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1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26C9">
            <w:pPr>
              <w:jc w:val="center"/>
            </w:pPr>
          </w:p>
        </w:tc>
      </w:tr>
      <w:tr w14:paraId="7FA3B9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F515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3B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FA9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42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4D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978C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CBD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28B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5F4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FBD">
            <w:pPr>
              <w:jc w:val="center"/>
            </w:pPr>
            <w:r>
              <w:rPr>
                <w:rFonts w:ascii="宋体" w:hAnsi="宋体" w:eastAsia="宋体"/>
                <w:sz w:val="16"/>
              </w:rPr>
              <w:t>87.40分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4F7D8"/>
        </w:tc>
      </w:tr>
    </w:tbl>
    <w:p w14:paraId="6F9BD2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54763967">
        <w:tblPrEx>
          <w:tblCellMar>
            <w:top w:w="0" w:type="dxa"/>
            <w:left w:w="108" w:type="dxa"/>
            <w:bottom w:w="0" w:type="dxa"/>
            <w:right w:w="108" w:type="dxa"/>
          </w:tblCellMar>
        </w:tblPrEx>
        <w:tc>
          <w:tcPr>
            <w:tcW w:w="8848" w:type="dxa"/>
            <w:gridSpan w:val="14"/>
            <w:vAlign w:val="center"/>
          </w:tcPr>
          <w:p w14:paraId="5E61BA25">
            <w:pPr>
              <w:jc w:val="center"/>
            </w:pPr>
            <w:r>
              <w:rPr>
                <w:rFonts w:ascii="宋体" w:hAnsi="宋体" w:eastAsia="宋体"/>
                <w:sz w:val="24"/>
              </w:rPr>
              <w:t>项目支出绩效自评表</w:t>
            </w:r>
          </w:p>
        </w:tc>
      </w:tr>
      <w:tr w14:paraId="55EE2E9A">
        <w:tblPrEx>
          <w:tblCellMar>
            <w:top w:w="0" w:type="dxa"/>
            <w:left w:w="108" w:type="dxa"/>
            <w:bottom w:w="0" w:type="dxa"/>
            <w:right w:w="108" w:type="dxa"/>
          </w:tblCellMar>
        </w:tblPrEx>
        <w:tc>
          <w:tcPr>
            <w:tcW w:w="8848" w:type="dxa"/>
            <w:gridSpan w:val="14"/>
            <w:vAlign w:val="center"/>
          </w:tcPr>
          <w:p w14:paraId="5D975207">
            <w:pPr>
              <w:jc w:val="center"/>
            </w:pPr>
            <w:r>
              <w:rPr>
                <w:rFonts w:ascii="宋体" w:hAnsi="宋体" w:eastAsia="宋体"/>
                <w:sz w:val="24"/>
              </w:rPr>
              <w:t>(2024年度)</w:t>
            </w:r>
          </w:p>
        </w:tc>
      </w:tr>
      <w:tr w14:paraId="110C50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5D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1120B7">
            <w:pPr>
              <w:jc w:val="center"/>
            </w:pPr>
            <w:r>
              <w:rPr>
                <w:rFonts w:ascii="宋体" w:hAnsi="宋体" w:eastAsia="宋体"/>
                <w:sz w:val="16"/>
              </w:rPr>
              <w:t>自治州第二批优秀专家工作室建设支持经费</w:t>
            </w:r>
          </w:p>
        </w:tc>
      </w:tr>
      <w:tr w14:paraId="39C0F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9E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85E3B">
            <w:pPr>
              <w:jc w:val="center"/>
            </w:pPr>
            <w:r>
              <w:rPr>
                <w:rFonts w:ascii="宋体" w:hAnsi="宋体" w:eastAsia="宋体"/>
                <w:sz w:val="16"/>
              </w:rPr>
              <w:t>新疆巴州工商业联合会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99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A9651">
            <w:pPr>
              <w:jc w:val="center"/>
            </w:pPr>
            <w:r>
              <w:rPr>
                <w:rFonts w:ascii="宋体" w:hAnsi="宋体" w:eastAsia="宋体"/>
                <w:sz w:val="16"/>
              </w:rPr>
              <w:t>新疆巴州工商业联合会</w:t>
            </w:r>
          </w:p>
        </w:tc>
      </w:tr>
      <w:tr w14:paraId="02E48C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6A96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55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35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496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AF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36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1C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EBC1">
            <w:pPr>
              <w:jc w:val="center"/>
            </w:pPr>
            <w:r>
              <w:rPr>
                <w:rFonts w:ascii="宋体" w:hAnsi="宋体" w:eastAsia="宋体"/>
                <w:sz w:val="16"/>
              </w:rPr>
              <w:t>得分</w:t>
            </w:r>
          </w:p>
        </w:tc>
      </w:tr>
      <w:tr w14:paraId="630630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D58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25C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8BD0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E08B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FA6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0E4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ECE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B2A">
            <w:pPr>
              <w:jc w:val="center"/>
            </w:pPr>
            <w:r>
              <w:rPr>
                <w:rFonts w:ascii="宋体" w:hAnsi="宋体" w:eastAsia="宋体"/>
                <w:sz w:val="16"/>
              </w:rPr>
              <w:t>10.00</w:t>
            </w:r>
          </w:p>
        </w:tc>
      </w:tr>
      <w:tr w14:paraId="41CC7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006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81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4F3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4161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69C9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F16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C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0817">
            <w:pPr>
              <w:jc w:val="center"/>
            </w:pPr>
            <w:r>
              <w:rPr>
                <w:rFonts w:ascii="宋体" w:hAnsi="宋体" w:eastAsia="宋体"/>
                <w:sz w:val="16"/>
              </w:rPr>
              <w:t>-</w:t>
            </w:r>
          </w:p>
        </w:tc>
      </w:tr>
      <w:tr w14:paraId="3B9CF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A48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C74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3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A52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BA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0B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37B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FACA">
            <w:pPr>
              <w:jc w:val="center"/>
            </w:pPr>
            <w:r>
              <w:rPr>
                <w:rFonts w:ascii="宋体" w:hAnsi="宋体" w:eastAsia="宋体"/>
                <w:sz w:val="16"/>
              </w:rPr>
              <w:t>-</w:t>
            </w:r>
          </w:p>
        </w:tc>
      </w:tr>
      <w:tr w14:paraId="0C620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608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D7F9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674FD">
            <w:pPr>
              <w:jc w:val="center"/>
            </w:pPr>
            <w:r>
              <w:rPr>
                <w:rFonts w:ascii="宋体" w:hAnsi="宋体" w:eastAsia="宋体"/>
                <w:sz w:val="16"/>
              </w:rPr>
              <w:t>总体目标完成情况</w:t>
            </w:r>
          </w:p>
        </w:tc>
      </w:tr>
      <w:tr w14:paraId="5BAF19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8B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FAB25">
            <w:pPr>
              <w:jc w:val="both"/>
            </w:pPr>
            <w:r>
              <w:rPr>
                <w:rFonts w:ascii="宋体" w:hAnsi="宋体" w:eastAsia="宋体"/>
                <w:sz w:val="16"/>
              </w:rPr>
              <w:t>全力推进本地人才项目的实施，充分发挥电商行业领域优秀专家的</w:t>
            </w:r>
            <w:r>
              <w:rPr>
                <w:rFonts w:hint="eastAsia" w:ascii="宋体" w:hAnsi="宋体"/>
                <w:sz w:val="16"/>
                <w:lang w:eastAsia="zh-CN"/>
              </w:rPr>
              <w:t>示范</w:t>
            </w:r>
            <w:r>
              <w:rPr>
                <w:rFonts w:ascii="宋体" w:hAnsi="宋体" w:eastAsia="宋体"/>
                <w:sz w:val="16"/>
              </w:rPr>
              <w:t>引领作用，评选优秀专家1名，优秀专家工作室1个，搭建学科创新性研究的平台，建设学科后备人才的培训基地，有力</w:t>
            </w:r>
            <w:r>
              <w:rPr>
                <w:rFonts w:hint="eastAsia" w:ascii="宋体" w:hAnsi="宋体"/>
                <w:sz w:val="16"/>
                <w:lang w:eastAsia="zh-CN"/>
              </w:rPr>
              <w:t>推动</w:t>
            </w:r>
            <w:r>
              <w:rPr>
                <w:rFonts w:ascii="宋体" w:hAnsi="宋体" w:eastAsia="宋体"/>
                <w:sz w:val="16"/>
              </w:rPr>
              <w:t>人才工作迈向新高度、实现新发展。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33FAC">
            <w:pPr>
              <w:jc w:val="both"/>
            </w:pPr>
            <w:r>
              <w:rPr>
                <w:rFonts w:ascii="宋体" w:hAnsi="宋体" w:eastAsia="宋体"/>
                <w:sz w:val="16"/>
              </w:rPr>
              <w:t>评选优秀专家1名（陶登峰），优秀专家工作室1个（疆淘农哥电商工作室），全力推进我州人才项目的实施，有效提高电商行业领域优秀专家的示范引领作用，有力</w:t>
            </w:r>
            <w:r>
              <w:rPr>
                <w:rFonts w:hint="eastAsia" w:ascii="宋体" w:hAnsi="宋体"/>
                <w:sz w:val="16"/>
                <w:lang w:eastAsia="zh-CN"/>
              </w:rPr>
              <w:t>推动</w:t>
            </w:r>
            <w:r>
              <w:rPr>
                <w:rFonts w:ascii="宋体" w:hAnsi="宋体" w:eastAsia="宋体"/>
                <w:sz w:val="16"/>
              </w:rPr>
              <w:t>人才工作迈向新高度，建设后备人才的培训基地。</w:t>
            </w:r>
          </w:p>
        </w:tc>
      </w:tr>
      <w:tr w14:paraId="4CDEFB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5D8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BB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64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B1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2D1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E4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D702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086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429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1A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D5FC">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04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51C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1171">
            <w:pPr>
              <w:jc w:val="center"/>
            </w:pPr>
            <w:r>
              <w:rPr>
                <w:rFonts w:ascii="宋体" w:hAnsi="宋体" w:eastAsia="宋体"/>
                <w:sz w:val="16"/>
              </w:rPr>
              <w:t>偏差原因分析及改进措施</w:t>
            </w:r>
          </w:p>
        </w:tc>
      </w:tr>
      <w:tr w14:paraId="242953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DE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66E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D83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9F93">
            <w:pPr>
              <w:jc w:val="center"/>
            </w:pPr>
            <w:r>
              <w:rPr>
                <w:rFonts w:ascii="宋体" w:hAnsi="宋体" w:eastAsia="宋体"/>
                <w:sz w:val="16"/>
              </w:rPr>
              <w:t>优秀专家人数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EAB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A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1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03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5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84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8C0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F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0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7736">
            <w:pPr>
              <w:jc w:val="center"/>
            </w:pPr>
          </w:p>
        </w:tc>
      </w:tr>
      <w:tr w14:paraId="02426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2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A6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98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E3CD">
            <w:pPr>
              <w:jc w:val="center"/>
            </w:pPr>
            <w:r>
              <w:rPr>
                <w:rFonts w:ascii="宋体" w:hAnsi="宋体" w:eastAsia="宋体"/>
                <w:sz w:val="16"/>
              </w:rPr>
              <w:t>优秀专家工作室数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FA2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FE2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9B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5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0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E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45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D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E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3050">
            <w:pPr>
              <w:jc w:val="center"/>
            </w:pPr>
          </w:p>
        </w:tc>
      </w:tr>
      <w:tr w14:paraId="44220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2E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DBC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EA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65E2">
            <w:pPr>
              <w:jc w:val="center"/>
            </w:pPr>
            <w:r>
              <w:rPr>
                <w:rFonts w:ascii="宋体" w:hAnsi="宋体" w:eastAsia="宋体"/>
                <w:sz w:val="16"/>
              </w:rPr>
              <w:t>专家评审合格率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3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C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0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D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DD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7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D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C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2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8E03">
            <w:pPr>
              <w:jc w:val="center"/>
            </w:pPr>
          </w:p>
        </w:tc>
      </w:tr>
      <w:tr w14:paraId="5D1D4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3E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B7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F0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277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1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B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3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C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C2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3A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6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FD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6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C09F">
            <w:pPr>
              <w:jc w:val="center"/>
            </w:pPr>
          </w:p>
        </w:tc>
      </w:tr>
      <w:tr w14:paraId="6DFCB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D7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E4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29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CFC1">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F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58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D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C7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1A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F6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14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7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50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87BE">
            <w:pPr>
              <w:jc w:val="center"/>
            </w:pPr>
          </w:p>
        </w:tc>
      </w:tr>
      <w:tr w14:paraId="1FB59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41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D6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B20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5233">
            <w:pPr>
              <w:jc w:val="center"/>
            </w:pPr>
            <w:r>
              <w:rPr>
                <w:rFonts w:ascii="宋体" w:hAnsi="宋体" w:eastAsia="宋体"/>
                <w:sz w:val="16"/>
              </w:rPr>
              <w:t>优秀专家引领作用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1FE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3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5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F9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81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A4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614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5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B9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3FDB">
            <w:pPr>
              <w:jc w:val="center"/>
            </w:pPr>
          </w:p>
        </w:tc>
      </w:tr>
      <w:tr w14:paraId="37977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0C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20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7F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6EAC">
            <w:pPr>
              <w:jc w:val="center"/>
            </w:pPr>
            <w:r>
              <w:rPr>
                <w:rFonts w:ascii="宋体" w:hAnsi="宋体" w:eastAsia="宋体"/>
                <w:sz w:val="16"/>
              </w:rPr>
              <w:t>被评审工作室人员满意度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01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A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2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8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D9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5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6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D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43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DFC9">
            <w:pPr>
              <w:jc w:val="center"/>
            </w:pPr>
          </w:p>
        </w:tc>
      </w:tr>
      <w:tr w14:paraId="32F066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2D00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E2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C104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EB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4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DDB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7EC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C0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30A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6D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15E4D"/>
        </w:tc>
      </w:tr>
    </w:tbl>
    <w:p w14:paraId="29D31524">
      <w:r>
        <w:br w:type="page"/>
      </w:r>
    </w:p>
    <w:p w14:paraId="5FB70E15">
      <w:pPr>
        <w:spacing w:line="640" w:lineRule="exact"/>
        <w:ind w:firstLine="640"/>
        <w:jc w:val="both"/>
        <w:outlineLvl w:val="2"/>
      </w:pPr>
      <w:r>
        <w:rPr>
          <w:rFonts w:ascii="黑体" w:hAnsi="黑体" w:eastAsia="黑体"/>
          <w:sz w:val="32"/>
        </w:rPr>
        <w:t>十二、其他需说明的事项</w:t>
      </w:r>
    </w:p>
    <w:p w14:paraId="438E8389">
      <w:pPr>
        <w:spacing w:line="580" w:lineRule="exact"/>
        <w:ind w:firstLine="640"/>
        <w:jc w:val="both"/>
      </w:pPr>
      <w:r>
        <w:rPr>
          <w:rFonts w:ascii="仿宋_GB2312" w:hAnsi="仿宋_GB2312" w:eastAsia="仿宋_GB2312"/>
          <w:b w:val="0"/>
          <w:sz w:val="32"/>
        </w:rPr>
        <w:t>本部门无其他需说明的事项。</w:t>
      </w:r>
    </w:p>
    <w:p w14:paraId="77D1F56C">
      <w:r>
        <w:br w:type="page"/>
      </w:r>
    </w:p>
    <w:p w14:paraId="160CB6B4">
      <w:pPr>
        <w:spacing w:line="240" w:lineRule="auto"/>
        <w:jc w:val="center"/>
        <w:outlineLvl w:val="1"/>
      </w:pPr>
      <w:r>
        <w:rPr>
          <w:rFonts w:ascii="黑体" w:hAnsi="黑体" w:eastAsia="黑体"/>
          <w:sz w:val="32"/>
        </w:rPr>
        <w:t>第三部分 专业名词解释</w:t>
      </w:r>
    </w:p>
    <w:p w14:paraId="514DAC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D240A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A94A4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5CCA8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5FB229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61B07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5C7B4D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B36F5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F0C8B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E2E9C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A51F4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601C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AE276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4EDE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FD76DE">
      <w:r>
        <w:br w:type="page"/>
      </w:r>
    </w:p>
    <w:p w14:paraId="4C64006C">
      <w:pPr>
        <w:spacing w:line="240" w:lineRule="auto"/>
        <w:jc w:val="center"/>
        <w:outlineLvl w:val="1"/>
      </w:pPr>
      <w:r>
        <w:rPr>
          <w:rFonts w:ascii="黑体" w:hAnsi="黑体" w:eastAsia="黑体"/>
          <w:sz w:val="32"/>
        </w:rPr>
        <w:t>第四部分 部门决算报表（见附表）</w:t>
      </w:r>
    </w:p>
    <w:p w14:paraId="1CB09676">
      <w:pPr>
        <w:spacing w:line="240" w:lineRule="auto"/>
        <w:ind w:firstLine="640"/>
        <w:jc w:val="both"/>
      </w:pPr>
      <w:r>
        <w:rPr>
          <w:rFonts w:ascii="仿宋_GB2312" w:hAnsi="仿宋_GB2312" w:eastAsia="仿宋_GB2312"/>
          <w:b w:val="0"/>
          <w:sz w:val="32"/>
        </w:rPr>
        <w:t>一、《收入支出决算总表》</w:t>
      </w:r>
    </w:p>
    <w:p w14:paraId="500233CD">
      <w:pPr>
        <w:spacing w:line="240" w:lineRule="auto"/>
        <w:ind w:firstLine="640"/>
        <w:jc w:val="both"/>
      </w:pPr>
      <w:r>
        <w:rPr>
          <w:rFonts w:ascii="仿宋_GB2312" w:hAnsi="仿宋_GB2312" w:eastAsia="仿宋_GB2312"/>
          <w:b w:val="0"/>
          <w:sz w:val="32"/>
        </w:rPr>
        <w:t>二、《收入决算表》</w:t>
      </w:r>
    </w:p>
    <w:p w14:paraId="18F5CF80">
      <w:pPr>
        <w:spacing w:line="240" w:lineRule="auto"/>
        <w:ind w:firstLine="640"/>
        <w:jc w:val="both"/>
      </w:pPr>
      <w:r>
        <w:rPr>
          <w:rFonts w:ascii="仿宋_GB2312" w:hAnsi="仿宋_GB2312" w:eastAsia="仿宋_GB2312"/>
          <w:b w:val="0"/>
          <w:sz w:val="32"/>
        </w:rPr>
        <w:t>三、《支出决算表》</w:t>
      </w:r>
    </w:p>
    <w:p w14:paraId="73FF3248">
      <w:pPr>
        <w:spacing w:line="240" w:lineRule="auto"/>
        <w:ind w:firstLine="640"/>
        <w:jc w:val="both"/>
      </w:pPr>
      <w:r>
        <w:rPr>
          <w:rFonts w:ascii="仿宋_GB2312" w:hAnsi="仿宋_GB2312" w:eastAsia="仿宋_GB2312"/>
          <w:b w:val="0"/>
          <w:sz w:val="32"/>
        </w:rPr>
        <w:t>四、《财政拨款收入支出决算总表》</w:t>
      </w:r>
    </w:p>
    <w:p w14:paraId="1A640272">
      <w:pPr>
        <w:spacing w:line="240" w:lineRule="auto"/>
        <w:ind w:firstLine="640"/>
        <w:jc w:val="both"/>
      </w:pPr>
      <w:r>
        <w:rPr>
          <w:rFonts w:ascii="仿宋_GB2312" w:hAnsi="仿宋_GB2312" w:eastAsia="仿宋_GB2312"/>
          <w:b w:val="0"/>
          <w:sz w:val="32"/>
        </w:rPr>
        <w:t>五、《一般公共预算财政拨款支出决算表》</w:t>
      </w:r>
    </w:p>
    <w:p w14:paraId="3F36C88E">
      <w:pPr>
        <w:spacing w:line="240" w:lineRule="auto"/>
        <w:ind w:firstLine="640"/>
        <w:jc w:val="both"/>
      </w:pPr>
      <w:r>
        <w:rPr>
          <w:rFonts w:ascii="仿宋_GB2312" w:hAnsi="仿宋_GB2312" w:eastAsia="仿宋_GB2312"/>
          <w:b w:val="0"/>
          <w:sz w:val="32"/>
        </w:rPr>
        <w:t>六、《一般公共预算财政拨款基本支出决算表》</w:t>
      </w:r>
    </w:p>
    <w:p w14:paraId="372E01DE">
      <w:pPr>
        <w:spacing w:line="240" w:lineRule="auto"/>
        <w:ind w:firstLine="640"/>
        <w:jc w:val="both"/>
      </w:pPr>
      <w:r>
        <w:rPr>
          <w:rFonts w:ascii="仿宋_GB2312" w:hAnsi="仿宋_GB2312" w:eastAsia="仿宋_GB2312"/>
          <w:b w:val="0"/>
          <w:sz w:val="32"/>
        </w:rPr>
        <w:t>七、《政府性基金预算财政拨款收入支出决算表》</w:t>
      </w:r>
    </w:p>
    <w:p w14:paraId="0F1E2B6B">
      <w:pPr>
        <w:spacing w:line="240" w:lineRule="auto"/>
        <w:ind w:firstLine="640"/>
        <w:jc w:val="both"/>
      </w:pPr>
      <w:r>
        <w:rPr>
          <w:rFonts w:ascii="仿宋_GB2312" w:hAnsi="仿宋_GB2312" w:eastAsia="仿宋_GB2312"/>
          <w:b w:val="0"/>
          <w:sz w:val="32"/>
        </w:rPr>
        <w:t>八、《国有资本经营预算财政拨款收入支出决算表》</w:t>
      </w:r>
    </w:p>
    <w:p w14:paraId="1C326C97">
      <w:pPr>
        <w:spacing w:line="240" w:lineRule="auto"/>
        <w:ind w:firstLine="640"/>
        <w:jc w:val="both"/>
      </w:pPr>
      <w:r>
        <w:rPr>
          <w:rFonts w:ascii="仿宋_GB2312" w:hAnsi="仿宋_GB2312" w:eastAsia="仿宋_GB2312"/>
          <w:b w:val="0"/>
          <w:sz w:val="32"/>
        </w:rPr>
        <w:t>九、《财政拨款“三公”经费支出决算表》</w:t>
      </w:r>
    </w:p>
    <w:p w14:paraId="36656225">
      <w:pPr>
        <w:spacing w:line="240" w:lineRule="auto"/>
        <w:ind w:firstLine="640"/>
        <w:jc w:val="both"/>
      </w:pPr>
    </w:p>
    <w:p w14:paraId="73456452">
      <w:pPr>
        <w:spacing w:line="240" w:lineRule="auto"/>
        <w:ind w:firstLine="640"/>
        <w:jc w:val="both"/>
      </w:pPr>
    </w:p>
    <w:p w14:paraId="4148DA0F">
      <w:pPr>
        <w:spacing w:line="240" w:lineRule="auto"/>
        <w:ind w:firstLine="640"/>
        <w:jc w:val="both"/>
      </w:pPr>
    </w:p>
    <w:p w14:paraId="4E7D2080">
      <w:pPr>
        <w:spacing w:line="240" w:lineRule="auto"/>
        <w:ind w:firstLine="640"/>
        <w:jc w:val="both"/>
      </w:pPr>
    </w:p>
    <w:p w14:paraId="30724AC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181DA8"/>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8E6312"/>
    <w:rsid w:val="52F92565"/>
    <w:rsid w:val="543D17CB"/>
    <w:rsid w:val="55DA564E"/>
    <w:rsid w:val="56E07045"/>
    <w:rsid w:val="583059FA"/>
    <w:rsid w:val="587E6212"/>
    <w:rsid w:val="5AFC6609"/>
    <w:rsid w:val="5FA17648"/>
    <w:rsid w:val="5FD320BD"/>
    <w:rsid w:val="60DE4D57"/>
    <w:rsid w:val="613409CB"/>
    <w:rsid w:val="61A46A97"/>
    <w:rsid w:val="623F55B1"/>
    <w:rsid w:val="62DD7D21"/>
    <w:rsid w:val="65D97752"/>
    <w:rsid w:val="664C500C"/>
    <w:rsid w:val="67D111AB"/>
    <w:rsid w:val="68DB0208"/>
    <w:rsid w:val="68DF36D5"/>
    <w:rsid w:val="69846A0E"/>
    <w:rsid w:val="69AD798C"/>
    <w:rsid w:val="6B68175F"/>
    <w:rsid w:val="6B8B5C99"/>
    <w:rsid w:val="6CA7198F"/>
    <w:rsid w:val="6D8919A8"/>
    <w:rsid w:val="6E0F7A08"/>
    <w:rsid w:val="6E801ABC"/>
    <w:rsid w:val="6FBF5F4E"/>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5264</Words>
  <Characters>5965</Characters>
  <Lines>0</Lines>
  <Paragraphs>0</Paragraphs>
  <TotalTime>5</TotalTime>
  <ScaleCrop>false</ScaleCrop>
  <LinksUpToDate>false</LinksUpToDate>
  <CharactersWithSpaces>5973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2025-09-11T10:26:11Z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