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巴音郭楞蒙古自治州消防救援支队2024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639E0A">
      <w:r>
        <w:br w:type="page"/>
      </w:r>
    </w:p>
    <w:p w14:paraId="59EE1180">
      <w:pPr>
        <w:spacing w:line="640" w:lineRule="exact"/>
        <w:jc w:val="center"/>
        <w:outlineLvl w:val="1"/>
      </w:pPr>
      <w:r>
        <w:rPr>
          <w:rFonts w:ascii="黑体" w:hAnsi="黑体" w:eastAsia="黑体"/>
          <w:sz w:val="32"/>
        </w:rPr>
        <w:t>第一部分 部门概况</w:t>
      </w:r>
    </w:p>
    <w:p w14:paraId="3A22511A">
      <w:pPr>
        <w:spacing w:line="640" w:lineRule="exact"/>
        <w:ind w:firstLine="640"/>
        <w:jc w:val="both"/>
        <w:outlineLvl w:val="2"/>
      </w:pPr>
      <w:r>
        <w:rPr>
          <w:rFonts w:ascii="黑体" w:hAnsi="黑体" w:eastAsia="黑体"/>
          <w:sz w:val="32"/>
        </w:rPr>
        <w:t>一、主要职能</w:t>
      </w:r>
    </w:p>
    <w:p w14:paraId="7F80FCEC">
      <w:pPr>
        <w:spacing w:line="580" w:lineRule="exact"/>
        <w:ind w:firstLine="640"/>
        <w:jc w:val="both"/>
      </w:pPr>
      <w:r>
        <w:rPr>
          <w:rFonts w:hint="eastAsia" w:ascii="仿宋_GB2312" w:hAnsi="仿宋_GB2312" w:eastAsia="仿宋_GB2312"/>
          <w:sz w:val="32"/>
          <w:lang w:eastAsia="zh-CN"/>
        </w:rPr>
        <w:t>巴音郭楞蒙古自治州</w:t>
      </w:r>
      <w:r>
        <w:rPr>
          <w:rFonts w:ascii="仿宋_GB2312" w:hAnsi="仿宋_GB2312" w:eastAsia="仿宋_GB2312"/>
          <w:sz w:val="32"/>
        </w:rPr>
        <w:t>消防救援支队主要负责辖区内机关、团体、企事业单位的防火监督、开业前消防检查、消防知识普及、消防业务培训和对所属消防大队、中队、站的管理等业务；所属消防大队、中队、站所主要担负着辖区内的灭火救援、社会救助等任务。主要职责是。</w:t>
      </w:r>
    </w:p>
    <w:p w14:paraId="3ED0490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认真贯彻</w:t>
      </w:r>
      <w:r>
        <w:rPr>
          <w:rFonts w:hint="eastAsia" w:ascii="仿宋_GB2312" w:hAnsi="仿宋_GB2312" w:eastAsia="仿宋_GB2312"/>
          <w:sz w:val="32"/>
          <w:lang w:eastAsia="zh-CN"/>
        </w:rPr>
        <w:t>“</w:t>
      </w:r>
      <w:r>
        <w:rPr>
          <w:rFonts w:ascii="仿宋_GB2312" w:hAnsi="仿宋_GB2312" w:eastAsia="仿宋_GB2312"/>
          <w:sz w:val="32"/>
        </w:rPr>
        <w:t>预防为主，防消结合</w:t>
      </w:r>
      <w:r>
        <w:rPr>
          <w:rFonts w:hint="eastAsia" w:ascii="仿宋_GB2312" w:hAnsi="仿宋_GB2312" w:eastAsia="仿宋_GB2312"/>
          <w:sz w:val="32"/>
          <w:lang w:eastAsia="zh-CN"/>
        </w:rPr>
        <w:t>”</w:t>
      </w:r>
      <w:r>
        <w:rPr>
          <w:rFonts w:ascii="仿宋_GB2312" w:hAnsi="仿宋_GB2312" w:eastAsia="仿宋_GB2312"/>
          <w:sz w:val="32"/>
        </w:rPr>
        <w:t>的方针，严格执行国家和地方的各项消防法律、法规，负责</w:t>
      </w:r>
      <w:r>
        <w:rPr>
          <w:rFonts w:hint="eastAsia" w:ascii="仿宋_GB2312" w:hAnsi="仿宋_GB2312" w:eastAsia="仿宋_GB2312"/>
          <w:sz w:val="32"/>
          <w:lang w:eastAsia="zh-CN"/>
        </w:rPr>
        <w:t>巴音郭楞蒙古自治州</w:t>
      </w:r>
      <w:r>
        <w:rPr>
          <w:rFonts w:ascii="仿宋_GB2312" w:hAnsi="仿宋_GB2312" w:eastAsia="仿宋_GB2312"/>
          <w:sz w:val="32"/>
        </w:rPr>
        <w:t>地区的消防监督、执勤灭火和队伍的管理教育工作。</w:t>
      </w:r>
    </w:p>
    <w:p w14:paraId="7C59CEE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掌握</w:t>
      </w:r>
      <w:r>
        <w:rPr>
          <w:rFonts w:hint="eastAsia" w:ascii="仿宋_GB2312" w:hAnsi="仿宋_GB2312" w:eastAsia="仿宋_GB2312"/>
          <w:sz w:val="32"/>
          <w:lang w:eastAsia="zh-CN"/>
        </w:rPr>
        <w:t>巴音郭楞蒙古自治州</w:t>
      </w:r>
      <w:r>
        <w:rPr>
          <w:rFonts w:ascii="仿宋_GB2312" w:hAnsi="仿宋_GB2312" w:eastAsia="仿宋_GB2312"/>
          <w:sz w:val="32"/>
        </w:rPr>
        <w:t>消防救援支队消防工作动态，适时向政府报告工作，负责制定消防建设规划，不断改善公共消防设施条件。</w:t>
      </w:r>
    </w:p>
    <w:p w14:paraId="4887270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组织开展消防安全教育和消防安全检查，督促整改火灾隐患。</w:t>
      </w:r>
    </w:p>
    <w:p w14:paraId="44D45754">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指导企业专职消防队、民办消防队和义务消防队的业务建设。</w:t>
      </w:r>
    </w:p>
    <w:p w14:paraId="2C3356D6">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教育队伍加强执勤战备，掌握消防安全重点单位的情况，指导消防站制定灭火预案，并适时进行演练，随时做好战斗准备，组织火灾扑救。</w:t>
      </w:r>
    </w:p>
    <w:p w14:paraId="55B51601">
      <w:pPr>
        <w:spacing w:line="640" w:lineRule="exact"/>
        <w:ind w:firstLine="640"/>
        <w:jc w:val="both"/>
        <w:outlineLvl w:val="2"/>
      </w:pPr>
      <w:r>
        <w:rPr>
          <w:rFonts w:ascii="黑体" w:hAnsi="黑体" w:eastAsia="黑体"/>
          <w:sz w:val="32"/>
        </w:rPr>
        <w:t>二、机构设置及人员情况</w:t>
      </w:r>
    </w:p>
    <w:p w14:paraId="1FCCB956">
      <w:pPr>
        <w:spacing w:line="580" w:lineRule="exact"/>
        <w:ind w:firstLine="640"/>
        <w:jc w:val="both"/>
      </w:pPr>
      <w:r>
        <w:rPr>
          <w:rFonts w:ascii="仿宋_GB2312" w:hAnsi="仿宋_GB2312" w:eastAsia="仿宋_GB2312"/>
          <w:sz w:val="32"/>
        </w:rPr>
        <w:t>巴音郭楞蒙古自治州消防救援支队2024年度，实有人数8人，其中：在职人员8人，增加0人；离休人员0人，增加0人；退休人员0人,增加0人。</w:t>
      </w:r>
    </w:p>
    <w:p w14:paraId="4215AD39">
      <w:pPr>
        <w:spacing w:line="580" w:lineRule="exact"/>
        <w:ind w:firstLine="640"/>
        <w:jc w:val="both"/>
      </w:pPr>
      <w:r>
        <w:rPr>
          <w:rFonts w:ascii="仿宋_GB2312" w:hAnsi="仿宋_GB2312" w:eastAsia="仿宋_GB2312"/>
          <w:sz w:val="32"/>
        </w:rPr>
        <w:t>巴音郭楞蒙古自治州消防救援支队无下属预算单位，下设13个科室，分别是：指挥中心、作战训练科、信息通信科、办公室、组织干部科、队务督察科、后勤装备科、财务科、战勤保障科、特勤站、新闻宣传科、法规与社会消防工作科（火调技术科）、防火监督科。</w:t>
      </w:r>
    </w:p>
    <w:p w14:paraId="38E40DA9">
      <w:r>
        <w:br w:type="page"/>
      </w:r>
    </w:p>
    <w:p w14:paraId="08D4CD4C">
      <w:pPr>
        <w:spacing w:line="240" w:lineRule="auto"/>
        <w:jc w:val="center"/>
        <w:outlineLvl w:val="1"/>
      </w:pPr>
      <w:r>
        <w:rPr>
          <w:rFonts w:ascii="黑体" w:hAnsi="黑体" w:eastAsia="黑体"/>
          <w:sz w:val="32"/>
        </w:rPr>
        <w:t>第二部分 部门决算情况说明</w:t>
      </w:r>
    </w:p>
    <w:p w14:paraId="359F3740">
      <w:pPr>
        <w:spacing w:line="640" w:lineRule="exact"/>
        <w:ind w:firstLine="640"/>
        <w:jc w:val="both"/>
        <w:outlineLvl w:val="2"/>
      </w:pPr>
      <w:r>
        <w:rPr>
          <w:rFonts w:ascii="黑体" w:hAnsi="黑体" w:eastAsia="黑体"/>
          <w:sz w:val="32"/>
        </w:rPr>
        <w:t>一、收入支出决算总体情况说明</w:t>
      </w:r>
    </w:p>
    <w:p w14:paraId="5CAA6089">
      <w:pPr>
        <w:spacing w:line="580" w:lineRule="exact"/>
        <w:ind w:firstLine="640"/>
        <w:jc w:val="both"/>
      </w:pPr>
      <w:r>
        <w:rPr>
          <w:rFonts w:ascii="仿宋_GB2312" w:hAnsi="仿宋_GB2312" w:eastAsia="仿宋_GB2312"/>
          <w:b/>
          <w:sz w:val="32"/>
        </w:rPr>
        <w:t>2024年度收入总计10,712.04万元，</w:t>
      </w:r>
      <w:r>
        <w:rPr>
          <w:rFonts w:ascii="仿宋_GB2312" w:hAnsi="仿宋_GB2312" w:eastAsia="仿宋_GB2312"/>
          <w:b w:val="0"/>
          <w:sz w:val="32"/>
        </w:rPr>
        <w:t>其中：本年收入合计10,712.04万元，使用非财政拨款结余（含专用结余）0.00万元，年初结转和结余0.00万元。</w:t>
      </w:r>
    </w:p>
    <w:p w14:paraId="2F1E713F">
      <w:pPr>
        <w:spacing w:line="580" w:lineRule="exact"/>
        <w:ind w:firstLine="640"/>
        <w:jc w:val="both"/>
      </w:pPr>
      <w:r>
        <w:rPr>
          <w:rFonts w:ascii="仿宋_GB2312" w:hAnsi="仿宋_GB2312" w:eastAsia="仿宋_GB2312"/>
          <w:b/>
          <w:sz w:val="32"/>
        </w:rPr>
        <w:t>2024年度支出总计10,712.04万元，</w:t>
      </w:r>
      <w:r>
        <w:rPr>
          <w:rFonts w:ascii="仿宋_GB2312" w:hAnsi="仿宋_GB2312" w:eastAsia="仿宋_GB2312"/>
          <w:b w:val="0"/>
          <w:sz w:val="32"/>
        </w:rPr>
        <w:t>其中：本年支出合计10,712.04万元，结余分配0.00万元，年末结转和结余0.00万元。</w:t>
      </w:r>
    </w:p>
    <w:p w14:paraId="19548D3D">
      <w:pPr>
        <w:spacing w:line="580" w:lineRule="exact"/>
        <w:ind w:firstLine="640"/>
        <w:jc w:val="both"/>
      </w:pPr>
      <w:r>
        <w:rPr>
          <w:rFonts w:ascii="仿宋_GB2312" w:hAnsi="仿宋_GB2312" w:eastAsia="仿宋_GB2312"/>
          <w:b w:val="0"/>
          <w:sz w:val="32"/>
        </w:rPr>
        <w:t>收入支出总体与上年相比，增加8,587.49万元，增长404.20%，主要原因是：本年增加消防救援业务项目，导致经费较上年增加。</w:t>
      </w:r>
    </w:p>
    <w:p w14:paraId="049BD7BC">
      <w:pPr>
        <w:spacing w:line="640" w:lineRule="exact"/>
        <w:ind w:firstLine="640"/>
        <w:jc w:val="both"/>
        <w:outlineLvl w:val="2"/>
      </w:pPr>
      <w:r>
        <w:rPr>
          <w:rFonts w:ascii="黑体" w:hAnsi="黑体" w:eastAsia="黑体"/>
          <w:sz w:val="32"/>
        </w:rPr>
        <w:t>二、收入决算情况说明</w:t>
      </w:r>
    </w:p>
    <w:p w14:paraId="204571A5">
      <w:pPr>
        <w:spacing w:line="580" w:lineRule="exact"/>
        <w:ind w:firstLine="640"/>
        <w:jc w:val="both"/>
      </w:pPr>
      <w:r>
        <w:rPr>
          <w:rFonts w:ascii="仿宋_GB2312" w:hAnsi="仿宋_GB2312" w:eastAsia="仿宋_GB2312"/>
          <w:b/>
          <w:sz w:val="32"/>
        </w:rPr>
        <w:t>本年收入10,712.04万元，</w:t>
      </w:r>
      <w:r>
        <w:rPr>
          <w:rFonts w:ascii="仿宋_GB2312" w:hAnsi="仿宋_GB2312" w:eastAsia="仿宋_GB2312"/>
          <w:b w:val="0"/>
          <w:sz w:val="32"/>
        </w:rPr>
        <w:t>其中：财政拨款收入10,712.04万元，占100.00%；上级补助收入0.00万元，占0.00%；事业收入0.00万元，占0.00%；经营收入0.00万元，占0.00%；附属单位上缴收入0.00万元，占0.00%；其他收入0.00万元，占0.00%。</w:t>
      </w:r>
    </w:p>
    <w:p w14:paraId="40FB48D8">
      <w:pPr>
        <w:spacing w:line="640" w:lineRule="exact"/>
        <w:ind w:firstLine="640"/>
        <w:jc w:val="both"/>
        <w:outlineLvl w:val="2"/>
      </w:pPr>
      <w:r>
        <w:rPr>
          <w:rFonts w:ascii="黑体" w:hAnsi="黑体" w:eastAsia="黑体"/>
          <w:sz w:val="32"/>
        </w:rPr>
        <w:t>三、支出决算情况说明</w:t>
      </w:r>
    </w:p>
    <w:p w14:paraId="085D780E">
      <w:pPr>
        <w:spacing w:line="580" w:lineRule="exact"/>
        <w:ind w:firstLine="640"/>
        <w:jc w:val="both"/>
      </w:pPr>
      <w:r>
        <w:rPr>
          <w:rFonts w:ascii="仿宋_GB2312" w:hAnsi="仿宋_GB2312" w:eastAsia="仿宋_GB2312"/>
          <w:b/>
          <w:sz w:val="32"/>
        </w:rPr>
        <w:t>本年支出10,712.04万元，</w:t>
      </w:r>
      <w:r>
        <w:rPr>
          <w:rFonts w:ascii="仿宋_GB2312" w:hAnsi="仿宋_GB2312" w:eastAsia="仿宋_GB2312"/>
          <w:b w:val="0"/>
          <w:sz w:val="32"/>
        </w:rPr>
        <w:t>其中：基本支出105.50万元，占0.98%；项目支出10,606.55万元，占99.02%；上缴上级支出0.00万元，占0.00%；经营支出0.00万元，占0.00%；对附属单位补助支出0.00万元，占0.00%。</w:t>
      </w:r>
    </w:p>
    <w:p w14:paraId="39C22EE4">
      <w:pPr>
        <w:spacing w:line="640" w:lineRule="exact"/>
        <w:ind w:firstLine="640"/>
        <w:jc w:val="both"/>
        <w:outlineLvl w:val="2"/>
      </w:pPr>
      <w:r>
        <w:rPr>
          <w:rFonts w:ascii="黑体" w:hAnsi="黑体" w:eastAsia="黑体"/>
          <w:sz w:val="32"/>
        </w:rPr>
        <w:t>四、财政拨款收入支出决算总体情况说明</w:t>
      </w:r>
    </w:p>
    <w:p w14:paraId="771716D4">
      <w:pPr>
        <w:spacing w:line="580" w:lineRule="exact"/>
        <w:ind w:firstLine="640"/>
        <w:jc w:val="both"/>
      </w:pPr>
      <w:r>
        <w:rPr>
          <w:rFonts w:ascii="仿宋_GB2312" w:hAnsi="仿宋_GB2312" w:eastAsia="仿宋_GB2312"/>
          <w:b/>
          <w:sz w:val="32"/>
        </w:rPr>
        <w:t>2024年度财政拨款收入总计10,712.04万元，</w:t>
      </w:r>
      <w:r>
        <w:rPr>
          <w:rFonts w:ascii="仿宋_GB2312" w:hAnsi="仿宋_GB2312" w:eastAsia="仿宋_GB2312"/>
          <w:b w:val="0"/>
          <w:sz w:val="32"/>
        </w:rPr>
        <w:t>其中：年初财政拨款结转和结余0.00万元，本年财政拨款收入10,712.04万元。</w:t>
      </w:r>
      <w:r>
        <w:rPr>
          <w:rFonts w:ascii="仿宋_GB2312" w:hAnsi="仿宋_GB2312" w:eastAsia="仿宋_GB2312"/>
          <w:b/>
          <w:sz w:val="32"/>
        </w:rPr>
        <w:t>财政拨款支出总计10,712.04万元，</w:t>
      </w:r>
      <w:r>
        <w:rPr>
          <w:rFonts w:ascii="仿宋_GB2312" w:hAnsi="仿宋_GB2312" w:eastAsia="仿宋_GB2312"/>
          <w:b w:val="0"/>
          <w:sz w:val="32"/>
        </w:rPr>
        <w:t>其中：年末财政拨款结转和结余0.00万元，本年财政拨款支出10,712.04万元。</w:t>
      </w:r>
    </w:p>
    <w:p w14:paraId="1755680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增加8,587.49万元，增长404.20%，主要原因是：本年增加消防救援业务项目，导致经费较上年增加。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年初预算数1,796.22万元，决算数10,712.04万元，预决算差异率496.37%，主要原因是：年中追加消防救援业务项目，导致预决算存在差异。</w:t>
      </w:r>
    </w:p>
    <w:p w14:paraId="1BA7B47C">
      <w:pPr>
        <w:spacing w:line="640" w:lineRule="exact"/>
        <w:ind w:firstLine="640"/>
        <w:jc w:val="both"/>
        <w:outlineLvl w:val="2"/>
      </w:pPr>
      <w:r>
        <w:rPr>
          <w:rFonts w:ascii="黑体" w:hAnsi="黑体" w:eastAsia="黑体"/>
          <w:sz w:val="32"/>
        </w:rPr>
        <w:t>五、一般公共预算财政拨款支出决算情况说明</w:t>
      </w:r>
    </w:p>
    <w:p w14:paraId="33265052">
      <w:pPr>
        <w:spacing w:line="640" w:lineRule="exact"/>
        <w:ind w:firstLine="640"/>
        <w:jc w:val="both"/>
        <w:outlineLvl w:val="3"/>
      </w:pPr>
      <w:r>
        <w:rPr>
          <w:rFonts w:ascii="楷体_GB2312" w:hAnsi="楷体_GB2312" w:eastAsia="楷体_GB2312"/>
          <w:b/>
          <w:sz w:val="32"/>
        </w:rPr>
        <w:t>（一）一般公共预算财政拨款支出决算总体情况</w:t>
      </w:r>
    </w:p>
    <w:p w14:paraId="363A81B7">
      <w:pPr>
        <w:spacing w:line="580" w:lineRule="exact"/>
        <w:ind w:firstLine="640"/>
        <w:jc w:val="both"/>
      </w:pPr>
      <w:r>
        <w:rPr>
          <w:rFonts w:ascii="仿宋_GB2312" w:hAnsi="仿宋_GB2312" w:eastAsia="仿宋_GB2312"/>
          <w:b/>
          <w:sz w:val="32"/>
        </w:rPr>
        <w:t>2024年度一般公共预算财政拨款支出10,712.04万元，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增加8,587.49万元，增长404.20%，主要原因是：本年增加消防救援业务项目，导致经费较上年增加。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年初预算数1,796.22万元，决算数10,712.04万元，预决算差异率496.37%，主要原因是：年中追加消防救援业务项目，导致预决算存在差异。</w:t>
      </w:r>
    </w:p>
    <w:p w14:paraId="560A7253">
      <w:pPr>
        <w:spacing w:line="640" w:lineRule="exact"/>
        <w:ind w:firstLine="640"/>
        <w:jc w:val="both"/>
        <w:outlineLvl w:val="3"/>
      </w:pPr>
      <w:r>
        <w:rPr>
          <w:rFonts w:ascii="楷体_GB2312" w:hAnsi="楷体_GB2312" w:eastAsia="楷体_GB2312"/>
          <w:b/>
          <w:sz w:val="32"/>
        </w:rPr>
        <w:t>（二）一般公共预算财政拨款支出决算结构情况</w:t>
      </w:r>
    </w:p>
    <w:p w14:paraId="2E96337F">
      <w:pPr>
        <w:spacing w:line="580" w:lineRule="exact"/>
        <w:ind w:firstLine="640"/>
        <w:jc w:val="both"/>
      </w:pPr>
      <w:r>
        <w:rPr>
          <w:rFonts w:ascii="仿宋_GB2312" w:hAnsi="仿宋_GB2312" w:eastAsia="仿宋_GB2312"/>
          <w:b w:val="0"/>
          <w:sz w:val="32"/>
        </w:rPr>
        <w:t>1.社会保障和就业支出(类)11.73万元,占0.11%。</w:t>
      </w:r>
    </w:p>
    <w:p w14:paraId="1FA397EB">
      <w:pPr>
        <w:spacing w:line="580" w:lineRule="exact"/>
        <w:ind w:firstLine="640"/>
        <w:jc w:val="both"/>
      </w:pPr>
      <w:r>
        <w:rPr>
          <w:rFonts w:ascii="仿宋_GB2312" w:hAnsi="仿宋_GB2312" w:eastAsia="仿宋_GB2312"/>
          <w:b w:val="0"/>
          <w:sz w:val="32"/>
        </w:rPr>
        <w:t>2.卫生健康支出(类)5.36万元,占0.05%。</w:t>
      </w:r>
    </w:p>
    <w:p w14:paraId="2A36C110">
      <w:pPr>
        <w:spacing w:line="580" w:lineRule="exact"/>
        <w:ind w:firstLine="640"/>
        <w:jc w:val="both"/>
      </w:pPr>
      <w:r>
        <w:rPr>
          <w:rFonts w:ascii="仿宋_GB2312" w:hAnsi="仿宋_GB2312" w:eastAsia="仿宋_GB2312"/>
          <w:b w:val="0"/>
          <w:sz w:val="32"/>
        </w:rPr>
        <w:t>3.住房保障支出(类)9.10万元,占0.08%。</w:t>
      </w:r>
    </w:p>
    <w:p w14:paraId="49E00C16">
      <w:pPr>
        <w:spacing w:line="580" w:lineRule="exact"/>
        <w:ind w:firstLine="640"/>
        <w:jc w:val="both"/>
      </w:pPr>
      <w:r>
        <w:rPr>
          <w:rFonts w:ascii="仿宋_GB2312" w:hAnsi="仿宋_GB2312" w:eastAsia="仿宋_GB2312"/>
          <w:b w:val="0"/>
          <w:sz w:val="32"/>
        </w:rPr>
        <w:t>4.灾害防治及应急管理支出(类)10,685.86万元,占99.76%。</w:t>
      </w:r>
    </w:p>
    <w:p w14:paraId="6EB7C873">
      <w:pPr>
        <w:spacing w:line="640" w:lineRule="exact"/>
        <w:ind w:firstLine="640"/>
        <w:jc w:val="both"/>
        <w:outlineLvl w:val="3"/>
      </w:pPr>
      <w:r>
        <w:rPr>
          <w:rFonts w:ascii="楷体_GB2312" w:hAnsi="楷体_GB2312" w:eastAsia="楷体_GB2312"/>
          <w:b/>
          <w:sz w:val="32"/>
        </w:rPr>
        <w:t>（三）一般公共预算财政拨款支出决算具体情况</w:t>
      </w:r>
    </w:p>
    <w:p w14:paraId="449BF788">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11.73万元，比上年决算增加1.70万元，增长16.95%,主要原因是：本年在职人员工资基数调增，养老缴费基数上涨，相应支出增加。</w:t>
      </w:r>
    </w:p>
    <w:p w14:paraId="46407256">
      <w:pPr>
        <w:spacing w:line="580" w:lineRule="exact"/>
        <w:ind w:firstLine="640"/>
        <w:jc w:val="both"/>
      </w:pPr>
      <w:r>
        <w:rPr>
          <w:rFonts w:ascii="仿宋_GB2312" w:hAnsi="仿宋_GB2312" w:eastAsia="仿宋_GB2312"/>
          <w:b w:val="0"/>
          <w:sz w:val="32"/>
        </w:rPr>
        <w:t>2.卫生健康支出(类)行政事业单位医疗(款)事业单位医疗(项):支出决算数为5.13万元，比上年决算增加0.74万元，增长16.86%,主要原因是：本年在职人员工资基数调增，医疗缴费基数上涨，相应支出增加。</w:t>
      </w:r>
    </w:p>
    <w:p w14:paraId="694ADA31">
      <w:pPr>
        <w:spacing w:line="580" w:lineRule="exact"/>
        <w:ind w:firstLine="640"/>
        <w:jc w:val="both"/>
      </w:pPr>
      <w:r>
        <w:rPr>
          <w:rFonts w:ascii="仿宋_GB2312" w:hAnsi="仿宋_GB2312" w:eastAsia="仿宋_GB2312"/>
          <w:b w:val="0"/>
          <w:sz w:val="32"/>
        </w:rPr>
        <w:t>3.卫生健康支出(类)行政事业单位医疗(款)其他行政事业单位医疗支出(项):支出决算数为0.22万元，比上年决算增加0.02万元，增长10.00%,主要原因是：本年在职人员工资基数调增，医疗缴费基数上涨，相应支出增加。</w:t>
      </w:r>
    </w:p>
    <w:p w14:paraId="6859A4EF">
      <w:pPr>
        <w:spacing w:line="580" w:lineRule="exact"/>
        <w:ind w:firstLine="640"/>
        <w:jc w:val="both"/>
      </w:pPr>
      <w:r>
        <w:rPr>
          <w:rFonts w:ascii="仿宋_GB2312" w:hAnsi="仿宋_GB2312" w:eastAsia="仿宋_GB2312"/>
          <w:b w:val="0"/>
          <w:sz w:val="32"/>
        </w:rPr>
        <w:t>4.住房保障支出(类)住房改革支出(款)住房公积金(项):支出决算数为9.10万元，比上年决算增加1.42万元，增长18.49%,主要原因是：本年在职人员工资基数调增，公积金缴费基数上涨，相应支出增加。</w:t>
      </w:r>
    </w:p>
    <w:p w14:paraId="64B00B72">
      <w:pPr>
        <w:spacing w:line="580" w:lineRule="exact"/>
        <w:ind w:firstLine="640"/>
        <w:jc w:val="both"/>
      </w:pPr>
      <w:r>
        <w:rPr>
          <w:rFonts w:ascii="仿宋_GB2312" w:hAnsi="仿宋_GB2312" w:eastAsia="仿宋_GB2312"/>
          <w:b w:val="0"/>
          <w:sz w:val="32"/>
        </w:rPr>
        <w:t>5.灾害防治及应急管理支出(类)消防救援事务(款)一般行政管理事务(项):支出决算数为946.55万元，比上年决算增加29.19万元，增长3.18%,主要原因是：本年在职人员工资基数调增，人员工资相应支出增加。</w:t>
      </w:r>
    </w:p>
    <w:p w14:paraId="47FE549A">
      <w:pPr>
        <w:spacing w:line="580" w:lineRule="exact"/>
        <w:ind w:firstLine="640"/>
        <w:jc w:val="both"/>
      </w:pPr>
      <w:r>
        <w:rPr>
          <w:rFonts w:ascii="仿宋_GB2312" w:hAnsi="仿宋_GB2312" w:eastAsia="仿宋_GB2312"/>
          <w:b w:val="0"/>
          <w:sz w:val="32"/>
        </w:rPr>
        <w:t>6.灾害防治及应急管理支出(类)消防救援事务(款)消防应急救援(项):支出决算数为9,739.32万元，比上年决算增加8,554.42万元，增长721.95%,主要原因是：本年增加消防救援业务项目，相关支出增加。</w:t>
      </w:r>
    </w:p>
    <w:p w14:paraId="4E549138">
      <w:pPr>
        <w:spacing w:line="640" w:lineRule="exact"/>
        <w:ind w:firstLine="640"/>
        <w:jc w:val="both"/>
        <w:outlineLvl w:val="2"/>
      </w:pPr>
      <w:r>
        <w:rPr>
          <w:rFonts w:ascii="黑体" w:hAnsi="黑体" w:eastAsia="黑体"/>
          <w:sz w:val="32"/>
        </w:rPr>
        <w:t>六、一般公共预算财政拨款基本支出决算情况说明</w:t>
      </w:r>
    </w:p>
    <w:p w14:paraId="34EB219B">
      <w:pPr>
        <w:spacing w:line="580" w:lineRule="exact"/>
        <w:ind w:firstLine="640"/>
        <w:jc w:val="both"/>
      </w:pPr>
      <w:r>
        <w:rPr>
          <w:rFonts w:ascii="仿宋_GB2312" w:hAnsi="仿宋_GB2312" w:eastAsia="仿宋_GB2312"/>
          <w:b w:val="0"/>
          <w:sz w:val="32"/>
        </w:rPr>
        <w:t>2024年度一般公共预算财政拨款基本支出105.50万元，其中：</w:t>
      </w:r>
      <w:r>
        <w:rPr>
          <w:rFonts w:ascii="仿宋_GB2312" w:hAnsi="仿宋_GB2312" w:eastAsia="仿宋_GB2312"/>
          <w:b/>
          <w:sz w:val="32"/>
        </w:rPr>
        <w:t>人员经费105.50万元，</w:t>
      </w:r>
      <w:r>
        <w:rPr>
          <w:rFonts w:ascii="仿宋_GB2312" w:hAnsi="仿宋_GB2312" w:eastAsia="仿宋_GB2312"/>
          <w:b w:val="0"/>
          <w:sz w:val="32"/>
        </w:rPr>
        <w:t>包括：基本工资、津贴补贴、奖金、机关事业单位基本养老保险缴费、职工基本医疗保险缴费、其他社会保障缴费、住房公积金、生活补助。</w:t>
      </w:r>
    </w:p>
    <w:p w14:paraId="2048EDB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347FCA5">
      <w:pPr>
        <w:spacing w:line="640" w:lineRule="exact"/>
        <w:ind w:firstLine="640"/>
        <w:jc w:val="both"/>
        <w:outlineLvl w:val="2"/>
      </w:pPr>
      <w:r>
        <w:rPr>
          <w:rFonts w:ascii="黑体" w:hAnsi="黑体" w:eastAsia="黑体"/>
          <w:sz w:val="32"/>
        </w:rPr>
        <w:t>七、政府性基金预算财政拨款收入支出决算情况说明</w:t>
      </w:r>
    </w:p>
    <w:p w14:paraId="107C74F6">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7519A267">
      <w:pPr>
        <w:spacing w:line="640" w:lineRule="exact"/>
        <w:ind w:firstLine="640"/>
        <w:jc w:val="both"/>
        <w:outlineLvl w:val="2"/>
      </w:pPr>
      <w:r>
        <w:rPr>
          <w:rFonts w:ascii="黑体" w:hAnsi="黑体" w:eastAsia="黑体"/>
          <w:sz w:val="32"/>
        </w:rPr>
        <w:t>八、国有资本经营预算财政拨款收入支出决算情况说明</w:t>
      </w:r>
    </w:p>
    <w:p w14:paraId="5CBE406D">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23A64AE5">
      <w:pPr>
        <w:spacing w:line="640" w:lineRule="exact"/>
        <w:ind w:firstLine="640"/>
        <w:jc w:val="both"/>
        <w:outlineLvl w:val="2"/>
      </w:pPr>
      <w:r>
        <w:rPr>
          <w:rFonts w:ascii="黑体" w:hAnsi="黑体" w:eastAsia="黑体"/>
          <w:sz w:val="32"/>
        </w:rPr>
        <w:t>九、财政拨款“三公”经费支出决算情况说明</w:t>
      </w:r>
    </w:p>
    <w:p w14:paraId="44CB2C1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BFA9A85">
      <w:pPr>
        <w:spacing w:line="580" w:lineRule="exact"/>
        <w:ind w:firstLine="640"/>
        <w:jc w:val="both"/>
      </w:pPr>
      <w:r>
        <w:rPr>
          <w:rFonts w:ascii="仿宋_GB2312" w:hAnsi="仿宋_GB2312" w:eastAsia="仿宋_GB2312"/>
          <w:b/>
          <w:sz w:val="32"/>
        </w:rPr>
        <w:t>具体情况如下：</w:t>
      </w:r>
    </w:p>
    <w:p w14:paraId="256205CE">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75BD4A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部门无公务用车运行维护费。公务用车购置数0辆，公务用车保有量0辆。国有资产占用情况中固定资产车辆0辆，与公务用车保有量差异原因是：本部门无固定资产车辆。</w:t>
      </w:r>
    </w:p>
    <w:p w14:paraId="49DD5DE2">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0430599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部门无财政拨款“三公”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0.00万元，决算数0.00万元，预决算差异率0.00%，主要原因是：本部门无公务用车运行维护费。公务接待费全年预算数0.00万元，决算数0.00万元，预决算差异率0.00%，主要原因是：本部门无公务接待费。</w:t>
      </w:r>
    </w:p>
    <w:p w14:paraId="183514C5">
      <w:pPr>
        <w:spacing w:line="640" w:lineRule="exact"/>
        <w:ind w:firstLine="640"/>
        <w:jc w:val="both"/>
        <w:outlineLvl w:val="2"/>
      </w:pPr>
      <w:r>
        <w:rPr>
          <w:rFonts w:ascii="黑体" w:hAnsi="黑体" w:eastAsia="黑体"/>
          <w:sz w:val="32"/>
        </w:rPr>
        <w:t>十、其他重要事项的情况说明</w:t>
      </w:r>
    </w:p>
    <w:p w14:paraId="458152D7">
      <w:pPr>
        <w:spacing w:line="640" w:lineRule="exact"/>
        <w:ind w:firstLine="640"/>
        <w:jc w:val="both"/>
        <w:outlineLvl w:val="3"/>
      </w:pPr>
      <w:r>
        <w:rPr>
          <w:rFonts w:ascii="楷体_GB2312" w:hAnsi="楷体_GB2312" w:eastAsia="楷体_GB2312"/>
          <w:b/>
          <w:sz w:val="32"/>
        </w:rPr>
        <w:t>（一）机关运行经费及公用经费支出情况</w:t>
      </w:r>
    </w:p>
    <w:p w14:paraId="07BAE4EB">
      <w:pPr>
        <w:spacing w:line="580" w:lineRule="exact"/>
        <w:ind w:firstLine="640"/>
        <w:jc w:val="both"/>
      </w:pPr>
      <w:r>
        <w:rPr>
          <w:rFonts w:ascii="仿宋_GB2312" w:hAnsi="仿宋_GB2312" w:eastAsia="仿宋_GB2312"/>
          <w:b w:val="0"/>
          <w:sz w:val="32"/>
        </w:rPr>
        <w:t>2024年度巴音郭楞蒙古自治州消防救援支队（行政单位和参照公务员法管理事业单位）机关运行经费支出0.00万元，比上年增加0.00万元，增长0.00%，主要原因是：2023年与2024年均未安排机关运行经费支出。</w:t>
      </w:r>
    </w:p>
    <w:p w14:paraId="1DF2932C">
      <w:pPr>
        <w:spacing w:line="640" w:lineRule="exact"/>
        <w:ind w:firstLine="640"/>
        <w:jc w:val="both"/>
        <w:outlineLvl w:val="3"/>
      </w:pPr>
      <w:r>
        <w:rPr>
          <w:rFonts w:ascii="楷体_GB2312" w:hAnsi="楷体_GB2312" w:eastAsia="楷体_GB2312"/>
          <w:b/>
          <w:sz w:val="32"/>
        </w:rPr>
        <w:t>（二）政府采购情况</w:t>
      </w:r>
    </w:p>
    <w:p w14:paraId="72D4B98B">
      <w:pPr>
        <w:spacing w:line="580" w:lineRule="exact"/>
        <w:ind w:firstLine="640"/>
        <w:jc w:val="both"/>
      </w:pPr>
      <w:r>
        <w:rPr>
          <w:rFonts w:ascii="仿宋_GB2312" w:hAnsi="仿宋_GB2312" w:eastAsia="仿宋_GB2312"/>
          <w:b w:val="0"/>
          <w:sz w:val="32"/>
        </w:rPr>
        <w:t>2024年度政府采购支出总额261.62万元，其中：政府采购货物支出162.70万元、政府采购工程支出8.52万元、政府采购服务支出90.41万元。</w:t>
      </w:r>
    </w:p>
    <w:p w14:paraId="717FB96C">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66D0A8F">
      <w:pPr>
        <w:spacing w:line="640" w:lineRule="exact"/>
        <w:ind w:firstLine="640"/>
        <w:jc w:val="both"/>
        <w:outlineLvl w:val="3"/>
      </w:pPr>
      <w:r>
        <w:rPr>
          <w:rFonts w:ascii="楷体_GB2312" w:hAnsi="楷体_GB2312" w:eastAsia="楷体_GB2312"/>
          <w:b/>
          <w:sz w:val="32"/>
        </w:rPr>
        <w:t>（三）国有资产占用情况说明</w:t>
      </w:r>
    </w:p>
    <w:p w14:paraId="03E96B2D">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部门无其他用车。单价100万元（含）以上设备（不含车辆）0台（套）。</w:t>
      </w:r>
    </w:p>
    <w:p w14:paraId="2E9A14FD">
      <w:pPr>
        <w:spacing w:line="640" w:lineRule="exact"/>
        <w:ind w:firstLine="640"/>
        <w:jc w:val="both"/>
        <w:outlineLvl w:val="2"/>
      </w:pPr>
      <w:r>
        <w:rPr>
          <w:rFonts w:ascii="黑体" w:hAnsi="黑体" w:eastAsia="黑体"/>
          <w:sz w:val="32"/>
        </w:rPr>
        <w:t>十一、预算绩效的情况说明</w:t>
      </w:r>
    </w:p>
    <w:p w14:paraId="5BE59F50">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根据预算绩效管理要求，本部门2024年度预算绩效管理形成整体支出绩效自评表1个，全年预算总额10,717.30万元，实际执行总额10,712.04万元；预算绩效评价项目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10</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607.27</w:t>
      </w:r>
      <w:r>
        <w:rPr>
          <w:rFonts w:ascii="仿宋_GB2312" w:hAnsi="仿宋_GB2312" w:eastAsia="仿宋_GB2312"/>
          <w:b w:val="0"/>
          <w:sz w:val="32"/>
        </w:rPr>
        <w:t>万元，全年执行数</w:t>
      </w:r>
      <w:r>
        <w:rPr>
          <w:rFonts w:hint="eastAsia" w:ascii="仿宋_GB2312" w:hAnsi="仿宋_GB2312" w:eastAsia="仿宋_GB2312"/>
          <w:b w:val="0"/>
          <w:sz w:val="32"/>
        </w:rPr>
        <w:t>10</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606.55</w:t>
      </w:r>
      <w:r>
        <w:rPr>
          <w:rFonts w:ascii="仿宋_GB2312" w:hAnsi="仿宋_GB2312" w:eastAsia="仿宋_GB2312"/>
          <w:b w:val="0"/>
          <w:sz w:val="32"/>
        </w:rPr>
        <w:t>万元。预算绩效管理取得的成效：一是通过完成开展应急宣传拉动演练，有效提升应急响应体系的实战化水平，强化多部门协同联动效能，达到完善应急预案可操作性、缩短突发事件处置响应时间、提高公众自救互救能力的实战效果，为构建平战结合的现代化应急管理体系提供有力支撑；二是通过开展消防救援人员专业培训，有效提升火场复杂环境处置能力，强化多灾种协同救援效能，为构建</w:t>
      </w:r>
      <w:r>
        <w:rPr>
          <w:rFonts w:hint="eastAsia" w:ascii="仿宋_GB2312" w:hAnsi="仿宋_GB2312" w:eastAsia="仿宋_GB2312"/>
          <w:b w:val="0"/>
          <w:sz w:val="32"/>
          <w:lang w:eastAsia="zh-CN"/>
        </w:rPr>
        <w:t>“</w:t>
      </w:r>
      <w:r>
        <w:rPr>
          <w:rFonts w:ascii="仿宋_GB2312" w:hAnsi="仿宋_GB2312" w:eastAsia="仿宋_GB2312"/>
          <w:b w:val="0"/>
          <w:sz w:val="32"/>
        </w:rPr>
        <w:t>全灾种、大应急</w:t>
      </w:r>
      <w:r>
        <w:rPr>
          <w:rFonts w:hint="eastAsia" w:ascii="仿宋_GB2312" w:hAnsi="仿宋_GB2312" w:eastAsia="仿宋_GB2312"/>
          <w:b w:val="0"/>
          <w:sz w:val="32"/>
          <w:lang w:eastAsia="zh-CN"/>
        </w:rPr>
        <w:t>”</w:t>
      </w:r>
      <w:r>
        <w:rPr>
          <w:rFonts w:ascii="仿宋_GB2312" w:hAnsi="仿宋_GB2312" w:eastAsia="仿宋_GB2312"/>
          <w:b w:val="0"/>
          <w:sz w:val="32"/>
        </w:rPr>
        <w:t>救援体系提供人才支撑。发现的问题及原因：一是由于工作阶段性的原因，部分专项的支付进度不能达到财政要求，存在年底集中付款的现象。如国债项目经费集中在年底支出；二是2024年支队部分指标预算执行率未达100%，从而影响单位整体预算执行率。如按照现行的预算编制原则，人员经费以上一年工资为基数以及年度内人员有变动，实际执行会出现结余；或者本着据实支付和节约资金的原则，维修费略有结余等。下一步改进措施：一是明确各项预算执行的责任主体，严格执行预算，落实工作计划，加强预算执行过程的监督管理，提高预算执行进度。在项目的实施过程中，定期开展检查工作，对于实施进度缓慢的单位或部门采取督促措施，确保项目如期完成、资金及时支付。同时，在对项目支出预算执行情况进行评价考核时，充分考虑部分项目的特殊性和敏感性，结合实际工作开展情况，灵活设置其执行进度；二是预算编制过程中单位内部各部门间将进一步沟通协调充分，根据工作计划细化预算编制，做到预算编制程序规范、内容完整、项目细化、数据准确，提高预算编制的科学性、合理性、准确性和可控性。提高预算编制的前瞻性和指导性，减少后续预算调剂使用，避免发生无预算、超预算行为。具体附部门整体支出绩效自评表，项目支出绩效自评表。</w:t>
      </w:r>
    </w:p>
    <w:p w14:paraId="37390EF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799572A">
        <w:tblPrEx>
          <w:tblCellMar>
            <w:top w:w="0" w:type="dxa"/>
            <w:left w:w="108" w:type="dxa"/>
            <w:bottom w:w="0" w:type="dxa"/>
            <w:right w:w="108" w:type="dxa"/>
          </w:tblCellMar>
        </w:tblPrEx>
        <w:tc>
          <w:tcPr>
            <w:tcW w:w="8840" w:type="dxa"/>
            <w:gridSpan w:val="8"/>
            <w:vAlign w:val="center"/>
          </w:tcPr>
          <w:p w14:paraId="38B9140A">
            <w:pPr>
              <w:jc w:val="center"/>
            </w:pPr>
            <w:r>
              <w:rPr>
                <w:rFonts w:ascii="宋体" w:hAnsi="宋体" w:eastAsia="宋体"/>
                <w:sz w:val="24"/>
              </w:rPr>
              <w:t>部门整体支出绩效自评表</w:t>
            </w:r>
          </w:p>
        </w:tc>
      </w:tr>
      <w:tr w14:paraId="5B7D747D">
        <w:tblPrEx>
          <w:tblCellMar>
            <w:top w:w="0" w:type="dxa"/>
            <w:left w:w="108" w:type="dxa"/>
            <w:bottom w:w="0" w:type="dxa"/>
            <w:right w:w="108" w:type="dxa"/>
          </w:tblCellMar>
        </w:tblPrEx>
        <w:tc>
          <w:tcPr>
            <w:tcW w:w="8840" w:type="dxa"/>
            <w:gridSpan w:val="8"/>
            <w:vAlign w:val="center"/>
          </w:tcPr>
          <w:p w14:paraId="24CC44B4">
            <w:pPr>
              <w:jc w:val="center"/>
            </w:pPr>
            <w:r>
              <w:rPr>
                <w:rFonts w:ascii="宋体" w:hAnsi="宋体" w:eastAsia="宋体"/>
                <w:sz w:val="24"/>
              </w:rPr>
              <w:t>（2024年度）</w:t>
            </w:r>
          </w:p>
        </w:tc>
      </w:tr>
      <w:tr w14:paraId="0404862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7FB7C">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1BD87">
            <w:pPr>
              <w:jc w:val="center"/>
            </w:pPr>
            <w:r>
              <w:rPr>
                <w:rFonts w:ascii="宋体" w:hAnsi="宋体" w:eastAsia="宋体"/>
                <w:sz w:val="16"/>
              </w:rPr>
              <w:t>巴音郭楞蒙古自治州消防救援支队</w:t>
            </w:r>
          </w:p>
        </w:tc>
      </w:tr>
      <w:tr w14:paraId="27EE2E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24C6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CC56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9BA3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93E8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64E8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4D05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A45D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210BC">
            <w:pPr>
              <w:jc w:val="center"/>
            </w:pPr>
            <w:r>
              <w:rPr>
                <w:rFonts w:ascii="宋体" w:hAnsi="宋体" w:eastAsia="宋体"/>
                <w:sz w:val="16"/>
              </w:rPr>
              <w:t>得分</w:t>
            </w:r>
          </w:p>
        </w:tc>
      </w:tr>
      <w:tr w14:paraId="7BABD5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CCC8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BB63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B40B5E">
            <w:pPr>
              <w:jc w:val="center"/>
            </w:pPr>
            <w:r>
              <w:rPr>
                <w:rFonts w:ascii="宋体" w:hAnsi="宋体" w:eastAsia="宋体"/>
                <w:sz w:val="16"/>
              </w:rPr>
              <w:t>1,796.22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91828">
            <w:pPr>
              <w:jc w:val="center"/>
            </w:pPr>
            <w:r>
              <w:rPr>
                <w:rFonts w:ascii="宋体" w:hAnsi="宋体" w:eastAsia="宋体"/>
                <w:sz w:val="16"/>
              </w:rPr>
              <w:t>10,717.30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4AAF2">
            <w:pPr>
              <w:jc w:val="center"/>
            </w:pPr>
            <w:r>
              <w:rPr>
                <w:rFonts w:ascii="宋体" w:hAnsi="宋体" w:eastAsia="宋体"/>
                <w:sz w:val="16"/>
              </w:rPr>
              <w:t>10,712.04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F9E0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E1F38">
            <w:pPr>
              <w:jc w:val="center"/>
            </w:pPr>
            <w:r>
              <w:rPr>
                <w:rFonts w:ascii="宋体" w:hAnsi="宋体" w:eastAsia="宋体"/>
                <w:sz w:val="16"/>
              </w:rPr>
              <w:t>99.95%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D8D1CB">
            <w:pPr>
              <w:jc w:val="center"/>
            </w:pPr>
            <w:r>
              <w:rPr>
                <w:rFonts w:ascii="宋体" w:hAnsi="宋体" w:eastAsia="宋体"/>
                <w:sz w:val="16"/>
              </w:rPr>
              <w:t>9.9</w:t>
            </w:r>
          </w:p>
        </w:tc>
      </w:tr>
      <w:tr w14:paraId="5E4EEF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71AD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EF993">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4632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25CB9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4ADD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F78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0EE0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486C5">
            <w:pPr>
              <w:jc w:val="center"/>
            </w:pPr>
            <w:r>
              <w:rPr>
                <w:rFonts w:ascii="宋体" w:hAnsi="宋体" w:eastAsia="宋体"/>
                <w:sz w:val="16"/>
              </w:rPr>
              <w:t>-</w:t>
            </w:r>
          </w:p>
        </w:tc>
      </w:tr>
      <w:tr w14:paraId="42FBE9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AA7B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878AD">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FDAC5E">
            <w:pPr>
              <w:jc w:val="center"/>
            </w:pPr>
            <w:r>
              <w:rPr>
                <w:rFonts w:ascii="宋体" w:hAnsi="宋体" w:eastAsia="宋体"/>
                <w:sz w:val="16"/>
              </w:rPr>
              <w:t>1,796.22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50D7D2">
            <w:pPr>
              <w:jc w:val="center"/>
            </w:pPr>
            <w:r>
              <w:rPr>
                <w:rFonts w:ascii="宋体" w:hAnsi="宋体" w:eastAsia="宋体"/>
                <w:sz w:val="16"/>
              </w:rPr>
              <w:t>10,717.30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FC961">
            <w:pPr>
              <w:jc w:val="center"/>
            </w:pPr>
            <w:r>
              <w:rPr>
                <w:rFonts w:ascii="宋体" w:hAnsi="宋体" w:eastAsia="宋体"/>
                <w:sz w:val="16"/>
              </w:rPr>
              <w:t>10,712.04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427F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02B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7CCE0">
            <w:pPr>
              <w:jc w:val="center"/>
            </w:pPr>
            <w:r>
              <w:rPr>
                <w:rFonts w:ascii="宋体" w:hAnsi="宋体" w:eastAsia="宋体"/>
                <w:sz w:val="16"/>
              </w:rPr>
              <w:t>-</w:t>
            </w:r>
          </w:p>
        </w:tc>
      </w:tr>
      <w:tr w14:paraId="5FA7BE9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9B0B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19351">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D32B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D6F6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61565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466D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C9C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56214">
            <w:pPr>
              <w:jc w:val="center"/>
            </w:pPr>
            <w:r>
              <w:rPr>
                <w:rFonts w:ascii="宋体" w:hAnsi="宋体" w:eastAsia="宋体"/>
                <w:sz w:val="16"/>
              </w:rPr>
              <w:t>-</w:t>
            </w:r>
          </w:p>
        </w:tc>
      </w:tr>
      <w:tr w14:paraId="64A493B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AD03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3C6F3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F70B36">
            <w:pPr>
              <w:jc w:val="center"/>
            </w:pPr>
            <w:r>
              <w:rPr>
                <w:rFonts w:ascii="宋体" w:hAnsi="宋体" w:eastAsia="宋体"/>
                <w:sz w:val="16"/>
              </w:rPr>
              <w:t>实际完成情况</w:t>
            </w:r>
          </w:p>
        </w:tc>
      </w:tr>
      <w:tr w14:paraId="59DBC7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F854F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DFC134">
            <w:pPr>
              <w:jc w:val="both"/>
            </w:pPr>
            <w:r>
              <w:rPr>
                <w:rFonts w:ascii="宋体" w:hAnsi="宋体" w:eastAsia="宋体"/>
                <w:sz w:val="16"/>
              </w:rPr>
              <w:t>忠实践行</w:t>
            </w:r>
            <w:r>
              <w:rPr>
                <w:rFonts w:hint="eastAsia" w:ascii="宋体" w:hAnsi="宋体"/>
                <w:sz w:val="16"/>
                <w:lang w:eastAsia="zh-CN"/>
              </w:rPr>
              <w:t>习近平总书记重要指示精神</w:t>
            </w:r>
            <w:r>
              <w:rPr>
                <w:rFonts w:ascii="宋体" w:hAnsi="宋体" w:eastAsia="宋体"/>
                <w:sz w:val="16"/>
              </w:rPr>
              <w:t>，在自治州党委、政府的正确领导下，深入贯彻“对党忠诚、纪律严明、赴汤蹈火、竭诚为民”四句话方针，积极对标应急救援“主力军、国家队”的职责定位，聚焦“固本强基，提质强能”工作主题，以“抓班子、聚主业、强本领，稳队伍、增活力、见成效”为工作主线，坚持“稳中求进、以进促稳”工作总基调，在“创品牌、促规范、勤培训、严比训、强联动、重廉洁、展形象”上持续用力，保持争先创优的奋进姿态，稳步推进消防治理体系和能力现代化，主动服务巴州经济社会发展大局，防范</w:t>
            </w:r>
            <w:bookmarkStart w:id="0" w:name="_GoBack"/>
            <w:r>
              <w:rPr>
                <w:rFonts w:ascii="宋体" w:hAnsi="宋体" w:eastAsia="宋体"/>
                <w:sz w:val="16"/>
              </w:rPr>
              <w:t>化解</w:t>
            </w:r>
            <w:bookmarkEnd w:id="0"/>
            <w:r>
              <w:rPr>
                <w:rFonts w:ascii="宋体" w:hAnsi="宋体" w:eastAsia="宋体"/>
                <w:sz w:val="16"/>
              </w:rPr>
              <w:t>重大安全风险，应对处置各类灾害事故，维护社会稳定、护航经济发展、保障民生民安。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1E994D">
            <w:pPr>
              <w:jc w:val="both"/>
            </w:pPr>
            <w:r>
              <w:rPr>
                <w:rFonts w:ascii="宋体" w:hAnsi="宋体" w:eastAsia="宋体"/>
                <w:sz w:val="16"/>
              </w:rPr>
              <w:t>2024年，在总队党委的坚强领导下，巴州支队以习近平新时代中国特色社会主义思想为指导，团结带领全州队伍上下齐心、精准发力、突破提升，高效完成主责主业，确保社会面火灾形势和队伍内部“双稳定”。全年开展应急宣传拉动演练1</w:t>
            </w:r>
            <w:r>
              <w:rPr>
                <w:rFonts w:hint="eastAsia" w:ascii="宋体" w:hAnsi="宋体"/>
                <w:sz w:val="16"/>
                <w:lang w:eastAsia="zh-CN"/>
              </w:rPr>
              <w:t>次</w:t>
            </w:r>
            <w:r>
              <w:rPr>
                <w:rFonts w:ascii="宋体" w:hAnsi="宋体" w:eastAsia="宋体"/>
                <w:sz w:val="16"/>
              </w:rPr>
              <w:t>，完成战勤保障站建设，开展战勤保障实战拉练4次，消防救援人员专业培训3次。</w:t>
            </w:r>
          </w:p>
        </w:tc>
      </w:tr>
      <w:tr w14:paraId="397D996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D763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823A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3B0A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D901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2849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0EC4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4AF9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E98D5">
            <w:pPr>
              <w:jc w:val="center"/>
            </w:pPr>
            <w:r>
              <w:rPr>
                <w:rFonts w:ascii="宋体" w:hAnsi="宋体" w:eastAsia="宋体"/>
                <w:sz w:val="16"/>
              </w:rPr>
              <w:t>得分</w:t>
            </w:r>
          </w:p>
        </w:tc>
      </w:tr>
      <w:tr w14:paraId="4ADE4F9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87C8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F628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26F5E">
            <w:pPr>
              <w:jc w:val="center"/>
            </w:pPr>
            <w:r>
              <w:rPr>
                <w:rFonts w:ascii="宋体" w:hAnsi="宋体" w:eastAsia="宋体"/>
                <w:sz w:val="16"/>
              </w:rPr>
              <w:t>开展应急宣传拉动演练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AC907">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AA45D">
            <w:pPr>
              <w:jc w:val="center"/>
            </w:pPr>
            <w:r>
              <w:rPr>
                <w:rFonts w:ascii="宋体" w:hAnsi="宋体" w:eastAsia="宋体"/>
                <w:sz w:val="16"/>
              </w:rPr>
              <w:t>巴州消防救援支队2024年工作要点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AA8D4">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8FEAB">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2E98F">
            <w:pPr>
              <w:jc w:val="center"/>
            </w:pPr>
            <w:r>
              <w:rPr>
                <w:rFonts w:ascii="宋体" w:hAnsi="宋体" w:eastAsia="宋体"/>
                <w:sz w:val="16"/>
              </w:rPr>
              <w:t>25</w:t>
            </w:r>
          </w:p>
        </w:tc>
      </w:tr>
      <w:tr w14:paraId="2EA94A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376E9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46C2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5A98F">
            <w:pPr>
              <w:jc w:val="center"/>
            </w:pPr>
            <w:r>
              <w:rPr>
                <w:rFonts w:ascii="宋体" w:hAnsi="宋体" w:eastAsia="宋体"/>
                <w:sz w:val="16"/>
              </w:rPr>
              <w:t>完成战勤保障站建设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E9F37">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6631C7">
            <w:pPr>
              <w:jc w:val="center"/>
            </w:pPr>
            <w:r>
              <w:rPr>
                <w:rFonts w:ascii="宋体" w:hAnsi="宋体" w:eastAsia="宋体"/>
                <w:sz w:val="16"/>
              </w:rPr>
              <w:t>巴州消防救援支队2024年工作要点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9B850">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0CED9">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7E48B">
            <w:pPr>
              <w:jc w:val="center"/>
            </w:pPr>
            <w:r>
              <w:rPr>
                <w:rFonts w:ascii="宋体" w:hAnsi="宋体" w:eastAsia="宋体"/>
                <w:sz w:val="16"/>
              </w:rPr>
              <w:t>25</w:t>
            </w:r>
          </w:p>
        </w:tc>
      </w:tr>
      <w:tr w14:paraId="4AF404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45AE9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59D3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2F86B">
            <w:pPr>
              <w:jc w:val="center"/>
            </w:pPr>
            <w:r>
              <w:rPr>
                <w:rFonts w:ascii="宋体" w:hAnsi="宋体" w:eastAsia="宋体"/>
                <w:sz w:val="16"/>
              </w:rPr>
              <w:t>开展战勤保障实战拉练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BB6CD">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D1163">
            <w:pPr>
              <w:jc w:val="center"/>
            </w:pPr>
            <w:r>
              <w:rPr>
                <w:rFonts w:ascii="宋体" w:hAnsi="宋体" w:eastAsia="宋体"/>
                <w:sz w:val="16"/>
              </w:rPr>
              <w:t>巴州消防救援支队2024年工作要点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DF88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20189">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3D9A9D">
            <w:pPr>
              <w:jc w:val="center"/>
            </w:pPr>
            <w:r>
              <w:rPr>
                <w:rFonts w:ascii="宋体" w:hAnsi="宋体" w:eastAsia="宋体"/>
                <w:sz w:val="16"/>
              </w:rPr>
              <w:t>25</w:t>
            </w:r>
          </w:p>
        </w:tc>
      </w:tr>
      <w:tr w14:paraId="176194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07B16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9E79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3BF26">
            <w:pPr>
              <w:jc w:val="center"/>
            </w:pPr>
            <w:r>
              <w:rPr>
                <w:rFonts w:ascii="宋体" w:hAnsi="宋体" w:eastAsia="宋体"/>
                <w:sz w:val="16"/>
              </w:rPr>
              <w:t>消防救援人员专业培训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308AA">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5342D5">
            <w:pPr>
              <w:jc w:val="center"/>
            </w:pPr>
            <w:r>
              <w:rPr>
                <w:rFonts w:ascii="宋体" w:hAnsi="宋体" w:eastAsia="宋体"/>
                <w:sz w:val="16"/>
              </w:rPr>
              <w:t>巴州消防救援支队2024年工作要点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6A7B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034F0">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A82897">
            <w:pPr>
              <w:jc w:val="center"/>
            </w:pPr>
            <w:r>
              <w:rPr>
                <w:rFonts w:ascii="宋体" w:hAnsi="宋体" w:eastAsia="宋体"/>
                <w:sz w:val="16"/>
              </w:rPr>
              <w:t>15</w:t>
            </w:r>
          </w:p>
        </w:tc>
      </w:tr>
    </w:tbl>
    <w:p w14:paraId="1C7A539B">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936"/>
        <w:gridCol w:w="586"/>
        <w:gridCol w:w="586"/>
        <w:gridCol w:w="600"/>
        <w:gridCol w:w="586"/>
        <w:gridCol w:w="586"/>
        <w:gridCol w:w="856"/>
        <w:gridCol w:w="696"/>
        <w:gridCol w:w="629"/>
        <w:gridCol w:w="629"/>
      </w:tblGrid>
      <w:tr w14:paraId="73860C08">
        <w:tblPrEx>
          <w:tblCellMar>
            <w:top w:w="0" w:type="dxa"/>
            <w:left w:w="108" w:type="dxa"/>
            <w:bottom w:w="0" w:type="dxa"/>
            <w:right w:w="108" w:type="dxa"/>
          </w:tblCellMar>
        </w:tblPrEx>
        <w:tc>
          <w:tcPr>
            <w:tcW w:w="8848" w:type="dxa"/>
            <w:gridSpan w:val="14"/>
            <w:vAlign w:val="center"/>
          </w:tcPr>
          <w:p w14:paraId="6EF300DB">
            <w:pPr>
              <w:jc w:val="center"/>
            </w:pPr>
            <w:r>
              <w:rPr>
                <w:rFonts w:ascii="宋体" w:hAnsi="宋体" w:eastAsia="宋体"/>
                <w:sz w:val="24"/>
              </w:rPr>
              <w:t>项目支出绩效自评表</w:t>
            </w:r>
          </w:p>
        </w:tc>
      </w:tr>
      <w:tr w14:paraId="5619A143">
        <w:tblPrEx>
          <w:tblCellMar>
            <w:top w:w="0" w:type="dxa"/>
            <w:left w:w="108" w:type="dxa"/>
            <w:bottom w:w="0" w:type="dxa"/>
            <w:right w:w="108" w:type="dxa"/>
          </w:tblCellMar>
        </w:tblPrEx>
        <w:tc>
          <w:tcPr>
            <w:tcW w:w="8848" w:type="dxa"/>
            <w:gridSpan w:val="14"/>
            <w:vAlign w:val="center"/>
          </w:tcPr>
          <w:p w14:paraId="7A63B172">
            <w:pPr>
              <w:jc w:val="center"/>
            </w:pPr>
            <w:r>
              <w:rPr>
                <w:rFonts w:ascii="宋体" w:hAnsi="宋体" w:eastAsia="宋体"/>
                <w:sz w:val="24"/>
              </w:rPr>
              <w:t>(2024年度)</w:t>
            </w:r>
          </w:p>
        </w:tc>
      </w:tr>
      <w:tr w14:paraId="2F26AC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07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66DC33">
            <w:pPr>
              <w:jc w:val="center"/>
            </w:pPr>
            <w:r>
              <w:rPr>
                <w:rFonts w:ascii="宋体" w:hAnsi="宋体" w:eastAsia="宋体"/>
                <w:sz w:val="16"/>
              </w:rPr>
              <w:t>巴州消防救援支队库尔勒市战勤保障消防站建设项目</w:t>
            </w:r>
          </w:p>
        </w:tc>
      </w:tr>
      <w:tr w14:paraId="4BFEAE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F1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83F37">
            <w:pPr>
              <w:jc w:val="center"/>
            </w:pPr>
            <w:r>
              <w:rPr>
                <w:rFonts w:ascii="宋体" w:hAnsi="宋体" w:eastAsia="宋体"/>
                <w:sz w:val="16"/>
              </w:rPr>
              <w:t>巴音郭楞蒙古自治州消防救援支队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68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5ED341">
            <w:pPr>
              <w:jc w:val="center"/>
            </w:pPr>
            <w:r>
              <w:rPr>
                <w:rFonts w:ascii="宋体" w:hAnsi="宋体" w:eastAsia="宋体"/>
                <w:sz w:val="16"/>
              </w:rPr>
              <w:t>巴音郭楞蒙古自治州消防救援支队</w:t>
            </w:r>
          </w:p>
        </w:tc>
      </w:tr>
      <w:tr w14:paraId="11C4ED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4F24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BB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6C6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3DE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B4E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83D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0A2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7AB2">
            <w:pPr>
              <w:jc w:val="center"/>
            </w:pPr>
            <w:r>
              <w:rPr>
                <w:rFonts w:ascii="宋体" w:hAnsi="宋体" w:eastAsia="宋体"/>
                <w:sz w:val="16"/>
              </w:rPr>
              <w:t>得分</w:t>
            </w:r>
          </w:p>
        </w:tc>
      </w:tr>
      <w:tr w14:paraId="0C739D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DC9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1F8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11997">
            <w:pPr>
              <w:jc w:val="center"/>
            </w:pPr>
            <w:r>
              <w:rPr>
                <w:rFonts w:ascii="宋体" w:hAnsi="宋体" w:eastAsia="宋体"/>
                <w:sz w:val="16"/>
              </w:rPr>
              <w:t>740.00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DE265">
            <w:pPr>
              <w:jc w:val="center"/>
            </w:pPr>
            <w:r>
              <w:rPr>
                <w:rFonts w:ascii="宋体" w:hAnsi="宋体" w:eastAsia="宋体"/>
                <w:sz w:val="16"/>
              </w:rPr>
              <w:t>740.00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BFFE5">
            <w:pPr>
              <w:jc w:val="center"/>
            </w:pPr>
            <w:r>
              <w:rPr>
                <w:rFonts w:ascii="宋体" w:hAnsi="宋体" w:eastAsia="宋体"/>
                <w:sz w:val="16"/>
              </w:rPr>
              <w:t>740.00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2EA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AD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41AD">
            <w:pPr>
              <w:jc w:val="center"/>
            </w:pPr>
            <w:r>
              <w:rPr>
                <w:rFonts w:ascii="宋体" w:hAnsi="宋体" w:eastAsia="宋体"/>
                <w:sz w:val="16"/>
              </w:rPr>
              <w:t>10.00</w:t>
            </w:r>
          </w:p>
        </w:tc>
      </w:tr>
      <w:tr w14:paraId="54916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1E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F83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747EC">
            <w:pPr>
              <w:jc w:val="center"/>
            </w:pPr>
            <w:r>
              <w:rPr>
                <w:rFonts w:ascii="宋体" w:hAnsi="宋体" w:eastAsia="宋体"/>
                <w:sz w:val="16"/>
              </w:rPr>
              <w:t>740.00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759A">
            <w:pPr>
              <w:jc w:val="center"/>
            </w:pPr>
            <w:r>
              <w:rPr>
                <w:rFonts w:ascii="宋体" w:hAnsi="宋体" w:eastAsia="宋体"/>
                <w:sz w:val="16"/>
              </w:rPr>
              <w:t>740.00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E0A68">
            <w:pPr>
              <w:jc w:val="center"/>
            </w:pPr>
            <w:r>
              <w:rPr>
                <w:rFonts w:ascii="宋体" w:hAnsi="宋体" w:eastAsia="宋体"/>
                <w:sz w:val="16"/>
              </w:rPr>
              <w:t>740.00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805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3D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8400">
            <w:pPr>
              <w:jc w:val="center"/>
            </w:pPr>
            <w:r>
              <w:rPr>
                <w:rFonts w:ascii="宋体" w:hAnsi="宋体" w:eastAsia="宋体"/>
                <w:sz w:val="16"/>
              </w:rPr>
              <w:t>-</w:t>
            </w:r>
          </w:p>
        </w:tc>
      </w:tr>
      <w:tr w14:paraId="2C0B7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E2A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3083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2F5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6C6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02B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25C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B7F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60A6">
            <w:pPr>
              <w:jc w:val="center"/>
            </w:pPr>
            <w:r>
              <w:rPr>
                <w:rFonts w:ascii="宋体" w:hAnsi="宋体" w:eastAsia="宋体"/>
                <w:sz w:val="16"/>
              </w:rPr>
              <w:t>-</w:t>
            </w:r>
          </w:p>
        </w:tc>
      </w:tr>
      <w:tr w14:paraId="7E0D31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10A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8AC4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80F615">
            <w:pPr>
              <w:jc w:val="center"/>
            </w:pPr>
            <w:r>
              <w:rPr>
                <w:rFonts w:ascii="宋体" w:hAnsi="宋体" w:eastAsia="宋体"/>
                <w:sz w:val="16"/>
              </w:rPr>
              <w:t>总体目标完成情况</w:t>
            </w:r>
          </w:p>
        </w:tc>
      </w:tr>
      <w:tr w14:paraId="65FD2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3CF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637EA">
            <w:pPr>
              <w:jc w:val="both"/>
            </w:pPr>
            <w:r>
              <w:rPr>
                <w:rFonts w:ascii="宋体" w:hAnsi="宋体" w:eastAsia="宋体"/>
                <w:sz w:val="16"/>
              </w:rPr>
              <w:t>该项目总建筑面积6715.55平方米，目前已完成4112.86平方米，剩余2602.69平方米工程量，包括一栋执勤楼、一栋业务用房、一栋附属用房、一座训练塔、两个警卫室，计划于2024年3月开工，6月竣工，总建筑工程费用1850万元，2023年已支付1110万元，剩余740万元，促进巴州库尔勒上库综合产业园及周边区域消防应急救援事业发展，提升园区消防应急救援服务的整体水平，组织地震应急处置演练，符合巴州库尔勒</w:t>
            </w:r>
            <w:r>
              <w:rPr>
                <w:rFonts w:hint="eastAsia" w:ascii="宋体" w:hAnsi="宋体"/>
                <w:sz w:val="16"/>
                <w:lang w:eastAsia="zh-CN"/>
              </w:rPr>
              <w:t>水库</w:t>
            </w:r>
            <w:r>
              <w:rPr>
                <w:rFonts w:ascii="宋体" w:hAnsi="宋体" w:eastAsia="宋体"/>
                <w:sz w:val="16"/>
              </w:rPr>
              <w:t>综合产业园国民经济与社会服务发展规划的要求以及巴州消防救援支队中远期发展规划。</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ED509">
            <w:pPr>
              <w:jc w:val="both"/>
            </w:pPr>
            <w:r>
              <w:rPr>
                <w:rFonts w:ascii="宋体" w:hAnsi="宋体" w:eastAsia="宋体"/>
                <w:sz w:val="16"/>
              </w:rPr>
              <w:t>该项目总建筑面积 6715.55 平方米，目前已完成，包括一栋执勤楼、一栋业务用房、一栋附属用房、两个警卫室，总建筑工程费用 1850 万元，2023 年已支付 1110 万元，2024年支付740 万元，用于促进巴州库尔勒上库综合产业园及周边区域消防应急救援事业发展，提升园区消防应急救援服务的整体水平。</w:t>
            </w:r>
          </w:p>
        </w:tc>
      </w:tr>
      <w:tr w14:paraId="572C89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8E9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86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23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30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9AF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08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CDB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9E6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27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E6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60B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C1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D8E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2B5D">
            <w:pPr>
              <w:jc w:val="center"/>
            </w:pPr>
            <w:r>
              <w:rPr>
                <w:rFonts w:ascii="宋体" w:hAnsi="宋体" w:eastAsia="宋体"/>
                <w:sz w:val="16"/>
              </w:rPr>
              <w:t>偏差原因分析及改进措施</w:t>
            </w:r>
          </w:p>
        </w:tc>
      </w:tr>
      <w:tr w14:paraId="336E5A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C55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563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D59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F5BD">
            <w:pPr>
              <w:jc w:val="center"/>
            </w:pPr>
            <w:r>
              <w:rPr>
                <w:rFonts w:ascii="宋体" w:hAnsi="宋体" w:eastAsia="宋体"/>
                <w:sz w:val="16"/>
              </w:rPr>
              <w:t>建设工程量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3788">
            <w:pPr>
              <w:jc w:val="center"/>
            </w:pPr>
            <w:r>
              <w:rPr>
                <w:rFonts w:ascii="宋体" w:hAnsi="宋体" w:eastAsia="宋体"/>
                <w:sz w:val="16"/>
              </w:rPr>
              <w:t>&gt;=2602.69平方米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9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6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A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2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B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0001">
            <w:pPr>
              <w:jc w:val="center"/>
            </w:pPr>
            <w:r>
              <w:rPr>
                <w:rFonts w:ascii="宋体" w:hAnsi="宋体" w:eastAsia="宋体"/>
                <w:sz w:val="16"/>
              </w:rPr>
              <w:t>=2602.69平方米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C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6C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0A1B">
            <w:pPr>
              <w:jc w:val="center"/>
            </w:pPr>
          </w:p>
        </w:tc>
      </w:tr>
      <w:tr w14:paraId="4E165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4A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7E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CF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8407">
            <w:pPr>
              <w:jc w:val="center"/>
            </w:pPr>
            <w:r>
              <w:rPr>
                <w:rFonts w:ascii="宋体" w:hAnsi="宋体" w:eastAsia="宋体"/>
                <w:sz w:val="16"/>
              </w:rPr>
              <w:t>建设工程数量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587C">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C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9E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6B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F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F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3BF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71A2">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201E">
            <w:pPr>
              <w:jc w:val="center"/>
            </w:pPr>
            <w:r>
              <w:rPr>
                <w:rFonts w:ascii="宋体" w:hAnsi="宋体" w:eastAsia="宋体"/>
                <w:sz w:val="16"/>
              </w:rPr>
              <w:t>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9587">
            <w:pPr>
              <w:jc w:val="center"/>
            </w:pPr>
            <w:r>
              <w:rPr>
                <w:rFonts w:ascii="宋体" w:hAnsi="宋体" w:eastAsia="宋体"/>
                <w:sz w:val="16"/>
              </w:rPr>
              <w:t>两个警卫室还未完工，加快施工进度尽快完工</w:t>
            </w:r>
          </w:p>
        </w:tc>
      </w:tr>
      <w:tr w14:paraId="1C3AC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F3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1A7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606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4B3F">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7F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9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96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DD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5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6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6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9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4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3B72">
            <w:pPr>
              <w:jc w:val="center"/>
            </w:pPr>
          </w:p>
        </w:tc>
      </w:tr>
      <w:tr w14:paraId="1CC8A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A4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EB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83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EF1F">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E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2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1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A3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8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9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5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E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4A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9BB9">
            <w:pPr>
              <w:jc w:val="center"/>
            </w:pPr>
          </w:p>
        </w:tc>
      </w:tr>
      <w:tr w14:paraId="232D9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CFD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1C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15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2791">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DE6B">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0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9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E1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51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5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43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8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FC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15D9">
            <w:pPr>
              <w:jc w:val="center"/>
            </w:pPr>
          </w:p>
        </w:tc>
      </w:tr>
      <w:tr w14:paraId="22115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BB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8D1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24A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C5F5">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0E48">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A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F2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CC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12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F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220E">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9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2B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35DB">
            <w:pPr>
              <w:jc w:val="center"/>
            </w:pPr>
          </w:p>
        </w:tc>
      </w:tr>
      <w:tr w14:paraId="73B24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19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B6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C1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B361">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E1A5">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9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80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ED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C1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B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7E5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5A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29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8FA8">
            <w:pPr>
              <w:jc w:val="center"/>
            </w:pPr>
            <w:r>
              <w:rPr>
                <w:rFonts w:ascii="宋体" w:hAnsi="宋体" w:eastAsia="宋体"/>
                <w:sz w:val="16"/>
              </w:rPr>
              <w:t>2024年12月完工，吸取经验教训按时完工</w:t>
            </w:r>
          </w:p>
        </w:tc>
      </w:tr>
      <w:tr w14:paraId="6B7C2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85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378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22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B83E">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51E9">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9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9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E3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8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2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FE0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D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43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210C">
            <w:pPr>
              <w:jc w:val="center"/>
            </w:pPr>
          </w:p>
        </w:tc>
      </w:tr>
      <w:tr w14:paraId="3A774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96C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693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62A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9636">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9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C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5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D46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4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F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0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3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B2B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FF03">
            <w:pPr>
              <w:jc w:val="center"/>
            </w:pPr>
          </w:p>
        </w:tc>
      </w:tr>
      <w:tr w14:paraId="0B23D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3D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32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71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A93E">
            <w:pPr>
              <w:jc w:val="center"/>
            </w:pPr>
            <w:r>
              <w:rPr>
                <w:rFonts w:ascii="宋体" w:hAnsi="宋体" w:eastAsia="宋体"/>
                <w:sz w:val="16"/>
              </w:rPr>
              <w:t>抢救疏散被困人员数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1ED0">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0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7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6D9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9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D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210F">
            <w:pPr>
              <w:jc w:val="center"/>
            </w:pPr>
            <w:r>
              <w:rPr>
                <w:rFonts w:ascii="宋体" w:hAnsi="宋体" w:eastAsia="宋体"/>
                <w:sz w:val="16"/>
              </w:rPr>
              <w:t>=567人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4B44">
            <w:pPr>
              <w:jc w:val="center"/>
            </w:pPr>
            <w:r>
              <w:rPr>
                <w:rFonts w:ascii="宋体" w:hAnsi="宋体" w:eastAsia="宋体"/>
                <w:sz w:val="16"/>
              </w:rPr>
              <w:t>113.4%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C9F5">
            <w:pPr>
              <w:jc w:val="center"/>
            </w:pPr>
            <w:r>
              <w:rPr>
                <w:rFonts w:ascii="宋体" w:hAnsi="宋体" w:eastAsia="宋体"/>
                <w:sz w:val="16"/>
              </w:rPr>
              <w:t>12.99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2C04">
            <w:pPr>
              <w:jc w:val="center"/>
            </w:pPr>
            <w:r>
              <w:rPr>
                <w:rFonts w:ascii="宋体" w:hAnsi="宋体" w:eastAsia="宋体"/>
                <w:sz w:val="16"/>
              </w:rPr>
              <w:t>2024年抢救疏散被困人员567人</w:t>
            </w:r>
          </w:p>
        </w:tc>
      </w:tr>
      <w:tr w14:paraId="082D218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FCC7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946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0ED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BD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5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3F7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3364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DE5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AD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1FAC">
            <w:pPr>
              <w:jc w:val="center"/>
            </w:pPr>
            <w:r>
              <w:rPr>
                <w:rFonts w:ascii="宋体" w:hAnsi="宋体" w:eastAsia="宋体"/>
                <w:sz w:val="16"/>
              </w:rPr>
              <w:t>85.33分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2CE59"/>
        </w:tc>
      </w:tr>
    </w:tbl>
    <w:p w14:paraId="08C1E14A">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776"/>
        <w:gridCol w:w="614"/>
        <w:gridCol w:w="625"/>
        <w:gridCol w:w="620"/>
        <w:gridCol w:w="614"/>
        <w:gridCol w:w="614"/>
        <w:gridCol w:w="776"/>
        <w:gridCol w:w="696"/>
        <w:gridCol w:w="632"/>
        <w:gridCol w:w="626"/>
      </w:tblGrid>
      <w:tr w14:paraId="60D76F06">
        <w:tblPrEx>
          <w:tblCellMar>
            <w:top w:w="0" w:type="dxa"/>
            <w:left w:w="108" w:type="dxa"/>
            <w:bottom w:w="0" w:type="dxa"/>
            <w:right w:w="108" w:type="dxa"/>
          </w:tblCellMar>
        </w:tblPrEx>
        <w:tc>
          <w:tcPr>
            <w:tcW w:w="8848" w:type="dxa"/>
            <w:gridSpan w:val="14"/>
            <w:vAlign w:val="center"/>
          </w:tcPr>
          <w:p w14:paraId="1FFBC672">
            <w:pPr>
              <w:jc w:val="center"/>
            </w:pPr>
            <w:r>
              <w:rPr>
                <w:rFonts w:ascii="宋体" w:hAnsi="宋体" w:eastAsia="宋体"/>
                <w:sz w:val="24"/>
              </w:rPr>
              <w:t>项目支出绩效自评表</w:t>
            </w:r>
          </w:p>
        </w:tc>
      </w:tr>
      <w:tr w14:paraId="1D6241C3">
        <w:tblPrEx>
          <w:tblCellMar>
            <w:top w:w="0" w:type="dxa"/>
            <w:left w:w="108" w:type="dxa"/>
            <w:bottom w:w="0" w:type="dxa"/>
            <w:right w:w="108" w:type="dxa"/>
          </w:tblCellMar>
        </w:tblPrEx>
        <w:tc>
          <w:tcPr>
            <w:tcW w:w="8848" w:type="dxa"/>
            <w:gridSpan w:val="14"/>
            <w:vAlign w:val="center"/>
          </w:tcPr>
          <w:p w14:paraId="7B8DD9C1">
            <w:pPr>
              <w:jc w:val="center"/>
            </w:pPr>
            <w:r>
              <w:rPr>
                <w:rFonts w:ascii="宋体" w:hAnsi="宋体" w:eastAsia="宋体"/>
                <w:sz w:val="24"/>
              </w:rPr>
              <w:t>(2024年度)</w:t>
            </w:r>
          </w:p>
        </w:tc>
      </w:tr>
      <w:tr w14:paraId="0DD3D6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24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43F176">
            <w:pPr>
              <w:jc w:val="center"/>
            </w:pPr>
            <w:r>
              <w:rPr>
                <w:rFonts w:ascii="宋体" w:hAnsi="宋体" w:eastAsia="宋体"/>
                <w:sz w:val="16"/>
              </w:rPr>
              <w:t>消防救援业务项目</w:t>
            </w:r>
          </w:p>
        </w:tc>
      </w:tr>
      <w:tr w14:paraId="2235E8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89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FC9EC">
            <w:pPr>
              <w:jc w:val="center"/>
            </w:pPr>
            <w:r>
              <w:rPr>
                <w:rFonts w:ascii="宋体" w:hAnsi="宋体" w:eastAsia="宋体"/>
                <w:sz w:val="16"/>
              </w:rPr>
              <w:t>巴音郭楞蒙古自治州消防救援支队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3D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780220">
            <w:pPr>
              <w:jc w:val="center"/>
            </w:pPr>
            <w:r>
              <w:rPr>
                <w:rFonts w:ascii="宋体" w:hAnsi="宋体" w:eastAsia="宋体"/>
                <w:sz w:val="16"/>
              </w:rPr>
              <w:t>巴音郭楞蒙古自治州消防救援支队</w:t>
            </w:r>
          </w:p>
        </w:tc>
      </w:tr>
      <w:tr w14:paraId="6174B3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17C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047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A4A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7E3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7E5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5F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CB9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27A5">
            <w:pPr>
              <w:jc w:val="center"/>
            </w:pPr>
            <w:r>
              <w:rPr>
                <w:rFonts w:ascii="宋体" w:hAnsi="宋体" w:eastAsia="宋体"/>
                <w:sz w:val="16"/>
              </w:rPr>
              <w:t>得分</w:t>
            </w:r>
          </w:p>
        </w:tc>
      </w:tr>
      <w:tr w14:paraId="055CC8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BA5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1C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D8CB7">
            <w:pPr>
              <w:jc w:val="center"/>
            </w:pPr>
            <w:r>
              <w:rPr>
                <w:rFonts w:ascii="宋体" w:hAnsi="宋体" w:eastAsia="宋体"/>
                <w:sz w:val="16"/>
              </w:rPr>
              <w:t>947.27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8D7E9">
            <w:pPr>
              <w:jc w:val="center"/>
            </w:pPr>
            <w:r>
              <w:rPr>
                <w:rFonts w:ascii="宋体" w:hAnsi="宋体" w:eastAsia="宋体"/>
                <w:sz w:val="16"/>
              </w:rPr>
              <w:t>947.27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F80C5">
            <w:pPr>
              <w:jc w:val="center"/>
            </w:pPr>
            <w:r>
              <w:rPr>
                <w:rFonts w:ascii="宋体" w:hAnsi="宋体" w:eastAsia="宋体"/>
                <w:sz w:val="16"/>
              </w:rPr>
              <w:t>946.55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87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840A5">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C202">
            <w:pPr>
              <w:jc w:val="center"/>
            </w:pPr>
            <w:r>
              <w:rPr>
                <w:rFonts w:ascii="宋体" w:hAnsi="宋体" w:eastAsia="宋体"/>
                <w:sz w:val="16"/>
              </w:rPr>
              <w:t>9.98</w:t>
            </w:r>
          </w:p>
        </w:tc>
      </w:tr>
      <w:tr w14:paraId="40094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765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096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86B83">
            <w:pPr>
              <w:jc w:val="center"/>
            </w:pPr>
            <w:r>
              <w:rPr>
                <w:rFonts w:ascii="宋体" w:hAnsi="宋体" w:eastAsia="宋体"/>
                <w:sz w:val="16"/>
              </w:rPr>
              <w:t>947.27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DFC34">
            <w:pPr>
              <w:jc w:val="center"/>
            </w:pPr>
            <w:r>
              <w:rPr>
                <w:rFonts w:ascii="宋体" w:hAnsi="宋体" w:eastAsia="宋体"/>
                <w:sz w:val="16"/>
              </w:rPr>
              <w:t>947.27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3B20D">
            <w:pPr>
              <w:jc w:val="center"/>
            </w:pPr>
            <w:r>
              <w:rPr>
                <w:rFonts w:ascii="宋体" w:hAnsi="宋体" w:eastAsia="宋体"/>
                <w:sz w:val="16"/>
              </w:rPr>
              <w:t>946.55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FB2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52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7414">
            <w:pPr>
              <w:jc w:val="center"/>
            </w:pPr>
            <w:r>
              <w:rPr>
                <w:rFonts w:ascii="宋体" w:hAnsi="宋体" w:eastAsia="宋体"/>
                <w:sz w:val="16"/>
              </w:rPr>
              <w:t>-</w:t>
            </w:r>
          </w:p>
        </w:tc>
      </w:tr>
      <w:tr w14:paraId="3C840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EA7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2CB5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082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923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2A8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F03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3F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FBB9">
            <w:pPr>
              <w:jc w:val="center"/>
            </w:pPr>
            <w:r>
              <w:rPr>
                <w:rFonts w:ascii="宋体" w:hAnsi="宋体" w:eastAsia="宋体"/>
                <w:sz w:val="16"/>
              </w:rPr>
              <w:t>-</w:t>
            </w:r>
          </w:p>
        </w:tc>
      </w:tr>
      <w:tr w14:paraId="73CD5A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174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4B8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92ACD">
            <w:pPr>
              <w:jc w:val="center"/>
            </w:pPr>
            <w:r>
              <w:rPr>
                <w:rFonts w:ascii="宋体" w:hAnsi="宋体" w:eastAsia="宋体"/>
                <w:sz w:val="16"/>
              </w:rPr>
              <w:t>总体目标完成情况</w:t>
            </w:r>
          </w:p>
        </w:tc>
      </w:tr>
      <w:tr w14:paraId="4A8F7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E78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B0373">
            <w:pPr>
              <w:jc w:val="both"/>
            </w:pPr>
            <w:r>
              <w:rPr>
                <w:rFonts w:ascii="宋体" w:hAnsi="宋体" w:eastAsia="宋体"/>
                <w:sz w:val="16"/>
              </w:rPr>
              <w:t>主要用于保障机关及特勤站90名消防救援人员津贴，确保每月津贴按时发放，以及保障机关及特勤站100名工作人员日常工作，保障48辆业务用车正常使用，确保7796平方米办公楼正常供暖，提高消防监督工作效率，提升消防救援人员的综合业务素养水平，加强消防宣传教育，增强群众的防火观念，提高巴州社会的防灾减灾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97CDCB">
            <w:pPr>
              <w:jc w:val="both"/>
            </w:pPr>
            <w:r>
              <w:rPr>
                <w:rFonts w:ascii="宋体" w:hAnsi="宋体" w:eastAsia="宋体"/>
                <w:sz w:val="16"/>
              </w:rPr>
              <w:t>该项目保障了支队机关及特勤站100名工作人员日常工作及48辆业务车正常使用，确保机关及特勤站90名消防救援人员津贴每月按时发放，津贴发放及公用经费支付及时、无误，加强了全州消防宣传工作，增强全州群众的防灾减灾意识，提高巴州社会的防灾减灾能力，降低了火灾风险隐患。</w:t>
            </w:r>
          </w:p>
        </w:tc>
      </w:tr>
      <w:tr w14:paraId="6EAFBC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785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0F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AB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0B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93D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18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57C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24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FFD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3E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042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44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244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1E35">
            <w:pPr>
              <w:jc w:val="center"/>
            </w:pPr>
            <w:r>
              <w:rPr>
                <w:rFonts w:ascii="宋体" w:hAnsi="宋体" w:eastAsia="宋体"/>
                <w:sz w:val="16"/>
              </w:rPr>
              <w:t>偏差原因分析及改进措施</w:t>
            </w:r>
          </w:p>
        </w:tc>
      </w:tr>
      <w:tr w14:paraId="07AD97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AE9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467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5DC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C560">
            <w:pPr>
              <w:jc w:val="center"/>
            </w:pPr>
            <w:r>
              <w:rPr>
                <w:rFonts w:ascii="宋体" w:hAnsi="宋体" w:eastAsia="宋体"/>
                <w:sz w:val="16"/>
              </w:rPr>
              <w:t>发放津贴人数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BD01">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9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1AA4">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2F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1F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E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D66D">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B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E3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2238">
            <w:pPr>
              <w:jc w:val="center"/>
            </w:pPr>
          </w:p>
        </w:tc>
      </w:tr>
      <w:tr w14:paraId="2C3BF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EE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9F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A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C10F">
            <w:pPr>
              <w:jc w:val="center"/>
            </w:pPr>
            <w:r>
              <w:rPr>
                <w:rFonts w:ascii="宋体" w:hAnsi="宋体" w:eastAsia="宋体"/>
                <w:sz w:val="16"/>
              </w:rPr>
              <w:t>发放津贴次数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F4B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CF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4E9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0B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7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B2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FA4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3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B0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589F">
            <w:pPr>
              <w:jc w:val="center"/>
            </w:pPr>
          </w:p>
        </w:tc>
      </w:tr>
      <w:tr w14:paraId="2FA7E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22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D4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90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5C86">
            <w:pPr>
              <w:jc w:val="center"/>
            </w:pPr>
            <w:r>
              <w:rPr>
                <w:rFonts w:ascii="宋体" w:hAnsi="宋体" w:eastAsia="宋体"/>
                <w:sz w:val="16"/>
              </w:rPr>
              <w:t>房屋建筑供暖面积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B0C4">
            <w:pPr>
              <w:jc w:val="center"/>
            </w:pPr>
            <w:r>
              <w:rPr>
                <w:rFonts w:ascii="宋体" w:hAnsi="宋体" w:eastAsia="宋体"/>
                <w:sz w:val="16"/>
              </w:rPr>
              <w:t>&gt;=7796平方米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F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4A4F">
            <w:pPr>
              <w:jc w:val="center"/>
            </w:pPr>
            <w:r>
              <w:rPr>
                <w:rFonts w:ascii="宋体" w:hAnsi="宋体" w:eastAsia="宋体"/>
                <w:sz w:val="16"/>
              </w:rPr>
              <w:t>7796平方米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9C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8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9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B913">
            <w:pPr>
              <w:jc w:val="center"/>
            </w:pPr>
            <w:r>
              <w:rPr>
                <w:rFonts w:ascii="宋体" w:hAnsi="宋体" w:eastAsia="宋体"/>
                <w:sz w:val="16"/>
              </w:rPr>
              <w:t>=7796平方米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B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00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A307">
            <w:pPr>
              <w:jc w:val="center"/>
            </w:pPr>
          </w:p>
        </w:tc>
      </w:tr>
      <w:tr w14:paraId="062F2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6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17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67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9BAB">
            <w:pPr>
              <w:jc w:val="center"/>
            </w:pPr>
            <w:r>
              <w:rPr>
                <w:rFonts w:ascii="宋体" w:hAnsi="宋体" w:eastAsia="宋体"/>
                <w:sz w:val="16"/>
              </w:rPr>
              <w:t>业务车数量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6DCB">
            <w:pPr>
              <w:jc w:val="center"/>
            </w:pPr>
            <w:r>
              <w:rPr>
                <w:rFonts w:ascii="宋体" w:hAnsi="宋体" w:eastAsia="宋体"/>
                <w:sz w:val="16"/>
              </w:rPr>
              <w:t>&gt;=48辆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2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4C44">
            <w:pPr>
              <w:jc w:val="center"/>
            </w:pPr>
            <w:r>
              <w:rPr>
                <w:rFonts w:ascii="宋体" w:hAnsi="宋体" w:eastAsia="宋体"/>
                <w:sz w:val="16"/>
              </w:rPr>
              <w:t>48辆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27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4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5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651B">
            <w:pPr>
              <w:jc w:val="center"/>
            </w:pPr>
            <w:r>
              <w:rPr>
                <w:rFonts w:ascii="宋体" w:hAnsi="宋体" w:eastAsia="宋体"/>
                <w:sz w:val="16"/>
              </w:rPr>
              <w:t>=48辆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62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A0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746E">
            <w:pPr>
              <w:jc w:val="center"/>
            </w:pPr>
          </w:p>
        </w:tc>
      </w:tr>
      <w:tr w14:paraId="0EDA6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4F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CD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01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9583">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F763">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7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C2D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34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D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3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B55E">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B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0F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4371">
            <w:pPr>
              <w:jc w:val="center"/>
            </w:pPr>
          </w:p>
        </w:tc>
      </w:tr>
      <w:tr w14:paraId="5D031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14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F35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179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39B8">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F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7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1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5A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0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8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B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2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49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C8EA">
            <w:pPr>
              <w:jc w:val="center"/>
            </w:pPr>
          </w:p>
        </w:tc>
      </w:tr>
      <w:tr w14:paraId="00BD4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4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69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A76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7ACA">
            <w:pPr>
              <w:jc w:val="center"/>
            </w:pPr>
            <w:r>
              <w:rPr>
                <w:rFonts w:ascii="宋体" w:hAnsi="宋体" w:eastAsia="宋体"/>
                <w:sz w:val="16"/>
              </w:rPr>
              <w:t>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5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5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C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A0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A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1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ED1C">
            <w:pPr>
              <w:jc w:val="center"/>
            </w:pPr>
            <w:r>
              <w:rPr>
                <w:rFonts w:ascii="宋体" w:hAnsi="宋体" w:eastAsia="宋体"/>
                <w:sz w:val="16"/>
              </w:rPr>
              <w:t>=99.94%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9BF3">
            <w:pPr>
              <w:jc w:val="center"/>
            </w:pPr>
            <w:r>
              <w:rPr>
                <w:rFonts w:ascii="宋体" w:hAnsi="宋体" w:eastAsia="宋体"/>
                <w:sz w:val="16"/>
              </w:rPr>
              <w:t>99.94%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C7EC">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3475">
            <w:pPr>
              <w:jc w:val="center"/>
            </w:pPr>
            <w:r>
              <w:rPr>
                <w:rFonts w:ascii="宋体" w:hAnsi="宋体" w:eastAsia="宋体"/>
                <w:sz w:val="16"/>
              </w:rPr>
              <w:t>年底剩余7200元津贴未使用</w:t>
            </w:r>
          </w:p>
        </w:tc>
      </w:tr>
      <w:tr w14:paraId="60A4D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2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60B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C7F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7581">
            <w:pPr>
              <w:jc w:val="center"/>
            </w:pPr>
            <w:r>
              <w:rPr>
                <w:rFonts w:ascii="宋体" w:hAnsi="宋体" w:eastAsia="宋体"/>
                <w:sz w:val="16"/>
              </w:rPr>
              <w:t>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5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C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6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C22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0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1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0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F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A51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4CFC">
            <w:pPr>
              <w:jc w:val="center"/>
            </w:pPr>
          </w:p>
        </w:tc>
      </w:tr>
      <w:tr w14:paraId="08917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8B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0F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92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12E5">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7C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4D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D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639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E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8F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A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12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73E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FD62">
            <w:pPr>
              <w:jc w:val="center"/>
            </w:pPr>
          </w:p>
        </w:tc>
      </w:tr>
      <w:tr w14:paraId="35621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688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F20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6ED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581B">
            <w:pPr>
              <w:jc w:val="center"/>
            </w:pPr>
            <w:r>
              <w:rPr>
                <w:rFonts w:ascii="宋体" w:hAnsi="宋体" w:eastAsia="宋体"/>
                <w:sz w:val="16"/>
              </w:rPr>
              <w:t>每次发放津贴资金数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7BCF">
            <w:pPr>
              <w:jc w:val="center"/>
            </w:pPr>
            <w:r>
              <w:rPr>
                <w:rFonts w:ascii="宋体" w:hAnsi="宋体" w:eastAsia="宋体"/>
                <w:sz w:val="16"/>
              </w:rPr>
              <w:t>&lt;=35.83万元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6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3649">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E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B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C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C2F7">
            <w:pPr>
              <w:jc w:val="center"/>
            </w:pPr>
            <w:r>
              <w:rPr>
                <w:rFonts w:ascii="宋体" w:hAnsi="宋体" w:eastAsia="宋体"/>
                <w:sz w:val="16"/>
              </w:rPr>
              <w:t>=35.8万元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C99C">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A29B">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E4B8">
            <w:pPr>
              <w:jc w:val="center"/>
            </w:pPr>
            <w:r>
              <w:rPr>
                <w:rFonts w:ascii="宋体" w:hAnsi="宋体" w:eastAsia="宋体"/>
                <w:sz w:val="16"/>
              </w:rPr>
              <w:t>年底剩余7200元津贴未使用</w:t>
            </w:r>
          </w:p>
        </w:tc>
      </w:tr>
      <w:tr w14:paraId="3F7AD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1B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42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7F4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D1C8">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0FB5">
            <w:pPr>
              <w:jc w:val="center"/>
            </w:pPr>
            <w:r>
              <w:rPr>
                <w:rFonts w:ascii="宋体" w:hAnsi="宋体" w:eastAsia="宋体"/>
                <w:sz w:val="16"/>
              </w:rPr>
              <w:t>&lt;=5.17万元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D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4B3A">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C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8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FC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2D76">
            <w:pPr>
              <w:jc w:val="center"/>
            </w:pPr>
            <w:r>
              <w:rPr>
                <w:rFonts w:ascii="宋体" w:hAnsi="宋体" w:eastAsia="宋体"/>
                <w:sz w:val="16"/>
              </w:rPr>
              <w: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3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8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10BB">
            <w:pPr>
              <w:jc w:val="center"/>
            </w:pPr>
          </w:p>
        </w:tc>
      </w:tr>
      <w:tr w14:paraId="513A9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4D6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055E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90F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2F1C">
            <w:pPr>
              <w:jc w:val="center"/>
            </w:pPr>
            <w:r>
              <w:rPr>
                <w:rFonts w:ascii="宋体" w:hAnsi="宋体" w:eastAsia="宋体"/>
                <w:sz w:val="16"/>
              </w:rPr>
              <w:t>提高防灾减灾意识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C834">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F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3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0CA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73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E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C30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9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840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6074">
            <w:pPr>
              <w:jc w:val="center"/>
            </w:pPr>
          </w:p>
        </w:tc>
      </w:tr>
      <w:tr w14:paraId="6B6BC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41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C3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E5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B073">
            <w:pPr>
              <w:jc w:val="center"/>
            </w:pPr>
            <w:r>
              <w:rPr>
                <w:rFonts w:ascii="宋体" w:hAnsi="宋体" w:eastAsia="宋体"/>
                <w:sz w:val="16"/>
              </w:rPr>
              <w:t>降低火灾隐患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932F">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F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6CDF">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E6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20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6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E5A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3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876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7B9A">
            <w:pPr>
              <w:jc w:val="center"/>
            </w:pPr>
          </w:p>
        </w:tc>
      </w:tr>
      <w:tr w14:paraId="6D9764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3CEE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21A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5AE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39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8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32AC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B39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6F5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7D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85E5">
            <w:pPr>
              <w:jc w:val="center"/>
            </w:pPr>
            <w:r>
              <w:rPr>
                <w:rFonts w:ascii="宋体" w:hAnsi="宋体" w:eastAsia="宋体"/>
                <w:sz w:val="16"/>
              </w:rPr>
              <w:t>99.95分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C9EBCE"/>
        </w:tc>
      </w:tr>
    </w:tbl>
    <w:p w14:paraId="64AA80A3">
      <w:r>
        <w:br w:type="page"/>
      </w:r>
    </w:p>
    <w:p w14:paraId="7B87C077">
      <w:pPr>
        <w:spacing w:line="640" w:lineRule="exact"/>
        <w:ind w:firstLine="640"/>
        <w:jc w:val="both"/>
        <w:outlineLvl w:val="2"/>
      </w:pPr>
      <w:r>
        <w:rPr>
          <w:rFonts w:ascii="黑体" w:hAnsi="黑体" w:eastAsia="黑体"/>
          <w:sz w:val="32"/>
        </w:rPr>
        <w:t>十二、其他需说明的事项</w:t>
      </w:r>
    </w:p>
    <w:p w14:paraId="726D2DE5">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本年度本部门政府采购为大型企业采购，故授予中小企业合同金额为0.00万元。</w:t>
      </w:r>
    </w:p>
    <w:p w14:paraId="52A41292">
      <w:pPr>
        <w:spacing w:line="580" w:lineRule="exact"/>
        <w:ind w:firstLine="640"/>
        <w:jc w:val="both"/>
      </w:pPr>
      <w:r>
        <w:rPr>
          <w:rFonts w:ascii="仿宋_GB2312" w:hAnsi="仿宋_GB2312" w:eastAsia="仿宋_GB2312"/>
          <w:b w:val="0"/>
          <w:sz w:val="32"/>
        </w:rPr>
        <w:t>本年本部门SM项目1个，全年预算数8920.00万元，全年执行数8920.00万元。</w:t>
      </w:r>
    </w:p>
    <w:p w14:paraId="3CFBC80C">
      <w:r>
        <w:br w:type="page"/>
      </w:r>
    </w:p>
    <w:p w14:paraId="6777C3E3">
      <w:pPr>
        <w:spacing w:line="240" w:lineRule="auto"/>
        <w:jc w:val="center"/>
        <w:outlineLvl w:val="1"/>
      </w:pPr>
      <w:r>
        <w:rPr>
          <w:rFonts w:ascii="黑体" w:hAnsi="黑体" w:eastAsia="黑体"/>
          <w:sz w:val="32"/>
        </w:rPr>
        <w:t>第三部分 专业名词解释</w:t>
      </w:r>
    </w:p>
    <w:p w14:paraId="441E606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378E4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4D7CB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4F824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46B2B5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B9AE7E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5060A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ADB63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D7C0D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02F7B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021A4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154DF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9837E5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1504A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B68DB8F">
      <w:r>
        <w:br w:type="page"/>
      </w:r>
    </w:p>
    <w:p w14:paraId="4A5440EE">
      <w:pPr>
        <w:spacing w:line="240" w:lineRule="auto"/>
        <w:jc w:val="center"/>
        <w:outlineLvl w:val="1"/>
      </w:pPr>
      <w:r>
        <w:rPr>
          <w:rFonts w:ascii="黑体" w:hAnsi="黑体" w:eastAsia="黑体"/>
          <w:sz w:val="32"/>
        </w:rPr>
        <w:t>第四部分 部门决算报表（见附表）</w:t>
      </w:r>
    </w:p>
    <w:p w14:paraId="06C87705">
      <w:pPr>
        <w:spacing w:line="240" w:lineRule="auto"/>
        <w:ind w:firstLine="640"/>
        <w:jc w:val="both"/>
      </w:pPr>
      <w:r>
        <w:rPr>
          <w:rFonts w:ascii="仿宋_GB2312" w:hAnsi="仿宋_GB2312" w:eastAsia="仿宋_GB2312"/>
          <w:b w:val="0"/>
          <w:sz w:val="32"/>
        </w:rPr>
        <w:t>一、《收入支出决算总表》</w:t>
      </w:r>
    </w:p>
    <w:p w14:paraId="7C9D32CD">
      <w:pPr>
        <w:spacing w:line="240" w:lineRule="auto"/>
        <w:ind w:firstLine="640"/>
        <w:jc w:val="both"/>
      </w:pPr>
      <w:r>
        <w:rPr>
          <w:rFonts w:ascii="仿宋_GB2312" w:hAnsi="仿宋_GB2312" w:eastAsia="仿宋_GB2312"/>
          <w:b w:val="0"/>
          <w:sz w:val="32"/>
        </w:rPr>
        <w:t>二、《收入决算表》</w:t>
      </w:r>
    </w:p>
    <w:p w14:paraId="6724F335">
      <w:pPr>
        <w:spacing w:line="240" w:lineRule="auto"/>
        <w:ind w:firstLine="640"/>
        <w:jc w:val="both"/>
      </w:pPr>
      <w:r>
        <w:rPr>
          <w:rFonts w:ascii="仿宋_GB2312" w:hAnsi="仿宋_GB2312" w:eastAsia="仿宋_GB2312"/>
          <w:b w:val="0"/>
          <w:sz w:val="32"/>
        </w:rPr>
        <w:t>三、《支出决算表》</w:t>
      </w:r>
    </w:p>
    <w:p w14:paraId="530001CE">
      <w:pPr>
        <w:spacing w:line="240" w:lineRule="auto"/>
        <w:ind w:firstLine="640"/>
        <w:jc w:val="both"/>
      </w:pPr>
      <w:r>
        <w:rPr>
          <w:rFonts w:ascii="仿宋_GB2312" w:hAnsi="仿宋_GB2312" w:eastAsia="仿宋_GB2312"/>
          <w:b w:val="0"/>
          <w:sz w:val="32"/>
        </w:rPr>
        <w:t>四、《财政拨款收入支出决算总表》</w:t>
      </w:r>
    </w:p>
    <w:p w14:paraId="3EBC77A3">
      <w:pPr>
        <w:spacing w:line="240" w:lineRule="auto"/>
        <w:ind w:firstLine="640"/>
        <w:jc w:val="both"/>
      </w:pPr>
      <w:r>
        <w:rPr>
          <w:rFonts w:ascii="仿宋_GB2312" w:hAnsi="仿宋_GB2312" w:eastAsia="仿宋_GB2312"/>
          <w:b w:val="0"/>
          <w:sz w:val="32"/>
        </w:rPr>
        <w:t>五、《一般公共预算财政拨款支出决算表》</w:t>
      </w:r>
    </w:p>
    <w:p w14:paraId="26DB0931">
      <w:pPr>
        <w:spacing w:line="240" w:lineRule="auto"/>
        <w:ind w:firstLine="640"/>
        <w:jc w:val="both"/>
      </w:pPr>
      <w:r>
        <w:rPr>
          <w:rFonts w:ascii="仿宋_GB2312" w:hAnsi="仿宋_GB2312" w:eastAsia="仿宋_GB2312"/>
          <w:b w:val="0"/>
          <w:sz w:val="32"/>
        </w:rPr>
        <w:t>六、《一般公共预算财政拨款基本支出决算表》</w:t>
      </w:r>
    </w:p>
    <w:p w14:paraId="458E4B6A">
      <w:pPr>
        <w:spacing w:line="240" w:lineRule="auto"/>
        <w:ind w:firstLine="640"/>
        <w:jc w:val="both"/>
      </w:pPr>
      <w:r>
        <w:rPr>
          <w:rFonts w:ascii="仿宋_GB2312" w:hAnsi="仿宋_GB2312" w:eastAsia="仿宋_GB2312"/>
          <w:b w:val="0"/>
          <w:sz w:val="32"/>
        </w:rPr>
        <w:t>七、《政府性基金预算财政拨款收入支出决算表》</w:t>
      </w:r>
    </w:p>
    <w:p w14:paraId="60468711">
      <w:pPr>
        <w:spacing w:line="240" w:lineRule="auto"/>
        <w:ind w:firstLine="640"/>
        <w:jc w:val="both"/>
      </w:pPr>
      <w:r>
        <w:rPr>
          <w:rFonts w:ascii="仿宋_GB2312" w:hAnsi="仿宋_GB2312" w:eastAsia="仿宋_GB2312"/>
          <w:b w:val="0"/>
          <w:sz w:val="32"/>
        </w:rPr>
        <w:t>八、《国有资本经营预算财政拨款收入支出决算表》</w:t>
      </w:r>
    </w:p>
    <w:p w14:paraId="09B15C90">
      <w:pPr>
        <w:spacing w:line="240" w:lineRule="auto"/>
        <w:ind w:firstLine="640"/>
        <w:jc w:val="both"/>
      </w:pPr>
      <w:r>
        <w:rPr>
          <w:rFonts w:ascii="仿宋_GB2312" w:hAnsi="仿宋_GB2312" w:eastAsia="仿宋_GB2312"/>
          <w:b w:val="0"/>
          <w:sz w:val="32"/>
        </w:rPr>
        <w:t>九、《财政拨款“三公”经费支出决算表》</w:t>
      </w:r>
    </w:p>
    <w:p w14:paraId="37CEE80D">
      <w:pPr>
        <w:spacing w:line="240" w:lineRule="auto"/>
        <w:ind w:firstLine="640"/>
        <w:jc w:val="both"/>
      </w:pPr>
    </w:p>
    <w:p w14:paraId="2424DA20">
      <w:pPr>
        <w:spacing w:line="240" w:lineRule="auto"/>
        <w:ind w:firstLine="640"/>
        <w:jc w:val="both"/>
      </w:pPr>
    </w:p>
    <w:p w14:paraId="22152861">
      <w:pPr>
        <w:spacing w:line="240" w:lineRule="auto"/>
        <w:ind w:firstLine="640"/>
        <w:jc w:val="both"/>
      </w:pPr>
    </w:p>
    <w:p w14:paraId="729EDB51">
      <w:pPr>
        <w:spacing w:line="240" w:lineRule="auto"/>
        <w:ind w:firstLine="640"/>
        <w:jc w:val="both"/>
      </w:pPr>
    </w:p>
    <w:p w14:paraId="18F084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5E5D8C-9217-4EBF-AE9D-2BD9E9101C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F7AEEE3-465C-46B4-B736-394924C9DA64}"/>
  </w:font>
  <w:font w:name="仿宋_GB2312">
    <w:panose1 w:val="02010609030101010101"/>
    <w:charset w:val="86"/>
    <w:family w:val="modern"/>
    <w:pitch w:val="default"/>
    <w:sig w:usb0="00000001" w:usb1="080E0000" w:usb2="00000000" w:usb3="00000000" w:csb0="00040000" w:csb1="00000000"/>
    <w:embedRegular r:id="rId3" w:fontKey="{EE4B434E-A699-41EE-A9E9-7D9BD36231ED}"/>
  </w:font>
  <w:font w:name="楷体_GB2312">
    <w:panose1 w:val="02010609030101010101"/>
    <w:charset w:val="86"/>
    <w:family w:val="auto"/>
    <w:pitch w:val="default"/>
    <w:sig w:usb0="00000001" w:usb1="080E0000" w:usb2="00000000" w:usb3="00000000" w:csb0="00040000" w:csb1="00000000"/>
    <w:embedRegular r:id="rId4" w:fontKey="{D54145F0-4986-47E4-A878-B8A0D34517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BB1262"/>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480FCF"/>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4806</Words>
  <Characters>5527</Characters>
  <Lines>0</Lines>
  <Paragraphs>0</Paragraphs>
  <TotalTime>5</TotalTime>
  <ScaleCrop>false</ScaleCrop>
  <LinksUpToDate>false</LinksUpToDate>
  <CharactersWithSpaces>5535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