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before="192" w:beforeLines="80"/>
        <w:jc w:val="center"/>
        <w:rPr>
          <w:rFonts w:hint="eastAsia" w:ascii="楷体_GB2312" w:eastAsia="楷体_GB2312"/>
          <w:bCs/>
          <w:color w:val="auto"/>
          <w:sz w:val="48"/>
          <w:szCs w:val="48"/>
          <w:highlight w:val="none"/>
        </w:rPr>
      </w:pPr>
    </w:p>
    <w:p>
      <w:pPr>
        <w:adjustRightInd w:val="0"/>
        <w:snapToGrid w:val="0"/>
        <w:spacing w:line="288" w:lineRule="auto"/>
        <w:jc w:val="center"/>
        <w:outlineLvl w:val="0"/>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left="1800" w:hanging="1800" w:hangingChars="500"/>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val="en-US" w:eastAsia="zh-CN"/>
        </w:rPr>
        <w:t xml:space="preserve">国投新疆锂业有限公司年产15万吨速溶型硫酸钾项目                               </w:t>
      </w:r>
    </w:p>
    <w:p>
      <w:pPr>
        <w:adjustRightInd w:val="0"/>
        <w:snapToGrid w:val="0"/>
        <w:spacing w:line="288" w:lineRule="auto"/>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val="en-US" w:eastAsia="zh-CN"/>
        </w:rPr>
        <w:t xml:space="preserve">国投新疆锂业有限公司           </w:t>
      </w:r>
    </w:p>
    <w:p>
      <w:pPr>
        <w:adjustRightInd w:val="0"/>
        <w:snapToGrid w:val="0"/>
        <w:spacing w:line="288" w:lineRule="auto"/>
        <w:rPr>
          <w:rFonts w:hint="eastAsia"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2025年6月</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ascii="仿宋_GB2312" w:eastAsia="仿宋_GB2312"/>
          <w:color w:val="auto"/>
          <w:sz w:val="36"/>
          <w:szCs w:val="36"/>
          <w:highlight w:val="none"/>
          <w:u w:val="single"/>
        </w:rPr>
        <w:t xml:space="preserve">      </w:t>
      </w:r>
    </w:p>
    <w:p>
      <w:pPr>
        <w:adjustRightInd w:val="0"/>
        <w:snapToGrid w:val="0"/>
        <w:spacing w:line="288" w:lineRule="auto"/>
        <w:ind w:firstLine="1040"/>
        <w:rPr>
          <w:rFonts w:ascii="仿宋_GB2312" w:eastAsia="仿宋_GB2312"/>
          <w:color w:val="auto"/>
          <w:sz w:val="36"/>
          <w:szCs w:val="36"/>
          <w:highlight w:val="none"/>
          <w:u w:val="single"/>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pStyle w:val="26"/>
        <w:rPr>
          <w:rFonts w:hint="eastAsia" w:ascii="仿宋_GB2312" w:eastAsia="仿宋_GB2312"/>
          <w:color w:val="auto"/>
          <w:sz w:val="36"/>
          <w:szCs w:val="36"/>
          <w:highlight w:val="none"/>
        </w:rPr>
      </w:pPr>
    </w:p>
    <w:p>
      <w:pPr>
        <w:pStyle w:val="26"/>
        <w:rPr>
          <w:rFonts w:hint="eastAsia" w:ascii="仿宋_GB2312" w:eastAsia="仿宋_GB2312"/>
          <w:color w:val="auto"/>
          <w:sz w:val="36"/>
          <w:szCs w:val="36"/>
          <w:highlight w:val="none"/>
        </w:rPr>
      </w:pPr>
    </w:p>
    <w:p>
      <w:pPr>
        <w:pStyle w:val="26"/>
        <w:rPr>
          <w:rFonts w:hint="eastAsia" w:ascii="仿宋_GB2312" w:eastAsia="仿宋_GB2312"/>
          <w:color w:val="auto"/>
          <w:sz w:val="36"/>
          <w:szCs w:val="36"/>
          <w:highlight w:val="none"/>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7"/>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国投新疆锂业有限公司年产15万吨速溶型硫酸钾项目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2503-652824-28-01-788050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新疆巴音郭楞蒙古自治州若羌县罗布泊盐湖罗中生产基地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6488" w:type="dxa"/>
            <w:gridSpan w:val="3"/>
            <w:noWrap w:val="0"/>
            <w:vAlign w:val="center"/>
          </w:tcPr>
          <w:p>
            <w:pPr>
              <w:jc w:val="center"/>
              <w:rPr>
                <w:rFonts w:hint="default" w:ascii="Times New Roman" w:hAnsi="Times New Roman" w:eastAsia="宋体" w:cs="Times New Roman"/>
                <w:color w:val="auto"/>
                <w:sz w:val="24"/>
                <w:szCs w:val="24"/>
                <w:highlight w:val="none"/>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C2624复混肥料制造</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1"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1"/>
          </w:p>
        </w:tc>
        <w:tc>
          <w:tcPr>
            <w:tcW w:w="2639" w:type="dxa"/>
            <w:noWrap w:val="0"/>
            <w:vAlign w:val="center"/>
          </w:tcPr>
          <w:p>
            <w:pPr>
              <w:adjustRightInd w:val="0"/>
              <w:snapToGrid w:val="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二十三、化学原料和化学制品制造业26——45肥料制造262——其他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637" w:type="dxa"/>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639" w:type="dxa"/>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w:t>
            </w:r>
            <w:r>
              <w:rPr>
                <w:rFonts w:hint="default" w:ascii="Times New Roman" w:hAnsi="Times New Roman" w:eastAsia="宋体" w:cs="Times New Roman"/>
                <w:strike/>
                <w:dstrike w:val="0"/>
                <w:color w:val="auto"/>
                <w:sz w:val="24"/>
                <w:szCs w:val="24"/>
              </w:rPr>
              <w:t>核准</w:t>
            </w:r>
            <w:r>
              <w:rPr>
                <w:rFonts w:hint="default" w:ascii="Times New Roman" w:hAnsi="Times New Roman" w:eastAsia="宋体" w:cs="Times New Roman"/>
                <w:color w:val="auto"/>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若羌县发展和改革委员会</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w:t>
            </w:r>
            <w:r>
              <w:rPr>
                <w:rFonts w:hint="default" w:ascii="Times New Roman" w:hAnsi="Times New Roman" w:eastAsia="宋体" w:cs="Times New Roman"/>
                <w:strike/>
                <w:dstrike w:val="0"/>
                <w:color w:val="auto"/>
                <w:sz w:val="24"/>
                <w:szCs w:val="24"/>
              </w:rPr>
              <w:t>核准</w:t>
            </w:r>
            <w:r>
              <w:rPr>
                <w:rFonts w:hint="default" w:ascii="Times New Roman" w:hAnsi="Times New Roman" w:eastAsia="宋体" w:cs="Times New Roman"/>
                <w:color w:val="auto"/>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备案证号：2503131366652800000198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2500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1.32</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637" w:type="dxa"/>
            <w:noWrap w:val="0"/>
            <w:vAlign w:val="center"/>
          </w:tcPr>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否</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租用国投新疆罗布泊钾盐有限责任公司现有闲置厂房，建有一套试验装置，试验成功后已停产。       </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w:t>
            </w:r>
            <w:r>
              <w:rPr>
                <w:rFonts w:hint="default" w:ascii="Times New Roman" w:hAnsi="Times New Roman" w:eastAsia="宋体" w:cs="Times New Roman"/>
                <w:strike/>
                <w:dstrike w:val="0"/>
                <w:color w:val="auto"/>
                <w:spacing w:val="-6"/>
                <w:sz w:val="24"/>
                <w:szCs w:val="24"/>
              </w:rPr>
              <w:t>用海</w:t>
            </w:r>
            <w:r>
              <w:rPr>
                <w:rFonts w:hint="default" w:ascii="Times New Roman" w:hAnsi="Times New Roman" w:eastAsia="宋体" w:cs="Times New Roman"/>
                <w:color w:val="auto"/>
                <w:spacing w:val="-6"/>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1698.6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488" w:type="dxa"/>
            <w:gridSpan w:val="3"/>
            <w:noWrap w:val="0"/>
            <w:vAlign w:val="center"/>
          </w:tcPr>
          <w:p>
            <w:pPr>
              <w:pStyle w:val="54"/>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Cs w:val="24"/>
                <w:lang w:val="en-US" w:eastAsia="zh-CN"/>
              </w:rPr>
            </w:pPr>
            <w:r>
              <w:rPr>
                <w:rFonts w:hint="eastAsia"/>
                <w:color w:val="auto"/>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82"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488" w:type="dxa"/>
            <w:gridSpan w:val="3"/>
            <w:noWrap w:val="0"/>
            <w:vAlign w:val="center"/>
          </w:tcPr>
          <w:p>
            <w:pPr>
              <w:pStyle w:val="54"/>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Cs w:val="24"/>
                <w:lang w:eastAsia="zh-CN"/>
              </w:rPr>
            </w:pPr>
            <w:r>
              <w:rPr>
                <w:rFonts w:hint="eastAsia"/>
                <w:color w:val="auto"/>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488" w:type="dxa"/>
            <w:gridSpan w:val="3"/>
            <w:noWrap w:val="0"/>
            <w:vAlign w:val="center"/>
          </w:tcPr>
          <w:p>
            <w:pPr>
              <w:pStyle w:val="54"/>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4"/>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6488" w:type="dxa"/>
            <w:gridSpan w:val="3"/>
            <w:noWrap w:val="0"/>
            <w:vAlign w:val="center"/>
          </w:tcPr>
          <w:p>
            <w:pPr>
              <w:pStyle w:val="54"/>
              <w:bidi w:val="0"/>
              <w:rPr>
                <w:rFonts w:hint="eastAsia"/>
                <w:color w:val="auto"/>
                <w:lang w:val="en-US" w:eastAsia="zh-CN"/>
              </w:rPr>
            </w:pPr>
            <w:r>
              <w:rPr>
                <w:rFonts w:hint="eastAsia"/>
                <w:b/>
                <w:bCs/>
                <w:color w:val="auto"/>
                <w:lang w:val="en-US" w:eastAsia="zh-CN"/>
              </w:rPr>
              <w:t>一、与产业政策的符合性分析</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本项目所属行业类别为《国民经济行业分类（GB/T4754-2017）》（2019年修订版）中C2624复混肥料制造。根据《产业结构调整指导目录（2024年本）》，本项目不属于鼓励类、限制类、淘汰类，视为“允许类”。因此，本项目建设符合国家产业政策要求。</w:t>
            </w:r>
          </w:p>
          <w:p>
            <w:pPr>
              <w:pStyle w:val="54"/>
              <w:bidi w:val="0"/>
              <w:rPr>
                <w:rFonts w:hint="default"/>
                <w:color w:val="auto"/>
                <w:lang w:val="en-US" w:eastAsia="zh-CN"/>
              </w:rPr>
            </w:pPr>
            <w:r>
              <w:rPr>
                <w:rFonts w:hint="eastAsia"/>
                <w:b/>
                <w:bCs/>
                <w:color w:val="auto"/>
                <w:lang w:val="en-US" w:eastAsia="zh-CN"/>
              </w:rPr>
              <w:t>二、与《关于以改善环境质量为核心加强环境影响评价管理的通知》（环环评〔2016〕150号）的符合性分析</w:t>
            </w:r>
          </w:p>
          <w:p>
            <w:pPr>
              <w:pStyle w:val="54"/>
              <w:bidi w:val="0"/>
              <w:rPr>
                <w:rFonts w:hint="default"/>
                <w:color w:val="auto"/>
                <w:lang w:val="en-US" w:eastAsia="zh-CN"/>
              </w:rPr>
            </w:pPr>
            <w:r>
              <w:rPr>
                <w:rFonts w:hint="default"/>
                <w:color w:val="auto"/>
                <w:lang w:val="en-US" w:eastAsia="zh-CN"/>
              </w:rPr>
              <w:t>1、生态保护红线</w:t>
            </w:r>
          </w:p>
          <w:p>
            <w:pPr>
              <w:pStyle w:val="54"/>
              <w:bidi w:val="0"/>
              <w:rPr>
                <w:rFonts w:hint="default"/>
                <w:color w:val="auto"/>
                <w:lang w:val="en-US" w:eastAsia="zh-CN"/>
              </w:rPr>
            </w:pPr>
            <w:r>
              <w:rPr>
                <w:rFonts w:hint="default"/>
                <w:color w:val="auto"/>
                <w:lang w:val="en-US"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54"/>
              <w:bidi w:val="0"/>
              <w:rPr>
                <w:rFonts w:hint="default"/>
                <w:color w:val="auto"/>
                <w:lang w:val="en-US" w:eastAsia="zh-CN"/>
              </w:rPr>
            </w:pPr>
            <w:r>
              <w:rPr>
                <w:rFonts w:hint="eastAsia"/>
                <w:color w:val="auto"/>
                <w:lang w:val="en-US" w:eastAsia="zh-CN"/>
              </w:rPr>
              <w:t>本项目位于</w:t>
            </w:r>
            <w:r>
              <w:rPr>
                <w:rFonts w:hint="eastAsia" w:cs="Times New Roman"/>
                <w:color w:val="auto"/>
                <w:sz w:val="24"/>
                <w:szCs w:val="24"/>
                <w:highlight w:val="none"/>
                <w:lang w:val="en-US" w:eastAsia="zh-CN"/>
              </w:rPr>
              <w:t>新疆巴音郭楞蒙古自治州若羌县罗布泊盐湖罗中生产基地</w:t>
            </w:r>
            <w:r>
              <w:rPr>
                <w:rFonts w:hint="default"/>
                <w:color w:val="auto"/>
                <w:lang w:val="en-US" w:eastAsia="zh-CN"/>
              </w:rPr>
              <w:t>，</w:t>
            </w:r>
            <w:r>
              <w:rPr>
                <w:rFonts w:hint="eastAsia"/>
                <w:color w:val="auto"/>
                <w:lang w:val="en-US" w:eastAsia="zh-CN"/>
              </w:rPr>
              <w:t>建设区</w:t>
            </w:r>
            <w:r>
              <w:rPr>
                <w:rFonts w:hint="default"/>
                <w:color w:val="auto"/>
                <w:lang w:val="en-US" w:eastAsia="zh-CN"/>
              </w:rPr>
              <w:t>不涉及自然保护区、饮用水源保护区、风景名胜区和其他生态环境敏感区域，不涉及生态保护红线</w:t>
            </w:r>
            <w:r>
              <w:rPr>
                <w:rFonts w:hint="eastAsia"/>
                <w:color w:val="auto"/>
                <w:lang w:val="en-US" w:eastAsia="zh-CN"/>
              </w:rPr>
              <w:t>。</w:t>
            </w:r>
            <w:r>
              <w:rPr>
                <w:rFonts w:hint="default"/>
                <w:color w:val="auto"/>
                <w:lang w:val="en-US" w:eastAsia="zh-CN"/>
              </w:rPr>
              <w:t>因此，本项目</w:t>
            </w:r>
            <w:r>
              <w:rPr>
                <w:rFonts w:hint="eastAsia"/>
                <w:color w:val="auto"/>
                <w:lang w:val="en-US" w:eastAsia="zh-CN"/>
              </w:rPr>
              <w:t>不违背</w:t>
            </w:r>
            <w:r>
              <w:rPr>
                <w:rFonts w:hint="default"/>
                <w:color w:val="auto"/>
                <w:lang w:val="en-US" w:eastAsia="zh-CN"/>
              </w:rPr>
              <w:t>生态保护红线区域防护要求。</w:t>
            </w:r>
          </w:p>
          <w:p>
            <w:pPr>
              <w:pStyle w:val="54"/>
              <w:bidi w:val="0"/>
              <w:rPr>
                <w:rFonts w:hint="default"/>
                <w:color w:val="auto"/>
                <w:lang w:val="en-US" w:eastAsia="zh-CN"/>
              </w:rPr>
            </w:pPr>
            <w:r>
              <w:rPr>
                <w:rFonts w:hint="default"/>
                <w:color w:val="auto"/>
                <w:lang w:val="en-US" w:eastAsia="zh-CN"/>
              </w:rPr>
              <w:t>2、环境质量底线</w:t>
            </w:r>
          </w:p>
          <w:p>
            <w:pPr>
              <w:pStyle w:val="54"/>
              <w:bidi w:val="0"/>
              <w:rPr>
                <w:rFonts w:hint="default"/>
                <w:color w:val="auto"/>
                <w:lang w:val="en-US" w:eastAsia="zh-CN"/>
              </w:rPr>
            </w:pPr>
            <w:r>
              <w:rPr>
                <w:rFonts w:hint="default"/>
                <w:color w:val="auto"/>
                <w:lang w:val="en-US"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pStyle w:val="54"/>
              <w:bidi w:val="0"/>
              <w:rPr>
                <w:rFonts w:hint="default"/>
                <w:color w:val="auto"/>
                <w:lang w:val="en-US" w:eastAsia="zh-CN"/>
              </w:rPr>
            </w:pPr>
            <w:r>
              <w:rPr>
                <w:rFonts w:hint="eastAsia"/>
                <w:color w:val="auto"/>
                <w:lang w:val="en-US" w:eastAsia="zh-CN"/>
              </w:rPr>
              <w:t>项目所在区域环境空气质量属于二类功能区，声环境属于2类。根据环境质量现状监测数据，项目所在区域环境空气现状均满足相应环境功能区划要求。本项目施工期环境影响随施工期结束而消失，不会改变区域环境功能等级，且本项目运营期对周边环境影响较小。</w:t>
            </w:r>
            <w:r>
              <w:rPr>
                <w:rFonts w:hint="default"/>
                <w:color w:val="auto"/>
                <w:lang w:val="en-US" w:eastAsia="zh-CN"/>
              </w:rPr>
              <w:t>因此，本项目</w:t>
            </w:r>
            <w:r>
              <w:rPr>
                <w:rFonts w:hint="eastAsia"/>
                <w:color w:val="auto"/>
                <w:lang w:val="en-US" w:eastAsia="zh-CN"/>
              </w:rPr>
              <w:t>不会突破</w:t>
            </w:r>
            <w:r>
              <w:rPr>
                <w:rFonts w:hint="default"/>
                <w:color w:val="auto"/>
                <w:lang w:val="en-US" w:eastAsia="zh-CN"/>
              </w:rPr>
              <w:t>环境质量底线要求。</w:t>
            </w:r>
          </w:p>
          <w:p>
            <w:pPr>
              <w:pStyle w:val="54"/>
              <w:bidi w:val="0"/>
              <w:rPr>
                <w:rFonts w:hint="default"/>
                <w:color w:val="auto"/>
                <w:lang w:val="en-US" w:eastAsia="zh-CN"/>
              </w:rPr>
            </w:pPr>
            <w:r>
              <w:rPr>
                <w:rFonts w:hint="default"/>
                <w:color w:val="auto"/>
                <w:lang w:val="en-US" w:eastAsia="zh-CN"/>
              </w:rPr>
              <w:t>3、资源利用上线</w:t>
            </w:r>
          </w:p>
          <w:p>
            <w:pPr>
              <w:pStyle w:val="54"/>
              <w:bidi w:val="0"/>
              <w:rPr>
                <w:rFonts w:hint="default"/>
                <w:color w:val="auto"/>
                <w:lang w:val="en-US" w:eastAsia="zh-CN"/>
              </w:rPr>
            </w:pPr>
            <w:r>
              <w:rPr>
                <w:rFonts w:hint="default"/>
                <w:color w:val="auto"/>
                <w:lang w:val="en-US" w:eastAsia="zh-CN"/>
              </w:rPr>
              <w:t>资源是环境的载体，资源利用上线是各地区能源、水、土地等资源消耗不得突破的</w:t>
            </w:r>
            <w:r>
              <w:rPr>
                <w:rFonts w:hint="eastAsia"/>
                <w:color w:val="auto"/>
                <w:lang w:val="en-US" w:eastAsia="zh-CN"/>
              </w:rPr>
              <w:t>“</w:t>
            </w:r>
            <w:r>
              <w:rPr>
                <w:rFonts w:hint="default"/>
                <w:color w:val="auto"/>
                <w:lang w:val="en-US" w:eastAsia="zh-CN"/>
              </w:rPr>
              <w:t>天花板</w:t>
            </w:r>
            <w:r>
              <w:rPr>
                <w:rFonts w:hint="eastAsia"/>
                <w:color w:val="auto"/>
                <w:lang w:val="en-US" w:eastAsia="zh-CN"/>
              </w:rPr>
              <w:t>”</w:t>
            </w:r>
            <w:r>
              <w:rPr>
                <w:rFonts w:hint="default"/>
                <w:color w:val="auto"/>
                <w:lang w:val="en-US" w:eastAsia="zh-CN"/>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pStyle w:val="54"/>
              <w:bidi w:val="0"/>
              <w:rPr>
                <w:rFonts w:hint="default"/>
                <w:color w:val="auto"/>
                <w:lang w:val="en-US" w:eastAsia="zh-CN"/>
              </w:rPr>
            </w:pPr>
            <w:r>
              <w:rPr>
                <w:rFonts w:hint="default"/>
                <w:color w:val="auto"/>
                <w:lang w:val="en-US" w:eastAsia="zh-CN"/>
              </w:rPr>
              <w:t>本项目运营期用水主要为</w:t>
            </w:r>
            <w:r>
              <w:rPr>
                <w:rFonts w:hint="eastAsia"/>
                <w:color w:val="auto"/>
                <w:lang w:val="en-US" w:eastAsia="zh-CN"/>
              </w:rPr>
              <w:t>生活用水</w:t>
            </w:r>
            <w:r>
              <w:rPr>
                <w:rFonts w:hint="default"/>
                <w:color w:val="auto"/>
                <w:lang w:val="en-US" w:eastAsia="zh-CN"/>
              </w:rPr>
              <w:t>，</w:t>
            </w:r>
            <w:r>
              <w:rPr>
                <w:rFonts w:hint="eastAsia"/>
                <w:color w:val="auto"/>
                <w:lang w:val="en-US" w:eastAsia="zh-CN"/>
              </w:rPr>
              <w:t>水源来自米西水库，由动力厂4000方水池加压后接入本项目界区外，水量、水压均满足本项目用水需求，</w:t>
            </w:r>
            <w:r>
              <w:rPr>
                <w:rFonts w:hint="default"/>
                <w:color w:val="auto"/>
                <w:lang w:val="en-US" w:eastAsia="zh-CN"/>
              </w:rPr>
              <w:t>运营过程中</w:t>
            </w:r>
            <w:r>
              <w:rPr>
                <w:rFonts w:hint="eastAsia"/>
                <w:color w:val="auto"/>
                <w:lang w:val="en-US" w:eastAsia="zh-CN"/>
              </w:rPr>
              <w:t>还会</w:t>
            </w:r>
            <w:r>
              <w:rPr>
                <w:rFonts w:hint="default"/>
                <w:color w:val="auto"/>
                <w:lang w:val="en-US" w:eastAsia="zh-CN"/>
              </w:rPr>
              <w:t>消耗少量的电，不会突破区域的资源利用上线，</w:t>
            </w:r>
            <w:r>
              <w:rPr>
                <w:rFonts w:hint="eastAsia"/>
                <w:color w:val="auto"/>
                <w:lang w:val="en-US" w:eastAsia="zh-CN"/>
              </w:rPr>
              <w:t>因此</w:t>
            </w:r>
            <w:r>
              <w:rPr>
                <w:rFonts w:hint="default"/>
                <w:color w:val="auto"/>
                <w:lang w:val="en-US" w:eastAsia="zh-CN"/>
              </w:rPr>
              <w:t>本项目的建设符合资源利用上线要求。</w:t>
            </w:r>
          </w:p>
          <w:p>
            <w:pPr>
              <w:pStyle w:val="54"/>
              <w:bidi w:val="0"/>
              <w:rPr>
                <w:rFonts w:hint="default"/>
                <w:color w:val="auto"/>
                <w:lang w:val="en-US" w:eastAsia="zh-CN"/>
              </w:rPr>
            </w:pPr>
            <w:r>
              <w:rPr>
                <w:rFonts w:hint="default"/>
                <w:color w:val="auto"/>
                <w:lang w:val="en-US" w:eastAsia="zh-CN"/>
              </w:rPr>
              <w:t>4、生态环境准入清单</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根据《关于印发巴音郭楞蒙古自治州“三线一单”生态环境分区管控动态更新成果（2023年）的通知》（巴政办发〔2024〕32号），本项目所在区域位于若羌县重点管控单元——若羌罗布泊盐化工业园区，编号ZH65282420001，项目符合巴音郭楞蒙古自治州生态环境准入清单（重点管控单元）相关准入要求。</w:t>
            </w:r>
          </w:p>
          <w:p>
            <w:pPr>
              <w:pStyle w:val="54"/>
              <w:bidi w:val="0"/>
              <w:rPr>
                <w:rFonts w:hint="eastAsia"/>
                <w:color w:val="auto"/>
                <w:lang w:val="en-US" w:eastAsia="zh-CN"/>
              </w:rPr>
            </w:pPr>
            <w:r>
              <w:rPr>
                <w:rFonts w:hint="eastAsia"/>
                <w:b/>
                <w:bCs/>
                <w:color w:val="auto"/>
                <w:lang w:val="en-US" w:eastAsia="zh-CN"/>
              </w:rPr>
              <w:t>三、与《关于印发巴音郭楞蒙古自治州“三线一单”生态环境分区管控动态更新成果（2023年）的通知》（巴政办发〔2024〕32号）的符合性分析</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根据2024年12月巴音郭楞蒙古自治州人民政府发布的《关于印发巴音郭楞蒙古自治州“三线一单”生态环境分区管控动态更新成果（2023年）的通知》（巴政办发〔2024〕32号），本项目所在区域位于若羌县重点管控单元——若羌罗布泊盐化工业园区，编号ZH65282420001，本项目符合性分析如下：</w:t>
            </w:r>
          </w:p>
          <w:p>
            <w:pPr>
              <w:pStyle w:val="50"/>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表1-1 本项目与巴音郭楞蒙古自治州生态环境分区管控动态更新成果的符合性分析</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550"/>
              <w:gridCol w:w="1937"/>
              <w:gridCol w:w="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5" w:type="pct"/>
                  <w:gridSpan w:val="2"/>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管控要求</w:t>
                  </w:r>
                </w:p>
              </w:tc>
              <w:tc>
                <w:tcPr>
                  <w:tcW w:w="1551"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本项目情况</w:t>
                  </w:r>
                </w:p>
              </w:tc>
              <w:tc>
                <w:tcPr>
                  <w:tcW w:w="563"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空间布局约束</w:t>
                  </w:r>
                </w:p>
              </w:tc>
              <w:tc>
                <w:tcPr>
                  <w:tcW w:w="20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要严格产业园区项目的准入标准，严格禁止引进高耗能、高污染产业。要严格实行产业园区项目环境影响评价和节能评估审查制度，加强园区废水的集中治理和固体废物的有效处置，严格执行环境影响评价制度和“三同时”制度，从源头控制污染排放和生态破坏。</w:t>
                  </w:r>
                </w:p>
              </w:tc>
              <w:tc>
                <w:tcPr>
                  <w:tcW w:w="155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本项目不属于高耗能、高污染行业。本项目产生废水为生活污水，产生量较小，排入化粪池定期委托清运处理；产生的固废均可合理处置。</w:t>
                  </w:r>
                </w:p>
              </w:tc>
              <w:tc>
                <w:tcPr>
                  <w:tcW w:w="56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42"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污染物排放管控</w:t>
                  </w:r>
                </w:p>
              </w:tc>
              <w:tc>
                <w:tcPr>
                  <w:tcW w:w="2042"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1.向大气排放污染物的企业事业单位和其他生产经营者应当履行大气污染防治的法定义务，执行大气污染物排放标准，遵守大气污染物排放总量控制要求。</w:t>
                  </w:r>
                </w:p>
                <w:p>
                  <w:pPr>
                    <w:pStyle w:val="51"/>
                    <w:bidi w:val="0"/>
                    <w:rPr>
                      <w:rFonts w:hint="eastAsia"/>
                      <w:color w:val="auto"/>
                      <w:lang w:val="en-US" w:eastAsia="zh-CN"/>
                    </w:rPr>
                  </w:pPr>
                  <w:r>
                    <w:rPr>
                      <w:rFonts w:hint="eastAsia"/>
                      <w:color w:val="auto"/>
                      <w:lang w:val="en-US" w:eastAsia="zh-CN"/>
                    </w:rPr>
                    <w:t>2.强化项目工业污水包括循环排污水、化水处理用废水、锅炉酸洗水、含油污水、输煤系统降尘冲洗水、除灰渣水的处理与循环利用。园区内硫酸钾厂、试验厂产生的生产废水全部综合利用。</w:t>
                  </w:r>
                </w:p>
                <w:p>
                  <w:pPr>
                    <w:pStyle w:val="51"/>
                    <w:bidi w:val="0"/>
                    <w:rPr>
                      <w:rFonts w:hint="default"/>
                      <w:color w:val="auto"/>
                      <w:lang w:val="en-US" w:eastAsia="zh-CN"/>
                    </w:rPr>
                  </w:pPr>
                  <w:r>
                    <w:rPr>
                      <w:rFonts w:hint="eastAsia"/>
                      <w:color w:val="auto"/>
                      <w:lang w:val="en-US" w:eastAsia="zh-CN"/>
                    </w:rPr>
                    <w:t>3.工业开发建设及运营生产活动中必须尽量减少对土壤的扰动，并采取必要的补救措施。各种机动车辆应走原有便道，禁止随意开路，破坏土壤结构；道路保证维护并在起尘的地段洒水防尘。</w:t>
                  </w:r>
                </w:p>
              </w:tc>
              <w:tc>
                <w:tcPr>
                  <w:tcW w:w="155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本项目产生的粉尘通过高效脉冲袋式除尘器除尘，经20m排气筒高空排放，满足《大气污染物综合排放标准》（GB 16297-1996）；本项目产生废水为生活污水，产生量较小，排入化粪池定期委托清运处理；项目建设期及运营期各种机动车辆应走原有便道，禁止随意开路，破坏土壤结构；道路保证维护并在起尘的地段洒水防尘。</w:t>
                  </w:r>
                </w:p>
              </w:tc>
              <w:tc>
                <w:tcPr>
                  <w:tcW w:w="56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环境风险防控</w:t>
                  </w:r>
                </w:p>
              </w:tc>
              <w:tc>
                <w:tcPr>
                  <w:tcW w:w="20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热电站烟气脱硝过程中产生的废催化剂（SCR）属于危险废物，应由供应单位进行回收，后续应按照《危险废物污染防治技术政策》要求，遵循危险废物的减量化、资源化和无害化原则处置，在处置时应注意危险废物收集、运输、转移和暂存整个过程中的防护、防渗。</w:t>
                  </w:r>
                </w:p>
              </w:tc>
              <w:tc>
                <w:tcPr>
                  <w:tcW w:w="155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本项目不涉及。</w:t>
                  </w:r>
                </w:p>
              </w:tc>
              <w:tc>
                <w:tcPr>
                  <w:tcW w:w="56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资源利用效率</w:t>
                  </w:r>
                </w:p>
              </w:tc>
              <w:tc>
                <w:tcPr>
                  <w:tcW w:w="20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在钾肥项目实施过程中，加强废物综合利用，特别是老卤的开发利用工作，使矿产资源得到最有效地利用。</w:t>
                  </w:r>
                </w:p>
              </w:tc>
              <w:tc>
                <w:tcPr>
                  <w:tcW w:w="155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本项目不涉及。</w:t>
                  </w:r>
                </w:p>
              </w:tc>
              <w:tc>
                <w:tcPr>
                  <w:tcW w:w="56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r>
          </w:tbl>
          <w:p>
            <w:pPr>
              <w:pStyle w:val="54"/>
              <w:bidi w:val="0"/>
              <w:rPr>
                <w:rFonts w:hint="default" w:cs="Times New Roman"/>
                <w:b w:val="0"/>
                <w:bCs w:val="0"/>
                <w:color w:val="auto"/>
                <w:kern w:val="0"/>
                <w:szCs w:val="24"/>
                <w:lang w:val="en-US" w:eastAsia="zh-CN"/>
              </w:rPr>
            </w:pPr>
            <w:r>
              <w:rPr>
                <w:rFonts w:hint="eastAsia"/>
                <w:color w:val="auto"/>
                <w:lang w:val="en-US" w:eastAsia="zh-CN"/>
              </w:rPr>
              <w:t>综上所述，本项目符合《关于印发巴音郭楞蒙古自治州“三线一单”生态环境分区管控动态更新成果（2023年）的通知》（巴政办发〔2024〕32号）中相关要求。</w:t>
            </w:r>
          </w:p>
          <w:p>
            <w:pPr>
              <w:pStyle w:val="54"/>
              <w:bidi w:val="0"/>
              <w:rPr>
                <w:rFonts w:hint="default"/>
                <w:color w:val="auto"/>
                <w:lang w:val="en-US" w:eastAsia="zh-CN"/>
              </w:rPr>
            </w:pPr>
            <w:r>
              <w:rPr>
                <w:rFonts w:hint="eastAsia"/>
                <w:b/>
                <w:bCs/>
                <w:color w:val="auto"/>
                <w:lang w:val="en-US" w:eastAsia="zh-CN"/>
              </w:rPr>
              <w:t>四、与《新疆维吾尔自治区环境保护条例》的符合性分析</w:t>
            </w:r>
          </w:p>
          <w:p>
            <w:pPr>
              <w:pStyle w:val="54"/>
              <w:bidi w:val="0"/>
              <w:rPr>
                <w:rFonts w:hint="eastAsia"/>
                <w:color w:val="auto"/>
                <w:lang w:val="en-US" w:eastAsia="zh-CN"/>
              </w:rPr>
            </w:pPr>
            <w:r>
              <w:rPr>
                <w:rFonts w:hint="eastAsia"/>
                <w:color w:val="auto"/>
                <w:lang w:val="en-US" w:eastAsia="zh-CN"/>
              </w:rPr>
              <w:t>根据《新疆维吾尔自治区环境保护条例》的规定：</w:t>
            </w:r>
          </w:p>
          <w:p>
            <w:pPr>
              <w:pStyle w:val="54"/>
              <w:bidi w:val="0"/>
              <w:rPr>
                <w:rFonts w:hint="eastAsia"/>
                <w:color w:val="auto"/>
                <w:lang w:val="en-US" w:eastAsia="zh-CN"/>
              </w:rPr>
            </w:pPr>
            <w:r>
              <w:rPr>
                <w:rFonts w:hint="eastAsia"/>
                <w:color w:val="auto"/>
                <w:lang w:val="en-US" w:eastAsia="zh-CN"/>
              </w:rPr>
              <w:t>1、“第二十一条建设对环境有影响的项目，应当依法进行环境影响评价。建设单位应当在开工建设前向有审批权的环境保护主管部门报批建设项目环境影响评价报告书、报告表。未依法进行环境影响评价的建设项目，不得开工建设。”</w:t>
            </w:r>
          </w:p>
          <w:p>
            <w:pPr>
              <w:pStyle w:val="54"/>
              <w:bidi w:val="0"/>
              <w:rPr>
                <w:rFonts w:hint="eastAsia"/>
                <w:color w:val="auto"/>
                <w:lang w:val="en-US" w:eastAsia="zh-CN"/>
              </w:rPr>
            </w:pPr>
            <w:r>
              <w:rPr>
                <w:rFonts w:hint="eastAsia"/>
                <w:color w:val="auto"/>
                <w:lang w:val="en-US" w:eastAsia="zh-CN"/>
              </w:rPr>
              <w:t>国投新疆锂业有限公司委托我司乌鲁木齐恒达蓝天环保科技有限公司对“国投新疆锂业有限公司年产15万吨速溶型硫酸钾项目”进行环境影响评价工作。依据《建设项目环境影响评价分类管理名录》（2021年版）（生态环境部部令第16号），本项目属于“二十三、化学原料和化学制品制造业26——45肥料制造262——其他”为报告表。本项目位于</w:t>
            </w:r>
            <w:r>
              <w:rPr>
                <w:rFonts w:hint="eastAsia" w:cs="Times New Roman"/>
                <w:color w:val="auto"/>
                <w:sz w:val="24"/>
                <w:szCs w:val="24"/>
                <w:highlight w:val="none"/>
                <w:lang w:val="en-US" w:eastAsia="zh-CN"/>
              </w:rPr>
              <w:t>新疆巴音郭楞蒙古自治州若羌县罗布泊盐湖罗中生产基地</w:t>
            </w:r>
            <w:r>
              <w:rPr>
                <w:rFonts w:hint="eastAsia"/>
                <w:color w:val="auto"/>
                <w:lang w:val="en-US" w:eastAsia="zh-CN"/>
              </w:rPr>
              <w:t>，经现场踏勘，已建成一套与本项目生产装置类似，生产工艺相同的实验装置，未进行生产。符合第二十一条相关规定。</w:t>
            </w:r>
          </w:p>
          <w:p>
            <w:pPr>
              <w:pStyle w:val="54"/>
              <w:bidi w:val="0"/>
              <w:rPr>
                <w:rFonts w:hint="eastAsia"/>
                <w:color w:val="auto"/>
                <w:lang w:val="en-US" w:eastAsia="zh-CN"/>
              </w:rPr>
            </w:pPr>
            <w:r>
              <w:rPr>
                <w:rFonts w:hint="eastAsia"/>
                <w:color w:val="auto"/>
                <w:lang w:val="en-US" w:eastAsia="zh-CN"/>
              </w:rPr>
              <w:t>2、“第四十三条排放污染物的企业事业单位和其他生产经营者应当依法取得排污许可证。排放污染物应当符合国家或者自治区规定的污染物排放标准和重点污染物总量控制指标。”</w:t>
            </w:r>
          </w:p>
          <w:p>
            <w:pPr>
              <w:pStyle w:val="54"/>
              <w:bidi w:val="0"/>
              <w:rPr>
                <w:rFonts w:hint="eastAsia"/>
                <w:color w:val="auto"/>
                <w:lang w:val="en-US" w:eastAsia="zh-CN"/>
              </w:rPr>
            </w:pPr>
            <w:r>
              <w:rPr>
                <w:rFonts w:hint="eastAsia"/>
                <w:color w:val="auto"/>
                <w:lang w:val="en-US" w:eastAsia="zh-CN"/>
              </w:rPr>
              <w:t>本环评要求本项目应在获得环评审批文件后，按照国家环境保护相关法律法规以及排污许可证申请与核发技术规范要求申请排污许可证。企业应当在启动生产设施或者发生实际排污之前在全国排污许可证管理信息平台填报排污登记表，登记基本信息、污染物排放去向、执行的污染物排放标准以及采取的污染防治措施等信息。符合第四十三条相关规定。</w:t>
            </w:r>
          </w:p>
          <w:p>
            <w:pPr>
              <w:pStyle w:val="54"/>
              <w:bidi w:val="0"/>
              <w:rPr>
                <w:rFonts w:hint="eastAsia" w:cs="Times New Roman"/>
                <w:b w:val="0"/>
                <w:bCs w:val="0"/>
                <w:color w:val="auto"/>
                <w:kern w:val="0"/>
                <w:szCs w:val="24"/>
                <w:lang w:val="en-US" w:eastAsia="zh-CN" w:bidi="ar-SA"/>
              </w:rPr>
            </w:pPr>
            <w:r>
              <w:rPr>
                <w:rFonts w:hint="eastAsia"/>
                <w:color w:val="auto"/>
                <w:lang w:val="en-US" w:eastAsia="zh-CN"/>
              </w:rPr>
              <w:t>综上所述，本项目符合《新疆维吾尔自治区环境保护条例》的规定。</w:t>
            </w:r>
          </w:p>
          <w:p>
            <w:pPr>
              <w:pStyle w:val="54"/>
              <w:bidi w:val="0"/>
              <w:rPr>
                <w:rFonts w:hint="default"/>
                <w:color w:val="auto"/>
                <w:lang w:val="en-US" w:eastAsia="zh-CN"/>
              </w:rPr>
            </w:pPr>
            <w:r>
              <w:rPr>
                <w:rFonts w:hint="eastAsia"/>
                <w:b/>
                <w:bCs/>
                <w:color w:val="auto"/>
                <w:lang w:val="en-US" w:eastAsia="zh-CN"/>
              </w:rPr>
              <w:t>五、选址的符合性分析</w:t>
            </w:r>
          </w:p>
          <w:p>
            <w:pPr>
              <w:pStyle w:val="54"/>
              <w:bidi w:val="0"/>
              <w:rPr>
                <w:rFonts w:hint="eastAsia"/>
                <w:color w:val="auto"/>
                <w:lang w:val="en-US" w:eastAsia="zh-CN"/>
              </w:rPr>
            </w:pPr>
            <w:r>
              <w:rPr>
                <w:rFonts w:hint="eastAsia"/>
                <w:color w:val="auto"/>
                <w:lang w:val="en-US" w:eastAsia="zh-CN"/>
              </w:rPr>
              <w:t>本项目位于</w:t>
            </w:r>
            <w:r>
              <w:rPr>
                <w:rFonts w:hint="eastAsia" w:cs="Times New Roman"/>
                <w:color w:val="auto"/>
                <w:sz w:val="24"/>
                <w:szCs w:val="24"/>
                <w:highlight w:val="none"/>
                <w:lang w:val="en-US" w:eastAsia="zh-CN"/>
              </w:rPr>
              <w:t>新疆巴音郭楞蒙古自治州若羌县罗布泊盐湖罗中生产基地</w:t>
            </w:r>
            <w:r>
              <w:rPr>
                <w:rFonts w:hint="eastAsia"/>
                <w:color w:val="auto"/>
                <w:lang w:val="en-US" w:eastAsia="zh-CN"/>
              </w:rPr>
              <w:t>，罗布泊盐湖位于新疆维吾尔自治区巴音郭楞蒙古自治州境内，行政区划属若羌县罗布泊镇管辖。其东北距哈密市383km，西距库尔勒542km，东距敦煌市470km。硫酸钾速溶肥工程东北距规划的罗布泊镇约1.5公里，哈罗若公路北侧。</w:t>
            </w:r>
          </w:p>
          <w:p>
            <w:pPr>
              <w:pStyle w:val="54"/>
              <w:bidi w:val="0"/>
              <w:rPr>
                <w:rFonts w:hint="eastAsia"/>
                <w:color w:val="auto"/>
                <w:lang w:val="en-US" w:eastAsia="zh-CN"/>
              </w:rPr>
            </w:pPr>
            <w:r>
              <w:rPr>
                <w:rFonts w:hint="eastAsia"/>
                <w:color w:val="auto"/>
                <w:lang w:val="en-US" w:eastAsia="zh-CN"/>
              </w:rPr>
              <w:t>哈罗公路从碳酸锂生产装置东南侧约1.5km处经过，碳酸锂产品通过硫酸钾厂成品运输道路和罗钾试验厂西侧主干道一路向南可接至哈罗公路。哈罗公路继续朝东北约410km可至哈密市；哈罗公路朝西南延伸段则为罗若公路，约330km可至若羌县。</w:t>
            </w:r>
          </w:p>
          <w:p>
            <w:pPr>
              <w:pStyle w:val="54"/>
              <w:bidi w:val="0"/>
              <w:rPr>
                <w:rFonts w:hint="eastAsia"/>
                <w:color w:val="auto"/>
                <w:lang w:val="en-US" w:eastAsia="zh-CN"/>
              </w:rPr>
            </w:pPr>
            <w:r>
              <w:rPr>
                <w:rFonts w:hint="eastAsia"/>
                <w:color w:val="auto"/>
                <w:lang w:val="en-US" w:eastAsia="zh-CN"/>
              </w:rPr>
              <w:t>根据厂址选址原则，经实地考察并经比较，项目建在</w:t>
            </w:r>
            <w:r>
              <w:rPr>
                <w:rFonts w:hint="eastAsia" w:cs="Times New Roman"/>
                <w:color w:val="auto"/>
                <w:sz w:val="24"/>
                <w:szCs w:val="24"/>
                <w:highlight w:val="none"/>
                <w:lang w:val="en-US" w:eastAsia="zh-CN"/>
              </w:rPr>
              <w:t>新疆巴音郭楞蒙古自治州若羌县罗布泊盐湖罗中生产基地</w:t>
            </w:r>
            <w:r>
              <w:rPr>
                <w:rFonts w:hint="eastAsia"/>
                <w:color w:val="auto"/>
                <w:lang w:val="en-US" w:eastAsia="zh-CN"/>
              </w:rPr>
              <w:t>，土地利用性质为工业用地。所处地理位置优越，与上下游关联联系紧密。厂区周围无居住区，安全区域大，有利于生产厂房的安全，现有道路设施完善。</w:t>
            </w:r>
          </w:p>
          <w:p>
            <w:pPr>
              <w:pStyle w:val="54"/>
              <w:bidi w:val="0"/>
              <w:rPr>
                <w:rFonts w:hint="eastAsia"/>
                <w:color w:val="auto"/>
                <w:lang w:val="en-US" w:eastAsia="zh-CN"/>
              </w:rPr>
            </w:pPr>
            <w:r>
              <w:rPr>
                <w:rFonts w:hint="default"/>
                <w:color w:val="auto"/>
                <w:lang w:val="en-US" w:eastAsia="zh-CN"/>
              </w:rPr>
              <w:t>本项目</w:t>
            </w:r>
            <w:r>
              <w:rPr>
                <w:rFonts w:hint="eastAsia"/>
                <w:color w:val="auto"/>
                <w:lang w:val="en-US" w:eastAsia="zh-CN"/>
              </w:rPr>
              <w:t>选址</w:t>
            </w:r>
            <w:r>
              <w:rPr>
                <w:rFonts w:hint="default"/>
                <w:color w:val="auto"/>
                <w:lang w:val="en-US" w:eastAsia="zh-CN"/>
              </w:rPr>
              <w:t>符合《关于印发巴音郭楞蒙古自治州“三线一单”生态环境分区管控动态更新成果（2023年）的通知》（巴政办发〔2024〕32号）的相关管控要求</w:t>
            </w:r>
            <w:r>
              <w:rPr>
                <w:rFonts w:hint="eastAsia"/>
                <w:color w:val="auto"/>
                <w:lang w:val="en-US" w:eastAsia="zh-CN"/>
              </w:rPr>
              <w:t>，</w:t>
            </w:r>
            <w:r>
              <w:rPr>
                <w:rFonts w:hint="default"/>
                <w:color w:val="auto"/>
                <w:lang w:val="en-US" w:eastAsia="zh-CN"/>
              </w:rPr>
              <w:t>综上所述，</w:t>
            </w:r>
            <w:r>
              <w:rPr>
                <w:rFonts w:hint="eastAsia"/>
                <w:color w:val="auto"/>
                <w:lang w:val="en-US" w:eastAsia="zh-CN"/>
              </w:rPr>
              <w:t>本项目选址符合相关要求，</w:t>
            </w:r>
            <w:r>
              <w:rPr>
                <w:rFonts w:hint="default"/>
                <w:color w:val="auto"/>
                <w:lang w:val="en-US" w:eastAsia="zh-CN"/>
              </w:rPr>
              <w:t>可满足本项目的建设及运营需求</w:t>
            </w:r>
            <w:r>
              <w:rPr>
                <w:rFonts w:hint="eastAsia"/>
                <w:color w:val="auto"/>
                <w:lang w:val="en-US" w:eastAsia="zh-CN"/>
              </w:rPr>
              <w:t>。</w:t>
            </w: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ind w:left="0" w:leftChars="0" w:firstLine="0" w:firstLineChars="0"/>
              <w:rPr>
                <w:rFonts w:hint="eastAsia"/>
                <w:color w:val="auto"/>
                <w:lang w:val="en-US" w:eastAsia="zh-CN"/>
              </w:rPr>
            </w:pPr>
          </w:p>
          <w:p>
            <w:pPr>
              <w:pStyle w:val="54"/>
              <w:bidi w:val="0"/>
              <w:rPr>
                <w:rFonts w:hint="eastAsia"/>
                <w:color w:val="auto"/>
                <w:lang w:val="en-US" w:eastAsia="zh-CN"/>
              </w:rPr>
            </w:pPr>
          </w:p>
          <w:p>
            <w:pPr>
              <w:pStyle w:val="54"/>
              <w:bidi w:val="0"/>
              <w:ind w:left="0" w:leftChars="0" w:firstLine="0" w:firstLineChars="0"/>
              <w:rPr>
                <w:rFonts w:hint="eastAsia"/>
                <w:color w:val="auto"/>
                <w:lang w:val="en-US" w:eastAsia="zh-CN"/>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建设内容</w:t>
            </w:r>
          </w:p>
        </w:tc>
        <w:tc>
          <w:tcPr>
            <w:tcW w:w="8161" w:type="dxa"/>
            <w:noWrap w:val="0"/>
            <w:vAlign w:val="top"/>
          </w:tcPr>
          <w:p>
            <w:pPr>
              <w:pStyle w:val="54"/>
              <w:bidi w:val="0"/>
              <w:rPr>
                <w:rFonts w:hint="eastAsia"/>
                <w:color w:val="auto"/>
                <w:lang w:val="en-US" w:eastAsia="zh-CN"/>
              </w:rPr>
            </w:pPr>
            <w:r>
              <w:rPr>
                <w:rFonts w:hint="eastAsia"/>
                <w:b/>
                <w:bCs/>
                <w:color w:val="auto"/>
                <w:lang w:val="en-US" w:eastAsia="zh-CN"/>
              </w:rPr>
              <w:t>一、建设项目的背景</w:t>
            </w:r>
          </w:p>
          <w:p>
            <w:pPr>
              <w:pStyle w:val="54"/>
              <w:bidi w:val="0"/>
              <w:rPr>
                <w:rFonts w:hint="eastAsia"/>
                <w:color w:val="auto"/>
                <w:lang w:val="en-US" w:eastAsia="zh-CN"/>
              </w:rPr>
            </w:pPr>
            <w:r>
              <w:rPr>
                <w:rFonts w:hint="eastAsia"/>
                <w:color w:val="auto"/>
                <w:lang w:val="en-US" w:eastAsia="zh-CN"/>
              </w:rPr>
              <w:t>水溶肥是与水肥一体化相配套，经水溶解或稀释，用于灌溉施肥、叶面施肥、无土栽培、浸种蘸根等，水溶性在95%以上的液体或固体肥料。水溶肥主要由氮、磷、钾等单质肥按一定配方配制而成，其特点是养分浓度高、组分全溶解，不会造成滴灌带微孔的阻塞。同时根据各地不同的土壤类型以及不同作物的需肥规律科学配制，此外还可掺进中微量元素、氨基酸、腐植酸、增效剂等物质，使其具有多种用途。水溶肥总养分含量一般高达40~60%，而且含有氮、磷、钾、钙，镁、硫、铁、硼等多种营养元素，氮肥利用率达58~65%，磷肥利用率达22~28%，较常规灌溉施肥的氮、磷肥利用率提高20~25个百分点和5~10个百分点，节省氮肥30%左右，节省磷肥10%左右，节水50%以上。水溶肥能够达到稳定农作物的产量，改善农产品品质，提高种植效益的效果，深受种植者欢迎。水溶肥作为一种与节水灌溉农业、立体高效栽培、高产优质栽培技术相配套产生的一类新型肥料，与喷滴灌相结合，实现水肥一体化，既能节约水资源，又能提高肥料利用率，促进种植者增收节支、保护环境，是肥料未来发展的重要方向之一。</w:t>
            </w:r>
          </w:p>
          <w:p>
            <w:pPr>
              <w:pStyle w:val="54"/>
              <w:bidi w:val="0"/>
              <w:rPr>
                <w:rFonts w:hint="eastAsia"/>
                <w:color w:val="auto"/>
                <w:lang w:val="en-US" w:eastAsia="zh-CN"/>
              </w:rPr>
            </w:pPr>
            <w:r>
              <w:rPr>
                <w:rFonts w:hint="eastAsia"/>
                <w:color w:val="auto"/>
                <w:lang w:val="en-US" w:eastAsia="zh-CN"/>
              </w:rPr>
              <w:t>国内水溶肥市场近年来呈现出快速发展的态势，主要受到农业现代化进程加速、高效节水农业政策推动以及经济作物种植面积扩大等因素的影响。2023年中国水溶肥市场规模超过200亿元，年增长率达到15%以上。预计到2025年市场规模将达到450亿元，年均复合增长率维持在12%左右。水溶肥广泛应用于设施农业、果蔬及高附加值经济作物，这些领域占据了70%以上的市场份额。随着农业产业结构的调整，水溶肥的使用范围逐渐从经济作物向大田作物扩展。水溶肥技术不断创新，含氨基酸、腐植酸的功能型水溶肥产品年增速预计超过20%。</w:t>
            </w:r>
          </w:p>
          <w:p>
            <w:pPr>
              <w:pStyle w:val="54"/>
              <w:bidi w:val="0"/>
              <w:rPr>
                <w:rFonts w:hint="default"/>
                <w:color w:val="auto"/>
                <w:lang w:val="en-US" w:eastAsia="zh-CN"/>
              </w:rPr>
            </w:pPr>
            <w:r>
              <w:rPr>
                <w:rFonts w:hint="eastAsia"/>
                <w:color w:val="auto"/>
                <w:lang w:val="en-US" w:eastAsia="zh-CN"/>
              </w:rPr>
              <w:t>国</w:t>
            </w:r>
            <w:r>
              <w:rPr>
                <w:rFonts w:hint="default"/>
                <w:color w:val="auto"/>
                <w:lang w:val="en-US" w:eastAsia="zh-CN"/>
              </w:rPr>
              <w:t>投新疆锂业有限公司</w:t>
            </w:r>
            <w:r>
              <w:rPr>
                <w:rFonts w:hint="eastAsia"/>
                <w:color w:val="auto"/>
                <w:lang w:val="en-US" w:eastAsia="zh-CN"/>
              </w:rPr>
              <w:t>拟在罗布泊盐湖罗中生产基地建设投资2500万元建设一条速溶型硫酸钾系列产品生产线项目，建设完成后，达到600吨/天（15万吨/年）速溶型硫酸钾系列产品生产能力。国</w:t>
            </w:r>
            <w:r>
              <w:rPr>
                <w:rFonts w:hint="default"/>
                <w:color w:val="auto"/>
                <w:lang w:val="en-US" w:eastAsia="zh-CN"/>
              </w:rPr>
              <w:t>投新疆锂业有限公司成立于2014年10月28日，股东为国投新疆罗布泊钾盐有限责任公司（以下简称国投罗钾），出资比例100%，为国投罗钾的全资子公司。</w:t>
            </w:r>
          </w:p>
          <w:p>
            <w:pPr>
              <w:pStyle w:val="54"/>
              <w:bidi w:val="0"/>
              <w:rPr>
                <w:rFonts w:hint="default"/>
                <w:color w:val="auto"/>
                <w:lang w:val="en-US" w:eastAsia="zh-CN"/>
              </w:rPr>
            </w:pPr>
            <w:r>
              <w:rPr>
                <w:rFonts w:hint="eastAsia"/>
                <w:color w:val="auto"/>
                <w:lang w:val="en-US" w:eastAsia="zh-CN"/>
              </w:rPr>
              <w:t>国</w:t>
            </w:r>
            <w:r>
              <w:rPr>
                <w:rFonts w:hint="default"/>
                <w:color w:val="auto"/>
                <w:lang w:val="en-US" w:eastAsia="zh-CN"/>
              </w:rPr>
              <w:t>投新疆罗布泊钾盐有限责任公司（以下简称</w:t>
            </w:r>
            <w:r>
              <w:rPr>
                <w:rFonts w:hint="eastAsia"/>
                <w:color w:val="auto"/>
                <w:lang w:val="en-US" w:eastAsia="zh-CN"/>
              </w:rPr>
              <w:t>“</w:t>
            </w:r>
            <w:r>
              <w:rPr>
                <w:rFonts w:hint="default"/>
                <w:color w:val="auto"/>
                <w:lang w:val="en-US" w:eastAsia="zh-CN"/>
              </w:rPr>
              <w:t>国投罗钾</w:t>
            </w:r>
            <w:r>
              <w:rPr>
                <w:rFonts w:hint="eastAsia"/>
                <w:color w:val="auto"/>
                <w:lang w:val="en-US" w:eastAsia="zh-CN"/>
              </w:rPr>
              <w:t>”</w:t>
            </w:r>
            <w:r>
              <w:rPr>
                <w:rFonts w:hint="default"/>
                <w:color w:val="auto"/>
                <w:lang w:val="en-US" w:eastAsia="zh-CN"/>
              </w:rPr>
              <w:t>）成立于2000年9月，2004年成为国家开发投资公司的控股企业，国投罗钾现有资产总额69亿元，以开发罗布泊天然卤水资源制取硫酸钾为主业。国投罗钾成立后，依靠自身科技实力、借鉴国内外盐湖开发经验，在艰难中起步、探索中前进，研究出了具有国际先进、国内领先、拥有自主知识产权的工艺技术。2002年开展了工业试验厂项目建设，经两次技改，至2005年底产能达到10万吨。2004年，国投罗钾</w:t>
            </w:r>
            <w:r>
              <w:rPr>
                <w:rFonts w:hint="eastAsia"/>
                <w:color w:val="auto"/>
                <w:lang w:val="en-US" w:eastAsia="zh-CN"/>
              </w:rPr>
              <w:t>“</w:t>
            </w:r>
            <w:r>
              <w:rPr>
                <w:rFonts w:hint="default"/>
                <w:color w:val="auto"/>
                <w:lang w:val="en-US" w:eastAsia="zh-CN"/>
              </w:rPr>
              <w:t>罗布泊地区钾盐资源开发利用研究</w:t>
            </w:r>
            <w:r>
              <w:rPr>
                <w:rFonts w:hint="eastAsia"/>
                <w:color w:val="auto"/>
                <w:lang w:val="en-US" w:eastAsia="zh-CN"/>
              </w:rPr>
              <w:t>”</w:t>
            </w:r>
            <w:r>
              <w:rPr>
                <w:rFonts w:hint="default"/>
                <w:color w:val="auto"/>
                <w:lang w:val="en-US" w:eastAsia="zh-CN"/>
              </w:rPr>
              <w:t>项目获得国家科技进步一等奖。2006年4月开展了120万吨/年硫酸钾项目建设，2008年11月建成并一次性投料试车成功，2011年11月达到设计生产能力。2012年6月，项目通过国家发改委组织的竣工验收。2012年，国投罗钾硫酸钾产量达到137万吨，是世界最大的硫酸钾生产商。2013年，国投罗钾</w:t>
            </w:r>
            <w:r>
              <w:rPr>
                <w:rFonts w:hint="eastAsia"/>
                <w:color w:val="auto"/>
                <w:lang w:val="en-US" w:eastAsia="zh-CN"/>
              </w:rPr>
              <w:t>“</w:t>
            </w:r>
            <w:r>
              <w:rPr>
                <w:rFonts w:hint="default"/>
                <w:color w:val="auto"/>
                <w:lang w:val="en-US" w:eastAsia="zh-CN"/>
              </w:rPr>
              <w:t>罗布泊盐湖120万吨/年硫酸钾成套技术开发</w:t>
            </w:r>
            <w:r>
              <w:rPr>
                <w:rFonts w:hint="eastAsia"/>
                <w:color w:val="auto"/>
                <w:lang w:val="en-US" w:eastAsia="zh-CN"/>
              </w:rPr>
              <w:t>”</w:t>
            </w:r>
            <w:r>
              <w:rPr>
                <w:rFonts w:hint="default"/>
                <w:color w:val="auto"/>
                <w:lang w:val="en-US" w:eastAsia="zh-CN"/>
              </w:rPr>
              <w:t>获得国家科技进步一等奖、国投罗钾获得中央企业先进集体荣誉称号，国投罗钾技术中心被国家发改委、科技部等五部委联合认定为第20批国家级企业技术中心，累计获得专利22项。</w:t>
            </w:r>
          </w:p>
          <w:p>
            <w:pPr>
              <w:pStyle w:val="54"/>
              <w:bidi w:val="0"/>
              <w:rPr>
                <w:rFonts w:hint="default"/>
                <w:color w:val="auto"/>
                <w:lang w:val="en-US" w:eastAsia="zh-CN"/>
              </w:rPr>
            </w:pPr>
            <w:r>
              <w:rPr>
                <w:rFonts w:hint="eastAsia"/>
                <w:b/>
                <w:bCs/>
                <w:color w:val="auto"/>
                <w:lang w:val="en-US" w:eastAsia="zh-CN"/>
              </w:rPr>
              <w:t>二、建设项目的概况及建设内容</w:t>
            </w:r>
          </w:p>
          <w:p>
            <w:pPr>
              <w:pStyle w:val="54"/>
              <w:bidi w:val="0"/>
              <w:rPr>
                <w:rFonts w:hint="default"/>
                <w:color w:val="auto"/>
                <w:lang w:val="en-US" w:eastAsia="zh-CN"/>
              </w:rPr>
            </w:pPr>
            <w:r>
              <w:rPr>
                <w:rFonts w:hint="eastAsia"/>
                <w:color w:val="auto"/>
                <w:lang w:val="en-US" w:eastAsia="zh-CN"/>
              </w:rPr>
              <w:t>1、项目名称：国投新疆锂业有限公司年产15万吨速溶型硫酸钾项目</w:t>
            </w:r>
          </w:p>
          <w:p>
            <w:pPr>
              <w:pStyle w:val="54"/>
              <w:bidi w:val="0"/>
              <w:rPr>
                <w:rFonts w:hint="eastAsia"/>
                <w:color w:val="auto"/>
                <w:lang w:val="en-US" w:eastAsia="zh-CN"/>
              </w:rPr>
            </w:pPr>
            <w:r>
              <w:rPr>
                <w:rFonts w:hint="default"/>
                <w:color w:val="auto"/>
                <w:lang w:val="en-US" w:eastAsia="zh-CN"/>
              </w:rPr>
              <w:t>2、</w:t>
            </w:r>
            <w:r>
              <w:rPr>
                <w:rFonts w:hint="eastAsia"/>
                <w:color w:val="auto"/>
                <w:lang w:val="en-US" w:eastAsia="zh-CN"/>
              </w:rPr>
              <w:t>项目建设单位：国投新疆锂业有限公司</w:t>
            </w:r>
          </w:p>
          <w:p>
            <w:pPr>
              <w:pStyle w:val="54"/>
              <w:bidi w:val="0"/>
              <w:rPr>
                <w:rFonts w:hint="default"/>
                <w:color w:val="auto"/>
                <w:lang w:val="en-US" w:eastAsia="zh-CN"/>
              </w:rPr>
            </w:pPr>
            <w:r>
              <w:rPr>
                <w:rFonts w:hint="eastAsia"/>
                <w:color w:val="auto"/>
                <w:lang w:val="en-US" w:eastAsia="zh-CN"/>
              </w:rPr>
              <w:t>3、项目建设性质：新建</w:t>
            </w:r>
          </w:p>
          <w:p>
            <w:pPr>
              <w:pStyle w:val="54"/>
              <w:bidi w:val="0"/>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项目建设地点：</w:t>
            </w:r>
            <w:r>
              <w:rPr>
                <w:rFonts w:hint="eastAsia" w:cs="Times New Roman"/>
                <w:color w:val="auto"/>
                <w:sz w:val="24"/>
                <w:szCs w:val="24"/>
                <w:highlight w:val="none"/>
                <w:lang w:val="en-US" w:eastAsia="zh-CN"/>
              </w:rPr>
              <w:t>新疆巴音郭楞蒙古自治州若羌县罗布泊盐湖罗中生产基地</w:t>
            </w:r>
          </w:p>
          <w:p>
            <w:pPr>
              <w:pStyle w:val="54"/>
              <w:bidi w:val="0"/>
              <w:rPr>
                <w:rFonts w:hint="eastAsia"/>
                <w:color w:val="auto"/>
                <w:lang w:val="en-US" w:eastAsia="zh-CN"/>
              </w:rPr>
            </w:pPr>
            <w:r>
              <w:rPr>
                <w:rFonts w:hint="eastAsia"/>
                <w:color w:val="auto"/>
                <w:lang w:val="en-US" w:eastAsia="zh-CN"/>
              </w:rPr>
              <w:t>5</w:t>
            </w:r>
            <w:r>
              <w:rPr>
                <w:rFonts w:hint="default"/>
                <w:color w:val="auto"/>
                <w:lang w:val="en-US" w:eastAsia="zh-CN"/>
              </w:rPr>
              <w:t>、</w:t>
            </w:r>
            <w:r>
              <w:rPr>
                <w:rFonts w:hint="eastAsia"/>
                <w:color w:val="auto"/>
                <w:lang w:val="en-US" w:eastAsia="zh-CN"/>
              </w:rPr>
              <w:t>项目建设内容：</w:t>
            </w:r>
          </w:p>
          <w:p>
            <w:pPr>
              <w:pStyle w:val="54"/>
              <w:bidi w:val="0"/>
              <w:rPr>
                <w:rFonts w:hint="default" w:ascii="Times New Roman" w:hAnsi="Times New Roman" w:eastAsia="宋体" w:cs="Times New Roman"/>
                <w:color w:val="auto"/>
                <w:szCs w:val="24"/>
                <w:lang w:val="en-US" w:eastAsia="zh-CN"/>
              </w:rPr>
            </w:pPr>
            <w:r>
              <w:rPr>
                <w:rFonts w:hint="eastAsia"/>
                <w:color w:val="auto"/>
                <w:lang w:val="en-US" w:eastAsia="zh-CN"/>
              </w:rPr>
              <w:t>本项目新建一条年产15万吨速溶型硫酸钾生产线，</w:t>
            </w:r>
            <w:r>
              <w:rPr>
                <w:rFonts w:hint="default"/>
                <w:color w:val="auto"/>
                <w:lang w:val="en-US" w:eastAsia="zh-CN"/>
              </w:rPr>
              <w:t>主要工程内容见表</w:t>
            </w:r>
            <w:r>
              <w:rPr>
                <w:rFonts w:hint="eastAsia"/>
                <w:color w:val="auto"/>
                <w:lang w:val="en-US" w:eastAsia="zh-CN"/>
              </w:rPr>
              <w:t>2-1</w:t>
            </w:r>
            <w:r>
              <w:rPr>
                <w:rFonts w:hint="default"/>
                <w:color w:val="auto"/>
                <w:lang w:val="en-US" w:eastAsia="zh-CN"/>
              </w:rPr>
              <w:t>。</w:t>
            </w:r>
          </w:p>
          <w:p>
            <w:pPr>
              <w:pStyle w:val="50"/>
              <w:bidi w:val="0"/>
              <w:rPr>
                <w:rFonts w:hint="eastAsia" w:ascii="宋体" w:hAnsi="宋体" w:eastAsia="宋体" w:cs="宋体"/>
                <w:b/>
                <w:bCs/>
                <w:color w:val="auto"/>
                <w:szCs w:val="21"/>
                <w:lang w:val="en-US" w:eastAsia="zh-CN"/>
              </w:rPr>
            </w:pPr>
            <w:r>
              <w:rPr>
                <w:rFonts w:hint="default"/>
                <w:color w:val="auto"/>
                <w:lang w:val="en-US" w:eastAsia="zh-CN"/>
              </w:rPr>
              <w:t xml:space="preserve">表2-1 </w:t>
            </w:r>
            <w:r>
              <w:rPr>
                <w:rFonts w:hint="eastAsia"/>
                <w:color w:val="auto"/>
                <w:lang w:val="en-US" w:eastAsia="zh-CN"/>
              </w:rPr>
              <w:t xml:space="preserve"> 项目组成一览表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505"/>
              <w:gridCol w:w="4371"/>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pct"/>
                  <w:gridSpan w:val="2"/>
                  <w:tcBorders>
                    <w:tl2br w:val="nil"/>
                    <w:tr2bl w:val="nil"/>
                  </w:tcBorders>
                  <w:vAlign w:val="center"/>
                </w:tcPr>
                <w:p>
                  <w:pPr>
                    <w:pStyle w:val="51"/>
                    <w:bidi w:val="0"/>
                    <w:rPr>
                      <w:rFonts w:hint="eastAsia"/>
                      <w:color w:val="auto"/>
                      <w:lang w:val="en-US" w:eastAsia="zh-CN"/>
                    </w:rPr>
                  </w:pPr>
                  <w:r>
                    <w:rPr>
                      <w:rFonts w:hint="eastAsia"/>
                      <w:color w:val="auto"/>
                      <w:lang w:val="en-US" w:eastAsia="zh-CN"/>
                    </w:rPr>
                    <w:t>项目组成</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实际建设情况</w:t>
                  </w:r>
                </w:p>
              </w:tc>
              <w:tc>
                <w:tcPr>
                  <w:tcW w:w="421"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主体工程</w:t>
                  </w: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主生产厂房</w:t>
                  </w:r>
                </w:p>
              </w:tc>
              <w:tc>
                <w:tcPr>
                  <w:tcW w:w="2739" w:type="pct"/>
                  <w:tcBorders>
                    <w:tl2br w:val="nil"/>
                    <w:tr2bl w:val="nil"/>
                  </w:tcBorders>
                  <w:vAlign w:val="center"/>
                </w:tcPr>
                <w:p>
                  <w:pPr>
                    <w:pStyle w:val="51"/>
                    <w:bidi w:val="0"/>
                    <w:rPr>
                      <w:rFonts w:hint="default" w:eastAsia="宋体"/>
                      <w:color w:val="auto"/>
                      <w:lang w:val="en-US" w:eastAsia="zh-CN"/>
                    </w:rPr>
                  </w:pPr>
                  <w:r>
                    <w:rPr>
                      <w:rFonts w:hint="default" w:ascii="Times New Roman" w:hAnsi="Times New Roman" w:cs="Times New Roman"/>
                      <w:color w:val="auto"/>
                      <w:lang w:val="en-US" w:eastAsia="zh-CN"/>
                    </w:rPr>
                    <w:t>厂房尺寸24×65m，</w:t>
                  </w:r>
                  <w:r>
                    <w:rPr>
                      <w:rFonts w:hint="eastAsia" w:ascii="Times New Roman" w:hAnsi="Times New Roman" w:cs="Times New Roman"/>
                      <w:color w:val="auto"/>
                      <w:lang w:val="en-US" w:eastAsia="zh-CN"/>
                    </w:rPr>
                    <w:t>包含包装间、机柜间</w:t>
                  </w:r>
                  <w:r>
                    <w:rPr>
                      <w:rFonts w:hint="eastAsia"/>
                      <w:color w:val="auto"/>
                      <w:lang w:eastAsia="zh-CN"/>
                    </w:rPr>
                    <w:t>。</w:t>
                  </w:r>
                  <w:r>
                    <w:rPr>
                      <w:rFonts w:hint="eastAsia"/>
                      <w:color w:val="auto"/>
                      <w:lang w:val="en-US" w:eastAsia="zh-CN"/>
                    </w:rPr>
                    <w:t>粉碎机区域做一密闭房间（粉碎机间），用于隔绝粉尘。北侧包装车间建筑面积120m</w:t>
                  </w:r>
                  <w:r>
                    <w:rPr>
                      <w:rFonts w:hint="eastAsia"/>
                      <w:color w:val="auto"/>
                      <w:vertAlign w:val="superscript"/>
                      <w:lang w:val="en-US" w:eastAsia="zh-CN"/>
                    </w:rPr>
                    <w:t>2</w:t>
                  </w:r>
                  <w:r>
                    <w:rPr>
                      <w:rFonts w:hint="eastAsia"/>
                      <w:color w:val="auto"/>
                      <w:lang w:val="en-US" w:eastAsia="zh-CN"/>
                    </w:rPr>
                    <w:t>，厂房内部机柜间建筑面积24m</w:t>
                  </w:r>
                  <w:r>
                    <w:rPr>
                      <w:rFonts w:hint="eastAsia"/>
                      <w:color w:val="auto"/>
                      <w:vertAlign w:val="superscript"/>
                      <w:lang w:val="en-US" w:eastAsia="zh-CN"/>
                    </w:rPr>
                    <w:t>2</w:t>
                  </w:r>
                  <w:r>
                    <w:rPr>
                      <w:rFonts w:hint="eastAsia"/>
                      <w:color w:val="auto"/>
                      <w:lang w:val="en-US" w:eastAsia="zh-CN"/>
                    </w:rPr>
                    <w:t>，隔离粉碎机间建筑面积360m</w:t>
                  </w:r>
                  <w:r>
                    <w:rPr>
                      <w:rFonts w:hint="eastAsia"/>
                      <w:color w:val="auto"/>
                      <w:vertAlign w:val="superscript"/>
                      <w:lang w:val="en-US" w:eastAsia="zh-CN"/>
                    </w:rPr>
                    <w:t>2</w:t>
                  </w:r>
                  <w:r>
                    <w:rPr>
                      <w:rFonts w:hint="eastAsia"/>
                      <w:color w:val="auto"/>
                      <w:lang w:val="en-US" w:eastAsia="zh-CN"/>
                    </w:rPr>
                    <w:t>。</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restart"/>
                  <w:tcBorders>
                    <w:tl2br w:val="nil"/>
                    <w:tr2bl w:val="nil"/>
                  </w:tcBorders>
                  <w:vAlign w:val="center"/>
                </w:tcPr>
                <w:p>
                  <w:pPr>
                    <w:pStyle w:val="51"/>
                    <w:bidi w:val="0"/>
                    <w:rPr>
                      <w:rFonts w:hint="eastAsia"/>
                      <w:color w:val="auto"/>
                      <w:lang w:val="en-US" w:eastAsia="zh-CN"/>
                    </w:rPr>
                  </w:pPr>
                  <w:r>
                    <w:rPr>
                      <w:rFonts w:hint="eastAsia"/>
                      <w:color w:val="auto"/>
                      <w:lang w:val="en-US" w:eastAsia="zh-CN"/>
                    </w:rPr>
                    <w:t>辅助工程</w:t>
                  </w: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控制室</w:t>
                  </w:r>
                </w:p>
              </w:tc>
              <w:tc>
                <w:tcPr>
                  <w:tcW w:w="2739" w:type="pct"/>
                  <w:tcBorders>
                    <w:tl2br w:val="nil"/>
                    <w:tr2bl w:val="nil"/>
                  </w:tcBorders>
                  <w:vAlign w:val="center"/>
                </w:tcPr>
                <w:p>
                  <w:pPr>
                    <w:pStyle w:val="51"/>
                    <w:bidi w:val="0"/>
                    <w:rPr>
                      <w:rFonts w:hint="default" w:eastAsia="宋体"/>
                      <w:color w:val="auto"/>
                      <w:lang w:val="en-US" w:eastAsia="zh-CN"/>
                    </w:rPr>
                  </w:pPr>
                  <w:r>
                    <w:rPr>
                      <w:rFonts w:hint="eastAsia"/>
                      <w:color w:val="auto"/>
                      <w:lang w:val="en-US" w:eastAsia="zh-CN"/>
                    </w:rPr>
                    <w:t>砌体结构，控制室总建筑面积68.6m</w:t>
                  </w:r>
                  <w:r>
                    <w:rPr>
                      <w:rFonts w:hint="eastAsia"/>
                      <w:color w:val="auto"/>
                      <w:vertAlign w:val="superscript"/>
                      <w:lang w:val="en-US" w:eastAsia="zh-CN"/>
                    </w:rPr>
                    <w:t>2</w:t>
                  </w:r>
                  <w:r>
                    <w:rPr>
                      <w:rFonts w:hint="eastAsia"/>
                      <w:color w:val="auto"/>
                      <w:lang w:val="en-US" w:eastAsia="zh-CN"/>
                    </w:rPr>
                    <w:t>，建筑高度3.60m。</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eastAsia"/>
                      <w:color w:val="auto"/>
                      <w:lang w:val="en-US" w:eastAsia="zh-CN"/>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变配电室</w:t>
                  </w:r>
                </w:p>
              </w:tc>
              <w:tc>
                <w:tcPr>
                  <w:tcW w:w="2739" w:type="pct"/>
                  <w:tcBorders>
                    <w:tl2br w:val="nil"/>
                    <w:tr2bl w:val="nil"/>
                  </w:tcBorders>
                  <w:vAlign w:val="center"/>
                </w:tcPr>
                <w:p>
                  <w:pPr>
                    <w:pStyle w:val="51"/>
                    <w:bidi w:val="0"/>
                    <w:rPr>
                      <w:rFonts w:hint="default"/>
                      <w:color w:val="auto"/>
                    </w:rPr>
                  </w:pPr>
                  <w:r>
                    <w:rPr>
                      <w:rFonts w:hint="eastAsia"/>
                      <w:color w:val="auto"/>
                      <w:lang w:val="en-US" w:eastAsia="zh-CN"/>
                    </w:rPr>
                    <w:t>钢结构，变配电室总建筑面积70m</w:t>
                  </w:r>
                  <w:r>
                    <w:rPr>
                      <w:rFonts w:hint="eastAsia"/>
                      <w:color w:val="auto"/>
                      <w:vertAlign w:val="superscript"/>
                      <w:lang w:val="en-US" w:eastAsia="zh-CN"/>
                    </w:rPr>
                    <w:t>2</w:t>
                  </w:r>
                  <w:r>
                    <w:rPr>
                      <w:rFonts w:hint="eastAsia"/>
                      <w:color w:val="auto"/>
                      <w:lang w:val="en-US" w:eastAsia="zh-CN"/>
                    </w:rPr>
                    <w:t>，建筑高度4.80m。</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eastAsia"/>
                      <w:color w:val="auto"/>
                      <w:lang w:val="en-US" w:eastAsia="zh-CN"/>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休息室</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位于主厂房东北角，尺寸</w:t>
                  </w:r>
                  <w:r>
                    <w:rPr>
                      <w:rFonts w:hint="default" w:ascii="Times New Roman" w:hAnsi="Times New Roman" w:cs="Times New Roman"/>
                      <w:color w:val="auto"/>
                      <w:lang w:val="en-US" w:eastAsia="zh-CN"/>
                    </w:rPr>
                    <w:t>3.7×6m</w:t>
                  </w:r>
                  <w:r>
                    <w:rPr>
                      <w:rFonts w:hint="eastAsia"/>
                      <w:color w:val="auto"/>
                      <w:lang w:val="en-US" w:eastAsia="zh-CN"/>
                    </w:rPr>
                    <w:t>，用于人员日常办公和休息。</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储运工程</w:t>
                  </w: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原料储存</w:t>
                  </w:r>
                </w:p>
              </w:tc>
              <w:tc>
                <w:tcPr>
                  <w:tcW w:w="2739" w:type="pct"/>
                  <w:tcBorders>
                    <w:tl2br w:val="nil"/>
                    <w:tr2bl w:val="nil"/>
                  </w:tcBorders>
                  <w:vAlign w:val="center"/>
                </w:tcPr>
                <w:p>
                  <w:pPr>
                    <w:pStyle w:val="51"/>
                    <w:bidi w:val="0"/>
                    <w:rPr>
                      <w:rFonts w:hint="default" w:eastAsia="宋体"/>
                      <w:color w:val="auto"/>
                      <w:lang w:val="en-US" w:eastAsia="zh-CN"/>
                    </w:rPr>
                  </w:pPr>
                  <w:r>
                    <w:rPr>
                      <w:rFonts w:hint="eastAsia"/>
                      <w:color w:val="auto"/>
                      <w:lang w:val="en-US" w:eastAsia="zh-CN"/>
                    </w:rPr>
                    <w:t>原料硫酸钾从国投罗钾15万吨散料库直接购买，距离本项目约150m，由翻斗车进行运输。辅料用汽车从购入方运至装置区暂存。</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eastAsia"/>
                      <w:color w:val="auto"/>
                      <w:lang w:val="en-US" w:eastAsia="zh-CN"/>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产品储存</w:t>
                  </w:r>
                </w:p>
              </w:tc>
              <w:tc>
                <w:tcPr>
                  <w:tcW w:w="2739" w:type="pct"/>
                  <w:tcBorders>
                    <w:tl2br w:val="nil"/>
                    <w:tr2bl w:val="nil"/>
                  </w:tcBorders>
                  <w:vAlign w:val="center"/>
                </w:tcPr>
                <w:p>
                  <w:pPr>
                    <w:pStyle w:val="51"/>
                    <w:bidi w:val="0"/>
                    <w:rPr>
                      <w:rFonts w:hint="default" w:eastAsia="宋体"/>
                      <w:color w:val="auto"/>
                      <w:lang w:val="en-US" w:eastAsia="zh-CN"/>
                    </w:rPr>
                  </w:pPr>
                  <w:r>
                    <w:rPr>
                      <w:rFonts w:hint="eastAsia"/>
                      <w:color w:val="auto"/>
                      <w:lang w:val="en-US" w:eastAsia="zh-CN"/>
                    </w:rPr>
                    <w:t>经打包后暂存于厂房外空地，即产即运。</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restart"/>
                  <w:tcBorders>
                    <w:tl2br w:val="nil"/>
                    <w:tr2bl w:val="nil"/>
                  </w:tcBorders>
                  <w:vAlign w:val="center"/>
                </w:tcPr>
                <w:p>
                  <w:pPr>
                    <w:pStyle w:val="51"/>
                    <w:bidi w:val="0"/>
                    <w:rPr>
                      <w:rFonts w:hint="eastAsia"/>
                      <w:color w:val="auto"/>
                      <w:lang w:val="en-US" w:eastAsia="zh-CN"/>
                    </w:rPr>
                  </w:pPr>
                  <w:r>
                    <w:rPr>
                      <w:rFonts w:hint="eastAsia"/>
                      <w:color w:val="auto"/>
                      <w:lang w:val="en-US" w:eastAsia="zh-CN"/>
                    </w:rPr>
                    <w:t>环保工程</w:t>
                  </w: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废气</w:t>
                  </w:r>
                </w:p>
              </w:tc>
              <w:tc>
                <w:tcPr>
                  <w:tcW w:w="2739" w:type="pct"/>
                  <w:tcBorders>
                    <w:tl2br w:val="nil"/>
                    <w:tr2bl w:val="nil"/>
                  </w:tcBorders>
                  <w:vAlign w:val="center"/>
                </w:tcPr>
                <w:p>
                  <w:pPr>
                    <w:pStyle w:val="51"/>
                    <w:bidi w:val="0"/>
                    <w:rPr>
                      <w:rFonts w:hint="default"/>
                      <w:color w:val="auto"/>
                    </w:rPr>
                  </w:pPr>
                  <w:r>
                    <w:rPr>
                      <w:rFonts w:hint="default"/>
                      <w:color w:val="auto"/>
                    </w:rPr>
                    <w:t>对各扬尘点设置集气罩控制</w:t>
                  </w:r>
                  <w:r>
                    <w:rPr>
                      <w:rFonts w:hint="eastAsia"/>
                      <w:color w:val="auto"/>
                      <w:lang w:eastAsia="zh-CN"/>
                    </w:rPr>
                    <w:t>（</w:t>
                  </w:r>
                  <w:r>
                    <w:rPr>
                      <w:rFonts w:hint="eastAsia"/>
                      <w:color w:val="auto"/>
                      <w:lang w:val="en-US" w:eastAsia="zh-CN"/>
                    </w:rPr>
                    <w:t>粉</w:t>
                  </w:r>
                  <w:r>
                    <w:rPr>
                      <w:rFonts w:hint="default"/>
                      <w:color w:val="auto"/>
                    </w:rPr>
                    <w:t>）尘外溢，采用袋高效脉冲袋式除尘器除尘，经20m排气筒高空排放。采用高效脉冲袋式除尘器，除尘效率达99.5%，排放</w:t>
                  </w:r>
                  <w:r>
                    <w:rPr>
                      <w:rFonts w:hint="eastAsia"/>
                      <w:color w:val="auto"/>
                      <w:lang w:val="en-US" w:eastAsia="zh-CN"/>
                    </w:rPr>
                    <w:t>限值</w:t>
                  </w:r>
                  <w:r>
                    <w:rPr>
                      <w:rFonts w:hint="default"/>
                      <w:color w:val="auto"/>
                    </w:rPr>
                    <w:t>均符合相关标准的规定。</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default"/>
                      <w:color w:val="auto"/>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废水</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本项目废水为生活污水，排入化粪池定期委托清运处理。</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pct"/>
                  <w:vMerge w:val="continue"/>
                  <w:tcBorders>
                    <w:tl2br w:val="nil"/>
                    <w:tr2bl w:val="nil"/>
                  </w:tcBorders>
                  <w:vAlign w:val="center"/>
                </w:tcPr>
                <w:p>
                  <w:pPr>
                    <w:pStyle w:val="51"/>
                    <w:bidi w:val="0"/>
                    <w:rPr>
                      <w:rFonts w:hint="default"/>
                      <w:color w:val="auto"/>
                    </w:rPr>
                  </w:pPr>
                </w:p>
              </w:tc>
              <w:tc>
                <w:tcPr>
                  <w:tcW w:w="943"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固体废物</w:t>
                  </w:r>
                </w:p>
              </w:tc>
              <w:tc>
                <w:tcPr>
                  <w:tcW w:w="2739" w:type="pct"/>
                  <w:tcBorders>
                    <w:tl2br w:val="nil"/>
                    <w:tr2bl w:val="nil"/>
                  </w:tcBorders>
                  <w:vAlign w:val="center"/>
                </w:tcPr>
                <w:p>
                  <w:pPr>
                    <w:pStyle w:val="51"/>
                    <w:bidi w:val="0"/>
                    <w:rPr>
                      <w:rFonts w:hint="eastAsia" w:eastAsia="宋体"/>
                      <w:color w:val="auto"/>
                      <w:lang w:val="en-US" w:eastAsia="zh-CN"/>
                    </w:rPr>
                  </w:pPr>
                  <w:r>
                    <w:rPr>
                      <w:rFonts w:hint="eastAsia"/>
                      <w:color w:val="auto"/>
                      <w:lang w:val="en-US" w:eastAsia="zh-CN"/>
                    </w:rPr>
                    <w:t>本项目固废主要为除尘设备回收的粉料和生活垃圾，除尘设备回收的粉料返回料仓继续使用，生活垃圾</w:t>
                  </w:r>
                  <w:r>
                    <w:rPr>
                      <w:rFonts w:hint="eastAsia"/>
                      <w:color w:val="auto"/>
                      <w:lang w:eastAsia="zh-CN"/>
                    </w:rPr>
                    <w:t>经收集后拉运至生活垃圾填埋场进行处理。</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pct"/>
                  <w:vMerge w:val="continue"/>
                  <w:tcBorders>
                    <w:tl2br w:val="nil"/>
                    <w:tr2bl w:val="nil"/>
                  </w:tcBorders>
                  <w:vAlign w:val="center"/>
                </w:tcPr>
                <w:p>
                  <w:pPr>
                    <w:pStyle w:val="51"/>
                    <w:bidi w:val="0"/>
                    <w:rPr>
                      <w:rFonts w:hint="default"/>
                      <w:color w:val="auto"/>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危险废物</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本项目危险废物为设备检修产生的废机油，依托国投罗钾现有危废暂存间储存，面积约378m</w:t>
                  </w:r>
                  <w:r>
                    <w:rPr>
                      <w:rFonts w:hint="eastAsia"/>
                      <w:color w:val="auto"/>
                      <w:vertAlign w:val="superscript"/>
                      <w:lang w:val="en-US" w:eastAsia="zh-CN"/>
                    </w:rPr>
                    <w:t>2</w:t>
                  </w:r>
                  <w:r>
                    <w:rPr>
                      <w:rFonts w:hint="eastAsia"/>
                      <w:color w:val="auto"/>
                      <w:lang w:val="en-US" w:eastAsia="zh-CN"/>
                    </w:rPr>
                    <w:t>，定期委托有资质的第三方进行运输和处置。</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restart"/>
                  <w:tcBorders>
                    <w:tl2br w:val="nil"/>
                    <w:tr2bl w:val="nil"/>
                  </w:tcBorders>
                  <w:vAlign w:val="center"/>
                </w:tcPr>
                <w:p>
                  <w:pPr>
                    <w:pStyle w:val="51"/>
                    <w:bidi w:val="0"/>
                    <w:rPr>
                      <w:rFonts w:hint="eastAsia"/>
                      <w:color w:val="auto"/>
                      <w:lang w:val="en-US" w:eastAsia="zh-CN"/>
                    </w:rPr>
                  </w:pPr>
                  <w:r>
                    <w:rPr>
                      <w:rFonts w:hint="eastAsia"/>
                      <w:color w:val="auto"/>
                      <w:lang w:val="en-US" w:eastAsia="zh-CN"/>
                    </w:rPr>
                    <w:t>公用工程</w:t>
                  </w:r>
                </w:p>
              </w:tc>
              <w:tc>
                <w:tcPr>
                  <w:tcW w:w="943"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供电</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自</w:t>
                  </w:r>
                  <w:r>
                    <w:rPr>
                      <w:rFonts w:hint="default"/>
                      <w:color w:val="auto"/>
                    </w:rPr>
                    <w:t>硫酸钾厂结晶离心配电室至机动车间配电室设置2路10kV电源，埋地敷设；机动车间配电室增加1台10kV高压开关柜。机动车间配电室至本项目10/0.4kV配电室设置1路10kV电源。</w:t>
                  </w:r>
                </w:p>
              </w:tc>
              <w:tc>
                <w:tcPr>
                  <w:tcW w:w="421" w:type="pct"/>
                  <w:tcBorders>
                    <w:tl2br w:val="nil"/>
                    <w:tr2bl w:val="nil"/>
                  </w:tcBorders>
                  <w:vAlign w:val="center"/>
                </w:tcPr>
                <w:p>
                  <w:pPr>
                    <w:pStyle w:val="51"/>
                    <w:bidi w:val="0"/>
                    <w:rPr>
                      <w:rFonts w:hint="default" w:eastAsia="宋体"/>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default"/>
                      <w:color w:val="auto"/>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供热</w:t>
                  </w:r>
                </w:p>
              </w:tc>
              <w:tc>
                <w:tcPr>
                  <w:tcW w:w="2739"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控制室</w:t>
                  </w:r>
                  <w:r>
                    <w:rPr>
                      <w:rFonts w:hint="default"/>
                      <w:color w:val="auto"/>
                    </w:rPr>
                    <w:t>采用空调取暖</w:t>
                  </w:r>
                  <w:r>
                    <w:rPr>
                      <w:rFonts w:hint="eastAsia"/>
                      <w:color w:val="auto"/>
                      <w:lang w:eastAsia="zh-CN"/>
                    </w:rPr>
                    <w:t>。</w:t>
                  </w:r>
                </w:p>
              </w:tc>
              <w:tc>
                <w:tcPr>
                  <w:tcW w:w="4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5" w:type="pct"/>
                  <w:vMerge w:val="continue"/>
                  <w:tcBorders>
                    <w:tl2br w:val="nil"/>
                    <w:tr2bl w:val="nil"/>
                  </w:tcBorders>
                  <w:vAlign w:val="center"/>
                </w:tcPr>
                <w:p>
                  <w:pPr>
                    <w:pStyle w:val="51"/>
                    <w:bidi w:val="0"/>
                    <w:rPr>
                      <w:rFonts w:hint="default"/>
                      <w:color w:val="auto"/>
                    </w:rPr>
                  </w:pPr>
                </w:p>
              </w:tc>
              <w:tc>
                <w:tcPr>
                  <w:tcW w:w="94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供水</w:t>
                  </w:r>
                </w:p>
              </w:tc>
              <w:tc>
                <w:tcPr>
                  <w:tcW w:w="273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本</w:t>
                  </w:r>
                  <w:r>
                    <w:rPr>
                      <w:rFonts w:hint="default"/>
                      <w:color w:val="auto"/>
                    </w:rPr>
                    <w:t>项目原水水源来自米西水库，由动力厂4000方水池加压后接入本项目界区外，水量、水压均满足本项目用水需求。</w:t>
                  </w:r>
                </w:p>
              </w:tc>
              <w:tc>
                <w:tcPr>
                  <w:tcW w:w="421" w:type="pct"/>
                  <w:tcBorders>
                    <w:tl2br w:val="nil"/>
                    <w:tr2bl w:val="nil"/>
                  </w:tcBorders>
                  <w:vAlign w:val="center"/>
                </w:tcPr>
                <w:p>
                  <w:pPr>
                    <w:pStyle w:val="51"/>
                    <w:bidi w:val="0"/>
                    <w:rPr>
                      <w:rFonts w:hint="eastAsia" w:eastAsia="宋体"/>
                      <w:color w:val="auto"/>
                      <w:lang w:val="en-US" w:eastAsia="zh-CN"/>
                    </w:rPr>
                  </w:pPr>
                  <w:r>
                    <w:rPr>
                      <w:rFonts w:hint="eastAsia"/>
                      <w:color w:val="auto"/>
                      <w:lang w:val="en-US" w:eastAsia="zh-CN"/>
                    </w:rPr>
                    <w:t>依托</w:t>
                  </w:r>
                </w:p>
              </w:tc>
            </w:tr>
          </w:tbl>
          <w:p>
            <w:pPr>
              <w:pStyle w:val="54"/>
              <w:bidi w:val="0"/>
              <w:rPr>
                <w:rFonts w:hint="default"/>
                <w:color w:val="auto"/>
                <w:lang w:val="en-US" w:eastAsia="zh-CN"/>
              </w:rPr>
            </w:pPr>
            <w:r>
              <w:rPr>
                <w:rFonts w:hint="default"/>
                <w:color w:val="auto"/>
                <w:lang w:val="en-US" w:eastAsia="zh-CN"/>
              </w:rPr>
              <w:t>5、</w:t>
            </w:r>
            <w:r>
              <w:rPr>
                <w:rFonts w:hint="eastAsia"/>
                <w:color w:val="auto"/>
                <w:lang w:val="en-US" w:eastAsia="zh-CN"/>
              </w:rPr>
              <w:t>项目投资构成：</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本项目</w:t>
            </w:r>
            <w:r>
              <w:rPr>
                <w:rFonts w:hint="default"/>
                <w:color w:val="auto"/>
                <w:lang w:val="en-US" w:eastAsia="zh-CN"/>
              </w:rPr>
              <w:t>总投资</w:t>
            </w:r>
            <w:r>
              <w:rPr>
                <w:rFonts w:hint="eastAsia"/>
                <w:color w:val="auto"/>
                <w:lang w:val="en-US" w:eastAsia="zh-CN"/>
              </w:rPr>
              <w:t>2500</w:t>
            </w:r>
            <w:r>
              <w:rPr>
                <w:rFonts w:hint="default"/>
                <w:color w:val="auto"/>
                <w:lang w:val="en-US" w:eastAsia="zh-CN"/>
              </w:rPr>
              <w:t>万元，环保投资</w:t>
            </w:r>
            <w:r>
              <w:rPr>
                <w:rFonts w:hint="eastAsia"/>
                <w:color w:val="auto"/>
                <w:lang w:val="en-US" w:eastAsia="zh-CN"/>
              </w:rPr>
              <w:t>33</w:t>
            </w:r>
            <w:r>
              <w:rPr>
                <w:rFonts w:hint="default"/>
                <w:color w:val="auto"/>
                <w:lang w:val="en-US" w:eastAsia="zh-CN"/>
              </w:rPr>
              <w:t>万元，占总投资</w:t>
            </w:r>
            <w:r>
              <w:rPr>
                <w:rFonts w:hint="eastAsia"/>
                <w:color w:val="auto"/>
                <w:lang w:val="en-US" w:eastAsia="zh-CN"/>
              </w:rPr>
              <w:t>1.32</w:t>
            </w:r>
            <w:r>
              <w:rPr>
                <w:rFonts w:hint="default"/>
                <w:color w:val="auto"/>
                <w:lang w:val="en-US" w:eastAsia="zh-CN"/>
              </w:rPr>
              <w:t>%，工程环境保护投资概算见表2-2。</w:t>
            </w:r>
          </w:p>
          <w:p>
            <w:pPr>
              <w:pStyle w:val="50"/>
              <w:bidi w:val="0"/>
              <w:rPr>
                <w:rFonts w:hint="default" w:ascii="Times New Roman" w:hAnsi="Times New Roman" w:eastAsia="宋体" w:cs="Times New Roman"/>
                <w:b w:val="0"/>
                <w:bCs/>
                <w:snapToGrid w:val="0"/>
                <w:color w:val="auto"/>
                <w:szCs w:val="21"/>
              </w:rPr>
            </w:pPr>
            <w:r>
              <w:rPr>
                <w:rFonts w:hint="default"/>
                <w:color w:val="auto"/>
              </w:rPr>
              <w:t>表</w:t>
            </w:r>
            <w:r>
              <w:rPr>
                <w:rFonts w:hint="eastAsia"/>
                <w:color w:val="auto"/>
                <w:lang w:val="en-US" w:eastAsia="zh-CN"/>
              </w:rPr>
              <w:t xml:space="preserve">2-2  </w:t>
            </w:r>
            <w:r>
              <w:rPr>
                <w:rFonts w:hint="default"/>
                <w:color w:val="auto"/>
              </w:rPr>
              <w:t>环保投资列表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60"/>
              <w:gridCol w:w="3052"/>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666"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工程名称</w:t>
                  </w:r>
                </w:p>
              </w:tc>
              <w:tc>
                <w:tcPr>
                  <w:tcW w:w="191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具体设施项目</w:t>
                  </w:r>
                </w:p>
              </w:tc>
              <w:tc>
                <w:tcPr>
                  <w:tcW w:w="1421"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投资金额（万元）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6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废气处理工程</w:t>
                  </w:r>
                </w:p>
              </w:tc>
              <w:tc>
                <w:tcPr>
                  <w:tcW w:w="191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对各扬尘点设置集气罩控制（粉）尘外溢，采用袋高效脉冲袋式除尘器除尘，经20m排气筒高空排放。</w:t>
                  </w:r>
                </w:p>
              </w:tc>
              <w:tc>
                <w:tcPr>
                  <w:tcW w:w="142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66"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废水处理工程</w:t>
                  </w:r>
                </w:p>
              </w:tc>
              <w:tc>
                <w:tcPr>
                  <w:tcW w:w="1912"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生活废水排入化粪池定期委托清运处理。</w:t>
                  </w:r>
                </w:p>
              </w:tc>
              <w:tc>
                <w:tcPr>
                  <w:tcW w:w="142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166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噪声治理工程</w:t>
                  </w:r>
                </w:p>
              </w:tc>
              <w:tc>
                <w:tcPr>
                  <w:tcW w:w="191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消声器、隔振减震设施</w:t>
                  </w:r>
                </w:p>
              </w:tc>
              <w:tc>
                <w:tcPr>
                  <w:tcW w:w="142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3578" w:type="pct"/>
                  <w:gridSpan w:val="2"/>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生产区防渗、标识牌等</w:t>
                  </w:r>
                </w:p>
              </w:tc>
              <w:tc>
                <w:tcPr>
                  <w:tcW w:w="142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3578" w:type="pct"/>
                  <w:gridSpan w:val="2"/>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合计</w:t>
                  </w:r>
                </w:p>
              </w:tc>
              <w:tc>
                <w:tcPr>
                  <w:tcW w:w="142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33</w:t>
                  </w:r>
                </w:p>
              </w:tc>
            </w:tr>
          </w:tbl>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6、项目建设工期：3个月。</w:t>
            </w:r>
          </w:p>
          <w:p>
            <w:pPr>
              <w:pStyle w:val="54"/>
              <w:bidi w:val="0"/>
              <w:rPr>
                <w:rFonts w:hint="default"/>
                <w:color w:val="auto"/>
                <w:lang w:val="en-US" w:eastAsia="zh-CN"/>
              </w:rPr>
            </w:pPr>
            <w:r>
              <w:rPr>
                <w:rFonts w:hint="eastAsia"/>
                <w:b/>
                <w:bCs/>
                <w:color w:val="auto"/>
                <w:lang w:val="en-US" w:eastAsia="zh-CN"/>
              </w:rPr>
              <w:t>三、主要生产设备</w:t>
            </w:r>
          </w:p>
          <w:p>
            <w:pPr>
              <w:pStyle w:val="54"/>
              <w:bidi w:val="0"/>
              <w:rPr>
                <w:rFonts w:hint="default" w:ascii="Times New Roman" w:hAnsi="Times New Roman" w:eastAsia="宋体" w:cs="Times New Roman"/>
                <w:color w:val="auto"/>
                <w:szCs w:val="24"/>
                <w:lang w:val="en-US" w:eastAsia="zh-CN"/>
              </w:rPr>
            </w:pPr>
            <w:r>
              <w:rPr>
                <w:rFonts w:hint="default"/>
                <w:color w:val="auto"/>
                <w:lang w:val="en-US" w:eastAsia="zh-CN"/>
              </w:rPr>
              <w:t>项目主要</w:t>
            </w:r>
            <w:r>
              <w:rPr>
                <w:rFonts w:hint="eastAsia"/>
                <w:color w:val="auto"/>
                <w:lang w:val="en-US" w:eastAsia="zh-CN"/>
              </w:rPr>
              <w:t>工艺</w:t>
            </w:r>
            <w:r>
              <w:rPr>
                <w:rFonts w:hint="default"/>
                <w:color w:val="auto"/>
                <w:lang w:val="en-US" w:eastAsia="zh-CN"/>
              </w:rPr>
              <w:t>设备明细详情见下表</w:t>
            </w:r>
            <w:r>
              <w:rPr>
                <w:rFonts w:hint="eastAsia"/>
                <w:color w:val="auto"/>
                <w:lang w:val="en-US" w:eastAsia="zh-CN"/>
              </w:rPr>
              <w:t>2-3</w:t>
            </w:r>
            <w:r>
              <w:rPr>
                <w:rFonts w:hint="default"/>
                <w:color w:val="auto"/>
                <w:lang w:val="en-US" w:eastAsia="zh-CN"/>
              </w:rPr>
              <w:t>。</w:t>
            </w:r>
          </w:p>
          <w:p>
            <w:pPr>
              <w:pStyle w:val="50"/>
              <w:bidi w:val="0"/>
              <w:rPr>
                <w:rFonts w:hint="default" w:ascii="Times New Roman" w:hAnsi="Times New Roman" w:eastAsia="宋体" w:cs="Times New Roman"/>
                <w:b/>
                <w:bCs/>
                <w:color w:val="auto"/>
                <w:szCs w:val="21"/>
                <w:lang w:val="en-US" w:eastAsia="zh-CN"/>
              </w:rPr>
            </w:pPr>
            <w:r>
              <w:rPr>
                <w:rFonts w:hint="default"/>
                <w:color w:val="auto"/>
                <w:lang w:val="en-US" w:eastAsia="zh-CN"/>
              </w:rPr>
              <w:t>表</w:t>
            </w:r>
            <w:r>
              <w:rPr>
                <w:rFonts w:hint="eastAsia"/>
                <w:color w:val="auto"/>
                <w:lang w:val="en-US" w:eastAsia="zh-CN"/>
              </w:rPr>
              <w:t>2-3</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设备一览表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1"/>
              <w:gridCol w:w="2435"/>
              <w:gridCol w:w="3927"/>
              <w:gridCol w:w="484"/>
              <w:gridCol w:w="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rPr>
                  </w:pPr>
                  <w:r>
                    <w:rPr>
                      <w:rFonts w:hint="default"/>
                      <w:color w:val="auto"/>
                      <w:lang w:val="en-US" w:eastAsia="zh-CN"/>
                    </w:rPr>
                    <w:t>序号</w:t>
                  </w:r>
                </w:p>
              </w:tc>
              <w:tc>
                <w:tcPr>
                  <w:tcW w:w="1528" w:type="pct"/>
                  <w:tcBorders>
                    <w:tl2br w:val="nil"/>
                    <w:tr2bl w:val="nil"/>
                  </w:tcBorders>
                  <w:shd w:val="clear" w:color="auto" w:fill="auto"/>
                  <w:vAlign w:val="center"/>
                </w:tcPr>
                <w:p>
                  <w:pPr>
                    <w:pStyle w:val="51"/>
                    <w:bidi w:val="0"/>
                    <w:rPr>
                      <w:rFonts w:hint="default"/>
                      <w:color w:val="auto"/>
                    </w:rPr>
                  </w:pPr>
                  <w:r>
                    <w:rPr>
                      <w:rFonts w:hint="default"/>
                      <w:color w:val="auto"/>
                      <w:lang w:val="en-US" w:eastAsia="zh-CN"/>
                    </w:rPr>
                    <w:t>设备名称</w:t>
                  </w:r>
                </w:p>
              </w:tc>
              <w:tc>
                <w:tcPr>
                  <w:tcW w:w="2463" w:type="pct"/>
                  <w:tcBorders>
                    <w:tl2br w:val="nil"/>
                    <w:tr2bl w:val="nil"/>
                  </w:tcBorders>
                  <w:shd w:val="clear" w:color="auto" w:fill="auto"/>
                  <w:vAlign w:val="center"/>
                </w:tcPr>
                <w:p>
                  <w:pPr>
                    <w:pStyle w:val="51"/>
                    <w:bidi w:val="0"/>
                    <w:rPr>
                      <w:rFonts w:hint="default"/>
                      <w:color w:val="auto"/>
                    </w:rPr>
                  </w:pPr>
                  <w:r>
                    <w:rPr>
                      <w:rFonts w:hint="default"/>
                      <w:color w:val="auto"/>
                      <w:lang w:val="en-US" w:eastAsia="zh-CN"/>
                    </w:rPr>
                    <w:t>型号/参数</w:t>
                  </w:r>
                </w:p>
              </w:tc>
              <w:tc>
                <w:tcPr>
                  <w:tcW w:w="305" w:type="pct"/>
                  <w:tcBorders>
                    <w:tl2br w:val="nil"/>
                    <w:tr2bl w:val="nil"/>
                  </w:tcBorders>
                  <w:shd w:val="clear" w:color="auto" w:fill="auto"/>
                  <w:vAlign w:val="center"/>
                </w:tcPr>
                <w:p>
                  <w:pPr>
                    <w:pStyle w:val="51"/>
                    <w:bidi w:val="0"/>
                    <w:rPr>
                      <w:rFonts w:hint="default"/>
                      <w:color w:val="auto"/>
                    </w:rPr>
                  </w:pPr>
                  <w:r>
                    <w:rPr>
                      <w:rFonts w:hint="default"/>
                      <w:color w:val="auto"/>
                      <w:lang w:val="en-US" w:eastAsia="zh-CN"/>
                    </w:rPr>
                    <w:t>数量</w:t>
                  </w:r>
                </w:p>
              </w:tc>
              <w:tc>
                <w:tcPr>
                  <w:tcW w:w="335" w:type="pct"/>
                  <w:tcBorders>
                    <w:tl2br w:val="nil"/>
                    <w:tr2bl w:val="nil"/>
                  </w:tcBorders>
                  <w:shd w:val="clear" w:color="auto" w:fill="auto"/>
                  <w:vAlign w:val="center"/>
                </w:tcPr>
                <w:p>
                  <w:pPr>
                    <w:pStyle w:val="51"/>
                    <w:bidi w:val="0"/>
                    <w:rPr>
                      <w:rFonts w:hint="default"/>
                      <w:color w:val="auto"/>
                    </w:rPr>
                  </w:pPr>
                  <w:r>
                    <w:rPr>
                      <w:rFonts w:hint="default"/>
                      <w:color w:val="auto"/>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1、原料输送工段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1-1</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投料斗</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1-2</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投料斗电动调节阀门</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1-3</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1#刮板机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碳钢，单台功率7.5kW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1-4</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1#斗提机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碳钢，63/28型，11M，单台功率15kW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1-5</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气动三通</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1-6</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储料仓</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1-7</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储料仓电动调节阀门</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5"/>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2、超微粉碎工段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2-1</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2#刮板机</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碳钢，单台功率18.5kW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2-2</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气动闸门</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2-3</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称重仓</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2-4</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气动闸门</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2-5</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称重缓冲仓</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2-6</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辅料称重仓</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2-7</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超微粉碎主机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304不锈钢，JYNU75-90型，主机动力90kW，分级动力7.5kW，喂料动力1.5kW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2-8</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旋风分离器</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304不锈钢，55型</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2-9</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关风机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304不锈钢，8L，单台功率1.5kW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2-10</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脉冲除尘器</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304不锈钢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2-11</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关风机</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304不锈钢，8L，单台功率1.5kW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vMerge w:val="restar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2-12</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高压风机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碳钢，9-12 7.4A，单台功率30kW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vMerge w:val="continue"/>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高压风机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碳钢，9-12 7.4A，单台功率37kW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3、成品包装工段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3#刮板机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3-2</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2#斗提机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3-3</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4#刮板机</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碳钢，单台功率15kW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3-4</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5#刮板机</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碳钢，单台功率7.5kW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3-5</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气动闸门</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3-6</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包装缓冲仓</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3-7</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双工位抽气全自动包装机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接触物料304不锈钢，其余碳钢，SW-ABF-400，单台功率35kW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卸料器</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304不锈钢，DN300，单台功率3kW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3-8</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自动折边缝包机</w:t>
                  </w:r>
                </w:p>
              </w:tc>
              <w:tc>
                <w:tcPr>
                  <w:tcW w:w="2463" w:type="pct"/>
                  <w:tcBorders>
                    <w:tl2br w:val="nil"/>
                    <w:tr2bl w:val="nil"/>
                  </w:tcBorders>
                  <w:shd w:val="clear" w:color="auto" w:fill="auto"/>
                  <w:vAlign w:val="center"/>
                </w:tcPr>
                <w:p>
                  <w:pPr>
                    <w:pStyle w:val="51"/>
                    <w:bidi w:val="0"/>
                    <w:rPr>
                      <w:rFonts w:hint="default"/>
                      <w:color w:val="auto"/>
                      <w:lang w:val="en-US" w:eastAsia="zh-CN"/>
                    </w:rPr>
                  </w:pP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3-9</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封口输送机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3-10</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倒袋输送机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碳钢，RH3000，单台功率0.75kW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3-11</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过渡输送机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碳钢，SW-GD-650，单台功率0.75kW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eastAsia"/>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爬坡输送机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碳钢，SW-PP-650，单台功率0.75kW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eastAsia"/>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拐弯输送机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碳钢，R=1420，单台功率1.1kW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eastAsia"/>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缓冲输送机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碳钢，SW-HC-650，单台功率0.75kW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3-12</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复检秤</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碳钢，C401A-60K，单台功率0.75kW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3-13</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剔除机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碳钢，TC-800，单台功率0.55kW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3-14</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振袋输送机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碳钢，ZD-2000，单台功率0.75kW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3-15</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整袋压平输送机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碳钢，RV-3000，单台功率1.85kW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3-16</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抓取轨道</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碳钢，CR3000，单台功率0.75kW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3-17</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码垛位</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碳钢，单台功率2.2kW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3-18</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码垛机械手本体</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碳钢，KR240，单台功率15kW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机械抓手</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304不锈钢，SW-ZS800</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机械手底座</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3-19</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垛盘输送机（成品）</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碳钢，MOTP-3000，单台功率2.2kW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3-20</w:t>
                  </w: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托盘库</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碳钢，TPC-1400</w:t>
                  </w:r>
                </w:p>
              </w:tc>
              <w:tc>
                <w:tcPr>
                  <w:tcW w:w="305" w:type="pct"/>
                  <w:tcBorders>
                    <w:tl2br w:val="nil"/>
                    <w:tr2bl w:val="nil"/>
                  </w:tcBorders>
                  <w:shd w:val="clear" w:color="auto" w:fill="auto"/>
                  <w:vAlign w:val="center"/>
                </w:tcPr>
                <w:p>
                  <w:pPr>
                    <w:pStyle w:val="51"/>
                    <w:bidi w:val="0"/>
                    <w:rPr>
                      <w:rFonts w:hint="eastAsia"/>
                      <w:color w:val="auto"/>
                      <w:lang w:val="en-US" w:eastAsia="zh-CN"/>
                    </w:rPr>
                  </w:pPr>
                </w:p>
              </w:tc>
              <w:tc>
                <w:tcPr>
                  <w:tcW w:w="335" w:type="pct"/>
                  <w:tcBorders>
                    <w:tl2br w:val="nil"/>
                    <w:tr2bl w:val="nil"/>
                  </w:tcBorders>
                  <w:shd w:val="clear" w:color="auto" w:fill="auto"/>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空托盘输送机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碳钢，MTP-6000，单台功率0.75kW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顶升输送机</w:t>
                  </w:r>
                </w:p>
              </w:tc>
              <w:tc>
                <w:tcPr>
                  <w:tcW w:w="2463"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碳钢，MTP-DS，单台功率1.1kW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8" w:type="pct"/>
                  <w:tcBorders>
                    <w:tl2br w:val="nil"/>
                    <w:tr2bl w:val="nil"/>
                  </w:tcBorders>
                  <w:shd w:val="clear" w:color="auto" w:fill="auto"/>
                  <w:vAlign w:val="center"/>
                </w:tcPr>
                <w:p>
                  <w:pPr>
                    <w:pStyle w:val="51"/>
                    <w:bidi w:val="0"/>
                    <w:rPr>
                      <w:rFonts w:hint="default"/>
                      <w:color w:val="auto"/>
                      <w:lang w:val="en-US" w:eastAsia="zh-CN"/>
                    </w:rPr>
                  </w:pPr>
                </w:p>
              </w:tc>
              <w:tc>
                <w:tcPr>
                  <w:tcW w:w="1528"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空托托辊输送机</w:t>
                  </w:r>
                </w:p>
              </w:tc>
              <w:tc>
                <w:tcPr>
                  <w:tcW w:w="2463"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碳钢，单台功率1.1kW</w:t>
                  </w:r>
                </w:p>
              </w:tc>
              <w:tc>
                <w:tcPr>
                  <w:tcW w:w="305" w:type="pct"/>
                  <w:tcBorders>
                    <w:tl2br w:val="nil"/>
                    <w:tr2bl w:val="nil"/>
                  </w:tcBorders>
                  <w:shd w:val="clear" w:color="auto" w:fill="auto"/>
                  <w:vAlign w:val="center"/>
                </w:tcPr>
                <w:p>
                  <w:pPr>
                    <w:pStyle w:val="51"/>
                    <w:bidi w:val="0"/>
                    <w:rPr>
                      <w:rFonts w:hint="eastAsia"/>
                      <w:color w:val="auto"/>
                      <w:lang w:val="en-US" w:eastAsia="zh-CN"/>
                    </w:rPr>
                  </w:pPr>
                  <w:r>
                    <w:rPr>
                      <w:rFonts w:hint="eastAsia"/>
                      <w:color w:val="auto"/>
                      <w:lang w:val="en-US" w:eastAsia="zh-CN"/>
                    </w:rPr>
                    <w:t>台</w:t>
                  </w:r>
                </w:p>
              </w:tc>
              <w:tc>
                <w:tcPr>
                  <w:tcW w:w="335" w:type="pct"/>
                  <w:tcBorders>
                    <w:tl2br w:val="nil"/>
                    <w:tr2bl w:val="nil"/>
                  </w:tcBorders>
                  <w:shd w:val="clear" w:color="auto" w:fill="auto"/>
                  <w:vAlign w:val="center"/>
                </w:tcPr>
                <w:p>
                  <w:pPr>
                    <w:pStyle w:val="51"/>
                    <w:bidi w:val="0"/>
                    <w:rPr>
                      <w:rFonts w:hint="default"/>
                      <w:color w:val="auto"/>
                      <w:lang w:val="en-US" w:eastAsia="zh-CN"/>
                    </w:rPr>
                  </w:pPr>
                  <w:r>
                    <w:rPr>
                      <w:rFonts w:hint="eastAsia"/>
                      <w:color w:val="auto"/>
                      <w:lang w:val="en-US" w:eastAsia="zh-CN"/>
                    </w:rPr>
                    <w:t>2</w:t>
                  </w:r>
                </w:p>
              </w:tc>
            </w:tr>
          </w:tbl>
          <w:p>
            <w:pPr>
              <w:pStyle w:val="54"/>
              <w:bidi w:val="0"/>
              <w:rPr>
                <w:rFonts w:hint="default" w:ascii="Times New Roman" w:hAnsi="Times New Roman" w:cs="Times New Roman"/>
                <w:bCs/>
                <w:color w:val="auto"/>
                <w:szCs w:val="24"/>
                <w:lang w:val="en-US" w:eastAsia="zh-CN"/>
              </w:rPr>
            </w:pPr>
            <w:r>
              <w:rPr>
                <w:rFonts w:hint="eastAsia"/>
                <w:b/>
                <w:bCs/>
                <w:color w:val="auto"/>
                <w:lang w:val="en-US" w:eastAsia="zh-CN"/>
              </w:rPr>
              <w:t>四、原辅材料</w:t>
            </w:r>
          </w:p>
          <w:p>
            <w:pPr>
              <w:pStyle w:val="54"/>
              <w:bidi w:val="0"/>
              <w:rPr>
                <w:rFonts w:hint="default"/>
                <w:color w:val="auto"/>
                <w:lang w:val="en-US" w:eastAsia="zh-CN"/>
              </w:rPr>
            </w:pPr>
            <w:r>
              <w:rPr>
                <w:rFonts w:hint="eastAsia"/>
                <w:color w:val="auto"/>
                <w:lang w:val="en-US" w:eastAsia="zh-CN"/>
              </w:rPr>
              <w:t>1、原辅材料消耗情况</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w:t>
            </w:r>
            <w:r>
              <w:rPr>
                <w:rFonts w:hint="default"/>
                <w:color w:val="auto"/>
                <w:lang w:val="en-US" w:eastAsia="zh-CN"/>
              </w:rPr>
              <w:t>项目原辅材料消耗情况见表</w:t>
            </w:r>
            <w:r>
              <w:rPr>
                <w:rFonts w:hint="eastAsia"/>
                <w:color w:val="auto"/>
                <w:lang w:val="en-US" w:eastAsia="zh-CN"/>
              </w:rPr>
              <w:t>2-4。</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2-4 </w:t>
            </w:r>
            <w:r>
              <w:rPr>
                <w:rFonts w:hint="default"/>
                <w:color w:val="auto"/>
                <w:lang w:val="en-US" w:eastAsia="zh-CN"/>
              </w:rPr>
              <w:t xml:space="preserve"> 主要原辅材料</w:t>
            </w:r>
            <w:r>
              <w:rPr>
                <w:rFonts w:hint="eastAsia"/>
                <w:color w:val="auto"/>
                <w:lang w:val="en-US" w:eastAsia="zh-CN"/>
              </w:rPr>
              <w:t>及能源消耗</w:t>
            </w:r>
            <w:r>
              <w:rPr>
                <w:rFonts w:hint="default"/>
                <w:color w:val="auto"/>
                <w:lang w:val="en-US" w:eastAsia="zh-CN"/>
              </w:rPr>
              <w:t>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14"/>
              <w:gridCol w:w="2301"/>
              <w:gridCol w:w="3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序号</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名称</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消耗量</w:t>
                  </w:r>
                </w:p>
              </w:tc>
              <w:tc>
                <w:tcPr>
                  <w:tcW w:w="219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硫酸钾</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150000t/a</w:t>
                  </w:r>
                </w:p>
              </w:tc>
              <w:tc>
                <w:tcPr>
                  <w:tcW w:w="2195"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国投罗钾硫酸钾厂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黄腐酸</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130t/a</w:t>
                  </w:r>
                </w:p>
              </w:tc>
              <w:tc>
                <w:tcPr>
                  <w:tcW w:w="219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聚谷氨酸</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40t/a</w:t>
                  </w:r>
                </w:p>
              </w:tc>
              <w:tc>
                <w:tcPr>
                  <w:tcW w:w="2195"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硼酸</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20t/a</w:t>
                  </w:r>
                </w:p>
              </w:tc>
              <w:tc>
                <w:tcPr>
                  <w:tcW w:w="219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包装袋</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601.5万袋/a</w:t>
                  </w:r>
                </w:p>
              </w:tc>
              <w:tc>
                <w:tcPr>
                  <w:tcW w:w="2195"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6</w:t>
                  </w:r>
                </w:p>
              </w:tc>
              <w:tc>
                <w:tcPr>
                  <w:tcW w:w="88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电</w:t>
                  </w:r>
                </w:p>
              </w:tc>
              <w:tc>
                <w:tcPr>
                  <w:tcW w:w="144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246.77万kW·h/a</w:t>
                  </w:r>
                </w:p>
              </w:tc>
              <w:tc>
                <w:tcPr>
                  <w:tcW w:w="219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r>
          </w:tbl>
          <w:p>
            <w:pPr>
              <w:pStyle w:val="54"/>
              <w:bidi w:val="0"/>
              <w:rPr>
                <w:rFonts w:hint="eastAsia"/>
                <w:color w:val="auto"/>
                <w:lang w:val="en-US" w:eastAsia="zh-CN"/>
              </w:rPr>
            </w:pPr>
            <w:r>
              <w:rPr>
                <w:rFonts w:hint="eastAsia"/>
                <w:color w:val="auto"/>
                <w:lang w:val="en-US" w:eastAsia="zh-CN"/>
              </w:rPr>
              <w:t>根据建设单位提供资料，本项目速溶肥生产原料为国投罗钾硫酸钾厂生产的硫酸钾粉料，硫酸钾粉料的生产是以罗北凹地矿区的液体钾盐矿为原料，经开采、盐田滩晒、采收后加工成粗钾和软钾，再经结晶反应生成硫酸钾，经离心，烘干，成为硫酸钾粉料。目前已建成的硫酸钾生产装置生产的产品质量符合国标GB/T 20406，同时符合企标QGTLJ 103.10-2025，其中K</w:t>
            </w:r>
            <w:r>
              <w:rPr>
                <w:rFonts w:hint="eastAsia"/>
                <w:color w:val="auto"/>
                <w:vertAlign w:val="subscript"/>
                <w:lang w:val="en-US" w:eastAsia="zh-CN"/>
              </w:rPr>
              <w:t>2</w:t>
            </w:r>
            <w:r>
              <w:rPr>
                <w:rFonts w:hint="eastAsia"/>
                <w:color w:val="auto"/>
                <w:lang w:val="en-US" w:eastAsia="zh-CN"/>
              </w:rPr>
              <w:t>O含量≥52%，超过国标要求；生产规模设计为120万吨/年，实际近五年产量为134万吨、163万吨、183万吨、177万吨、188万吨，年供应量稳定。</w:t>
            </w:r>
          </w:p>
          <w:p>
            <w:pPr>
              <w:pStyle w:val="54"/>
              <w:bidi w:val="0"/>
              <w:rPr>
                <w:rFonts w:hint="default"/>
                <w:color w:val="auto"/>
                <w:lang w:val="en-US" w:eastAsia="zh-CN"/>
              </w:rPr>
            </w:pPr>
            <w:r>
              <w:rPr>
                <w:rFonts w:hint="eastAsia"/>
                <w:color w:val="auto"/>
                <w:lang w:val="en-US" w:eastAsia="zh-CN"/>
              </w:rPr>
              <w:t>2、原辅材料技术规格</w:t>
            </w:r>
          </w:p>
          <w:p>
            <w:pPr>
              <w:pStyle w:val="54"/>
              <w:bidi w:val="0"/>
              <w:rPr>
                <w:rFonts w:hint="default"/>
                <w:color w:val="auto"/>
                <w:lang w:val="en-US" w:eastAsia="zh-CN"/>
              </w:rPr>
            </w:pPr>
            <w:r>
              <w:rPr>
                <w:rFonts w:hint="eastAsia"/>
                <w:color w:val="auto"/>
                <w:lang w:val="en-US" w:eastAsia="zh-CN"/>
              </w:rPr>
              <w:t>（1）硫酸钾</w:t>
            </w:r>
          </w:p>
          <w:p>
            <w:pPr>
              <w:pStyle w:val="54"/>
              <w:bidi w:val="0"/>
              <w:rPr>
                <w:rFonts w:hint="eastAsia"/>
                <w:color w:val="auto"/>
                <w:lang w:val="en-US" w:eastAsia="zh-CN"/>
              </w:rPr>
            </w:pPr>
            <w:r>
              <w:rPr>
                <w:rFonts w:hint="eastAsia"/>
                <w:color w:val="auto"/>
                <w:lang w:val="en-US" w:eastAsia="zh-CN"/>
              </w:rPr>
              <w:t>硫酸钾原料执行标准《农业用硫酸钾》（GB/T 20406-2017）；外观：粉末结晶或颗粒，无机械杂质；农业用硫酸钾产品应符合下表要求，同时应符合标明值。</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2-5</w:t>
            </w:r>
            <w:r>
              <w:rPr>
                <w:rFonts w:hint="default"/>
                <w:color w:val="auto"/>
                <w:lang w:val="en-US" w:eastAsia="zh-CN"/>
              </w:rPr>
              <w:t xml:space="preserve"> </w:t>
            </w:r>
            <w:r>
              <w:rPr>
                <w:rFonts w:hint="eastAsia"/>
                <w:color w:val="auto"/>
                <w:lang w:val="en-US" w:eastAsia="zh-CN"/>
              </w:rPr>
              <w:t xml:space="preserve"> 硫酸钾质量规格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982"/>
              <w:gridCol w:w="932"/>
              <w:gridCol w:w="947"/>
              <w:gridCol w:w="881"/>
              <w:gridCol w:w="920"/>
              <w:gridCol w:w="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项目</w:t>
                  </w:r>
                </w:p>
              </w:tc>
              <w:tc>
                <w:tcPr>
                  <w:tcW w:w="1792" w:type="pct"/>
                  <w:gridSpan w:val="3"/>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粉末结晶状</w:t>
                  </w:r>
                </w:p>
              </w:tc>
              <w:tc>
                <w:tcPr>
                  <w:tcW w:w="1739" w:type="pct"/>
                  <w:gridSpan w:val="3"/>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颗粒状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vMerge w:val="continue"/>
                  <w:tcBorders>
                    <w:tl2br w:val="nil"/>
                    <w:tr2bl w:val="nil"/>
                  </w:tcBorders>
                  <w:noWrap w:val="0"/>
                  <w:vAlign w:val="center"/>
                </w:tcPr>
                <w:p>
                  <w:pPr>
                    <w:pStyle w:val="51"/>
                    <w:bidi w:val="0"/>
                    <w:rPr>
                      <w:rFonts w:hint="default"/>
                      <w:color w:val="auto"/>
                      <w:lang w:val="en-US" w:eastAsia="zh-CN"/>
                    </w:rPr>
                  </w:pP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优等品</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一等品</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合格品</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优等品</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一等品</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合格品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氧化钾的质量分数</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w:t>
                  </w: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52.0</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50.0</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45.0</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52.0</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50.0</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 xml:space="preserve">硫的质量分数/% </w:t>
                  </w:r>
                  <w:r>
                    <w:rPr>
                      <w:rFonts w:hint="default" w:ascii="Times New Roman" w:hAnsi="Times New Roman" w:cs="Times New Roman"/>
                      <w:color w:val="auto"/>
                      <w:lang w:val="en-US" w:eastAsia="zh-CN"/>
                    </w:rPr>
                    <w:t>≥</w:t>
                  </w: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17.5</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16.0</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15.0</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17.5</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16.0</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 xml:space="preserve">氯离子的质量分数/% </w:t>
                  </w:r>
                  <w:r>
                    <w:rPr>
                      <w:rFonts w:hint="default" w:ascii="Times New Roman" w:hAnsi="Times New Roman" w:cs="Times New Roman"/>
                      <w:color w:val="auto"/>
                      <w:lang w:val="en-US" w:eastAsia="zh-CN"/>
                    </w:rPr>
                    <w:t>≥</w:t>
                  </w: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 xml:space="preserve">水分的质量分数/% </w:t>
                  </w:r>
                  <w:r>
                    <w:rPr>
                      <w:rFonts w:hint="default" w:ascii="Times New Roman" w:hAnsi="Times New Roman" w:cs="Times New Roman"/>
                      <w:color w:val="auto"/>
                      <w:lang w:val="en-US" w:eastAsia="zh-CN"/>
                    </w:rPr>
                    <w:t>≥</w:t>
                  </w: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3.0</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 xml:space="preserve">游离酸（以H2SO4计）的质量分数/% </w:t>
                  </w:r>
                  <w:r>
                    <w:rPr>
                      <w:rFonts w:hint="default" w:ascii="Times New Roman" w:hAnsi="Times New Roman" w:cs="Times New Roman"/>
                      <w:color w:val="auto"/>
                      <w:lang w:val="en-US" w:eastAsia="zh-CN"/>
                    </w:rPr>
                    <w:t>≥</w:t>
                  </w:r>
                </w:p>
              </w:tc>
              <w:tc>
                <w:tcPr>
                  <w:tcW w:w="3531" w:type="pct"/>
                  <w:gridSpan w:val="6"/>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 xml:space="preserve">粒度（粒径1.00mm~4.75mm或3.35mm~5.60mm）/% </w:t>
                  </w:r>
                  <w:r>
                    <w:rPr>
                      <w:rFonts w:hint="default" w:ascii="Times New Roman" w:hAnsi="Times New Roman" w:cs="Times New Roman"/>
                      <w:color w:val="auto"/>
                      <w:lang w:val="en-US" w:eastAsia="zh-CN"/>
                    </w:rPr>
                    <w:t>≥</w:t>
                  </w:r>
                </w:p>
              </w:tc>
              <w:tc>
                <w:tcPr>
                  <w:tcW w:w="61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c>
                <w:tcPr>
                  <w:tcW w:w="584"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c>
                <w:tcPr>
                  <w:tcW w:w="59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w:t>
                  </w:r>
                </w:p>
              </w:tc>
              <w:tc>
                <w:tcPr>
                  <w:tcW w:w="552"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90</w:t>
                  </w:r>
                </w:p>
              </w:tc>
              <w:tc>
                <w:tcPr>
                  <w:tcW w:w="576"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90</w:t>
                  </w:r>
                </w:p>
              </w:tc>
              <w:tc>
                <w:tcPr>
                  <w:tcW w:w="61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90</w:t>
                  </w:r>
                </w:p>
              </w:tc>
            </w:tr>
          </w:tbl>
          <w:p>
            <w:pPr>
              <w:pStyle w:val="50"/>
              <w:bidi w:val="0"/>
              <w:rPr>
                <w:rFonts w:hint="default"/>
                <w:color w:val="auto"/>
                <w:lang w:val="en-US" w:eastAsia="zh-CN"/>
              </w:rPr>
            </w:pPr>
            <w:r>
              <w:rPr>
                <w:rFonts w:hint="eastAsia"/>
                <w:color w:val="auto"/>
                <w:lang w:val="en-US" w:eastAsia="zh-CN"/>
              </w:rPr>
              <w:t>表2-6  硫酸钾理化性质一览表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中文名</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硫酸钾</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英文名</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potassium sulfate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CAS号</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7778-80-5</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分子量</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174.259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分子式</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K</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4</w:t>
                  </w:r>
                  <w:r>
                    <w:rPr>
                      <w:rFonts w:hint="eastAsia"/>
                      <w:color w:val="auto"/>
                      <w:lang w:val="en-US" w:eastAsia="zh-CN"/>
                    </w:rPr>
                    <w:t>S</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1689</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1689</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外观性状</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白色结晶粉末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1.应贮存在通风、干燥的库房中。</w:t>
                  </w:r>
                </w:p>
                <w:p>
                  <w:pPr>
                    <w:pStyle w:val="51"/>
                    <w:bidi w:val="0"/>
                    <w:jc w:val="left"/>
                    <w:rPr>
                      <w:rFonts w:hint="eastAsia"/>
                      <w:color w:val="auto"/>
                      <w:lang w:val="en-US" w:eastAsia="zh-CN"/>
                    </w:rPr>
                  </w:pPr>
                  <w:r>
                    <w:rPr>
                      <w:rFonts w:hint="eastAsia"/>
                      <w:color w:val="auto"/>
                      <w:lang w:val="en-US" w:eastAsia="zh-CN"/>
                    </w:rPr>
                    <w:t>2.包装密封、避免受潮，运输时防止雨淋溶化流失。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质重而坚硬。无气味。溶于水（25</w:t>
                  </w:r>
                  <w:r>
                    <w:rPr>
                      <w:rFonts w:hint="default" w:ascii="Times New Roman" w:hAnsi="Times New Roman" w:cs="Times New Roman"/>
                      <w:color w:val="auto"/>
                      <w:lang w:val="en-US" w:eastAsia="zh-CN"/>
                    </w:rPr>
                    <w:t>℃时12</w:t>
                  </w:r>
                  <w:r>
                    <w:rPr>
                      <w:rFonts w:hint="eastAsia"/>
                      <w:color w:val="auto"/>
                      <w:lang w:val="en-US" w:eastAsia="zh-CN"/>
                    </w:rPr>
                    <w:t>g/100ml水，10</w:t>
                  </w:r>
                  <w:r>
                    <w:rPr>
                      <w:rFonts w:hint="default" w:ascii="Times New Roman" w:hAnsi="Times New Roman" w:cs="Times New Roman"/>
                      <w:color w:val="auto"/>
                      <w:lang w:val="en-US" w:eastAsia="zh-CN"/>
                    </w:rPr>
                    <w:t>0℃时</w:t>
                  </w:r>
                  <w:r>
                    <w:rPr>
                      <w:rFonts w:hint="eastAsia"/>
                      <w:color w:val="auto"/>
                      <w:lang w:val="en-US" w:eastAsia="zh-CN"/>
                    </w:rPr>
                    <w:t>24.1g/100ml水），不溶于醇、丙酮和二硫化碳。具有苦咸味。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吸入：如果吸入,请将患者移到新鲜空气处。如果停止了呼吸，给于人工呼吸。</w:t>
                  </w:r>
                </w:p>
                <w:p>
                  <w:pPr>
                    <w:pStyle w:val="51"/>
                    <w:bidi w:val="0"/>
                    <w:jc w:val="left"/>
                    <w:rPr>
                      <w:rFonts w:hint="eastAsia"/>
                      <w:color w:val="auto"/>
                      <w:lang w:val="en-US" w:eastAsia="zh-CN"/>
                    </w:rPr>
                  </w:pPr>
                  <w:r>
                    <w:rPr>
                      <w:rFonts w:hint="eastAsia"/>
                      <w:color w:val="auto"/>
                      <w:lang w:val="en-US" w:eastAsia="zh-CN"/>
                    </w:rPr>
                    <w:t>皮肤接触：用肥皂和大量的水冲洗。</w:t>
                  </w:r>
                </w:p>
                <w:p>
                  <w:pPr>
                    <w:pStyle w:val="51"/>
                    <w:bidi w:val="0"/>
                    <w:jc w:val="left"/>
                    <w:rPr>
                      <w:rFonts w:hint="eastAsia"/>
                      <w:color w:val="auto"/>
                      <w:lang w:val="en-US" w:eastAsia="zh-CN"/>
                    </w:rPr>
                  </w:pPr>
                  <w:r>
                    <w:rPr>
                      <w:rFonts w:hint="eastAsia"/>
                      <w:color w:val="auto"/>
                      <w:lang w:val="en-US" w:eastAsia="zh-CN"/>
                    </w:rPr>
                    <w:t>眼睛接触：用水冲洗眼睛作为预防措施。</w:t>
                  </w:r>
                </w:p>
                <w:p>
                  <w:pPr>
                    <w:pStyle w:val="51"/>
                    <w:bidi w:val="0"/>
                    <w:jc w:val="left"/>
                    <w:rPr>
                      <w:rFonts w:hint="eastAsia"/>
                      <w:color w:val="auto"/>
                      <w:lang w:val="en-US" w:eastAsia="zh-CN"/>
                    </w:rPr>
                  </w:pPr>
                  <w:r>
                    <w:rPr>
                      <w:rFonts w:hint="eastAsia"/>
                      <w:color w:val="auto"/>
                      <w:lang w:val="en-US" w:eastAsia="zh-CN"/>
                    </w:rPr>
                    <w:t>食入：切勿给失去知觉者从嘴里喂食任何东西。用水漱口。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LD50：4000mg/Kg（大鼠经口）；4720mg/Kg（兔经皮）。LC50：9400mg/m</w:t>
                  </w:r>
                  <w:r>
                    <w:rPr>
                      <w:rFonts w:hint="eastAsia"/>
                      <w:color w:val="auto"/>
                      <w:vertAlign w:val="superscript"/>
                      <w:lang w:val="en-US" w:eastAsia="zh-CN"/>
                    </w:rPr>
                    <w:t>3</w:t>
                  </w:r>
                  <w:r>
                    <w:rPr>
                      <w:rFonts w:hint="eastAsia"/>
                      <w:color w:val="auto"/>
                      <w:lang w:val="en-US" w:eastAsia="zh-CN"/>
                    </w:rPr>
                    <w:t>，2小时（小鼠吸入）。</w:t>
                  </w:r>
                </w:p>
              </w:tc>
            </w:tr>
          </w:tbl>
          <w:p>
            <w:pPr>
              <w:pStyle w:val="54"/>
              <w:bidi w:val="0"/>
              <w:rPr>
                <w:rFonts w:hint="default"/>
                <w:color w:val="auto"/>
                <w:lang w:val="en-US" w:eastAsia="zh-CN"/>
              </w:rPr>
            </w:pPr>
            <w:r>
              <w:rPr>
                <w:rFonts w:hint="eastAsia"/>
                <w:color w:val="auto"/>
                <w:lang w:val="en-US" w:eastAsia="zh-CN"/>
              </w:rPr>
              <w:t>（2）聚谷氨酸</w:t>
            </w:r>
          </w:p>
          <w:p>
            <w:pPr>
              <w:pStyle w:val="54"/>
              <w:bidi w:val="0"/>
              <w:rPr>
                <w:rFonts w:hint="eastAsia"/>
                <w:color w:val="auto"/>
                <w:lang w:val="en-US" w:eastAsia="zh-CN"/>
              </w:rPr>
            </w:pPr>
            <w:r>
              <w:rPr>
                <w:rFonts w:hint="eastAsia"/>
                <w:color w:val="auto"/>
                <w:lang w:val="en-US" w:eastAsia="zh-CN"/>
              </w:rPr>
              <w:t>聚谷氨酸引用标准NY/T 3039-2016。</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2-7 </w:t>
            </w:r>
            <w:r>
              <w:rPr>
                <w:rFonts w:hint="default"/>
                <w:color w:val="auto"/>
                <w:lang w:val="en-US" w:eastAsia="zh-CN"/>
              </w:rPr>
              <w:t xml:space="preserve"> </w:t>
            </w:r>
            <w:r>
              <w:rPr>
                <w:rFonts w:hint="eastAsia"/>
                <w:color w:val="auto"/>
                <w:lang w:val="en-US" w:eastAsia="zh-CN"/>
              </w:rPr>
              <w:t>聚谷氨酸质量规格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40</w:t>
                  </w:r>
                </w:p>
              </w:tc>
              <w:tc>
                <w:tcPr>
                  <w:tcW w:w="1250" w:type="pct"/>
                  <w:tcBorders>
                    <w:tl2br w:val="nil"/>
                    <w:tr2bl w:val="nil"/>
                  </w:tcBorders>
                  <w:noWrap w:val="0"/>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NY/T 3039-2016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≤1.0%</w:t>
                  </w:r>
                </w:p>
              </w:tc>
              <w:tc>
                <w:tcPr>
                  <w:tcW w:w="1250" w:type="pct"/>
                  <w:tcBorders>
                    <w:tl2br w:val="nil"/>
                    <w:tr2bl w:val="nil"/>
                  </w:tcBorders>
                  <w:noWrap w:val="0"/>
                  <w:vAlign w:val="center"/>
                </w:tcPr>
                <w:p>
                  <w:pPr>
                    <w:pStyle w:val="51"/>
                    <w:bidi w:val="0"/>
                    <w:rPr>
                      <w:rFonts w:hint="eastAsia"/>
                      <w:color w:val="auto"/>
                      <w:lang w:val="en-US" w:eastAsia="zh-CN"/>
                    </w:rPr>
                  </w:pPr>
                </w:p>
              </w:tc>
            </w:tr>
          </w:tbl>
          <w:p>
            <w:pPr>
              <w:pStyle w:val="50"/>
              <w:bidi w:val="0"/>
              <w:rPr>
                <w:rFonts w:hint="default"/>
                <w:color w:val="auto"/>
                <w:lang w:val="en-US" w:eastAsia="zh-CN"/>
              </w:rPr>
            </w:pPr>
            <w:r>
              <w:rPr>
                <w:rFonts w:hint="eastAsia"/>
                <w:color w:val="auto"/>
                <w:lang w:val="en-US" w:eastAsia="zh-CN"/>
              </w:rPr>
              <w:t>表2-8  聚谷氨酸理化性质一览表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中文名</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英文名</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polyglutamic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CAS号</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84960-48-5</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分子量</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387.342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分子式</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C</w:t>
                  </w:r>
                  <w:r>
                    <w:rPr>
                      <w:rFonts w:hint="eastAsia"/>
                      <w:color w:val="auto"/>
                      <w:vertAlign w:val="subscript"/>
                      <w:lang w:val="en-US" w:eastAsia="zh-CN"/>
                    </w:rPr>
                    <w:t>15</w:t>
                  </w:r>
                  <w:r>
                    <w:rPr>
                      <w:rFonts w:hint="eastAsia"/>
                      <w:color w:val="auto"/>
                      <w:lang w:val="en-US" w:eastAsia="zh-CN"/>
                    </w:rPr>
                    <w:t>H</w:t>
                  </w:r>
                  <w:r>
                    <w:rPr>
                      <w:rFonts w:hint="eastAsia"/>
                      <w:color w:val="auto"/>
                      <w:vertAlign w:val="subscript"/>
                      <w:lang w:val="en-US" w:eastAsia="zh-CN"/>
                    </w:rPr>
                    <w:t>21</w:t>
                  </w:r>
                  <w:r>
                    <w:rPr>
                      <w:rFonts w:hint="eastAsia"/>
                      <w:color w:val="auto"/>
                      <w:lang w:val="en-US" w:eastAsia="zh-CN"/>
                    </w:rPr>
                    <w:t>N</w:t>
                  </w:r>
                  <w:r>
                    <w:rPr>
                      <w:rFonts w:hint="eastAsia"/>
                      <w:color w:val="auto"/>
                      <w:vertAlign w:val="subscript"/>
                      <w:lang w:val="en-US" w:eastAsia="zh-CN"/>
                    </w:rPr>
                    <w:t>3</w:t>
                  </w:r>
                  <w:r>
                    <w:rPr>
                      <w:rFonts w:hint="eastAsia"/>
                      <w:color w:val="auto"/>
                      <w:lang w:val="en-US" w:eastAsia="zh-CN"/>
                    </w:rPr>
                    <w:t>O</w:t>
                  </w:r>
                  <w:r>
                    <w:rPr>
                      <w:rFonts w:hint="eastAsia"/>
                      <w:color w:val="auto"/>
                      <w:vertAlign w:val="subscript"/>
                      <w:lang w:val="en-US" w:eastAsia="zh-CN"/>
                    </w:rPr>
                    <w:t>9</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1.409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333.8</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155.7</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外观性状</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白色粉末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tcPr>
                <w:p>
                  <w:pPr>
                    <w:pStyle w:val="51"/>
                    <w:bidi w:val="0"/>
                    <w:jc w:val="left"/>
                    <w:rPr>
                      <w:rFonts w:hint="eastAsia"/>
                      <w:color w:val="auto"/>
                      <w:lang w:val="en-US" w:eastAsia="zh-CN"/>
                    </w:rPr>
                  </w:pPr>
                  <w:r>
                    <w:rPr>
                      <w:rFonts w:hint="eastAsia"/>
                      <w:color w:val="auto"/>
                      <w:lang w:val="en-US" w:eastAsia="zh-CN"/>
                    </w:rPr>
                    <w:t>对人体和环境无毒可生物降解，生态友好型。</w:t>
                  </w:r>
                </w:p>
              </w:tc>
            </w:tr>
          </w:tbl>
          <w:p>
            <w:pPr>
              <w:pStyle w:val="54"/>
              <w:bidi w:val="0"/>
              <w:rPr>
                <w:rFonts w:hint="default"/>
                <w:color w:val="auto"/>
                <w:lang w:val="en-US" w:eastAsia="zh-CN"/>
              </w:rPr>
            </w:pPr>
            <w:r>
              <w:rPr>
                <w:rFonts w:hint="eastAsia"/>
                <w:color w:val="auto"/>
                <w:lang w:val="en-US" w:eastAsia="zh-CN"/>
              </w:rPr>
              <w:t>（3）硼酸</w:t>
            </w:r>
          </w:p>
          <w:p>
            <w:pPr>
              <w:pStyle w:val="54"/>
              <w:bidi w:val="0"/>
              <w:rPr>
                <w:rFonts w:hint="eastAsia"/>
                <w:color w:val="auto"/>
                <w:lang w:val="en-US" w:eastAsia="zh-CN"/>
              </w:rPr>
            </w:pPr>
            <w:r>
              <w:rPr>
                <w:rFonts w:hint="eastAsia"/>
                <w:color w:val="auto"/>
                <w:lang w:val="en-US" w:eastAsia="zh-CN"/>
              </w:rPr>
              <w:t>硼酸引用标准GB/T 538-2018。</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2-9 </w:t>
            </w:r>
            <w:r>
              <w:rPr>
                <w:rFonts w:hint="default"/>
                <w:color w:val="auto"/>
                <w:lang w:val="en-US" w:eastAsia="zh-CN"/>
              </w:rPr>
              <w:t xml:space="preserve"> </w:t>
            </w:r>
            <w:r>
              <w:rPr>
                <w:rFonts w:hint="eastAsia"/>
                <w:color w:val="auto"/>
                <w:lang w:val="en-US" w:eastAsia="zh-CN"/>
              </w:rPr>
              <w:t>硼酸质量规格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硼酸</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20</w:t>
                  </w:r>
                </w:p>
              </w:tc>
              <w:tc>
                <w:tcPr>
                  <w:tcW w:w="1250" w:type="pct"/>
                  <w:tcBorders>
                    <w:tl2br w:val="nil"/>
                    <w:tr2bl w:val="nil"/>
                  </w:tcBorders>
                  <w:noWrap w:val="0"/>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氧化硼</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56.1%</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GB/T 538-2018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0.01</w:t>
                  </w:r>
                  <w:r>
                    <w:rPr>
                      <w:rFonts w:hint="default" w:ascii="Times New Roman" w:hAnsi="Times New Roman" w:cs="Times New Roman"/>
                      <w:color w:val="auto"/>
                      <w:lang w:val="en-US" w:eastAsia="zh-CN"/>
                    </w:rPr>
                    <w:t>%</w:t>
                  </w:r>
                </w:p>
              </w:tc>
              <w:tc>
                <w:tcPr>
                  <w:tcW w:w="1250" w:type="pct"/>
                  <w:tcBorders>
                    <w:tl2br w:val="nil"/>
                    <w:tr2bl w:val="nil"/>
                  </w:tcBorders>
                  <w:noWrap w:val="0"/>
                  <w:vAlign w:val="center"/>
                </w:tcPr>
                <w:p>
                  <w:pPr>
                    <w:pStyle w:val="51"/>
                    <w:bidi w:val="0"/>
                    <w:rPr>
                      <w:rFonts w:hint="eastAsia"/>
                      <w:color w:val="auto"/>
                      <w:lang w:val="en-US" w:eastAsia="zh-CN"/>
                    </w:rPr>
                  </w:pPr>
                </w:p>
              </w:tc>
            </w:tr>
          </w:tbl>
          <w:p>
            <w:pPr>
              <w:pStyle w:val="50"/>
              <w:bidi w:val="0"/>
              <w:rPr>
                <w:rFonts w:hint="default"/>
                <w:color w:val="auto"/>
                <w:lang w:val="en-US" w:eastAsia="zh-CN"/>
              </w:rPr>
            </w:pPr>
            <w:r>
              <w:rPr>
                <w:rFonts w:hint="eastAsia"/>
                <w:color w:val="auto"/>
                <w:lang w:val="en-US" w:eastAsia="zh-CN"/>
              </w:rPr>
              <w:t>表2-10  硼酸理化性质一览表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中文名</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硼酸</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英文名</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Orthoboric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CAS号</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10043-35-3</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分子量</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61.833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分子式</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H</w:t>
                  </w:r>
                  <w:r>
                    <w:rPr>
                      <w:rFonts w:hint="eastAsia"/>
                      <w:color w:val="auto"/>
                      <w:vertAlign w:val="subscript"/>
                      <w:lang w:val="en-US" w:eastAsia="zh-CN"/>
                    </w:rPr>
                    <w:t>3</w:t>
                  </w:r>
                  <w:r>
                    <w:rPr>
                      <w:rFonts w:hint="eastAsia"/>
                      <w:color w:val="auto"/>
                      <w:lang w:val="en-US" w:eastAsia="zh-CN"/>
                    </w:rPr>
                    <w:t>BO</w:t>
                  </w:r>
                  <w:r>
                    <w:rPr>
                      <w:rFonts w:hint="eastAsia"/>
                      <w:color w:val="auto"/>
                      <w:vertAlign w:val="subscript"/>
                      <w:lang w:val="en-US" w:eastAsia="zh-CN"/>
                    </w:rPr>
                    <w:t>3</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219</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w:t>
                  </w:r>
                </w:p>
              </w:tc>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外观性状</w:t>
                  </w:r>
                </w:p>
              </w:tc>
              <w:tc>
                <w:tcPr>
                  <w:tcW w:w="1250" w:type="pct"/>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无色或白色无臭结晶固体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1.贮存于干燥、清洁、阴凉、通风的库房。远离火种、热源。应与碱类、钾分开存放，切忌混贮。</w:t>
                  </w:r>
                </w:p>
                <w:p>
                  <w:pPr>
                    <w:pStyle w:val="51"/>
                    <w:bidi w:val="0"/>
                    <w:jc w:val="left"/>
                    <w:rPr>
                      <w:rFonts w:hint="eastAsia"/>
                      <w:color w:val="auto"/>
                      <w:lang w:val="en-US" w:eastAsia="zh-CN"/>
                    </w:rPr>
                  </w:pPr>
                  <w:r>
                    <w:rPr>
                      <w:rFonts w:hint="eastAsia"/>
                      <w:color w:val="auto"/>
                      <w:lang w:val="en-US" w:eastAsia="zh-CN"/>
                    </w:rPr>
                    <w:t>2.不要与有毒物品共贮混运。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1.实际上是氧化硼的水合物，为白色粉末状结晶或三斜轴面的鳞片状带光泽结晶。有滑腻手感，无臭味。无气味。味微酸苦后带甜。与皮肤接触有滑腻感。露置空气中无变化。能随水蒸气挥发。加热至10</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w:t>
                  </w:r>
                  <w:r>
                    <w:rPr>
                      <w:rFonts w:hint="eastAsia"/>
                      <w:color w:val="auto"/>
                      <w:lang w:val="en-US" w:eastAsia="zh-CN"/>
                    </w:rPr>
                    <w:t>105</w:t>
                  </w:r>
                  <w:r>
                    <w:rPr>
                      <w:rFonts w:hint="default" w:ascii="Times New Roman" w:hAnsi="Times New Roman" w:cs="Times New Roman"/>
                      <w:color w:val="auto"/>
                      <w:lang w:val="en-US" w:eastAsia="zh-CN"/>
                    </w:rPr>
                    <w:t>℃</w:t>
                  </w:r>
                  <w:r>
                    <w:rPr>
                      <w:rFonts w:hint="eastAsia"/>
                      <w:color w:val="auto"/>
                      <w:lang w:val="en-US" w:eastAsia="zh-CN"/>
                    </w:rPr>
                    <w:t>时失去一分子水而形成偏硼酸，于104~160</w:t>
                  </w:r>
                  <w:r>
                    <w:rPr>
                      <w:rFonts w:hint="default" w:ascii="Times New Roman" w:hAnsi="Times New Roman" w:cs="Times New Roman"/>
                      <w:color w:val="auto"/>
                      <w:lang w:val="en-US" w:eastAsia="zh-CN"/>
                    </w:rPr>
                    <w:t>℃</w:t>
                  </w:r>
                  <w:r>
                    <w:rPr>
                      <w:rFonts w:hint="eastAsia"/>
                      <w:color w:val="auto"/>
                      <w:lang w:val="en-US" w:eastAsia="zh-CN"/>
                    </w:rPr>
                    <w:t>时长时间加热转变为焦硼酸，更高温度则形成无水物。0.1mol/L水溶液的pH为5.1。</w:t>
                  </w:r>
                </w:p>
                <w:p>
                  <w:pPr>
                    <w:pStyle w:val="51"/>
                    <w:bidi w:val="0"/>
                    <w:jc w:val="left"/>
                    <w:rPr>
                      <w:rFonts w:hint="eastAsia"/>
                      <w:color w:val="auto"/>
                      <w:lang w:val="en-US" w:eastAsia="zh-CN"/>
                    </w:rPr>
                  </w:pPr>
                  <w:r>
                    <w:rPr>
                      <w:rFonts w:hint="eastAsia"/>
                      <w:color w:val="auto"/>
                      <w:lang w:val="en-US" w:eastAsia="zh-CN"/>
                    </w:rPr>
                    <w:t>2.在水中的溶解度随温度升高而增大，并能随水蒸气挥发，在无机酸中的溶解度要比在水中的溶解度小。加热至70~100</w:t>
                  </w:r>
                  <w:r>
                    <w:rPr>
                      <w:rFonts w:hint="default" w:ascii="Times New Roman" w:hAnsi="Times New Roman" w:cs="Times New Roman"/>
                      <w:color w:val="auto"/>
                      <w:lang w:val="en-US" w:eastAsia="zh-CN"/>
                    </w:rPr>
                    <w:t>℃</w:t>
                  </w:r>
                  <w:r>
                    <w:rPr>
                      <w:rFonts w:hint="eastAsia"/>
                      <w:color w:val="auto"/>
                      <w:lang w:val="en-US" w:eastAsia="zh-CN"/>
                    </w:rPr>
                    <w:t>时逐渐脱水生成偏硼酸，150~160</w:t>
                  </w:r>
                  <w:r>
                    <w:rPr>
                      <w:rFonts w:hint="default" w:ascii="Times New Roman" w:hAnsi="Times New Roman" w:cs="Times New Roman"/>
                      <w:color w:val="auto"/>
                      <w:lang w:val="en-US" w:eastAsia="zh-CN"/>
                    </w:rPr>
                    <w:t>℃</w:t>
                  </w:r>
                  <w:r>
                    <w:rPr>
                      <w:rFonts w:hint="eastAsia"/>
                      <w:color w:val="auto"/>
                      <w:lang w:val="en-US" w:eastAsia="zh-CN"/>
                    </w:rPr>
                    <w:t>时生成焦硼酸，300</w:t>
                  </w:r>
                  <w:r>
                    <w:rPr>
                      <w:rFonts w:hint="default" w:ascii="Times New Roman" w:hAnsi="Times New Roman" w:cs="Times New Roman"/>
                      <w:color w:val="auto"/>
                      <w:lang w:val="en-US" w:eastAsia="zh-CN"/>
                    </w:rPr>
                    <w:t>℃</w:t>
                  </w:r>
                  <w:r>
                    <w:rPr>
                      <w:rFonts w:hint="eastAsia"/>
                      <w:color w:val="auto"/>
                      <w:lang w:val="en-US" w:eastAsia="zh-CN"/>
                    </w:rPr>
                    <w:t>时生成硼酸酐（B</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皮肤接触：脱去污染的衣着，用大量流动清水冲洗。就医。</w:t>
                  </w:r>
                </w:p>
                <w:p>
                  <w:pPr>
                    <w:pStyle w:val="51"/>
                    <w:bidi w:val="0"/>
                    <w:jc w:val="left"/>
                    <w:rPr>
                      <w:rFonts w:hint="eastAsia"/>
                      <w:color w:val="auto"/>
                      <w:lang w:val="en-US" w:eastAsia="zh-CN"/>
                    </w:rPr>
                  </w:pPr>
                  <w:r>
                    <w:rPr>
                      <w:rFonts w:hint="eastAsia"/>
                      <w:color w:val="auto"/>
                      <w:lang w:val="en-US" w:eastAsia="zh-CN"/>
                    </w:rPr>
                    <w:t>眼睛接触：提起眼睑，用流动清水或生理盐水冲洗。就医。</w:t>
                  </w:r>
                </w:p>
                <w:p>
                  <w:pPr>
                    <w:pStyle w:val="51"/>
                    <w:bidi w:val="0"/>
                    <w:jc w:val="left"/>
                    <w:rPr>
                      <w:rFonts w:hint="eastAsia"/>
                      <w:color w:val="auto"/>
                      <w:lang w:val="en-US" w:eastAsia="zh-CN"/>
                    </w:rPr>
                  </w:pPr>
                  <w:r>
                    <w:rPr>
                      <w:rFonts w:hint="eastAsia"/>
                      <w:color w:val="auto"/>
                      <w:lang w:val="en-US" w:eastAsia="zh-CN"/>
                    </w:rPr>
                    <w:t>吸入：脱离现场至空气新鲜处。如呼吸困难，给输氧。就医。</w:t>
                  </w:r>
                </w:p>
                <w:p>
                  <w:pPr>
                    <w:pStyle w:val="51"/>
                    <w:bidi w:val="0"/>
                    <w:jc w:val="left"/>
                    <w:rPr>
                      <w:rFonts w:hint="eastAsia"/>
                      <w:color w:val="auto"/>
                      <w:lang w:val="en-US" w:eastAsia="zh-CN"/>
                    </w:rPr>
                  </w:pPr>
                  <w:r>
                    <w:rPr>
                      <w:rFonts w:hint="eastAsia"/>
                      <w:color w:val="auto"/>
                      <w:lang w:val="en-US" w:eastAsia="zh-CN"/>
                    </w:rPr>
                    <w:t>食入：饮足量温水，催吐。洗胃，导泄。就医。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vAlign w:val="center"/>
                </w:tcPr>
                <w:p>
                  <w:pPr>
                    <w:pStyle w:val="51"/>
                    <w:bidi w:val="0"/>
                    <w:jc w:val="left"/>
                    <w:rPr>
                      <w:rFonts w:hint="eastAsia"/>
                      <w:color w:val="auto"/>
                      <w:lang w:val="en-US" w:eastAsia="zh-CN"/>
                    </w:rPr>
                  </w:pPr>
                  <w:r>
                    <w:rPr>
                      <w:rFonts w:hint="eastAsia"/>
                      <w:color w:val="auto"/>
                      <w:lang w:val="en-US" w:eastAsia="zh-CN"/>
                    </w:rPr>
                    <w:t>大鼠经口LD50：5.14g/kg。人经皮：15mg/3天，出现间歇染毒，中度刺激。硼酸可引起皮肤刺激、结膜炎、支气管炎。</w:t>
                  </w:r>
                </w:p>
              </w:tc>
            </w:tr>
          </w:tbl>
          <w:p>
            <w:pPr>
              <w:pStyle w:val="54"/>
              <w:bidi w:val="0"/>
              <w:rPr>
                <w:rFonts w:hint="eastAsia"/>
                <w:color w:val="auto"/>
                <w:lang w:val="en-US" w:eastAsia="zh-CN"/>
              </w:rPr>
            </w:pPr>
            <w:r>
              <w:rPr>
                <w:rFonts w:hint="eastAsia"/>
                <w:color w:val="auto"/>
                <w:lang w:val="en-US" w:eastAsia="zh-CN"/>
              </w:rPr>
              <w:t>（4）黄腐酸</w:t>
            </w:r>
          </w:p>
          <w:p>
            <w:pPr>
              <w:pStyle w:val="54"/>
              <w:bidi w:val="0"/>
              <w:rPr>
                <w:rFonts w:hint="default"/>
                <w:color w:val="auto"/>
                <w:lang w:val="en-US" w:eastAsia="zh-CN"/>
              </w:rPr>
            </w:pPr>
            <w:r>
              <w:rPr>
                <w:rFonts w:hint="eastAsia"/>
                <w:color w:val="auto"/>
                <w:lang w:val="en-US" w:eastAsia="zh-CN"/>
              </w:rPr>
              <w:t>黄腐酸引用标准HG/T 5334、NY/T 1971、GB/T 33804、NY/T 1973、HG/T 3278和GB/T 18877。</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2-11 </w:t>
            </w:r>
            <w:r>
              <w:rPr>
                <w:rFonts w:hint="default"/>
                <w:color w:val="auto"/>
                <w:lang w:val="en-US" w:eastAsia="zh-CN"/>
              </w:rPr>
              <w:t xml:space="preserve"> </w:t>
            </w:r>
            <w:r>
              <w:rPr>
                <w:rFonts w:hint="eastAsia"/>
                <w:color w:val="auto"/>
                <w:lang w:val="en-US" w:eastAsia="zh-CN"/>
              </w:rPr>
              <w:t>黄腐酸质量规格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黄腐酸钾</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130</w:t>
                  </w:r>
                </w:p>
              </w:tc>
              <w:tc>
                <w:tcPr>
                  <w:tcW w:w="1250" w:type="pct"/>
                  <w:tcBorders>
                    <w:tl2br w:val="nil"/>
                    <w:tr2bl w:val="nil"/>
                  </w:tcBorders>
                  <w:noWrap w:val="0"/>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黄腐酸</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HG/T 5334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腐植酸</w:t>
                  </w:r>
                </w:p>
              </w:tc>
              <w:tc>
                <w:tcPr>
                  <w:tcW w:w="1250" w:type="pct"/>
                  <w:tcBorders>
                    <w:tl2br w:val="nil"/>
                    <w:tr2bl w:val="nil"/>
                  </w:tcBorders>
                  <w:noWrap w:val="0"/>
                  <w:vAlign w:val="center"/>
                </w:tcPr>
                <w:p>
                  <w:pPr>
                    <w:pStyle w:val="51"/>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55</w:t>
                  </w:r>
                  <w:r>
                    <w:rPr>
                      <w:rFonts w:hint="default" w:ascii="Times New Roman" w:hAnsi="Times New Roman" w:cs="Times New Roman"/>
                      <w:color w:val="auto"/>
                      <w:lang w:val="en-US" w:eastAsia="zh-CN"/>
                    </w:rPr>
                    <w:t>%</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NY/T 1971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氯化钾</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12%</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GB/T 33804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0.2%</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NY/T 1973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水份</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HG/T 3278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有机质</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60%</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GB/T 18877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氯离子</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0.09%</w:t>
                  </w:r>
                </w:p>
              </w:tc>
              <w:tc>
                <w:tcPr>
                  <w:tcW w:w="125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电位滴定法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pH</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eastAsia" w:cs="Times New Roman"/>
                      <w:color w:val="auto"/>
                      <w:lang w:val="en-US" w:eastAsia="zh-CN"/>
                    </w:rPr>
                    <w:t>7~10</w:t>
                  </w:r>
                </w:p>
              </w:tc>
              <w:tc>
                <w:tcPr>
                  <w:tcW w:w="1250" w:type="pct"/>
                  <w:tcBorders>
                    <w:tl2br w:val="nil"/>
                    <w:tr2bl w:val="nil"/>
                  </w:tcBorders>
                  <w:noWrap w:val="0"/>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40目筛余物</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外观</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eastAsia" w:cs="Times New Roman"/>
                      <w:color w:val="auto"/>
                      <w:lang w:val="en-US" w:eastAsia="zh-CN"/>
                    </w:rPr>
                    <w:t>黑色微颗粒</w:t>
                  </w:r>
                </w:p>
              </w:tc>
              <w:tc>
                <w:tcPr>
                  <w:tcW w:w="1250" w:type="pct"/>
                  <w:tcBorders>
                    <w:tl2br w:val="nil"/>
                    <w:tr2bl w:val="nil"/>
                  </w:tcBorders>
                  <w:noWrap w:val="0"/>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51"/>
                    <w:bidi w:val="0"/>
                    <w:rPr>
                      <w:rFonts w:hint="default"/>
                      <w:color w:val="auto"/>
                      <w:lang w:val="en-US" w:eastAsia="zh-CN"/>
                    </w:rPr>
                  </w:pPr>
                </w:p>
              </w:tc>
              <w:tc>
                <w:tcPr>
                  <w:tcW w:w="1250"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抗硬水</w:t>
                  </w:r>
                </w:p>
              </w:tc>
              <w:tc>
                <w:tcPr>
                  <w:tcW w:w="1250" w:type="pct"/>
                  <w:tcBorders>
                    <w:tl2br w:val="nil"/>
                    <w:tr2bl w:val="nil"/>
                  </w:tcBorders>
                  <w:noWrap w:val="0"/>
                  <w:vAlign w:val="center"/>
                </w:tcPr>
                <w:p>
                  <w:pPr>
                    <w:pStyle w:val="51"/>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30DH°</w:t>
                  </w:r>
                </w:p>
              </w:tc>
              <w:tc>
                <w:tcPr>
                  <w:tcW w:w="1250" w:type="pct"/>
                  <w:tcBorders>
                    <w:tl2br w:val="nil"/>
                    <w:tr2bl w:val="nil"/>
                  </w:tcBorders>
                  <w:noWrap w:val="0"/>
                  <w:vAlign w:val="center"/>
                </w:tcPr>
                <w:p>
                  <w:pPr>
                    <w:pStyle w:val="51"/>
                    <w:bidi w:val="0"/>
                    <w:rPr>
                      <w:rFonts w:hint="eastAsia"/>
                      <w:color w:val="auto"/>
                      <w:lang w:val="en-US" w:eastAsia="zh-CN"/>
                    </w:rPr>
                  </w:pPr>
                </w:p>
              </w:tc>
            </w:tr>
          </w:tbl>
          <w:p>
            <w:pPr>
              <w:pStyle w:val="50"/>
              <w:bidi w:val="0"/>
              <w:rPr>
                <w:rFonts w:hint="default"/>
                <w:color w:val="auto"/>
                <w:lang w:val="en-US" w:eastAsia="zh-CN"/>
              </w:rPr>
            </w:pPr>
            <w:r>
              <w:rPr>
                <w:rFonts w:hint="eastAsia"/>
                <w:color w:val="auto"/>
                <w:lang w:val="en-US" w:eastAsia="zh-CN"/>
              </w:rPr>
              <w:t>表2-12  黄腐酸理化性质一览表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9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中文名</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黄腐酸</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英文名</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Fulvic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CAS号</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479-66-3</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分子量</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308.240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分子式</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C</w:t>
                  </w:r>
                  <w:r>
                    <w:rPr>
                      <w:rFonts w:hint="eastAsia"/>
                      <w:color w:val="auto"/>
                      <w:vertAlign w:val="subscript"/>
                      <w:lang w:val="en-US" w:eastAsia="zh-CN"/>
                    </w:rPr>
                    <w:t>14</w:t>
                  </w:r>
                  <w:r>
                    <w:rPr>
                      <w:rFonts w:hint="eastAsia"/>
                      <w:color w:val="auto"/>
                      <w:lang w:val="en-US" w:eastAsia="zh-CN"/>
                    </w:rPr>
                    <w:t>H</w:t>
                  </w:r>
                  <w:r>
                    <w:rPr>
                      <w:rFonts w:hint="eastAsia"/>
                      <w:color w:val="auto"/>
                      <w:vertAlign w:val="subscript"/>
                      <w:lang w:val="en-US" w:eastAsia="zh-CN"/>
                    </w:rPr>
                    <w:t>12</w:t>
                  </w:r>
                  <w:r>
                    <w:rPr>
                      <w:rFonts w:hint="eastAsia"/>
                      <w:color w:val="auto"/>
                      <w:lang w:val="en-US" w:eastAsia="zh-CN"/>
                    </w:rPr>
                    <w:t>O</w:t>
                  </w:r>
                  <w:r>
                    <w:rPr>
                      <w:rFonts w:hint="eastAsia"/>
                      <w:color w:val="auto"/>
                      <w:vertAlign w:val="subscript"/>
                      <w:lang w:val="en-US" w:eastAsia="zh-CN"/>
                    </w:rPr>
                    <w:t>8</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661</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247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255.1</w:t>
                  </w:r>
                </w:p>
              </w:tc>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外观性状</w:t>
                  </w:r>
                </w:p>
              </w:tc>
              <w:tc>
                <w:tcPr>
                  <w:tcW w:w="1250" w:type="pct"/>
                  <w:tcBorders>
                    <w:tl2br w:val="nil"/>
                    <w:tr2bl w:val="nil"/>
                  </w:tcBorders>
                </w:tcPr>
                <w:p>
                  <w:pPr>
                    <w:pStyle w:val="51"/>
                    <w:bidi w:val="0"/>
                    <w:rPr>
                      <w:rFonts w:hint="eastAsia"/>
                      <w:color w:val="auto"/>
                      <w:lang w:val="en-US" w:eastAsia="zh-CN"/>
                    </w:rPr>
                  </w:pPr>
                  <w:r>
                    <w:rPr>
                      <w:rFonts w:hint="eastAsia"/>
                      <w:color w:val="auto"/>
                      <w:lang w:val="en-US" w:eastAsia="zh-CN"/>
                    </w:rPr>
                    <w:t>黄色结晶固体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tcPr>
                <w:p>
                  <w:pPr>
                    <w:pStyle w:val="51"/>
                    <w:bidi w:val="0"/>
                    <w:jc w:val="left"/>
                    <w:rPr>
                      <w:rFonts w:hint="eastAsia"/>
                      <w:color w:val="auto"/>
                      <w:lang w:val="en-US" w:eastAsia="zh-CN"/>
                    </w:rPr>
                  </w:pPr>
                  <w:r>
                    <w:rPr>
                      <w:rFonts w:hint="eastAsia"/>
                      <w:color w:val="auto"/>
                      <w:lang w:val="en-US" w:eastAsia="zh-CN"/>
                    </w:rPr>
                    <w:t>室温，干燥，密封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tcPr>
                <w:p>
                  <w:pPr>
                    <w:pStyle w:val="51"/>
                    <w:bidi w:val="0"/>
                    <w:jc w:val="left"/>
                    <w:rPr>
                      <w:rFonts w:hint="eastAsia"/>
                      <w:color w:val="auto"/>
                      <w:lang w:val="en-US" w:eastAsia="zh-CN"/>
                    </w:rPr>
                  </w:pPr>
                  <w:r>
                    <w:rPr>
                      <w:rFonts w:hint="eastAsia"/>
                      <w:color w:val="auto"/>
                      <w:lang w:val="en-US" w:eastAsia="zh-CN"/>
                    </w:rPr>
                    <w:t>质重而坚硬。无气味。溶于水（25</w:t>
                  </w:r>
                  <w:r>
                    <w:rPr>
                      <w:rFonts w:hint="default" w:ascii="Times New Roman" w:hAnsi="Times New Roman" w:cs="Times New Roman"/>
                      <w:color w:val="auto"/>
                      <w:lang w:val="en-US" w:eastAsia="zh-CN"/>
                    </w:rPr>
                    <w:t>℃</w:t>
                  </w:r>
                  <w:r>
                    <w:rPr>
                      <w:rFonts w:hint="eastAsia"/>
                      <w:color w:val="auto"/>
                      <w:lang w:val="en-US" w:eastAsia="zh-CN"/>
                    </w:rPr>
                    <w:t>时12g/100ml水，100</w:t>
                  </w:r>
                  <w:r>
                    <w:rPr>
                      <w:rFonts w:hint="default" w:ascii="Times New Roman" w:hAnsi="Times New Roman" w:cs="Times New Roman"/>
                      <w:color w:val="auto"/>
                      <w:lang w:val="en-US" w:eastAsia="zh-CN"/>
                    </w:rPr>
                    <w:t>℃</w:t>
                  </w:r>
                  <w:r>
                    <w:rPr>
                      <w:rFonts w:hint="eastAsia"/>
                      <w:color w:val="auto"/>
                      <w:lang w:val="en-US" w:eastAsia="zh-CN"/>
                    </w:rPr>
                    <w:t>时24.1g/100ml水），不溶于醇、丙酮和二硫化碳。具有苦咸味。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tcPr>
                <w:p>
                  <w:pPr>
                    <w:pStyle w:val="51"/>
                    <w:bidi w:val="0"/>
                    <w:jc w:val="left"/>
                    <w:rPr>
                      <w:rFonts w:hint="eastAsia"/>
                      <w:color w:val="auto"/>
                      <w:lang w:val="en-US" w:eastAsia="zh-CN"/>
                    </w:rPr>
                  </w:pPr>
                  <w:r>
                    <w:rPr>
                      <w:rFonts w:hint="eastAsia"/>
                      <w:color w:val="auto"/>
                      <w:lang w:val="en-US" w:eastAsia="zh-CN"/>
                    </w:rPr>
                    <w:t>吸入：如果吸入，请将患者移到新鲜空气处。如果停止了呼吸，给于人工呼吸。</w:t>
                  </w:r>
                </w:p>
                <w:p>
                  <w:pPr>
                    <w:pStyle w:val="51"/>
                    <w:bidi w:val="0"/>
                    <w:jc w:val="left"/>
                    <w:rPr>
                      <w:rFonts w:hint="eastAsia"/>
                      <w:color w:val="auto"/>
                      <w:lang w:val="en-US" w:eastAsia="zh-CN"/>
                    </w:rPr>
                  </w:pPr>
                  <w:r>
                    <w:rPr>
                      <w:rFonts w:hint="eastAsia"/>
                      <w:color w:val="auto"/>
                      <w:lang w:val="en-US" w:eastAsia="zh-CN"/>
                    </w:rPr>
                    <w:t>皮肤接触：用肥皂和大量的水冲洗。</w:t>
                  </w:r>
                </w:p>
                <w:p>
                  <w:pPr>
                    <w:pStyle w:val="51"/>
                    <w:bidi w:val="0"/>
                    <w:jc w:val="left"/>
                    <w:rPr>
                      <w:rFonts w:hint="eastAsia"/>
                      <w:color w:val="auto"/>
                      <w:lang w:val="en-US" w:eastAsia="zh-CN"/>
                    </w:rPr>
                  </w:pPr>
                  <w:r>
                    <w:rPr>
                      <w:rFonts w:hint="eastAsia"/>
                      <w:color w:val="auto"/>
                      <w:lang w:val="en-US" w:eastAsia="zh-CN"/>
                    </w:rPr>
                    <w:t>眼睛接触：用水冲洗眼睛作为预防措施。</w:t>
                  </w:r>
                </w:p>
                <w:p>
                  <w:pPr>
                    <w:pStyle w:val="51"/>
                    <w:bidi w:val="0"/>
                    <w:jc w:val="left"/>
                    <w:rPr>
                      <w:rFonts w:hint="eastAsia"/>
                      <w:color w:val="auto"/>
                      <w:lang w:val="en-US" w:eastAsia="zh-CN"/>
                    </w:rPr>
                  </w:pPr>
                  <w:r>
                    <w:rPr>
                      <w:rFonts w:hint="eastAsia"/>
                      <w:color w:val="auto"/>
                      <w:lang w:val="en-US" w:eastAsia="zh-CN"/>
                    </w:rPr>
                    <w:t>食入：切勿给失去知觉者从嘴里喂食任何东西。用水漱口。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250" w:type="pct"/>
                  <w:tcBorders>
                    <w:tl2br w:val="nil"/>
                    <w:tr2bl w:val="nil"/>
                  </w:tcBorders>
                </w:tcPr>
                <w:p>
                  <w:pPr>
                    <w:pStyle w:val="51"/>
                    <w:bidi w:val="0"/>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tcPr>
                <w:p>
                  <w:pPr>
                    <w:pStyle w:val="51"/>
                    <w:bidi w:val="0"/>
                    <w:jc w:val="left"/>
                    <w:rPr>
                      <w:rFonts w:hint="eastAsia"/>
                      <w:color w:val="auto"/>
                      <w:lang w:val="en-US" w:eastAsia="zh-CN"/>
                    </w:rPr>
                  </w:pPr>
                  <w:r>
                    <w:rPr>
                      <w:rFonts w:hint="eastAsia"/>
                      <w:color w:val="auto"/>
                      <w:lang w:val="en-US" w:eastAsia="zh-CN"/>
                    </w:rPr>
                    <w:t>LD50：4000mg/kg（大鼠经口）；4720mg/kg（兔经皮）。LC50：9400mg/m</w:t>
                  </w:r>
                  <w:r>
                    <w:rPr>
                      <w:rFonts w:hint="eastAsia"/>
                      <w:color w:val="auto"/>
                      <w:vertAlign w:val="superscript"/>
                      <w:lang w:val="en-US" w:eastAsia="zh-CN"/>
                    </w:rPr>
                    <w:t>3</w:t>
                  </w:r>
                  <w:r>
                    <w:rPr>
                      <w:rFonts w:hint="eastAsia"/>
                      <w:color w:val="auto"/>
                      <w:lang w:val="en-US" w:eastAsia="zh-CN"/>
                    </w:rPr>
                    <w:t>，2小时（小鼠吸入）</w:t>
                  </w:r>
                </w:p>
              </w:tc>
            </w:tr>
          </w:tbl>
          <w:p>
            <w:pPr>
              <w:pStyle w:val="54"/>
              <w:bidi w:val="0"/>
              <w:rPr>
                <w:rFonts w:hint="default"/>
                <w:color w:val="auto"/>
                <w:lang w:val="en-US" w:eastAsia="zh-CN"/>
              </w:rPr>
            </w:pPr>
            <w:r>
              <w:rPr>
                <w:rFonts w:hint="eastAsia"/>
                <w:b/>
                <w:bCs/>
                <w:color w:val="auto"/>
                <w:lang w:val="en-US" w:eastAsia="zh-CN"/>
              </w:rPr>
              <w:t>五、产品方案</w:t>
            </w:r>
          </w:p>
          <w:p>
            <w:pPr>
              <w:pStyle w:val="54"/>
              <w:bidi w:val="0"/>
              <w:rPr>
                <w:rFonts w:hint="default"/>
                <w:color w:val="auto"/>
                <w:lang w:val="en-US" w:eastAsia="zh-CN"/>
              </w:rPr>
            </w:pPr>
            <w:r>
              <w:rPr>
                <w:rFonts w:hint="eastAsia"/>
                <w:color w:val="auto"/>
                <w:lang w:val="en-US" w:eastAsia="zh-CN"/>
              </w:rPr>
              <w:t>1、产品方案</w:t>
            </w:r>
          </w:p>
          <w:p>
            <w:pPr>
              <w:pStyle w:val="54"/>
              <w:bidi w:val="0"/>
              <w:rPr>
                <w:rFonts w:hint="default" w:cs="Times New Roman"/>
                <w:bCs/>
                <w:color w:val="auto"/>
                <w:szCs w:val="24"/>
                <w:lang w:val="en-US" w:eastAsia="zh-CN"/>
              </w:rPr>
            </w:pPr>
            <w:r>
              <w:rPr>
                <w:rFonts w:hint="eastAsia"/>
                <w:color w:val="auto"/>
                <w:lang w:val="en-US" w:eastAsia="zh-CN"/>
              </w:rPr>
              <w:t>本项目产品方案见表2-13。</w:t>
            </w:r>
          </w:p>
          <w:p>
            <w:pPr>
              <w:pStyle w:val="50"/>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2-13</w:t>
            </w:r>
            <w:r>
              <w:rPr>
                <w:rFonts w:hint="default"/>
                <w:color w:val="auto"/>
                <w:lang w:val="en-US" w:eastAsia="zh-CN"/>
              </w:rPr>
              <w:t xml:space="preserve"> </w:t>
            </w:r>
            <w:r>
              <w:rPr>
                <w:rFonts w:hint="eastAsia"/>
                <w:color w:val="auto"/>
                <w:lang w:val="en-US" w:eastAsia="zh-CN"/>
              </w:rPr>
              <w:t xml:space="preserve"> 产品方案</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2657"/>
              <w:gridCol w:w="2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序号</w:t>
                  </w:r>
                </w:p>
              </w:tc>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产品名称</w:t>
                  </w:r>
                </w:p>
              </w:tc>
              <w:tc>
                <w:tcPr>
                  <w:tcW w:w="166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产量（t/a）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w:t>
                  </w:r>
                </w:p>
              </w:tc>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速溶型硫酸钾</w:t>
                  </w:r>
                </w:p>
              </w:tc>
              <w:tc>
                <w:tcPr>
                  <w:tcW w:w="166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127500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w:t>
                  </w:r>
                </w:p>
              </w:tc>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黄腐酸型硫酸钾</w:t>
                  </w:r>
                </w:p>
              </w:tc>
              <w:tc>
                <w:tcPr>
                  <w:tcW w:w="166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14850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w:t>
                  </w:r>
                </w:p>
              </w:tc>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聚谷氨酸型硫酸钾</w:t>
                  </w:r>
                </w:p>
              </w:tc>
              <w:tc>
                <w:tcPr>
                  <w:tcW w:w="166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7650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合计</w:t>
                  </w:r>
                </w:p>
              </w:tc>
              <w:tc>
                <w:tcPr>
                  <w:tcW w:w="1665" w:type="pct"/>
                  <w:tcBorders>
                    <w:tl2br w:val="nil"/>
                    <w:tr2bl w:val="nil"/>
                  </w:tcBorders>
                  <w:noWrap w:val="0"/>
                  <w:vAlign w:val="center"/>
                </w:tcPr>
                <w:p>
                  <w:pPr>
                    <w:pStyle w:val="51"/>
                    <w:bidi w:val="0"/>
                    <w:rPr>
                      <w:rFonts w:hint="eastAsia"/>
                      <w:color w:val="auto"/>
                      <w:lang w:val="en-US" w:eastAsia="zh-CN"/>
                    </w:rPr>
                  </w:pPr>
                </w:p>
              </w:tc>
              <w:tc>
                <w:tcPr>
                  <w:tcW w:w="166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150000</w:t>
                  </w:r>
                </w:p>
              </w:tc>
            </w:tr>
          </w:tbl>
          <w:p>
            <w:pPr>
              <w:pStyle w:val="54"/>
              <w:bidi w:val="0"/>
              <w:rPr>
                <w:rFonts w:hint="eastAsia" w:cs="Times New Roman"/>
                <w:bCs/>
                <w:color w:val="auto"/>
                <w:szCs w:val="24"/>
                <w:lang w:val="en-US" w:eastAsia="zh-CN"/>
              </w:rPr>
            </w:pPr>
            <w:r>
              <w:rPr>
                <w:rFonts w:hint="eastAsia"/>
                <w:color w:val="auto"/>
                <w:lang w:val="en-US" w:eastAsia="zh-CN"/>
              </w:rPr>
              <w:t>2、产品规格</w:t>
            </w:r>
          </w:p>
          <w:p>
            <w:pPr>
              <w:pStyle w:val="54"/>
              <w:bidi w:val="0"/>
              <w:rPr>
                <w:rFonts w:hint="eastAsia"/>
                <w:color w:val="auto"/>
                <w:lang w:val="en-US" w:eastAsia="zh-CN"/>
              </w:rPr>
            </w:pPr>
            <w:r>
              <w:rPr>
                <w:rFonts w:hint="eastAsia"/>
                <w:color w:val="auto"/>
                <w:lang w:val="en-US" w:eastAsia="zh-CN"/>
              </w:rPr>
              <w:t>（1）速溶型硫酸钾</w:t>
            </w:r>
          </w:p>
          <w:p>
            <w:pPr>
              <w:pStyle w:val="54"/>
              <w:bidi w:val="0"/>
              <w:rPr>
                <w:rFonts w:hint="default"/>
                <w:color w:val="auto"/>
                <w:lang w:val="en-US" w:eastAsia="zh-CN"/>
              </w:rPr>
            </w:pPr>
            <w:r>
              <w:rPr>
                <w:rFonts w:hint="eastAsia"/>
                <w:color w:val="auto"/>
                <w:lang w:val="en-US" w:eastAsia="zh-CN"/>
              </w:rPr>
              <w:t>速溶型硫酸钾25kg/包，K</w:t>
            </w:r>
            <w:r>
              <w:rPr>
                <w:rFonts w:hint="eastAsia"/>
                <w:color w:val="auto"/>
                <w:vertAlign w:val="subscript"/>
                <w:lang w:val="en-US" w:eastAsia="zh-CN"/>
              </w:rPr>
              <w:t>2</w:t>
            </w:r>
            <w:r>
              <w:rPr>
                <w:rFonts w:hint="eastAsia"/>
                <w:color w:val="auto"/>
                <w:lang w:val="en-US" w:eastAsia="zh-CN"/>
              </w:rPr>
              <w:t>O≥52%，粒径：-100目~+300目。</w:t>
            </w:r>
          </w:p>
          <w:p>
            <w:pPr>
              <w:pStyle w:val="54"/>
              <w:bidi w:val="0"/>
              <w:rPr>
                <w:rFonts w:hint="eastAsia"/>
                <w:color w:val="auto"/>
                <w:lang w:val="en-US" w:eastAsia="zh-CN"/>
              </w:rPr>
            </w:pPr>
            <w:r>
              <w:rPr>
                <w:rFonts w:hint="eastAsia"/>
                <w:color w:val="auto"/>
                <w:lang w:val="en-US" w:eastAsia="zh-CN"/>
              </w:rPr>
              <w:t>（2）黄腐酸型硫酸钾</w:t>
            </w:r>
          </w:p>
          <w:p>
            <w:pPr>
              <w:pStyle w:val="54"/>
              <w:bidi w:val="0"/>
              <w:rPr>
                <w:rFonts w:hint="default" w:cs="Times New Roman"/>
                <w:bCs/>
                <w:color w:val="auto"/>
                <w:szCs w:val="24"/>
                <w:lang w:val="en-US" w:eastAsia="zh-CN"/>
              </w:rPr>
            </w:pPr>
            <w:r>
              <w:rPr>
                <w:rFonts w:hint="eastAsia"/>
                <w:color w:val="auto"/>
                <w:lang w:val="en-US" w:eastAsia="zh-CN"/>
              </w:rPr>
              <w:t>黄腐酸型硫酸钾引用标准QGTLJ 103.14-2025。</w:t>
            </w:r>
          </w:p>
          <w:p>
            <w:pPr>
              <w:pStyle w:val="50"/>
              <w:bidi w:val="0"/>
              <w:rPr>
                <w:rFonts w:hint="default" w:cs="Times New Roman"/>
                <w:bCs/>
                <w:color w:val="auto"/>
                <w:szCs w:val="24"/>
                <w:lang w:val="en-US" w:eastAsia="zh-CN"/>
              </w:rPr>
            </w:pPr>
            <w:r>
              <w:rPr>
                <w:rFonts w:hint="eastAsia"/>
                <w:color w:val="auto"/>
                <w:lang w:val="en-US" w:eastAsia="zh-CN"/>
              </w:rPr>
              <w:t>表2-14  黄腐酸型硫酸钾技术指标</w:t>
            </w:r>
          </w:p>
          <w:tbl>
            <w:tblPr>
              <w:tblStyle w:val="20"/>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3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trPr>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项目</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粉末结晶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cs="Times New Roman"/>
                      <w:color w:val="auto"/>
                      <w:lang w:val="en-US" w:eastAsia="zh-CN"/>
                    </w:rPr>
                    <w:t>水溶性氧化钾的质量分数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黄</w:t>
                  </w:r>
                  <w:r>
                    <w:rPr>
                      <w:rFonts w:hint="default" w:cs="Times New Roman"/>
                      <w:color w:val="auto"/>
                      <w:lang w:val="en-US" w:eastAsia="zh-CN"/>
                    </w:rPr>
                    <w:t>腐酸的质量分数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硫</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氯</w:t>
                  </w:r>
                  <w:r>
                    <w:rPr>
                      <w:rFonts w:hint="default" w:cs="Times New Roman"/>
                      <w:color w:val="auto"/>
                      <w:lang w:val="en-US" w:eastAsia="zh-CN"/>
                    </w:rPr>
                    <w:t>离子的质量分数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不溶物的质量分数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分的质量分数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游</w:t>
                  </w:r>
                  <w:r>
                    <w:rPr>
                      <w:rFonts w:hint="default" w:cs="Times New Roman"/>
                      <w:color w:val="auto"/>
                      <w:lang w:val="en-US" w:eastAsia="zh-CN"/>
                    </w:rPr>
                    <w:t>离酸（以H</w:t>
                  </w:r>
                  <w:r>
                    <w:rPr>
                      <w:rFonts w:hint="eastAsia" w:cs="Times New Roman"/>
                      <w:color w:val="auto"/>
                      <w:vertAlign w:val="subscript"/>
                      <w:lang w:val="en-US" w:eastAsia="zh-CN"/>
                    </w:rPr>
                    <w:t>2</w:t>
                  </w:r>
                  <w:r>
                    <w:rPr>
                      <w:rFonts w:hint="default" w:cs="Times New Roman"/>
                      <w:color w:val="auto"/>
                      <w:lang w:val="en-US" w:eastAsia="zh-CN"/>
                    </w:rPr>
                    <w:t>SO</w:t>
                  </w:r>
                  <w:r>
                    <w:rPr>
                      <w:rFonts w:hint="eastAsia" w:cs="Times New Roman"/>
                      <w:color w:val="auto"/>
                      <w:vertAlign w:val="subscript"/>
                      <w:lang w:val="en-US" w:eastAsia="zh-CN"/>
                    </w:rPr>
                    <w:t>4</w:t>
                  </w:r>
                  <w:r>
                    <w:rPr>
                      <w:rFonts w:hint="default" w:cs="Times New Roman"/>
                      <w:color w:val="auto"/>
                      <w:lang w:val="en-US" w:eastAsia="zh-CN"/>
                    </w:rPr>
                    <w:t>计）的质量分数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pH值</w:t>
                  </w:r>
                </w:p>
              </w:tc>
              <w:tc>
                <w:tcPr>
                  <w:tcW w:w="250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3.0~9.0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总砷/（mg/kg）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总镉/（mg/kg）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总铅/（mg/kg）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总铬/（mg/kg）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总汞/（mg/kg）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总镍/（mg/kg）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总铊/（mg/kg）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2.5</w:t>
                  </w:r>
                </w:p>
              </w:tc>
            </w:tr>
          </w:tbl>
          <w:p>
            <w:pPr>
              <w:pStyle w:val="54"/>
              <w:bidi w:val="0"/>
              <w:rPr>
                <w:rFonts w:hint="eastAsia"/>
                <w:color w:val="auto"/>
                <w:lang w:val="en-US" w:eastAsia="zh-CN"/>
              </w:rPr>
            </w:pPr>
            <w:r>
              <w:rPr>
                <w:rFonts w:hint="eastAsia"/>
                <w:color w:val="auto"/>
                <w:lang w:val="en-US" w:eastAsia="zh-CN"/>
              </w:rPr>
              <w:t>（3）聚谷氨酸型硫酸钾</w:t>
            </w:r>
          </w:p>
          <w:p>
            <w:pPr>
              <w:pStyle w:val="54"/>
              <w:bidi w:val="0"/>
              <w:rPr>
                <w:rFonts w:hint="default" w:cs="Times New Roman"/>
                <w:bCs/>
                <w:color w:val="auto"/>
                <w:szCs w:val="24"/>
                <w:lang w:val="en-US" w:eastAsia="zh-CN"/>
              </w:rPr>
            </w:pPr>
            <w:r>
              <w:rPr>
                <w:rFonts w:hint="eastAsia"/>
                <w:color w:val="auto"/>
                <w:lang w:val="en-US" w:eastAsia="zh-CN"/>
              </w:rPr>
              <w:t>聚谷氨酸型硫酸钾引用标准QGTLJ 103.20-2025。</w:t>
            </w:r>
          </w:p>
          <w:p>
            <w:pPr>
              <w:pStyle w:val="50"/>
              <w:bidi w:val="0"/>
              <w:rPr>
                <w:rFonts w:hint="default" w:cs="Times New Roman"/>
                <w:bCs/>
                <w:color w:val="auto"/>
                <w:szCs w:val="24"/>
                <w:lang w:val="en-US" w:eastAsia="zh-CN"/>
              </w:rPr>
            </w:pPr>
            <w:r>
              <w:rPr>
                <w:rFonts w:hint="eastAsia"/>
                <w:color w:val="auto"/>
                <w:lang w:val="en-US" w:eastAsia="zh-CN"/>
              </w:rPr>
              <w:t>表2-15  聚谷氨酸型硫酸钾技术指标</w:t>
            </w:r>
          </w:p>
          <w:tbl>
            <w:tblPr>
              <w:tblStyle w:val="20"/>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3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项目</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粉末结晶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cs="Times New Roman"/>
                      <w:color w:val="auto"/>
                      <w:lang w:val="en-US" w:eastAsia="zh-CN"/>
                    </w:rPr>
                    <w:t>水溶性氧化钾的质量分数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硫</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聚谷氨酸</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氯</w:t>
                  </w:r>
                  <w:r>
                    <w:rPr>
                      <w:rFonts w:hint="default" w:cs="Times New Roman"/>
                      <w:color w:val="auto"/>
                      <w:lang w:val="en-US" w:eastAsia="zh-CN"/>
                    </w:rPr>
                    <w:t>离子的质量分数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eastAsia" w:cs="Times New Roman"/>
                      <w:color w:val="auto"/>
                      <w:lang w:val="en-US" w:eastAsia="zh-CN"/>
                    </w:rPr>
                  </w:pPr>
                  <w:r>
                    <w:rPr>
                      <w:rFonts w:hint="eastAsia" w:cs="Times New Roman"/>
                      <w:color w:val="auto"/>
                      <w:lang w:val="en-US" w:eastAsia="zh-CN"/>
                    </w:rPr>
                    <w:t>硼</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不溶物的质量分数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分的质量分数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游</w:t>
                  </w:r>
                  <w:r>
                    <w:rPr>
                      <w:rFonts w:hint="default" w:cs="Times New Roman"/>
                      <w:color w:val="auto"/>
                      <w:lang w:val="en-US" w:eastAsia="zh-CN"/>
                    </w:rPr>
                    <w:t>离酸（以H</w:t>
                  </w:r>
                  <w:r>
                    <w:rPr>
                      <w:rFonts w:hint="eastAsia" w:cs="Times New Roman"/>
                      <w:color w:val="auto"/>
                      <w:vertAlign w:val="subscript"/>
                      <w:lang w:val="en-US" w:eastAsia="zh-CN"/>
                    </w:rPr>
                    <w:t>2</w:t>
                  </w:r>
                  <w:r>
                    <w:rPr>
                      <w:rFonts w:hint="default" w:cs="Times New Roman"/>
                      <w:color w:val="auto"/>
                      <w:lang w:val="en-US" w:eastAsia="zh-CN"/>
                    </w:rPr>
                    <w:t>SO</w:t>
                  </w:r>
                  <w:r>
                    <w:rPr>
                      <w:rFonts w:hint="eastAsia" w:cs="Times New Roman"/>
                      <w:color w:val="auto"/>
                      <w:vertAlign w:val="subscript"/>
                      <w:lang w:val="en-US" w:eastAsia="zh-CN"/>
                    </w:rPr>
                    <w:t>4</w:t>
                  </w:r>
                  <w:r>
                    <w:rPr>
                      <w:rFonts w:hint="default" w:cs="Times New Roman"/>
                      <w:color w:val="auto"/>
                      <w:lang w:val="en-US" w:eastAsia="zh-CN"/>
                    </w:rPr>
                    <w:t>计）的质量分数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pH值</w:t>
                  </w:r>
                </w:p>
              </w:tc>
              <w:tc>
                <w:tcPr>
                  <w:tcW w:w="2500"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6.0~9.0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总砷/（mg/kg）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总镉/（mg/kg）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总铅/（mg/kg）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总铬/（mg/kg）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总汞/（mg/kg）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总镍/（mg/kg）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51"/>
                    <w:bidi w:val="0"/>
                    <w:jc w:val="center"/>
                    <w:rPr>
                      <w:rFonts w:hint="default" w:cs="Times New Roman"/>
                      <w:color w:val="auto"/>
                      <w:lang w:val="en-US" w:eastAsia="zh-CN"/>
                    </w:rPr>
                  </w:pPr>
                  <w:r>
                    <w:rPr>
                      <w:rFonts w:hint="eastAsia" w:cs="Times New Roman"/>
                      <w:color w:val="auto"/>
                      <w:lang w:val="en-US" w:eastAsia="zh-CN"/>
                    </w:rPr>
                    <w:t>总铊/（mg/kg）</w:t>
                  </w:r>
                </w:p>
              </w:tc>
              <w:tc>
                <w:tcPr>
                  <w:tcW w:w="2500" w:type="pct"/>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2.5</w:t>
                  </w:r>
                </w:p>
              </w:tc>
            </w:tr>
          </w:tbl>
          <w:p>
            <w:pPr>
              <w:pStyle w:val="54"/>
              <w:bidi w:val="0"/>
              <w:rPr>
                <w:rFonts w:hint="default"/>
                <w:color w:val="auto"/>
                <w:lang w:val="en-US" w:eastAsia="zh-CN"/>
              </w:rPr>
            </w:pPr>
            <w:r>
              <w:rPr>
                <w:rFonts w:hint="eastAsia"/>
                <w:b/>
                <w:bCs/>
                <w:color w:val="auto"/>
                <w:lang w:val="en-US" w:eastAsia="zh-CN"/>
              </w:rPr>
              <w:t>六、建设项目劳动定员与工作制度</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本项目按岗位实际需要配置人员，估算本项目需劳动定员15人，其中直接生产人员12人，管理人员3人。年工作日280d，每天2班，每班12h，实行“四班两运转”工作制。</w:t>
            </w:r>
          </w:p>
          <w:p>
            <w:pPr>
              <w:pStyle w:val="54"/>
              <w:bidi w:val="0"/>
              <w:rPr>
                <w:rFonts w:hint="default"/>
                <w:color w:val="auto"/>
                <w:lang w:val="en-US" w:eastAsia="zh-CN"/>
              </w:rPr>
            </w:pPr>
            <w:r>
              <w:rPr>
                <w:rFonts w:hint="eastAsia"/>
                <w:b/>
                <w:bCs/>
                <w:color w:val="auto"/>
                <w:lang w:val="en-US" w:eastAsia="zh-CN"/>
              </w:rPr>
              <w:t>七、建设项目平面布置</w:t>
            </w:r>
          </w:p>
          <w:p>
            <w:pPr>
              <w:pStyle w:val="54"/>
              <w:bidi w:val="0"/>
              <w:rPr>
                <w:rFonts w:hint="default"/>
                <w:color w:val="auto"/>
                <w:lang w:val="en-US" w:eastAsia="zh-CN"/>
              </w:rPr>
            </w:pPr>
            <w:r>
              <w:rPr>
                <w:rFonts w:hint="eastAsia"/>
                <w:color w:val="auto"/>
                <w:lang w:val="en-US" w:eastAsia="zh-CN"/>
              </w:rPr>
              <w:t>1、本项目总平面布置原则</w:t>
            </w:r>
          </w:p>
          <w:p>
            <w:pPr>
              <w:pStyle w:val="54"/>
              <w:bidi w:val="0"/>
              <w:rPr>
                <w:rFonts w:hint="eastAsia"/>
                <w:color w:val="auto"/>
                <w:lang w:val="en-US" w:eastAsia="zh-CN"/>
              </w:rPr>
            </w:pPr>
            <w:r>
              <w:rPr>
                <w:rFonts w:hint="eastAsia"/>
                <w:color w:val="auto"/>
                <w:lang w:val="en-US" w:eastAsia="zh-CN"/>
              </w:rPr>
              <w:t>拟建场地地形平坦开阔，有足够的用地面积。根据工艺生产性质、规模、工厂组成、交通运输、环境保护以及防火、安全要求，结合自然条件，本工程的总平面布置方案符合下列原则：</w:t>
            </w:r>
          </w:p>
          <w:p>
            <w:pPr>
              <w:pStyle w:val="54"/>
              <w:bidi w:val="0"/>
              <w:rPr>
                <w:rFonts w:hint="eastAsia"/>
                <w:color w:val="auto"/>
                <w:lang w:val="en-US" w:eastAsia="zh-CN"/>
              </w:rPr>
            </w:pPr>
            <w:r>
              <w:rPr>
                <w:rFonts w:hint="eastAsia"/>
                <w:color w:val="auto"/>
                <w:lang w:val="en-US" w:eastAsia="zh-CN"/>
              </w:rPr>
              <w:t>（1）以生产装置为单位，按设备类型联合集中布置，对彼此在工艺生产上有密切联系的建、构筑物和辅助生产设施，布置在一个分区或相邻的分区内；</w:t>
            </w:r>
          </w:p>
          <w:p>
            <w:pPr>
              <w:pStyle w:val="54"/>
              <w:bidi w:val="0"/>
              <w:rPr>
                <w:rFonts w:hint="eastAsia"/>
                <w:color w:val="auto"/>
                <w:lang w:val="en-US" w:eastAsia="zh-CN"/>
              </w:rPr>
            </w:pPr>
            <w:r>
              <w:rPr>
                <w:rFonts w:hint="eastAsia"/>
                <w:color w:val="auto"/>
                <w:lang w:val="en-US" w:eastAsia="zh-CN"/>
              </w:rPr>
              <w:t>（2）合理组织工厂运输线路，减少人、货流交叉、使线路短捷，运输通畅；</w:t>
            </w:r>
          </w:p>
          <w:p>
            <w:pPr>
              <w:pStyle w:val="54"/>
              <w:bidi w:val="0"/>
              <w:rPr>
                <w:rFonts w:hint="eastAsia"/>
                <w:color w:val="auto"/>
                <w:lang w:val="en-US" w:eastAsia="zh-CN"/>
              </w:rPr>
            </w:pPr>
            <w:r>
              <w:rPr>
                <w:rFonts w:hint="eastAsia"/>
                <w:color w:val="auto"/>
                <w:lang w:val="en-US" w:eastAsia="zh-CN"/>
              </w:rPr>
              <w:t>（3）符合工艺流程，满足施工、操作及检修要求，紧凑布置，按功能分区，节约用地；</w:t>
            </w:r>
          </w:p>
          <w:p>
            <w:pPr>
              <w:pStyle w:val="54"/>
              <w:bidi w:val="0"/>
              <w:rPr>
                <w:rFonts w:hint="default"/>
                <w:color w:val="auto"/>
                <w:lang w:val="en-US" w:eastAsia="zh-CN"/>
              </w:rPr>
            </w:pPr>
            <w:r>
              <w:rPr>
                <w:rFonts w:hint="eastAsia"/>
                <w:color w:val="auto"/>
                <w:lang w:val="en-US" w:eastAsia="zh-CN"/>
              </w:rPr>
              <w:t>（4）厂前区与生产区用道路隔离，便于管理、加强厂区安全。</w:t>
            </w:r>
          </w:p>
          <w:p>
            <w:pPr>
              <w:pStyle w:val="54"/>
              <w:bidi w:val="0"/>
              <w:rPr>
                <w:rFonts w:hint="default"/>
                <w:color w:val="auto"/>
                <w:lang w:val="en-US" w:eastAsia="zh-CN"/>
              </w:rPr>
            </w:pPr>
            <w:r>
              <w:rPr>
                <w:rFonts w:hint="eastAsia"/>
                <w:color w:val="auto"/>
                <w:lang w:val="en-US" w:eastAsia="zh-CN"/>
              </w:rPr>
              <w:t>2、布置方案</w:t>
            </w:r>
          </w:p>
          <w:p>
            <w:pPr>
              <w:pStyle w:val="54"/>
              <w:bidi w:val="0"/>
              <w:rPr>
                <w:rFonts w:hint="eastAsia"/>
                <w:color w:val="auto"/>
                <w:lang w:val="en-US" w:eastAsia="zh-CN"/>
              </w:rPr>
            </w:pPr>
            <w:r>
              <w:rPr>
                <w:rFonts w:hint="eastAsia"/>
                <w:color w:val="auto"/>
                <w:lang w:val="en-US" w:eastAsia="zh-CN"/>
              </w:rPr>
              <w:t>本项目总平面布置明确功能分区，可分为生产区、辅助生产区。</w:t>
            </w:r>
          </w:p>
          <w:p>
            <w:pPr>
              <w:pStyle w:val="54"/>
              <w:bidi w:val="0"/>
              <w:rPr>
                <w:rFonts w:hint="eastAsia"/>
                <w:color w:val="auto"/>
                <w:lang w:val="en-US" w:eastAsia="zh-CN"/>
              </w:rPr>
            </w:pPr>
            <w:r>
              <w:rPr>
                <w:rFonts w:hint="eastAsia"/>
                <w:color w:val="auto"/>
                <w:lang w:val="en-US" w:eastAsia="zh-CN"/>
              </w:rPr>
              <w:t>生产区：生产厂房，厂房内北面为包装车间，东侧为机柜间，西南侧为粉碎机间。</w:t>
            </w:r>
          </w:p>
          <w:p>
            <w:pPr>
              <w:pStyle w:val="54"/>
              <w:bidi w:val="0"/>
              <w:rPr>
                <w:rFonts w:hint="eastAsia"/>
                <w:color w:val="auto"/>
                <w:lang w:val="en-US" w:eastAsia="zh-CN"/>
              </w:rPr>
            </w:pPr>
            <w:r>
              <w:rPr>
                <w:rFonts w:hint="eastAsia"/>
                <w:color w:val="auto"/>
                <w:lang w:val="en-US" w:eastAsia="zh-CN"/>
              </w:rPr>
              <w:t>辅助生产区：在厂房北侧设置一座变配电间，厂房南侧设置一间控制室，包装车间东侧设置休息间。</w:t>
            </w:r>
          </w:p>
          <w:p>
            <w:pPr>
              <w:pStyle w:val="54"/>
              <w:bidi w:val="0"/>
              <w:rPr>
                <w:rFonts w:hint="eastAsia"/>
                <w:color w:val="auto"/>
                <w:lang w:val="en-US" w:eastAsia="zh-CN"/>
              </w:rPr>
            </w:pPr>
            <w:r>
              <w:rPr>
                <w:rFonts w:hint="eastAsia"/>
                <w:color w:val="auto"/>
                <w:lang w:val="en-US" w:eastAsia="zh-CN"/>
              </w:rPr>
              <w:t>本项目主要产生噪声振动的设备包括：磨粉机、包装机、码垛机，公用工程设备为除尘器，以上设备均布置在单层厂房内。</w:t>
            </w:r>
          </w:p>
          <w:p>
            <w:pPr>
              <w:pStyle w:val="54"/>
              <w:bidi w:val="0"/>
              <w:rPr>
                <w:rFonts w:hint="default"/>
                <w:color w:val="auto"/>
                <w:lang w:val="en-US" w:eastAsia="zh-CN"/>
              </w:rPr>
            </w:pPr>
            <w:r>
              <w:rPr>
                <w:rFonts w:hint="eastAsia"/>
                <w:color w:val="auto"/>
                <w:lang w:val="en-US" w:eastAsia="zh-CN"/>
              </w:rPr>
              <w:t>3、竖向布置</w:t>
            </w:r>
          </w:p>
          <w:p>
            <w:pPr>
              <w:pStyle w:val="54"/>
              <w:bidi w:val="0"/>
              <w:rPr>
                <w:rFonts w:hint="default"/>
                <w:color w:val="auto"/>
                <w:lang w:val="en-US" w:eastAsia="zh-CN"/>
              </w:rPr>
            </w:pPr>
            <w:r>
              <w:rPr>
                <w:rFonts w:hint="eastAsia"/>
                <w:color w:val="auto"/>
                <w:lang w:val="en-US" w:eastAsia="zh-CN"/>
              </w:rPr>
              <w:t>根</w:t>
            </w:r>
            <w:r>
              <w:rPr>
                <w:rFonts w:hint="default"/>
                <w:color w:val="auto"/>
                <w:lang w:val="en-US" w:eastAsia="zh-CN"/>
              </w:rPr>
              <w:t>据地形图所示的地形特征，以及现状地形控制点标高，竖向设计中考虑尽量处理好本场地与周围道路场地的衔接关系，减少填挖方量。此场地采用平坡式布置，人流入口处的室内外高差为0.10</w:t>
            </w:r>
            <w:r>
              <w:rPr>
                <w:rFonts w:hint="eastAsia"/>
                <w:color w:val="auto"/>
                <w:lang w:val="en-US" w:eastAsia="zh-CN"/>
              </w:rPr>
              <w:t>~</w:t>
            </w:r>
            <w:r>
              <w:rPr>
                <w:rFonts w:hint="default"/>
                <w:color w:val="auto"/>
                <w:lang w:val="en-US" w:eastAsia="zh-CN"/>
              </w:rPr>
              <w:t>0.25米。</w:t>
            </w:r>
            <w:r>
              <w:rPr>
                <w:rFonts w:hint="eastAsia"/>
                <w:color w:val="auto"/>
                <w:lang w:val="en-US" w:eastAsia="zh-CN"/>
              </w:rPr>
              <w:t>场</w:t>
            </w:r>
            <w:r>
              <w:rPr>
                <w:rFonts w:hint="default"/>
                <w:color w:val="auto"/>
                <w:lang w:val="en-US" w:eastAsia="zh-CN"/>
              </w:rPr>
              <w:t>地内部道路最小纵坡为0.3%，横坡为1.0%，均采用双面坡，地面雨水由雨水口收集经雨水管系统有组织排入厂区雨水管最终排出厂外。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03"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tc>
        <w:tc>
          <w:tcPr>
            <w:tcW w:w="8161" w:type="dxa"/>
            <w:noWrap w:val="0"/>
            <w:vAlign w:val="top"/>
          </w:tcPr>
          <w:p>
            <w:pPr>
              <w:adjustRightInd w:val="0"/>
              <w:snapToGrid w:val="0"/>
              <w:spacing w:line="360" w:lineRule="auto"/>
              <w:ind w:firstLine="482" w:firstLineChars="200"/>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一、施工期工艺流程和产排污环节</w:t>
            </w:r>
          </w:p>
          <w:p>
            <w:pPr>
              <w:adjustRightInd w:val="0"/>
              <w:snapToGrid w:val="0"/>
              <w:spacing w:line="360" w:lineRule="auto"/>
              <w:ind w:firstLine="480" w:firstLineChars="200"/>
              <w:rPr>
                <w:color w:val="auto"/>
                <w:sz w:val="24"/>
              </w:rPr>
            </w:pPr>
            <w:r>
              <w:rPr>
                <w:rFonts w:hint="eastAsia"/>
                <w:color w:val="auto"/>
                <w:sz w:val="24"/>
              </w:rPr>
              <w:t>经现场勘查，</w:t>
            </w:r>
            <w:r>
              <w:rPr>
                <w:rFonts w:hint="eastAsia"/>
                <w:color w:val="auto"/>
                <w:sz w:val="24"/>
                <w:lang w:val="en-US" w:eastAsia="zh-CN"/>
              </w:rPr>
              <w:t>本项目已</w:t>
            </w:r>
            <w:r>
              <w:rPr>
                <w:rFonts w:hint="eastAsia" w:ascii="Times New Roman" w:hAnsi="Times New Roman" w:eastAsia="宋体" w:cs="Times New Roman"/>
                <w:bCs/>
                <w:color w:val="auto"/>
                <w:sz w:val="24"/>
                <w:szCs w:val="24"/>
                <w:lang w:val="en-US" w:eastAsia="zh-CN"/>
              </w:rPr>
              <w:t>租用国投新疆罗布泊钾盐有限责任公司现有闲置厂房，建有一套试验装置，</w:t>
            </w:r>
            <w:r>
              <w:rPr>
                <w:rFonts w:hint="eastAsia" w:cs="Times New Roman"/>
                <w:bCs/>
                <w:color w:val="auto"/>
                <w:sz w:val="24"/>
                <w:szCs w:val="24"/>
                <w:lang w:val="en-US" w:eastAsia="zh-CN"/>
              </w:rPr>
              <w:t>该试验装置</w:t>
            </w:r>
            <w:r>
              <w:rPr>
                <w:rFonts w:hint="eastAsia" w:ascii="Times New Roman" w:hAnsi="Times New Roman" w:eastAsia="宋体" w:cs="Times New Roman"/>
                <w:bCs/>
                <w:color w:val="auto"/>
                <w:sz w:val="24"/>
                <w:szCs w:val="24"/>
                <w:lang w:val="en-US" w:eastAsia="zh-CN"/>
              </w:rPr>
              <w:t>试验成功后已停产。</w:t>
            </w:r>
            <w:r>
              <w:rPr>
                <w:rFonts w:hint="eastAsia" w:cs="Times New Roman"/>
                <w:bCs/>
                <w:color w:val="auto"/>
                <w:sz w:val="24"/>
                <w:szCs w:val="24"/>
                <w:lang w:val="en-US" w:eastAsia="zh-CN"/>
              </w:rPr>
              <w:t>本次建设需对厂房进行扩建，在</w:t>
            </w:r>
            <w:r>
              <w:rPr>
                <w:color w:val="auto"/>
                <w:sz w:val="24"/>
              </w:rPr>
              <w:t>建设过程中挖掘、堆放、清运、回填和场地平整等过程会</w:t>
            </w:r>
            <w:r>
              <w:rPr>
                <w:rFonts w:hint="eastAsia"/>
                <w:color w:val="auto"/>
                <w:sz w:val="24"/>
                <w:lang w:val="en-US" w:eastAsia="zh-CN"/>
              </w:rPr>
              <w:t>对生态环境造成影响</w:t>
            </w:r>
            <w:r>
              <w:rPr>
                <w:color w:val="auto"/>
                <w:sz w:val="24"/>
              </w:rPr>
              <w:t>；建筑材料水泥、砂子以及土方等在其装卸、运输、堆放、车辆来往、施工垃圾及清运等过程均会产生扬尘污染、机械尾气；各种施工机械设备运行时会产生噪声。</w:t>
            </w:r>
          </w:p>
          <w:p>
            <w:pPr>
              <w:adjustRightInd w:val="0"/>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施工期主要是产生噪声、扬尘、固体废物（生活垃圾、建筑垃圾）等。</w:t>
            </w:r>
          </w:p>
          <w:p>
            <w:pPr>
              <w:adjustRightInd w:val="0"/>
              <w:snapToGrid w:val="0"/>
              <w:spacing w:line="240" w:lineRule="auto"/>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eastAsia="zh-CN"/>
              </w:rPr>
              <w:drawing>
                <wp:inline distT="0" distB="0" distL="114300" distR="114300">
                  <wp:extent cx="5032375" cy="1581785"/>
                  <wp:effectExtent l="19050" t="19050" r="34925" b="37465"/>
                  <wp:docPr id="2" name="ECB019B1-382A-4266-B25C-5B523AA43C14-1" descr="C:/Users/Administrator/AppData/Local/Temp/wps.HhNWY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HhNWYlwps"/>
                          <pic:cNvPicPr>
                            <a:picLocks noChangeAspect="1"/>
                          </pic:cNvPicPr>
                        </pic:nvPicPr>
                        <pic:blipFill>
                          <a:blip r:embed="rId8"/>
                          <a:stretch>
                            <a:fillRect/>
                          </a:stretch>
                        </pic:blipFill>
                        <pic:spPr>
                          <a:xfrm>
                            <a:off x="0" y="0"/>
                            <a:ext cx="5032375" cy="1581785"/>
                          </a:xfrm>
                          <a:prstGeom prst="rect">
                            <a:avLst/>
                          </a:prstGeom>
                          <a:noFill/>
                          <a:ln w="19050" cap="flat" cmpd="sng">
                            <a:solidFill>
                              <a:srgbClr val="000000"/>
                            </a:solidFill>
                            <a:prstDash val="solid"/>
                            <a:miter/>
                            <a:headEnd type="none" w="med" len="med"/>
                            <a:tailEnd type="none" w="med" len="med"/>
                          </a:ln>
                        </pic:spPr>
                      </pic:pic>
                    </a:graphicData>
                  </a:graphic>
                </wp:inline>
              </w:drawing>
            </w:r>
          </w:p>
          <w:p>
            <w:pPr>
              <w:pStyle w:val="52"/>
              <w:bidi w:val="0"/>
              <w:rPr>
                <w:rFonts w:hint="default" w:ascii="Times New Roman" w:hAnsi="Times New Roman" w:eastAsia="宋体" w:cs="Times New Roman"/>
                <w:bCs/>
                <w:color w:val="auto"/>
                <w:szCs w:val="24"/>
                <w:lang w:val="en-US" w:eastAsia="zh-CN"/>
              </w:rPr>
            </w:pPr>
            <w:r>
              <w:rPr>
                <w:rFonts w:hint="eastAsia"/>
                <w:color w:val="auto"/>
                <w:lang w:val="en-US" w:eastAsia="zh-CN"/>
              </w:rPr>
              <w:t>图2-1  施工期工艺流程及产污环节</w:t>
            </w:r>
          </w:p>
          <w:p>
            <w:pPr>
              <w:pStyle w:val="54"/>
              <w:bidi w:val="0"/>
              <w:rPr>
                <w:rFonts w:hint="default"/>
                <w:color w:val="auto"/>
                <w:lang w:val="en-US"/>
              </w:rPr>
            </w:pPr>
            <w:r>
              <w:rPr>
                <w:rFonts w:hint="eastAsia"/>
                <w:b/>
                <w:bCs/>
                <w:color w:val="auto"/>
                <w:lang w:val="en-US" w:eastAsia="zh-CN"/>
              </w:rPr>
              <w:t>二、运营期工艺流程和产排污环节</w:t>
            </w:r>
          </w:p>
          <w:p>
            <w:pPr>
              <w:pStyle w:val="54"/>
              <w:bidi w:val="0"/>
              <w:rPr>
                <w:rFonts w:hint="default"/>
                <w:color w:val="auto"/>
                <w:lang w:val="en-US"/>
              </w:rPr>
            </w:pPr>
            <w:r>
              <w:rPr>
                <w:rFonts w:hint="default"/>
                <w:color w:val="auto"/>
                <w:lang w:val="en-US"/>
              </w:rPr>
              <w:t>本工艺装置不涉及化学反应。各装置均采用自动化程度较高的PLC控制系统，并根据工艺操作要求，工艺设备流程特点。采取控制室集中监测控制。硫酸钾原料通过投料斗，由刮板输送机输送至斗式提升机进入</w:t>
            </w:r>
            <w:r>
              <w:rPr>
                <w:rFonts w:hint="eastAsia"/>
                <w:color w:val="auto"/>
                <w:lang w:val="en-US" w:eastAsia="zh-CN"/>
              </w:rPr>
              <w:t>密闭</w:t>
            </w:r>
            <w:r>
              <w:rPr>
                <w:rFonts w:hint="default"/>
                <w:color w:val="auto"/>
                <w:lang w:val="en-US"/>
              </w:rPr>
              <w:t>储料仓，物料通过</w:t>
            </w:r>
            <w:r>
              <w:rPr>
                <w:rFonts w:hint="eastAsia"/>
                <w:color w:val="auto"/>
                <w:lang w:val="en-US" w:eastAsia="zh-CN"/>
              </w:rPr>
              <w:t>密闭</w:t>
            </w:r>
            <w:r>
              <w:rPr>
                <w:rFonts w:hint="default"/>
                <w:color w:val="auto"/>
                <w:lang w:val="en-US"/>
              </w:rPr>
              <w:t>储料仓由刮板输送机分配至各个粉碎料仓，由各磨粉机进行粉碎。辅料原料（如黄腐酸钾）由定量给料装置送入各磨粉机进行混料粉碎，粉碎后的物料通过斗式提升机和刮板输送机落入包装机，由包装机定量包装、缝包后进入输送线，输送至码垛机进行码垛。</w:t>
            </w:r>
          </w:p>
          <w:p>
            <w:pPr>
              <w:pStyle w:val="54"/>
              <w:bidi w:val="0"/>
              <w:rPr>
                <w:rFonts w:hint="default" w:ascii="Times New Roman" w:hAnsi="Times New Roman" w:eastAsia="宋体" w:cs="Times New Roman"/>
                <w:bCs/>
                <w:color w:val="auto"/>
                <w:szCs w:val="24"/>
              </w:rPr>
            </w:pPr>
            <w:r>
              <w:rPr>
                <w:rFonts w:hint="eastAsia"/>
                <w:color w:val="auto"/>
                <w:lang w:val="en-US" w:eastAsia="zh-CN"/>
              </w:rPr>
              <w:t>本项目总工艺流程及产排污环节</w:t>
            </w:r>
            <w:r>
              <w:rPr>
                <w:rFonts w:hint="default"/>
                <w:color w:val="auto"/>
              </w:rPr>
              <w:t>见图</w:t>
            </w:r>
            <w:r>
              <w:rPr>
                <w:rFonts w:hint="eastAsia"/>
                <w:color w:val="auto"/>
                <w:lang w:val="en-US" w:eastAsia="zh-CN"/>
              </w:rPr>
              <w:t>2-2</w:t>
            </w:r>
            <w:r>
              <w:rPr>
                <w:rFonts w:hint="default"/>
                <w:color w:val="auto"/>
              </w:rPr>
              <w:t>。</w:t>
            </w:r>
          </w:p>
          <w:p>
            <w:pPr>
              <w:adjustRightInd w:val="0"/>
              <w:snapToGrid w:val="0"/>
              <w:spacing w:line="240" w:lineRule="auto"/>
              <w:jc w:val="center"/>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drawing>
                <wp:inline distT="0" distB="0" distL="114300" distR="114300">
                  <wp:extent cx="4947285" cy="1485900"/>
                  <wp:effectExtent l="19050" t="19050" r="24765" b="19050"/>
                  <wp:docPr id="1" name="ECB019B1-382A-4266-B25C-5B523AA43C14-2" descr="C:/Users/Administrator/AppData/Local/Temp/wps.gqnhp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dministrator/AppData/Local/Temp/wps.gqnhpxwps"/>
                          <pic:cNvPicPr>
                            <a:picLocks noChangeAspect="1"/>
                          </pic:cNvPicPr>
                        </pic:nvPicPr>
                        <pic:blipFill>
                          <a:blip r:embed="rId9"/>
                          <a:stretch>
                            <a:fillRect/>
                          </a:stretch>
                        </pic:blipFill>
                        <pic:spPr>
                          <a:xfrm>
                            <a:off x="0" y="0"/>
                            <a:ext cx="4947285" cy="1485900"/>
                          </a:xfrm>
                          <a:prstGeom prst="rect">
                            <a:avLst/>
                          </a:prstGeom>
                          <a:ln w="19050">
                            <a:solidFill>
                              <a:schemeClr val="tx1"/>
                            </a:solidFill>
                          </a:ln>
                        </pic:spPr>
                      </pic:pic>
                    </a:graphicData>
                  </a:graphic>
                </wp:inline>
              </w:drawing>
            </w:r>
          </w:p>
          <w:p>
            <w:pPr>
              <w:pStyle w:val="52"/>
              <w:bidi w:val="0"/>
              <w:rPr>
                <w:rFonts w:hint="default" w:ascii="Times New Roman" w:hAnsi="Times New Roman" w:eastAsia="宋体" w:cs="Times New Roman"/>
                <w:bCs/>
                <w:color w:val="auto"/>
                <w:szCs w:val="24"/>
                <w:lang w:val="en-US"/>
              </w:rPr>
            </w:pPr>
            <w:r>
              <w:rPr>
                <w:rFonts w:hint="eastAsia"/>
                <w:color w:val="auto"/>
                <w:lang w:val="en-US" w:eastAsia="zh-CN"/>
              </w:rPr>
              <w:t>图2-2 总工艺流程及产排污环节图</w:t>
            </w:r>
          </w:p>
          <w:p>
            <w:pPr>
              <w:pStyle w:val="54"/>
              <w:bidi w:val="0"/>
              <w:rPr>
                <w:rFonts w:hint="default"/>
                <w:color w:val="auto"/>
                <w:lang w:val="en-US" w:eastAsia="zh-CN"/>
              </w:rPr>
            </w:pPr>
            <w:r>
              <w:rPr>
                <w:rFonts w:hint="eastAsia"/>
                <w:color w:val="auto"/>
                <w:lang w:val="en-US" w:eastAsia="zh-CN"/>
              </w:rPr>
              <w:t>（1）投料</w:t>
            </w:r>
          </w:p>
          <w:p>
            <w:pPr>
              <w:pStyle w:val="54"/>
              <w:bidi w:val="0"/>
              <w:rPr>
                <w:rFonts w:hint="eastAsia"/>
                <w:color w:val="auto"/>
                <w:lang w:val="en-US" w:eastAsia="zh-CN"/>
              </w:rPr>
            </w:pPr>
            <w:r>
              <w:rPr>
                <w:rFonts w:hint="eastAsia"/>
                <w:color w:val="auto"/>
                <w:lang w:val="en-US" w:eastAsia="zh-CN"/>
              </w:rPr>
              <w:t>硫酸钾原料由自卸车投料料斗1-1中，经刮板输送机1-2进入斗式提升机1-3经气动三通1-4进入储料仓1-5。刮板输送机1-2及斗式提升机1-3为投料工序及硫酸钾原料分配工序两者共用，输送设备功能切换由气动三通1-4负责转换。储料仓1-5出口装有气动闸门，投料时气动闸门为关闭状态。储料仓1-5上方装有超声波料位计可以实时显示储料仓1-5内的仓位状态。</w:t>
            </w:r>
          </w:p>
          <w:p>
            <w:pPr>
              <w:pStyle w:val="54"/>
              <w:bidi w:val="0"/>
              <w:rPr>
                <w:rFonts w:hint="eastAsia"/>
                <w:color w:val="auto"/>
                <w:lang w:val="en-US" w:eastAsia="zh-CN"/>
              </w:rPr>
            </w:pPr>
            <w:r>
              <w:rPr>
                <w:rFonts w:hint="eastAsia"/>
                <w:color w:val="auto"/>
                <w:lang w:val="en-US" w:eastAsia="zh-CN"/>
              </w:rPr>
              <w:t>投料完成后，储料仓1-5出口的气动闸门打开，物料进入刮板输送机1-2经提升机1-3经气动三通1-4进入刮板输送机2-1，由刮板输送机分配至各个粉碎料仓。</w:t>
            </w:r>
          </w:p>
          <w:p>
            <w:pPr>
              <w:pStyle w:val="54"/>
              <w:bidi w:val="0"/>
              <w:rPr>
                <w:rFonts w:hint="default"/>
                <w:color w:val="auto"/>
                <w:lang w:val="en-US" w:eastAsia="zh-CN"/>
              </w:rPr>
            </w:pPr>
            <w:r>
              <w:rPr>
                <w:rFonts w:hint="eastAsia"/>
                <w:color w:val="auto"/>
                <w:lang w:val="en-US" w:eastAsia="zh-CN"/>
              </w:rPr>
              <w:t>此工序产生G1：投料粉尘。</w:t>
            </w:r>
          </w:p>
          <w:p>
            <w:pPr>
              <w:pStyle w:val="54"/>
              <w:bidi w:val="0"/>
              <w:rPr>
                <w:rFonts w:hint="default"/>
                <w:color w:val="auto"/>
                <w:lang w:val="en-US" w:eastAsia="zh-CN"/>
              </w:rPr>
            </w:pPr>
            <w:r>
              <w:rPr>
                <w:rFonts w:hint="eastAsia"/>
                <w:color w:val="auto"/>
                <w:lang w:val="en-US" w:eastAsia="zh-CN"/>
              </w:rPr>
              <w:t>（2）磨粉</w:t>
            </w:r>
          </w:p>
          <w:p>
            <w:pPr>
              <w:pStyle w:val="54"/>
              <w:bidi w:val="0"/>
              <w:rPr>
                <w:rFonts w:hint="eastAsia"/>
                <w:color w:val="auto"/>
                <w:lang w:val="en-US" w:eastAsia="zh-CN"/>
              </w:rPr>
            </w:pPr>
            <w:r>
              <w:rPr>
                <w:rFonts w:hint="eastAsia"/>
                <w:color w:val="auto"/>
                <w:lang w:val="en-US" w:eastAsia="zh-CN"/>
              </w:rPr>
              <w:t>粉碎线进料系统由气动闸门2-2、投料称重仓2-3、气动闸门2-4、投料缓冲斗2-5组成。投料称重仓2-3上方设置有气动闸门2-3，可根据粉碎线使用选择情况控制物料分配。投料称重仓2-3设置有称重传感器，可以显示投料重量，累计粉碎重量，粉碎速度等信息。为保证来料时称重重量的准确性，来料称重时，气动闸门2-2打开，气动闸门2-4关闭，投料缓冲斗2-5缓冲的物料继续进料粉碎，待投料完成，重量稳定时，气动闸门2-2关闭，气动闸门2-4打开，物料由投料称重仓2-3落入投料缓冲斗2-5中，既保证的来料称重的准确性，又保证了粉碎生产的连续性。辅料原料（如黄腐酸钾）由人工投入辅料定量给料装置2-6中。</w:t>
            </w:r>
          </w:p>
          <w:p>
            <w:pPr>
              <w:pStyle w:val="54"/>
              <w:bidi w:val="0"/>
              <w:rPr>
                <w:rFonts w:hint="eastAsia"/>
                <w:color w:val="auto"/>
                <w:lang w:val="en-US" w:eastAsia="zh-CN"/>
              </w:rPr>
            </w:pPr>
            <w:r>
              <w:rPr>
                <w:rFonts w:hint="eastAsia"/>
                <w:color w:val="auto"/>
                <w:lang w:val="en-US" w:eastAsia="zh-CN"/>
              </w:rPr>
              <w:t>物料由喂料绞龙喂入经进料口进入超微粉碎机主机2-7粉碎室内，辅料经辅料定量给料装置2-6由主机进风口进入粉碎室。物料经粉碎、分级粒度合格的物料经管道进入旋风分离器2-8，经关风机2-10落下。粉碎线的粉碎成品经刮板输送机3-1、斗式提升机3-2，再由刮板输送机3-3分配至打包料仓3-5、3-7。</w:t>
            </w:r>
          </w:p>
          <w:p>
            <w:pPr>
              <w:pStyle w:val="54"/>
              <w:bidi w:val="0"/>
              <w:rPr>
                <w:rFonts w:hint="default"/>
                <w:color w:val="auto"/>
                <w:lang w:val="en-US" w:eastAsia="zh-CN"/>
              </w:rPr>
            </w:pPr>
            <w:r>
              <w:rPr>
                <w:rFonts w:hint="eastAsia"/>
                <w:color w:val="auto"/>
                <w:lang w:val="en-US" w:eastAsia="zh-CN"/>
              </w:rPr>
              <w:t>此工序产生G2：磨粉粉尘及机械噪声。</w:t>
            </w:r>
          </w:p>
          <w:p>
            <w:pPr>
              <w:pStyle w:val="54"/>
              <w:bidi w:val="0"/>
              <w:rPr>
                <w:rFonts w:hint="default"/>
                <w:color w:val="auto"/>
                <w:lang w:val="en-US" w:eastAsia="zh-CN"/>
              </w:rPr>
            </w:pPr>
            <w:r>
              <w:rPr>
                <w:rFonts w:hint="eastAsia"/>
                <w:color w:val="auto"/>
                <w:lang w:val="en-US" w:eastAsia="zh-CN"/>
              </w:rPr>
              <w:t>（3）打包及码垛</w:t>
            </w:r>
          </w:p>
          <w:p>
            <w:pPr>
              <w:pStyle w:val="54"/>
              <w:bidi w:val="0"/>
              <w:rPr>
                <w:rFonts w:hint="eastAsia"/>
                <w:color w:val="auto"/>
                <w:lang w:val="en-US" w:eastAsia="zh-CN"/>
              </w:rPr>
            </w:pPr>
            <w:r>
              <w:rPr>
                <w:rFonts w:hint="eastAsia"/>
                <w:color w:val="auto"/>
                <w:lang w:val="en-US" w:eastAsia="zh-CN"/>
              </w:rPr>
              <w:t>打包仓3-5、3-7中的物料落入包装机4-1、4-2，经包装机4-1、4-2定量包装、缝包后进入主干输送线4-3，经输送线振袋，重量复检，重量不合格品剔除后，输送至码垛机4-4处，由码垛机4-4进行码垛。</w:t>
            </w:r>
          </w:p>
          <w:p>
            <w:pPr>
              <w:pStyle w:val="54"/>
              <w:bidi w:val="0"/>
              <w:rPr>
                <w:rFonts w:hint="default"/>
                <w:color w:val="auto"/>
                <w:lang w:val="en-US" w:eastAsia="zh-CN"/>
              </w:rPr>
            </w:pPr>
            <w:r>
              <w:rPr>
                <w:rFonts w:hint="eastAsia"/>
                <w:color w:val="auto"/>
                <w:lang w:val="en-US" w:eastAsia="zh-CN"/>
              </w:rPr>
              <w:t>此工序产生G3：包装粉尘及机械噪声。</w:t>
            </w:r>
          </w:p>
          <w:p>
            <w:pPr>
              <w:pStyle w:val="54"/>
              <w:bidi w:val="0"/>
              <w:rPr>
                <w:rFonts w:hint="eastAsia" w:cs="Times New Roman"/>
                <w:bCs/>
                <w:color w:val="auto"/>
                <w:szCs w:val="24"/>
                <w:lang w:val="en-US" w:eastAsia="zh-CN"/>
              </w:rPr>
            </w:pPr>
            <w:r>
              <w:rPr>
                <w:rFonts w:hint="eastAsia"/>
                <w:color w:val="auto"/>
                <w:lang w:val="en-US" w:eastAsia="zh-CN"/>
              </w:rPr>
              <w:t>本项目污染物产排情况一览表见表2-16。</w:t>
            </w:r>
          </w:p>
          <w:p>
            <w:pPr>
              <w:pStyle w:val="50"/>
              <w:bidi w:val="0"/>
              <w:rPr>
                <w:rFonts w:hint="eastAsia" w:cs="Times New Roman"/>
                <w:bCs/>
                <w:color w:val="auto"/>
                <w:szCs w:val="24"/>
                <w:lang w:val="en-US" w:eastAsia="zh-CN"/>
              </w:rPr>
            </w:pPr>
            <w:r>
              <w:rPr>
                <w:rFonts w:hint="eastAsia"/>
                <w:color w:val="auto"/>
                <w:lang w:val="en-US" w:eastAsia="zh-CN"/>
              </w:rPr>
              <w:t>表2-16  本项目污染物产排情况一览表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47"/>
              <w:gridCol w:w="2801"/>
              <w:gridCol w:w="2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序号</w:t>
                  </w:r>
                </w:p>
              </w:tc>
              <w:tc>
                <w:tcPr>
                  <w:tcW w:w="1032"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产污环节</w:t>
                  </w:r>
                </w:p>
              </w:tc>
              <w:tc>
                <w:tcPr>
                  <w:tcW w:w="1755"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污染源</w:t>
                  </w:r>
                </w:p>
              </w:tc>
              <w:tc>
                <w:tcPr>
                  <w:tcW w:w="1678"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1</w:t>
                  </w:r>
                </w:p>
              </w:tc>
              <w:tc>
                <w:tcPr>
                  <w:tcW w:w="1032"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投料口</w:t>
                  </w:r>
                </w:p>
              </w:tc>
              <w:tc>
                <w:tcPr>
                  <w:tcW w:w="1755"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G1：投料粉尘</w:t>
                  </w:r>
                </w:p>
              </w:tc>
              <w:tc>
                <w:tcPr>
                  <w:tcW w:w="1678" w:type="pct"/>
                  <w:vMerge w:val="restart"/>
                  <w:tcBorders>
                    <w:tl2br w:val="nil"/>
                    <w:tr2bl w:val="nil"/>
                  </w:tcBorders>
                  <w:vAlign w:val="center"/>
                </w:tcPr>
                <w:p>
                  <w:pPr>
                    <w:pStyle w:val="51"/>
                    <w:bidi w:val="0"/>
                    <w:jc w:val="center"/>
                    <w:rPr>
                      <w:rFonts w:hint="default"/>
                      <w:color w:val="auto"/>
                      <w:lang w:val="en-US" w:eastAsia="zh-CN"/>
                    </w:rPr>
                  </w:pPr>
                  <w:r>
                    <w:rPr>
                      <w:rFonts w:hint="default"/>
                      <w:color w:val="auto"/>
                      <w:lang w:val="en-US" w:eastAsia="zh-CN"/>
                    </w:rPr>
                    <w:t>暂存于除尘器收集槽中，定期回用于对应的生产工段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2</w:t>
                  </w:r>
                </w:p>
              </w:tc>
              <w:tc>
                <w:tcPr>
                  <w:tcW w:w="1032"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磨粉工段</w:t>
                  </w:r>
                </w:p>
              </w:tc>
              <w:tc>
                <w:tcPr>
                  <w:tcW w:w="1755"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G2：磨粉粉尘</w:t>
                  </w:r>
                </w:p>
              </w:tc>
              <w:tc>
                <w:tcPr>
                  <w:tcW w:w="1678" w:type="pct"/>
                  <w:vMerge w:val="continue"/>
                  <w:tcBorders>
                    <w:tl2br w:val="nil"/>
                    <w:tr2bl w:val="nil"/>
                  </w:tcBorders>
                  <w:vAlign w:val="center"/>
                </w:tcPr>
                <w:p>
                  <w:pPr>
                    <w:pStyle w:val="51"/>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3</w:t>
                  </w:r>
                </w:p>
              </w:tc>
              <w:tc>
                <w:tcPr>
                  <w:tcW w:w="1032"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包装工段</w:t>
                  </w:r>
                </w:p>
              </w:tc>
              <w:tc>
                <w:tcPr>
                  <w:tcW w:w="1755"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G3：包装粉尘</w:t>
                  </w:r>
                </w:p>
              </w:tc>
              <w:tc>
                <w:tcPr>
                  <w:tcW w:w="1678" w:type="pct"/>
                  <w:vMerge w:val="continue"/>
                  <w:tcBorders>
                    <w:tl2br w:val="nil"/>
                    <w:tr2bl w:val="nil"/>
                  </w:tcBorders>
                  <w:vAlign w:val="center"/>
                </w:tcPr>
                <w:p>
                  <w:pPr>
                    <w:pStyle w:val="51"/>
                    <w:bidi w:val="0"/>
                    <w:jc w:val="center"/>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4</w:t>
                  </w:r>
                </w:p>
              </w:tc>
              <w:tc>
                <w:tcPr>
                  <w:tcW w:w="1032"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全生产过程</w:t>
                  </w:r>
                </w:p>
              </w:tc>
              <w:tc>
                <w:tcPr>
                  <w:tcW w:w="1755"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N：机械噪声</w:t>
                  </w:r>
                </w:p>
              </w:tc>
              <w:tc>
                <w:tcPr>
                  <w:tcW w:w="1678" w:type="pc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选用低噪声设备，采用基础减震、厂房隔声等措施</w:t>
                  </w:r>
                </w:p>
              </w:tc>
            </w:tr>
          </w:tbl>
          <w:p>
            <w:pPr>
              <w:adjustRightInd w:val="0"/>
              <w:snapToGrid w:val="0"/>
              <w:spacing w:line="360" w:lineRule="auto"/>
              <w:rPr>
                <w:rFonts w:hint="default" w:cs="Times New Roman"/>
                <w:bCs/>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bCs/>
                <w:color w:val="auto"/>
                <w:kern w:val="2"/>
                <w:sz w:val="24"/>
                <w:szCs w:val="24"/>
              </w:rPr>
              <w:t>与项目有关的原有环境污染问题</w:t>
            </w:r>
          </w:p>
        </w:tc>
        <w:tc>
          <w:tcPr>
            <w:tcW w:w="8161" w:type="dxa"/>
            <w:noWrap w:val="0"/>
            <w:vAlign w:val="center"/>
          </w:tcPr>
          <w:p>
            <w:pPr>
              <w:pStyle w:val="54"/>
              <w:bidi w:val="0"/>
              <w:rPr>
                <w:rFonts w:hint="default"/>
                <w:color w:val="auto"/>
                <w:lang w:val="en-US" w:eastAsia="zh-CN"/>
              </w:rPr>
            </w:pPr>
            <w:r>
              <w:rPr>
                <w:rFonts w:hint="eastAsia"/>
                <w:b/>
                <w:bCs/>
                <w:color w:val="auto"/>
                <w:lang w:val="en-US" w:eastAsia="zh-CN"/>
              </w:rPr>
              <w:t>一、现有工程概况及建设内容</w:t>
            </w:r>
          </w:p>
          <w:p>
            <w:pPr>
              <w:pStyle w:val="54"/>
              <w:bidi w:val="0"/>
              <w:rPr>
                <w:rFonts w:hint="eastAsia"/>
                <w:color w:val="auto"/>
                <w:lang w:val="en-US" w:eastAsia="zh-CN"/>
              </w:rPr>
            </w:pPr>
            <w:r>
              <w:rPr>
                <w:rFonts w:hint="eastAsia"/>
                <w:color w:val="auto"/>
                <w:sz w:val="24"/>
                <w:lang w:val="en-US" w:eastAsia="zh-CN"/>
              </w:rPr>
              <w:t>本项目已</w:t>
            </w:r>
            <w:r>
              <w:rPr>
                <w:rFonts w:hint="eastAsia" w:ascii="Times New Roman" w:hAnsi="Times New Roman" w:eastAsia="宋体" w:cs="Times New Roman"/>
                <w:bCs/>
                <w:color w:val="auto"/>
                <w:sz w:val="24"/>
                <w:szCs w:val="24"/>
                <w:lang w:val="en-US" w:eastAsia="zh-CN"/>
              </w:rPr>
              <w:t>租用国投新疆罗布泊钾盐有限责任公司现有闲置厂房，建有一套试验装置，</w:t>
            </w:r>
            <w:r>
              <w:rPr>
                <w:rFonts w:hint="eastAsia" w:cs="Times New Roman"/>
                <w:bCs/>
                <w:color w:val="auto"/>
                <w:sz w:val="24"/>
                <w:szCs w:val="24"/>
                <w:lang w:val="en-US" w:eastAsia="zh-CN"/>
              </w:rPr>
              <w:t>该试验装置</w:t>
            </w:r>
            <w:r>
              <w:rPr>
                <w:rFonts w:hint="eastAsia" w:ascii="Times New Roman" w:hAnsi="Times New Roman" w:eastAsia="宋体" w:cs="Times New Roman"/>
                <w:bCs/>
                <w:color w:val="auto"/>
                <w:sz w:val="24"/>
                <w:szCs w:val="24"/>
                <w:lang w:val="en-US" w:eastAsia="zh-CN"/>
              </w:rPr>
              <w:t>试验成功后已停产。</w:t>
            </w:r>
            <w:r>
              <w:rPr>
                <w:rFonts w:hint="eastAsia"/>
                <w:color w:val="auto"/>
                <w:lang w:val="en-US" w:eastAsia="zh-CN"/>
              </w:rPr>
              <w:t>项目组成见表2-17。</w:t>
            </w:r>
          </w:p>
          <w:p>
            <w:pPr>
              <w:pStyle w:val="50"/>
              <w:bidi w:val="0"/>
              <w:rPr>
                <w:rFonts w:hint="default"/>
                <w:color w:val="auto"/>
                <w:lang w:val="en-US" w:eastAsia="zh-CN"/>
              </w:rPr>
            </w:pPr>
            <w:r>
              <w:rPr>
                <w:rFonts w:hint="eastAsia"/>
                <w:color w:val="auto"/>
                <w:lang w:val="en-US" w:eastAsia="zh-CN"/>
              </w:rPr>
              <w:t>表2-17  现有工程组成一览表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650"/>
              <w:gridCol w:w="4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8" w:type="pct"/>
                  <w:gridSpan w:val="2"/>
                  <w:tcBorders>
                    <w:tl2br w:val="nil"/>
                    <w:tr2bl w:val="nil"/>
                  </w:tcBorders>
                  <w:vAlign w:val="center"/>
                </w:tcPr>
                <w:p>
                  <w:pPr>
                    <w:pStyle w:val="51"/>
                    <w:bidi w:val="0"/>
                    <w:rPr>
                      <w:rFonts w:hint="eastAsia"/>
                      <w:color w:val="auto"/>
                      <w:lang w:val="en-US" w:eastAsia="zh-CN"/>
                    </w:rPr>
                  </w:pPr>
                  <w:r>
                    <w:rPr>
                      <w:rFonts w:hint="eastAsia"/>
                      <w:color w:val="auto"/>
                      <w:lang w:val="en-US" w:eastAsia="zh-CN"/>
                    </w:rPr>
                    <w:t>项目组成</w:t>
                  </w:r>
                </w:p>
              </w:tc>
              <w:tc>
                <w:tcPr>
                  <w:tcW w:w="299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实际建设情况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主体工程</w:t>
                  </w:r>
                </w:p>
              </w:tc>
              <w:tc>
                <w:tcPr>
                  <w:tcW w:w="103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主生产厂房</w:t>
                  </w:r>
                </w:p>
              </w:tc>
              <w:tc>
                <w:tcPr>
                  <w:tcW w:w="2991" w:type="pct"/>
                  <w:tcBorders>
                    <w:tl2br w:val="nil"/>
                    <w:tr2bl w:val="nil"/>
                  </w:tcBorders>
                  <w:vAlign w:val="center"/>
                </w:tcPr>
                <w:p>
                  <w:pPr>
                    <w:pStyle w:val="51"/>
                    <w:bidi w:val="0"/>
                    <w:rPr>
                      <w:rFonts w:hint="default" w:eastAsia="宋体"/>
                      <w:color w:val="auto"/>
                      <w:lang w:val="en-US" w:eastAsia="zh-CN"/>
                    </w:rPr>
                  </w:pPr>
                  <w:r>
                    <w:rPr>
                      <w:rFonts w:hint="eastAsia" w:cs="Times New Roman"/>
                      <w:color w:val="auto"/>
                      <w:lang w:val="en-US" w:eastAsia="zh-CN"/>
                    </w:rPr>
                    <w:t>厂房内建设一套与本项目生产装置类似，生产工艺相同的实验装置，试验装置试验成功后已停产</w:t>
                  </w: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4"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公用工程</w:t>
                  </w:r>
                </w:p>
              </w:tc>
              <w:tc>
                <w:tcPr>
                  <w:tcW w:w="1033"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供电</w:t>
                  </w:r>
                </w:p>
              </w:tc>
              <w:tc>
                <w:tcPr>
                  <w:tcW w:w="299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自</w:t>
                  </w:r>
                  <w:r>
                    <w:rPr>
                      <w:rFonts w:hint="default"/>
                      <w:color w:val="auto"/>
                    </w:rPr>
                    <w:t>硫酸钾厂结晶离心配电室至机动车间配电室设置2路10kV电源，埋地敷设；机动车间配电室增加1台10kV高压开关柜。机动车间配电室至本项目10/0.4kV配电室设置1路10kV电源。</w:t>
                  </w:r>
                </w:p>
              </w:tc>
            </w:tr>
          </w:tbl>
          <w:p>
            <w:pPr>
              <w:pStyle w:val="54"/>
              <w:bidi w:val="0"/>
              <w:rPr>
                <w:rFonts w:hint="default"/>
                <w:color w:val="auto"/>
                <w:lang w:val="en-US" w:eastAsia="zh-CN"/>
              </w:rPr>
            </w:pPr>
            <w:r>
              <w:rPr>
                <w:rFonts w:hint="eastAsia"/>
                <w:b/>
                <w:bCs/>
                <w:color w:val="auto"/>
                <w:lang w:val="en-US" w:eastAsia="zh-CN"/>
              </w:rPr>
              <w:t>三、现有工程生产工艺概述</w:t>
            </w:r>
          </w:p>
          <w:p>
            <w:pPr>
              <w:pStyle w:val="54"/>
              <w:bidi w:val="0"/>
              <w:rPr>
                <w:rFonts w:hint="eastAsia"/>
                <w:color w:val="auto"/>
                <w:lang w:val="en-US" w:eastAsia="zh-CN"/>
              </w:rPr>
            </w:pPr>
            <w:r>
              <w:rPr>
                <w:rFonts w:hint="default"/>
                <w:color w:val="auto"/>
                <w:lang w:val="en-US"/>
              </w:rPr>
              <w:t>本工艺装置不涉及化学反应。各装置均采用自动化程度较高的PLC控制系统，并根据工艺操作要求，工艺设备流程特点。采取控制室集中监测控制。硫酸钾原料通过投料斗，由刮板输送机输送至斗式提升机进入储料仓，物料通过储料仓由刮板输送机分配至各个粉碎料仓，由各磨粉机进行粉碎。辅料原料（如黄腐酸钾）由定量给料装置送入各磨粉机进行混料粉碎，粉碎后的物料通过斗式提升机和刮板输送机落入包装机，由包装机定量包装、缝包后进入输送线，输送至码垛机进行码垛。</w:t>
            </w:r>
            <w:r>
              <w:rPr>
                <w:rFonts w:hint="eastAsia"/>
                <w:color w:val="auto"/>
                <w:lang w:val="en-US" w:eastAsia="zh-CN"/>
              </w:rPr>
              <w:t>现有工程工艺流程见图2-3。</w:t>
            </w:r>
          </w:p>
          <w:p>
            <w:pPr>
              <w:pStyle w:val="54"/>
              <w:bidi w:val="0"/>
              <w:spacing w:line="240" w:lineRule="auto"/>
              <w:ind w:left="0" w:leftChars="0" w:firstLine="0" w:firstLineChars="0"/>
              <w:jc w:val="center"/>
              <w:rPr>
                <w:rFonts w:hint="eastAsia"/>
                <w:color w:val="auto"/>
                <w:lang w:val="en-US" w:eastAsia="zh-CN"/>
              </w:rPr>
            </w:pPr>
            <w:r>
              <w:rPr>
                <w:rFonts w:hint="default" w:ascii="Times New Roman" w:hAnsi="Times New Roman" w:eastAsia="宋体" w:cs="Times New Roman"/>
                <w:bCs/>
                <w:color w:val="auto"/>
                <w:sz w:val="24"/>
                <w:szCs w:val="24"/>
                <w:lang w:val="en-US" w:eastAsia="zh-CN"/>
              </w:rPr>
              <w:drawing>
                <wp:inline distT="0" distB="0" distL="114300" distR="114300">
                  <wp:extent cx="4947285" cy="1485900"/>
                  <wp:effectExtent l="19050" t="19050" r="24765" b="19050"/>
                  <wp:docPr id="3" name="ECB019B1-382A-4266-B25C-5B523AA43C14-3" descr="C:/Users/Administrator/AppData/Local/Temp/wps.gqnhp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Administrator/AppData/Local/Temp/wps.gqnhpxwps"/>
                          <pic:cNvPicPr>
                            <a:picLocks noChangeAspect="1"/>
                          </pic:cNvPicPr>
                        </pic:nvPicPr>
                        <pic:blipFill>
                          <a:blip r:embed="rId9"/>
                          <a:stretch>
                            <a:fillRect/>
                          </a:stretch>
                        </pic:blipFill>
                        <pic:spPr>
                          <a:xfrm>
                            <a:off x="0" y="0"/>
                            <a:ext cx="4947285" cy="1485900"/>
                          </a:xfrm>
                          <a:prstGeom prst="rect">
                            <a:avLst/>
                          </a:prstGeom>
                          <a:ln w="19050">
                            <a:solidFill>
                              <a:schemeClr val="tx1"/>
                            </a:solidFill>
                          </a:ln>
                        </pic:spPr>
                      </pic:pic>
                    </a:graphicData>
                  </a:graphic>
                </wp:inline>
              </w:drawing>
            </w:r>
          </w:p>
          <w:p>
            <w:pPr>
              <w:pStyle w:val="52"/>
              <w:bidi w:val="0"/>
              <w:rPr>
                <w:rFonts w:hint="eastAsia"/>
                <w:color w:val="auto"/>
                <w:lang w:val="en-US" w:eastAsia="zh-CN"/>
              </w:rPr>
            </w:pPr>
            <w:r>
              <w:rPr>
                <w:rFonts w:hint="eastAsia"/>
                <w:color w:val="auto"/>
                <w:lang w:val="en-US" w:eastAsia="zh-CN"/>
              </w:rPr>
              <w:t>图2-3 现有工程工艺流程图</w:t>
            </w:r>
          </w:p>
          <w:p>
            <w:pPr>
              <w:pStyle w:val="54"/>
              <w:bidi w:val="0"/>
              <w:rPr>
                <w:rFonts w:hint="eastAsia"/>
                <w:color w:val="auto"/>
                <w:lang w:val="en-US" w:eastAsia="zh-CN"/>
              </w:rPr>
            </w:pPr>
            <w:r>
              <w:rPr>
                <w:rFonts w:hint="eastAsia"/>
                <w:b/>
                <w:bCs/>
                <w:color w:val="auto"/>
                <w:lang w:val="en-US" w:eastAsia="zh-CN"/>
              </w:rPr>
              <w:t>四、现有工程污染物达标排放情况及总量情况</w:t>
            </w:r>
          </w:p>
          <w:p>
            <w:pPr>
              <w:pStyle w:val="54"/>
              <w:bidi w:val="0"/>
              <w:rPr>
                <w:rFonts w:hint="eastAsia"/>
                <w:color w:val="auto"/>
                <w:lang w:val="en-US" w:eastAsia="zh-CN"/>
              </w:rPr>
            </w:pPr>
            <w:r>
              <w:rPr>
                <w:rFonts w:hint="eastAsia"/>
                <w:color w:val="auto"/>
                <w:lang w:val="en-US" w:eastAsia="zh-CN"/>
              </w:rPr>
              <w:t>现有工程为一套与本项目生产装置类似，生产工艺相同的试验装置，</w:t>
            </w:r>
            <w:r>
              <w:rPr>
                <w:rFonts w:hint="eastAsia" w:cs="Times New Roman"/>
                <w:bCs/>
                <w:color w:val="auto"/>
                <w:sz w:val="24"/>
                <w:szCs w:val="24"/>
                <w:lang w:val="en-US" w:eastAsia="zh-CN"/>
              </w:rPr>
              <w:t>该试验装置</w:t>
            </w:r>
            <w:r>
              <w:rPr>
                <w:rFonts w:hint="eastAsia" w:ascii="Times New Roman" w:hAnsi="Times New Roman" w:eastAsia="宋体" w:cs="Times New Roman"/>
                <w:bCs/>
                <w:color w:val="auto"/>
                <w:sz w:val="24"/>
                <w:szCs w:val="24"/>
                <w:lang w:val="en-US" w:eastAsia="zh-CN"/>
              </w:rPr>
              <w:t>试验成功后已停产</w:t>
            </w:r>
            <w:r>
              <w:rPr>
                <w:rFonts w:hint="eastAsia"/>
                <w:color w:val="auto"/>
                <w:lang w:val="en-US" w:eastAsia="zh-CN"/>
              </w:rPr>
              <w:t>，因此无污染物排放。</w:t>
            </w: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ind w:left="0" w:leftChars="0" w:firstLine="0" w:firstLineChars="0"/>
              <w:rPr>
                <w:rFonts w:hint="eastAsia"/>
                <w:color w:val="auto"/>
                <w:lang w:val="en-US" w:eastAsia="zh-CN"/>
              </w:rPr>
            </w:pPr>
          </w:p>
          <w:p>
            <w:pPr>
              <w:pStyle w:val="54"/>
              <w:bidi w:val="0"/>
              <w:ind w:left="0" w:leftChars="0" w:firstLine="0" w:firstLineChars="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adjustRightInd w:val="0"/>
              <w:snapToGrid w:val="0"/>
              <w:spacing w:line="360" w:lineRule="auto"/>
              <w:jc w:val="both"/>
              <w:rPr>
                <w:rFonts w:hint="default" w:ascii="Times New Roman" w:hAnsi="Times New Roman" w:cs="Times New Roman"/>
                <w:bCs/>
                <w:color w:val="auto"/>
                <w:sz w:val="24"/>
                <w:szCs w:val="24"/>
                <w:lang w:val="en-US" w:eastAsia="zh-CN"/>
              </w:rPr>
            </w:pPr>
          </w:p>
        </w:tc>
      </w:tr>
    </w:tbl>
    <w:p>
      <w:pPr>
        <w:pStyle w:val="17"/>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3"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现状</w:t>
            </w:r>
          </w:p>
        </w:tc>
        <w:tc>
          <w:tcPr>
            <w:tcW w:w="8190" w:type="dxa"/>
            <w:noWrap w:val="0"/>
            <w:vAlign w:val="center"/>
          </w:tcPr>
          <w:p>
            <w:pPr>
              <w:pStyle w:val="54"/>
              <w:bidi w:val="0"/>
              <w:rPr>
                <w:rFonts w:hint="default"/>
                <w:color w:val="auto"/>
                <w:lang w:val="en-US" w:eastAsia="zh-CN"/>
              </w:rPr>
            </w:pPr>
            <w:r>
              <w:rPr>
                <w:rFonts w:hint="eastAsia"/>
                <w:b/>
                <w:bCs/>
                <w:color w:val="auto"/>
                <w:lang w:val="en-US" w:eastAsia="zh-CN"/>
              </w:rPr>
              <w:t>一、大气环境质量现状调查与评价</w:t>
            </w:r>
          </w:p>
          <w:p>
            <w:pPr>
              <w:pStyle w:val="54"/>
              <w:bidi w:val="0"/>
              <w:rPr>
                <w:rFonts w:hint="default"/>
                <w:color w:val="auto"/>
                <w:lang w:val="en-US" w:eastAsia="zh-CN"/>
              </w:rPr>
            </w:pPr>
            <w:r>
              <w:rPr>
                <w:rFonts w:hint="eastAsia"/>
                <w:color w:val="auto"/>
                <w:lang w:val="en-US" w:eastAsia="zh-CN"/>
              </w:rPr>
              <w:t>1、空气质量达标区判定</w:t>
            </w:r>
          </w:p>
          <w:p>
            <w:pPr>
              <w:pStyle w:val="54"/>
              <w:bidi w:val="0"/>
              <w:rPr>
                <w:rFonts w:hint="eastAsia"/>
                <w:color w:val="auto"/>
                <w:lang w:val="en-US" w:eastAsia="zh-CN"/>
              </w:rPr>
            </w:pPr>
            <w:r>
              <w:rPr>
                <w:rFonts w:hint="eastAsia"/>
                <w:color w:val="auto"/>
                <w:lang w:val="en-US" w:eastAsia="zh-CN"/>
              </w:rPr>
              <w:t>本项目位于</w:t>
            </w:r>
            <w:r>
              <w:rPr>
                <w:rFonts w:hint="default"/>
                <w:color w:val="auto"/>
              </w:rPr>
              <w:t>新疆巴音郭楞蒙古自治州若羌县</w:t>
            </w:r>
            <w:r>
              <w:rPr>
                <w:rFonts w:hint="eastAsia"/>
                <w:color w:val="auto"/>
                <w:lang w:val="en-US" w:eastAsia="zh-CN"/>
              </w:rPr>
              <w:t>，</w:t>
            </w:r>
            <w:r>
              <w:rPr>
                <w:rFonts w:hint="default"/>
                <w:color w:val="auto"/>
              </w:rPr>
              <w:t>根据《环境影响评价技术导则</w:t>
            </w:r>
            <w:r>
              <w:rPr>
                <w:rFonts w:hint="eastAsia"/>
                <w:color w:val="auto"/>
                <w:lang w:val="en-US" w:eastAsia="zh-CN"/>
              </w:rPr>
              <w:t xml:space="preserve"> </w:t>
            </w:r>
            <w:r>
              <w:rPr>
                <w:rFonts w:hint="default"/>
                <w:color w:val="auto"/>
              </w:rPr>
              <w:t>大气环境》（HJ2.2-2018），</w:t>
            </w:r>
            <w:r>
              <w:rPr>
                <w:rFonts w:hint="eastAsia"/>
                <w:color w:val="auto"/>
                <w:lang w:val="en-US" w:eastAsia="zh-CN"/>
              </w:rPr>
              <w:t>对于基本污染物环境质量现状数据，项目所在区域达标判定优先采用国家或地方生态环境主管部门公开发布的评价基准年环境质量公告或环境质量报告中的数据或结论。</w:t>
            </w:r>
          </w:p>
          <w:p>
            <w:pPr>
              <w:pStyle w:val="54"/>
              <w:bidi w:val="0"/>
              <w:rPr>
                <w:rFonts w:hint="default" w:ascii="Times New Roman" w:hAnsi="Times New Roman" w:cs="Times New Roman"/>
                <w:bCs/>
                <w:color w:val="auto"/>
                <w:szCs w:val="24"/>
              </w:rPr>
            </w:pPr>
            <w:r>
              <w:rPr>
                <w:rFonts w:hint="eastAsia"/>
                <w:color w:val="auto"/>
                <w:lang w:val="en-US" w:eastAsia="zh-CN"/>
              </w:rPr>
              <w:t>本次评价引用位于若羌县2023年连续1年基本污染物的监测数据进行统计分析，作为本项目环境空气现状评价基本污染物</w:t>
            </w:r>
            <w:r>
              <w:rPr>
                <w:rFonts w:hint="default"/>
                <w:color w:val="auto"/>
                <w:lang w:val="en-US" w:eastAsia="zh-CN"/>
              </w:rPr>
              <w:t>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、PM</w:t>
            </w:r>
            <w:r>
              <w:rPr>
                <w:rFonts w:hint="default"/>
                <w:color w:val="auto"/>
                <w:vertAlign w:val="subscript"/>
                <w:lang w:val="en-US" w:eastAsia="zh-CN"/>
              </w:rPr>
              <w:t>2.5</w:t>
            </w:r>
            <w:r>
              <w:rPr>
                <w:rFonts w:hint="default"/>
                <w:color w:val="auto"/>
                <w:lang w:val="en-US" w:eastAsia="zh-CN"/>
              </w:rPr>
              <w:t>、CO</w:t>
            </w:r>
            <w:r>
              <w:rPr>
                <w:rFonts w:hint="eastAsia"/>
                <w:color w:val="auto"/>
                <w:lang w:val="en-US" w:eastAsia="zh-CN"/>
              </w:rPr>
              <w:t>和</w:t>
            </w:r>
            <w:r>
              <w:rPr>
                <w:rFonts w:hint="default"/>
                <w:color w:val="auto"/>
                <w:lang w:val="en-US" w:eastAsia="zh-CN"/>
              </w:rPr>
              <w:t>O</w:t>
            </w:r>
            <w:r>
              <w:rPr>
                <w:rFonts w:hint="default"/>
                <w:color w:val="auto"/>
                <w:vertAlign w:val="subscript"/>
                <w:lang w:val="en-US" w:eastAsia="zh-CN"/>
              </w:rPr>
              <w:t>3</w:t>
            </w:r>
            <w:r>
              <w:rPr>
                <w:rFonts w:hint="eastAsia"/>
                <w:color w:val="auto"/>
                <w:lang w:val="en-US" w:eastAsia="zh-CN"/>
              </w:rPr>
              <w:t>的数据来源。</w:t>
            </w:r>
            <w:r>
              <w:rPr>
                <w:rFonts w:hint="default"/>
                <w:color w:val="auto"/>
              </w:rPr>
              <w:t>项目区环境空气质量监测及评价结果见表</w:t>
            </w:r>
            <w:r>
              <w:rPr>
                <w:rFonts w:hint="default"/>
                <w:color w:val="auto"/>
                <w:lang w:val="en-US" w:eastAsia="zh-CN"/>
              </w:rPr>
              <w:t>3-1</w:t>
            </w:r>
            <w:r>
              <w:rPr>
                <w:rFonts w:hint="default"/>
                <w:color w:val="auto"/>
              </w:rPr>
              <w:t>。</w:t>
            </w:r>
          </w:p>
          <w:p>
            <w:pPr>
              <w:pStyle w:val="50"/>
              <w:bidi w:val="0"/>
              <w:rPr>
                <w:rFonts w:hint="default" w:ascii="Times New Roman" w:hAnsi="Times New Roman" w:eastAsia="宋体" w:cs="Times New Roman"/>
                <w:b/>
                <w:bCs w:val="0"/>
                <w:i w:val="0"/>
                <w:iCs w:val="0"/>
                <w:color w:val="auto"/>
                <w:szCs w:val="21"/>
                <w:lang w:val="en-US" w:eastAsia="zh-CN"/>
              </w:rPr>
            </w:pPr>
            <w:r>
              <w:rPr>
                <w:rFonts w:hint="eastAsia"/>
                <w:color w:val="auto"/>
                <w:lang w:val="en-US" w:eastAsia="zh-CN"/>
              </w:rPr>
              <w:t>表3-1 项目所在区域环境空气质量现状评价表</w:t>
            </w:r>
          </w:p>
          <w:tbl>
            <w:tblPr>
              <w:tblStyle w:val="20"/>
              <w:tblW w:w="797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329"/>
              <w:gridCol w:w="1329"/>
              <w:gridCol w:w="1329"/>
              <w:gridCol w:w="1329"/>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污染物</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年评价指标</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现状浓度（</w:t>
                  </w:r>
                  <w:r>
                    <w:rPr>
                      <w:rFonts w:hint="default"/>
                      <w:color w:val="auto"/>
                    </w:rPr>
                    <w:t>μg/m</w:t>
                  </w:r>
                  <w:r>
                    <w:rPr>
                      <w:rFonts w:hint="default"/>
                      <w:color w:val="auto"/>
                      <w:vertAlign w:val="superscript"/>
                    </w:rPr>
                    <w:t>3</w:t>
                  </w:r>
                  <w:r>
                    <w:rPr>
                      <w:rFonts w:hint="default"/>
                      <w:color w:val="auto"/>
                      <w:lang w:val="en-US" w:eastAsia="zh-CN"/>
                    </w:rPr>
                    <w:t>）</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标准值（</w:t>
                  </w:r>
                  <w:r>
                    <w:rPr>
                      <w:rFonts w:hint="default"/>
                      <w:color w:val="auto"/>
                    </w:rPr>
                    <w:t>μg/m</w:t>
                  </w:r>
                  <w:r>
                    <w:rPr>
                      <w:rFonts w:hint="default"/>
                      <w:color w:val="auto"/>
                      <w:vertAlign w:val="superscript"/>
                    </w:rPr>
                    <w:t>3</w:t>
                  </w:r>
                  <w:r>
                    <w:rPr>
                      <w:rFonts w:hint="default"/>
                      <w:color w:val="auto"/>
                      <w:lang w:val="en-US" w:eastAsia="zh-CN"/>
                    </w:rPr>
                    <w:t>）</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占标率（%）</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SO</w:t>
                  </w:r>
                  <w:r>
                    <w:rPr>
                      <w:rFonts w:hint="default"/>
                      <w:color w:val="auto"/>
                      <w:vertAlign w:val="subscript"/>
                    </w:rPr>
                    <w:t>2</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6</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60</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10</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NO</w:t>
                  </w:r>
                  <w:r>
                    <w:rPr>
                      <w:rFonts w:hint="default"/>
                      <w:color w:val="auto"/>
                      <w:vertAlign w:val="subscript"/>
                    </w:rPr>
                    <w:t>2</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17</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40</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42.5</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PM</w:t>
                  </w:r>
                  <w:r>
                    <w:rPr>
                      <w:rFonts w:hint="default"/>
                      <w:color w:val="auto"/>
                      <w:vertAlign w:val="subscript"/>
                    </w:rPr>
                    <w:t>10</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74</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70</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105.7</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PM</w:t>
                  </w:r>
                  <w:r>
                    <w:rPr>
                      <w:rFonts w:hint="default"/>
                      <w:color w:val="auto"/>
                      <w:vertAlign w:val="subscript"/>
                    </w:rPr>
                    <w:t>2.5</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38</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35</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108.6</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CO</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24h平均第95百分位数</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w:t>
                  </w:r>
                  <w:r>
                    <w:rPr>
                      <w:rFonts w:hint="default"/>
                      <w:color w:val="auto"/>
                      <w:lang w:val="en-US" w:eastAsia="zh-CN"/>
                    </w:rPr>
                    <w:t>m</w:t>
                  </w:r>
                  <w:r>
                    <w:rPr>
                      <w:rFonts w:hint="default"/>
                      <w:color w:val="auto"/>
                    </w:rPr>
                    <w:t>g/m</w:t>
                  </w:r>
                  <w:r>
                    <w:rPr>
                      <w:rFonts w:hint="default"/>
                      <w:color w:val="auto"/>
                      <w:vertAlign w:val="superscript"/>
                    </w:rPr>
                    <w:t>3</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4m</w:t>
                  </w:r>
                  <w:r>
                    <w:rPr>
                      <w:rFonts w:hint="default"/>
                      <w:color w:val="auto"/>
                    </w:rPr>
                    <w:t>g/m</w:t>
                  </w:r>
                  <w:r>
                    <w:rPr>
                      <w:rFonts w:hint="default"/>
                      <w:color w:val="auto"/>
                      <w:vertAlign w:val="superscript"/>
                    </w:rPr>
                    <w:t>3</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25</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O</w:t>
                  </w:r>
                  <w:r>
                    <w:rPr>
                      <w:rFonts w:hint="default"/>
                      <w:color w:val="auto"/>
                      <w:vertAlign w:val="subscript"/>
                    </w:rPr>
                    <w:t>3</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rPr>
                    <w:t>日最大8h平均值的第90百分位数</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138</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160</w:t>
                  </w:r>
                </w:p>
              </w:tc>
              <w:tc>
                <w:tcPr>
                  <w:tcW w:w="1329"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86.25</w:t>
                  </w:r>
                </w:p>
              </w:tc>
              <w:tc>
                <w:tcPr>
                  <w:tcW w:w="1329" w:type="dxa"/>
                  <w:tcBorders>
                    <w:tl2br w:val="nil"/>
                    <w:tr2bl w:val="nil"/>
                  </w:tcBorders>
                  <w:noWrap w:val="0"/>
                  <w:vAlign w:val="center"/>
                </w:tcPr>
                <w:p>
                  <w:pPr>
                    <w:pStyle w:val="51"/>
                    <w:bidi w:val="0"/>
                    <w:rPr>
                      <w:rFonts w:hint="default"/>
                      <w:color w:val="auto"/>
                      <w:lang w:val="en-US" w:eastAsia="zh-CN"/>
                    </w:rPr>
                  </w:pPr>
                  <w:r>
                    <w:rPr>
                      <w:rFonts w:hint="default"/>
                      <w:color w:val="auto"/>
                      <w:lang w:val="en-US" w:eastAsia="zh-CN"/>
                    </w:rPr>
                    <w:t>达标</w:t>
                  </w:r>
                </w:p>
              </w:tc>
            </w:tr>
          </w:tbl>
          <w:p>
            <w:pPr>
              <w:pStyle w:val="54"/>
              <w:bidi w:val="0"/>
              <w:rPr>
                <w:rFonts w:hint="default"/>
                <w:color w:val="auto"/>
                <w:lang w:val="en-US" w:eastAsia="zh-CN"/>
              </w:rPr>
            </w:pPr>
            <w:r>
              <w:rPr>
                <w:rFonts w:hint="default"/>
                <w:color w:val="auto"/>
              </w:rPr>
              <w:t>由表</w:t>
            </w:r>
            <w:r>
              <w:rPr>
                <w:rFonts w:hint="eastAsia"/>
                <w:color w:val="auto"/>
                <w:lang w:val="en-US" w:eastAsia="zh-CN"/>
              </w:rPr>
              <w:t>3-1</w:t>
            </w:r>
            <w:r>
              <w:rPr>
                <w:rFonts w:hint="default"/>
                <w:color w:val="auto"/>
              </w:rPr>
              <w:t>可以看出，基本污染物</w:t>
            </w:r>
            <w:r>
              <w:rPr>
                <w:rFonts w:hint="default"/>
                <w:color w:val="auto"/>
                <w:lang w:val="en-US" w:eastAsia="zh-CN"/>
              </w:rPr>
              <w:t>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、CO、O</w:t>
            </w:r>
            <w:r>
              <w:rPr>
                <w:rFonts w:hint="default"/>
                <w:color w:val="auto"/>
                <w:vertAlign w:val="subscript"/>
                <w:lang w:val="en-US" w:eastAsia="zh-CN"/>
              </w:rPr>
              <w:t>3</w:t>
            </w:r>
            <w:r>
              <w:rPr>
                <w:rFonts w:hint="default"/>
                <w:color w:val="auto"/>
              </w:rPr>
              <w:t>年评价指标</w:t>
            </w:r>
            <w:r>
              <w:rPr>
                <w:rFonts w:hint="default"/>
                <w:color w:val="auto"/>
                <w:lang w:val="en-US" w:eastAsia="zh-CN"/>
              </w:rPr>
              <w:t>满足《环境空气质量标准》（GB</w:t>
            </w:r>
            <w:r>
              <w:rPr>
                <w:rFonts w:hint="eastAsia"/>
                <w:color w:val="auto"/>
                <w:lang w:val="en-US" w:eastAsia="zh-CN"/>
              </w:rPr>
              <w:t xml:space="preserve"> </w:t>
            </w:r>
            <w:r>
              <w:rPr>
                <w:rFonts w:hint="default"/>
                <w:color w:val="auto"/>
                <w:lang w:val="en-US" w:eastAsia="zh-CN"/>
              </w:rPr>
              <w:t>3095-2012）二级标准限值要求，PM</w:t>
            </w:r>
            <w:r>
              <w:rPr>
                <w:rFonts w:hint="default"/>
                <w:color w:val="auto"/>
                <w:vertAlign w:val="subscript"/>
                <w:lang w:val="en-US" w:eastAsia="zh-CN"/>
              </w:rPr>
              <w:t>2.5</w:t>
            </w:r>
            <w:r>
              <w:rPr>
                <w:rFonts w:hint="default"/>
                <w:color w:val="auto"/>
                <w:lang w:val="en-US" w:eastAsia="zh-CN"/>
              </w:rPr>
              <w:t>、PM</w:t>
            </w:r>
            <w:r>
              <w:rPr>
                <w:rFonts w:hint="default"/>
                <w:color w:val="auto"/>
                <w:vertAlign w:val="subscript"/>
                <w:lang w:val="en-US" w:eastAsia="zh-CN"/>
              </w:rPr>
              <w:t>10</w:t>
            </w:r>
            <w:r>
              <w:rPr>
                <w:rFonts w:hint="default"/>
                <w:color w:val="auto"/>
              </w:rPr>
              <w:t>年评价指标</w:t>
            </w:r>
            <w:r>
              <w:rPr>
                <w:rFonts w:hint="eastAsia"/>
                <w:color w:val="auto"/>
                <w:lang w:val="en-US" w:eastAsia="zh-CN"/>
              </w:rPr>
              <w:t>不</w:t>
            </w:r>
            <w:r>
              <w:rPr>
                <w:rFonts w:hint="default"/>
                <w:color w:val="auto"/>
                <w:lang w:val="en-US" w:eastAsia="zh-CN"/>
              </w:rPr>
              <w:t>满足《环境空气质量标准》（GB</w:t>
            </w:r>
            <w:r>
              <w:rPr>
                <w:rFonts w:hint="eastAsia"/>
                <w:color w:val="auto"/>
                <w:lang w:val="en-US" w:eastAsia="zh-CN"/>
              </w:rPr>
              <w:t xml:space="preserve"> </w:t>
            </w:r>
            <w:r>
              <w:rPr>
                <w:rFonts w:hint="default"/>
                <w:color w:val="auto"/>
                <w:lang w:val="en-US" w:eastAsia="zh-CN"/>
              </w:rPr>
              <w:t>3095-2012）二级标准限值要求</w:t>
            </w:r>
            <w:r>
              <w:rPr>
                <w:rFonts w:hint="eastAsia"/>
                <w:color w:val="auto"/>
                <w:lang w:val="en-US" w:eastAsia="zh-CN"/>
              </w:rPr>
              <w:t>。</w:t>
            </w:r>
            <w:r>
              <w:rPr>
                <w:rFonts w:hint="default"/>
                <w:color w:val="auto"/>
                <w:lang w:val="en-US" w:eastAsia="zh-CN"/>
              </w:rPr>
              <w:t>因此项目区域环境质量判定为</w:t>
            </w:r>
            <w:r>
              <w:rPr>
                <w:rFonts w:hint="eastAsia"/>
                <w:color w:val="auto"/>
                <w:lang w:val="en-US" w:eastAsia="zh-CN"/>
              </w:rPr>
              <w:t>不</w:t>
            </w:r>
            <w:r>
              <w:rPr>
                <w:rFonts w:hint="default"/>
                <w:color w:val="auto"/>
                <w:lang w:val="en-US" w:eastAsia="zh-CN"/>
              </w:rPr>
              <w:t>达标区。</w:t>
            </w:r>
          </w:p>
          <w:p>
            <w:pPr>
              <w:pStyle w:val="54"/>
              <w:bidi w:val="0"/>
              <w:rPr>
                <w:rFonts w:hint="default"/>
                <w:color w:val="auto"/>
                <w:lang w:val="en-US" w:eastAsia="zh-CN"/>
              </w:rPr>
            </w:pPr>
            <w:r>
              <w:rPr>
                <w:rFonts w:hint="eastAsia"/>
                <w:b w:val="0"/>
                <w:bCs w:val="0"/>
                <w:color w:val="auto"/>
                <w:lang w:val="en-US" w:eastAsia="zh-CN"/>
              </w:rPr>
              <w:t>2、特征污染物环境质量调查与评价</w:t>
            </w:r>
          </w:p>
          <w:p>
            <w:pPr>
              <w:pStyle w:val="54"/>
              <w:bidi w:val="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sz w:val="24"/>
                <w:lang w:val="en-US" w:eastAsia="zh-CN"/>
              </w:rPr>
              <w:t>监测方案</w:t>
            </w:r>
          </w:p>
          <w:p>
            <w:pPr>
              <w:pStyle w:val="54"/>
              <w:bidi w:val="0"/>
              <w:rPr>
                <w:rFonts w:hint="default"/>
                <w:color w:val="auto"/>
              </w:rPr>
            </w:pPr>
            <w:r>
              <w:rPr>
                <w:rFonts w:hint="default"/>
                <w:color w:val="auto"/>
              </w:rPr>
              <w:t>监测项目：</w:t>
            </w:r>
            <w:r>
              <w:rPr>
                <w:rFonts w:hint="eastAsia"/>
                <w:color w:val="auto"/>
                <w:lang w:val="en-US" w:eastAsia="zh-CN"/>
              </w:rPr>
              <w:t>TSP</w:t>
            </w:r>
            <w:r>
              <w:rPr>
                <w:rFonts w:hint="default"/>
                <w:color w:val="auto"/>
              </w:rPr>
              <w:t>。</w:t>
            </w:r>
          </w:p>
          <w:p>
            <w:pPr>
              <w:pStyle w:val="54"/>
              <w:bidi w:val="0"/>
              <w:rPr>
                <w:rFonts w:hint="eastAsia" w:eastAsia="宋体"/>
                <w:color w:val="auto"/>
                <w:lang w:eastAsia="zh-CN"/>
              </w:rPr>
            </w:pPr>
            <w:r>
              <w:rPr>
                <w:rFonts w:hint="default"/>
                <w:color w:val="auto"/>
              </w:rPr>
              <w:t>监测点位：经度90.851354，纬度40.471608</w:t>
            </w:r>
            <w:r>
              <w:rPr>
                <w:rFonts w:hint="eastAsia"/>
                <w:color w:val="auto"/>
                <w:lang w:eastAsia="zh-CN"/>
              </w:rPr>
              <w:t>。</w:t>
            </w:r>
          </w:p>
          <w:p>
            <w:pPr>
              <w:pStyle w:val="54"/>
              <w:bidi w:val="0"/>
              <w:rPr>
                <w:rFonts w:hint="eastAsia" w:eastAsia="宋体"/>
                <w:color w:val="auto"/>
                <w:lang w:eastAsia="zh-CN"/>
              </w:rPr>
            </w:pPr>
            <w:r>
              <w:rPr>
                <w:rFonts w:hint="default"/>
                <w:color w:val="auto"/>
              </w:rPr>
              <w:t>监测时间：2025</w:t>
            </w:r>
            <w:r>
              <w:rPr>
                <w:rFonts w:hint="eastAsia"/>
                <w:color w:val="auto"/>
                <w:lang w:val="en-US" w:eastAsia="zh-CN"/>
              </w:rPr>
              <w:t>年6月4日~6月7日</w:t>
            </w:r>
            <w:r>
              <w:rPr>
                <w:rFonts w:hint="eastAsia"/>
                <w:color w:val="auto"/>
                <w:lang w:eastAsia="zh-CN"/>
              </w:rPr>
              <w:t>。</w:t>
            </w:r>
          </w:p>
          <w:p>
            <w:pPr>
              <w:pStyle w:val="54"/>
              <w:bidi w:val="0"/>
              <w:rPr>
                <w:rFonts w:hint="default" w:eastAsia="宋体"/>
                <w:color w:val="auto"/>
                <w:lang w:val="en-US" w:eastAsia="zh-CN"/>
              </w:rPr>
            </w:pPr>
            <w:r>
              <w:rPr>
                <w:rFonts w:hint="default"/>
                <w:color w:val="auto"/>
              </w:rPr>
              <w:t>执行标准：《环境空气质量标准》（GB 3095-2012）表2环境空气污染物其他项目浓度限值中二级标准。</w:t>
            </w:r>
          </w:p>
          <w:p>
            <w:pPr>
              <w:widowControl/>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2）评价方法</w:t>
            </w:r>
          </w:p>
          <w:p>
            <w:pPr>
              <w:widowControl/>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根据项目污染源初步调查结果，计算项目排放主要污染物的最大空气浓度占标率</w:t>
            </w:r>
            <w:r>
              <w:rPr>
                <w:color w:val="auto"/>
                <w:sz w:val="24"/>
              </w:rPr>
              <w:t>P</w:t>
            </w:r>
            <w:r>
              <w:rPr>
                <w:color w:val="auto"/>
                <w:sz w:val="24"/>
                <w:vertAlign w:val="subscript"/>
              </w:rPr>
              <w:t>i</w:t>
            </w:r>
            <w:r>
              <w:rPr>
                <w:rFonts w:hint="eastAsia"/>
                <w:color w:val="auto"/>
                <w:sz w:val="24"/>
                <w:vertAlign w:val="baseline"/>
                <w:lang w:eastAsia="zh-CN"/>
              </w:rPr>
              <w:t>（</w:t>
            </w:r>
            <w:r>
              <w:rPr>
                <w:rFonts w:hint="eastAsia"/>
                <w:color w:val="auto"/>
                <w:sz w:val="24"/>
                <w:vertAlign w:val="baseline"/>
                <w:lang w:val="en-US" w:eastAsia="zh-CN"/>
              </w:rPr>
              <w:t>第i个污染物，简称“最大浓度占标率”</w:t>
            </w:r>
            <w:r>
              <w:rPr>
                <w:rFonts w:hint="eastAsia"/>
                <w:color w:val="auto"/>
                <w:sz w:val="24"/>
                <w:vertAlign w:val="baseline"/>
                <w:lang w:eastAsia="zh-CN"/>
              </w:rPr>
              <w:t>），</w:t>
            </w:r>
            <w:r>
              <w:rPr>
                <w:rFonts w:hint="eastAsia"/>
                <w:color w:val="auto"/>
                <w:sz w:val="24"/>
                <w:vertAlign w:val="baseline"/>
                <w:lang w:val="en-US" w:eastAsia="zh-CN"/>
              </w:rPr>
              <w:t>计算公式为：</w:t>
            </w:r>
          </w:p>
          <w:p>
            <w:pPr>
              <w:widowControl/>
              <w:spacing w:line="360" w:lineRule="auto"/>
              <w:jc w:val="center"/>
              <w:rPr>
                <w:color w:val="auto"/>
                <w:sz w:val="24"/>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P</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i</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ρ</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i</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num>
                  <m:den>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ρ</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0i</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den>
                </m:f>
                <m:r>
                  <m:rPr/>
                  <w:rPr>
                    <w:rFonts w:hint="default" w:ascii="Cambria Math" w:hAnsi="Cambria Math" w:cs="Cambria Math"/>
                    <w:color w:val="auto"/>
                    <w:sz w:val="24"/>
                    <w:highlight w:val="none"/>
                    <w:lang w:val="en-US" w:eastAsia="zh-CN"/>
                  </w:rPr>
                  <m:t>×100%</m:t>
                </m:r>
              </m:oMath>
            </m:oMathPara>
          </w:p>
          <w:p>
            <w:pPr>
              <w:pStyle w:val="54"/>
              <w:bidi w:val="0"/>
              <w:rPr>
                <w:rFonts w:hint="default"/>
                <w:color w:val="auto"/>
                <w:lang w:val="en-US" w:eastAsia="zh-CN"/>
              </w:rPr>
            </w:pPr>
            <w:r>
              <w:rPr>
                <w:color w:val="auto"/>
              </w:rPr>
              <w:t>式中：P</w:t>
            </w:r>
            <w:r>
              <w:rPr>
                <w:color w:val="auto"/>
                <w:vertAlign w:val="subscript"/>
              </w:rPr>
              <w:t>i</w:t>
            </w:r>
            <w:r>
              <w:rPr>
                <w:color w:val="auto"/>
              </w:rPr>
              <w:t>—</w:t>
            </w:r>
            <w:r>
              <w:rPr>
                <w:rFonts w:hint="eastAsia"/>
                <w:color w:val="auto"/>
                <w:lang w:val="en-US" w:eastAsia="zh-CN"/>
              </w:rPr>
              <w:t>第i个污染物的最大地面空气质量浓度占标率，%；</w:t>
            </w:r>
          </w:p>
          <w:p>
            <w:pPr>
              <w:pStyle w:val="54"/>
              <w:bidi w:val="0"/>
              <w:ind w:firstLine="1200" w:firstLineChars="500"/>
              <w:rPr>
                <w:color w:val="auto"/>
              </w:rPr>
            </w:pPr>
            <w:r>
              <w:rPr>
                <w:rFonts w:hint="default"/>
                <w:color w:val="auto"/>
              </w:rPr>
              <w:t>ρ</w:t>
            </w:r>
            <w:r>
              <w:rPr>
                <w:color w:val="auto"/>
                <w:vertAlign w:val="subscript"/>
              </w:rPr>
              <w:t>i</w:t>
            </w:r>
            <w:r>
              <w:rPr>
                <w:color w:val="auto"/>
              </w:rPr>
              <w:t>—</w:t>
            </w:r>
            <w:r>
              <w:rPr>
                <w:rFonts w:hint="eastAsia"/>
                <w:color w:val="auto"/>
                <w:lang w:val="en-US" w:eastAsia="zh-CN"/>
              </w:rPr>
              <w:t>采用估算模型计算出的第i个污染物的最大1h地面空气质量浓度</w:t>
            </w:r>
            <w:r>
              <w:rPr>
                <w:color w:val="auto"/>
              </w:rPr>
              <w:t>，μg/m</w:t>
            </w:r>
            <w:r>
              <w:rPr>
                <w:color w:val="auto"/>
                <w:vertAlign w:val="superscript"/>
              </w:rPr>
              <w:t>3</w:t>
            </w:r>
            <w:r>
              <w:rPr>
                <w:color w:val="auto"/>
              </w:rPr>
              <w:t>；</w:t>
            </w:r>
          </w:p>
          <w:p>
            <w:pPr>
              <w:pStyle w:val="54"/>
              <w:bidi w:val="0"/>
              <w:ind w:firstLine="1200" w:firstLineChars="500"/>
              <w:rPr>
                <w:rFonts w:hint="default"/>
                <w:color w:val="auto"/>
                <w:lang w:val="en-US" w:eastAsia="zh-CN"/>
              </w:rPr>
            </w:pPr>
            <w:r>
              <w:rPr>
                <w:rFonts w:hint="default"/>
                <w:color w:val="auto"/>
              </w:rPr>
              <w:t>ρ</w:t>
            </w:r>
            <w:r>
              <w:rPr>
                <w:color w:val="auto"/>
                <w:vertAlign w:val="subscript"/>
              </w:rPr>
              <w:t>0i</w:t>
            </w:r>
            <w:r>
              <w:rPr>
                <w:color w:val="auto"/>
              </w:rPr>
              <w:t>—</w:t>
            </w:r>
            <w:r>
              <w:rPr>
                <w:rFonts w:hint="eastAsia"/>
                <w:color w:val="auto"/>
                <w:lang w:val="en-US" w:eastAsia="zh-CN"/>
              </w:rPr>
              <w:t>第i个污染物的环境空气质量浓度标准</w:t>
            </w:r>
            <w:r>
              <w:rPr>
                <w:color w:val="auto"/>
              </w:rPr>
              <w:t>，μg/m</w:t>
            </w:r>
            <w:r>
              <w:rPr>
                <w:color w:val="auto"/>
                <w:vertAlign w:val="superscript"/>
              </w:rPr>
              <w:t>3</w:t>
            </w:r>
            <w:r>
              <w:rPr>
                <w:color w:val="auto"/>
              </w:rPr>
              <w:t>。</w:t>
            </w:r>
          </w:p>
          <w:p>
            <w:pPr>
              <w:pStyle w:val="54"/>
              <w:bidi w:val="0"/>
              <w:rPr>
                <w:rFonts w:hint="default"/>
                <w:color w:val="auto"/>
                <w:lang w:val="en-US" w:eastAsia="zh-CN"/>
              </w:rPr>
            </w:pPr>
            <w:r>
              <w:rPr>
                <w:rFonts w:hint="eastAsia"/>
                <w:color w:val="auto"/>
                <w:lang w:val="en-US" w:eastAsia="zh-CN"/>
              </w:rPr>
              <w:t>（3）监测结果</w:t>
            </w:r>
          </w:p>
          <w:p>
            <w:pPr>
              <w:pStyle w:val="54"/>
              <w:bidi w:val="0"/>
              <w:rPr>
                <w:rFonts w:hint="default"/>
                <w:color w:val="auto"/>
                <w:lang w:val="en-US" w:eastAsia="zh-CN"/>
              </w:rPr>
            </w:pPr>
            <w:r>
              <w:rPr>
                <w:rFonts w:hint="eastAsia"/>
                <w:color w:val="auto"/>
                <w:lang w:val="en-US" w:eastAsia="zh-CN"/>
              </w:rPr>
              <w:t>本项目特征污染物</w:t>
            </w:r>
            <w:r>
              <w:rPr>
                <w:rFonts w:hint="default"/>
                <w:color w:val="auto"/>
                <w:lang w:val="en-US" w:eastAsia="zh-CN"/>
              </w:rPr>
              <w:t>监测结果统计与评价见表</w:t>
            </w:r>
            <w:r>
              <w:rPr>
                <w:rFonts w:hint="eastAsia"/>
                <w:color w:val="auto"/>
                <w:lang w:val="en-US" w:eastAsia="zh-CN"/>
              </w:rPr>
              <w:t>3-2。</w:t>
            </w:r>
          </w:p>
          <w:p>
            <w:pPr>
              <w:pStyle w:val="50"/>
              <w:bidi w:val="0"/>
              <w:rPr>
                <w:rFonts w:hint="default" w:ascii="Times New Roman" w:hAnsi="Times New Roman" w:eastAsia="黑体" w:cs="Times New Roman"/>
                <w:bCs/>
                <w:color w:val="auto"/>
                <w:szCs w:val="24"/>
              </w:rPr>
            </w:pPr>
            <w:r>
              <w:rPr>
                <w:rFonts w:hint="default"/>
                <w:color w:val="auto"/>
              </w:rPr>
              <w:t>表</w:t>
            </w:r>
            <w:r>
              <w:rPr>
                <w:rFonts w:hint="default"/>
                <w:color w:val="auto"/>
                <w:lang w:val="en-US" w:eastAsia="zh-CN"/>
              </w:rPr>
              <w:t>3-</w:t>
            </w:r>
            <w:r>
              <w:rPr>
                <w:rFonts w:hint="eastAsia"/>
                <w:color w:val="auto"/>
                <w:lang w:val="en-US" w:eastAsia="zh-CN"/>
              </w:rPr>
              <w:t xml:space="preserve">2  </w:t>
            </w:r>
            <w:r>
              <w:rPr>
                <w:rFonts w:hint="default"/>
                <w:color w:val="auto"/>
              </w:rPr>
              <w:t>特征污染物环境质量现状评价表</w:t>
            </w:r>
          </w:p>
          <w:tbl>
            <w:tblPr>
              <w:tblStyle w:val="19"/>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11"/>
              <w:gridCol w:w="1430"/>
              <w:gridCol w:w="591"/>
              <w:gridCol w:w="775"/>
              <w:gridCol w:w="1275"/>
              <w:gridCol w:w="663"/>
              <w:gridCol w:w="621"/>
              <w:gridCol w:w="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tcBorders>
                    <w:tl2br w:val="nil"/>
                    <w:tr2bl w:val="nil"/>
                  </w:tcBorders>
                  <w:noWrap w:val="0"/>
                  <w:vAlign w:val="center"/>
                </w:tcPr>
                <w:p>
                  <w:pPr>
                    <w:pStyle w:val="51"/>
                    <w:bidi w:val="0"/>
                    <w:rPr>
                      <w:rFonts w:hint="default"/>
                      <w:color w:val="auto"/>
                    </w:rPr>
                  </w:pPr>
                  <w:r>
                    <w:rPr>
                      <w:rFonts w:hint="default"/>
                      <w:color w:val="auto"/>
                    </w:rPr>
                    <w:t>监测点位</w:t>
                  </w:r>
                </w:p>
              </w:tc>
              <w:tc>
                <w:tcPr>
                  <w:tcW w:w="2987" w:type="dxa"/>
                  <w:gridSpan w:val="2"/>
                  <w:tcBorders>
                    <w:tl2br w:val="nil"/>
                    <w:tr2bl w:val="nil"/>
                  </w:tcBorders>
                  <w:noWrap w:val="0"/>
                  <w:vAlign w:val="center"/>
                </w:tcPr>
                <w:p>
                  <w:pPr>
                    <w:pStyle w:val="51"/>
                    <w:bidi w:val="0"/>
                    <w:rPr>
                      <w:rFonts w:hint="default"/>
                      <w:color w:val="auto"/>
                    </w:rPr>
                  </w:pPr>
                  <w:r>
                    <w:rPr>
                      <w:rFonts w:hint="default"/>
                      <w:color w:val="auto"/>
                    </w:rPr>
                    <w:t>监测点坐标</w:t>
                  </w:r>
                </w:p>
              </w:tc>
              <w:tc>
                <w:tcPr>
                  <w:tcW w:w="594" w:type="dxa"/>
                  <w:tcBorders>
                    <w:tl2br w:val="nil"/>
                    <w:tr2bl w:val="nil"/>
                  </w:tcBorders>
                  <w:noWrap w:val="0"/>
                  <w:vAlign w:val="center"/>
                </w:tcPr>
                <w:p>
                  <w:pPr>
                    <w:pStyle w:val="51"/>
                    <w:bidi w:val="0"/>
                    <w:rPr>
                      <w:rFonts w:hint="default"/>
                      <w:color w:val="auto"/>
                    </w:rPr>
                  </w:pPr>
                  <w:r>
                    <w:rPr>
                      <w:rFonts w:hint="default"/>
                      <w:color w:val="auto"/>
                    </w:rPr>
                    <w:t>污染物</w:t>
                  </w:r>
                </w:p>
              </w:tc>
              <w:tc>
                <w:tcPr>
                  <w:tcW w:w="775" w:type="dxa"/>
                  <w:tcBorders>
                    <w:tl2br w:val="nil"/>
                    <w:tr2bl w:val="nil"/>
                  </w:tcBorders>
                  <w:noWrap w:val="0"/>
                  <w:vAlign w:val="center"/>
                </w:tcPr>
                <w:p>
                  <w:pPr>
                    <w:pStyle w:val="51"/>
                    <w:bidi w:val="0"/>
                    <w:rPr>
                      <w:rFonts w:hint="default" w:ascii="Times New Roman" w:hAnsi="Times New Roman" w:cs="Times New Roman"/>
                      <w:color w:val="auto"/>
                    </w:rPr>
                  </w:pPr>
                  <w:r>
                    <w:rPr>
                      <w:rFonts w:hint="default" w:ascii="Times New Roman" w:hAnsi="Times New Roman" w:cs="Times New Roman"/>
                      <w:color w:val="auto"/>
                    </w:rPr>
                    <w:t>评价标准</w:t>
                  </w:r>
                  <w:r>
                    <w:rPr>
                      <w:rFonts w:hint="eastAsia" w:ascii="Times New Roman" w:hAnsi="Times New Roman" w:cs="Times New Roman"/>
                      <w:color w:val="auto"/>
                      <w:lang w:val="en-US" w:eastAsia="zh-CN"/>
                    </w:rPr>
                    <w:t>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p>
              </w:tc>
              <w:tc>
                <w:tcPr>
                  <w:tcW w:w="1022" w:type="dxa"/>
                  <w:tcBorders>
                    <w:tl2br w:val="nil"/>
                    <w:tr2bl w:val="nil"/>
                  </w:tcBorders>
                  <w:noWrap w:val="0"/>
                  <w:vAlign w:val="center"/>
                </w:tcPr>
                <w:p>
                  <w:pPr>
                    <w:pStyle w:val="51"/>
                    <w:bidi w:val="0"/>
                    <w:rPr>
                      <w:rFonts w:hint="default" w:ascii="Times New Roman" w:hAnsi="Times New Roman" w:cs="Times New Roman"/>
                      <w:color w:val="auto"/>
                    </w:rPr>
                  </w:pPr>
                  <w:r>
                    <w:rPr>
                      <w:rFonts w:hint="default" w:ascii="Times New Roman" w:hAnsi="Times New Roman" w:cs="Times New Roman"/>
                      <w:color w:val="auto"/>
                    </w:rPr>
                    <w:t>监测浓度</w:t>
                  </w:r>
                  <w:r>
                    <w:rPr>
                      <w:rFonts w:hint="default" w:ascii="Times New Roman" w:hAnsi="Times New Roman" w:cs="Times New Roman"/>
                      <w:color w:val="auto"/>
                      <w:lang w:val="en-US" w:eastAsia="zh-CN"/>
                    </w:rPr>
                    <w:t>范围</w:t>
                  </w:r>
                  <w:r>
                    <w:rPr>
                      <w:rFonts w:hint="eastAsia" w:ascii="Times New Roman" w:hAnsi="Times New Roman" w:cs="Times New Roman"/>
                      <w:color w:val="auto"/>
                      <w:lang w:val="en-US" w:eastAsia="zh-CN"/>
                    </w:rPr>
                    <w:t>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p>
              </w:tc>
              <w:tc>
                <w:tcPr>
                  <w:tcW w:w="677" w:type="dxa"/>
                  <w:tcBorders>
                    <w:tl2br w:val="nil"/>
                    <w:tr2bl w:val="nil"/>
                  </w:tcBorders>
                  <w:noWrap w:val="0"/>
                  <w:vAlign w:val="center"/>
                </w:tcPr>
                <w:p>
                  <w:pPr>
                    <w:pStyle w:val="51"/>
                    <w:bidi w:val="0"/>
                    <w:rPr>
                      <w:rFonts w:hint="default"/>
                      <w:color w:val="auto"/>
                    </w:rPr>
                  </w:pPr>
                  <w:r>
                    <w:rPr>
                      <w:rFonts w:hint="default"/>
                      <w:color w:val="auto"/>
                    </w:rPr>
                    <w:t>最大浓度占标率%</w:t>
                  </w:r>
                </w:p>
              </w:tc>
              <w:tc>
                <w:tcPr>
                  <w:tcW w:w="626" w:type="dxa"/>
                  <w:tcBorders>
                    <w:tl2br w:val="nil"/>
                    <w:tr2bl w:val="nil"/>
                  </w:tcBorders>
                  <w:noWrap w:val="0"/>
                  <w:vAlign w:val="center"/>
                </w:tcPr>
                <w:p>
                  <w:pPr>
                    <w:pStyle w:val="51"/>
                    <w:bidi w:val="0"/>
                    <w:rPr>
                      <w:rFonts w:hint="default"/>
                      <w:color w:val="auto"/>
                    </w:rPr>
                  </w:pPr>
                  <w:r>
                    <w:rPr>
                      <w:rFonts w:hint="default"/>
                      <w:color w:val="auto"/>
                    </w:rPr>
                    <w:t>超标率%</w:t>
                  </w:r>
                </w:p>
              </w:tc>
              <w:tc>
                <w:tcPr>
                  <w:tcW w:w="465" w:type="dxa"/>
                  <w:tcBorders>
                    <w:tl2br w:val="nil"/>
                    <w:tr2bl w:val="nil"/>
                  </w:tcBorders>
                  <w:noWrap w:val="0"/>
                  <w:vAlign w:val="center"/>
                </w:tcPr>
                <w:p>
                  <w:pPr>
                    <w:pStyle w:val="51"/>
                    <w:bidi w:val="0"/>
                    <w:rPr>
                      <w:rFonts w:hint="default"/>
                      <w:color w:val="auto"/>
                    </w:rPr>
                  </w:pPr>
                  <w:r>
                    <w:rPr>
                      <w:rFonts w:hint="default"/>
                      <w:color w:val="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tcBorders>
                    <w:tl2br w:val="nil"/>
                    <w:tr2bl w:val="nil"/>
                  </w:tcBorders>
                  <w:noWrap w:val="0"/>
                  <w:vAlign w:val="center"/>
                </w:tcPr>
                <w:p>
                  <w:pPr>
                    <w:pStyle w:val="51"/>
                    <w:bidi w:val="0"/>
                    <w:rPr>
                      <w:rFonts w:hint="eastAsia" w:eastAsia="宋体"/>
                      <w:color w:val="auto"/>
                      <w:lang w:eastAsia="zh-CN"/>
                    </w:rPr>
                  </w:pPr>
                  <w:r>
                    <w:rPr>
                      <w:rFonts w:hint="eastAsia" w:eastAsia="宋体"/>
                      <w:color w:val="auto"/>
                      <w:lang w:eastAsia="zh-CN"/>
                    </w:rPr>
                    <w:t>项目区下风向</w:t>
                  </w:r>
                </w:p>
              </w:tc>
              <w:tc>
                <w:tcPr>
                  <w:tcW w:w="1482" w:type="dxa"/>
                  <w:tcBorders>
                    <w:tl2br w:val="nil"/>
                    <w:tr2bl w:val="nil"/>
                  </w:tcBorders>
                  <w:noWrap w:val="0"/>
                  <w:vAlign w:val="center"/>
                </w:tcPr>
                <w:p>
                  <w:pPr>
                    <w:pStyle w:val="51"/>
                    <w:bidi w:val="0"/>
                    <w:rPr>
                      <w:rFonts w:hint="default"/>
                      <w:color w:val="auto"/>
                    </w:rPr>
                  </w:pPr>
                  <w:r>
                    <w:rPr>
                      <w:rFonts w:hint="default"/>
                      <w:color w:val="auto"/>
                    </w:rPr>
                    <w:t>经度90.851354</w:t>
                  </w:r>
                </w:p>
              </w:tc>
              <w:tc>
                <w:tcPr>
                  <w:tcW w:w="1505" w:type="dxa"/>
                  <w:tcBorders>
                    <w:tl2br w:val="nil"/>
                    <w:tr2bl w:val="nil"/>
                  </w:tcBorders>
                  <w:noWrap w:val="0"/>
                  <w:vAlign w:val="center"/>
                </w:tcPr>
                <w:p>
                  <w:pPr>
                    <w:pStyle w:val="51"/>
                    <w:bidi w:val="0"/>
                    <w:rPr>
                      <w:rFonts w:hint="default"/>
                      <w:color w:val="auto"/>
                    </w:rPr>
                  </w:pPr>
                  <w:r>
                    <w:rPr>
                      <w:rFonts w:hint="default"/>
                      <w:color w:val="auto"/>
                    </w:rPr>
                    <w:t>纬度40.471608</w:t>
                  </w:r>
                </w:p>
              </w:tc>
              <w:tc>
                <w:tcPr>
                  <w:tcW w:w="594"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TSP</w:t>
                  </w:r>
                </w:p>
              </w:tc>
              <w:tc>
                <w:tcPr>
                  <w:tcW w:w="775"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0.3</w:t>
                  </w:r>
                </w:p>
              </w:tc>
              <w:tc>
                <w:tcPr>
                  <w:tcW w:w="1022"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0.209~0.231</w:t>
                  </w:r>
                </w:p>
              </w:tc>
              <w:tc>
                <w:tcPr>
                  <w:tcW w:w="677"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77</w:t>
                  </w:r>
                </w:p>
              </w:tc>
              <w:tc>
                <w:tcPr>
                  <w:tcW w:w="626"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0</w:t>
                  </w:r>
                </w:p>
              </w:tc>
              <w:tc>
                <w:tcPr>
                  <w:tcW w:w="465" w:type="dxa"/>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达标</w:t>
                  </w:r>
                </w:p>
              </w:tc>
            </w:tr>
          </w:tbl>
          <w:p>
            <w:pPr>
              <w:pStyle w:val="54"/>
              <w:bidi w:val="0"/>
              <w:rPr>
                <w:rFonts w:hint="default" w:eastAsia="宋体"/>
                <w:color w:val="auto"/>
                <w:lang w:val="en-US" w:eastAsia="zh-CN"/>
              </w:rPr>
            </w:pPr>
            <w:r>
              <w:rPr>
                <w:rFonts w:hint="default" w:ascii="Times New Roman" w:hAnsi="Times New Roman" w:eastAsia="宋体" w:cs="Times New Roman"/>
                <w:bCs/>
                <w:color w:val="auto"/>
                <w:sz w:val="24"/>
                <w:szCs w:val="24"/>
              </w:rPr>
              <w:t>由表</w:t>
            </w:r>
            <w:r>
              <w:rPr>
                <w:rFonts w:hint="default" w:ascii="Times New Roman" w:hAnsi="Times New Roman" w:eastAsia="宋体" w:cs="Times New Roman"/>
                <w:bCs/>
                <w:color w:val="auto"/>
                <w:sz w:val="24"/>
                <w:szCs w:val="24"/>
                <w:lang w:val="en-US" w:eastAsia="zh-CN"/>
              </w:rPr>
              <w:t>3-</w:t>
            </w:r>
            <w:r>
              <w:rPr>
                <w:rFonts w:hint="eastAsia" w:cs="Times New Roman"/>
                <w:bCs/>
                <w:color w:val="auto"/>
                <w:sz w:val="24"/>
                <w:szCs w:val="24"/>
                <w:lang w:val="en-US" w:eastAsia="zh-CN"/>
              </w:rPr>
              <w:t>2</w:t>
            </w:r>
            <w:r>
              <w:rPr>
                <w:rFonts w:hint="default" w:ascii="Times New Roman" w:hAnsi="Times New Roman" w:eastAsia="宋体" w:cs="Times New Roman"/>
                <w:bCs/>
                <w:color w:val="auto"/>
                <w:sz w:val="24"/>
                <w:szCs w:val="24"/>
              </w:rPr>
              <w:t>可知，</w:t>
            </w:r>
            <w:r>
              <w:rPr>
                <w:rFonts w:hint="eastAsia" w:cs="Times New Roman"/>
                <w:bCs/>
                <w:color w:val="auto"/>
                <w:sz w:val="24"/>
                <w:szCs w:val="24"/>
                <w:lang w:val="en-US" w:eastAsia="zh-CN"/>
              </w:rPr>
              <w:t>项目区</w:t>
            </w:r>
            <w:r>
              <w:rPr>
                <w:rFonts w:hint="eastAsia"/>
                <w:color w:val="auto"/>
                <w:lang w:val="en-US" w:eastAsia="zh-CN"/>
              </w:rPr>
              <w:t>特征污染物TSP监测浓度满足</w:t>
            </w:r>
            <w:r>
              <w:rPr>
                <w:rFonts w:hint="default"/>
                <w:color w:val="auto"/>
              </w:rPr>
              <w:t>《环境空气质量标准》（GB 3095-2012）表2环境空气污染物其他项目浓度限值中二级标准。</w:t>
            </w:r>
          </w:p>
          <w:p>
            <w:pPr>
              <w:pStyle w:val="54"/>
              <w:bidi w:val="0"/>
              <w:rPr>
                <w:rFonts w:hint="default"/>
                <w:color w:val="auto"/>
              </w:rPr>
            </w:pPr>
            <w:r>
              <w:rPr>
                <w:rFonts w:hint="eastAsia"/>
                <w:b/>
                <w:bCs/>
                <w:color w:val="auto"/>
                <w:lang w:val="en-US" w:eastAsia="zh-CN"/>
              </w:rPr>
              <w:t>二、</w:t>
            </w:r>
            <w:r>
              <w:rPr>
                <w:rFonts w:hint="default"/>
                <w:b/>
                <w:bCs/>
                <w:color w:val="auto"/>
              </w:rPr>
              <w:t>水环境质量现状调查与评价</w:t>
            </w:r>
          </w:p>
          <w:p>
            <w:pPr>
              <w:pStyle w:val="54"/>
              <w:bidi w:val="0"/>
              <w:rPr>
                <w:rFonts w:hint="default"/>
                <w:color w:val="auto"/>
              </w:rPr>
            </w:pPr>
            <w:r>
              <w:rPr>
                <w:rFonts w:hint="eastAsia"/>
                <w:color w:val="auto"/>
                <w:lang w:val="en-US" w:eastAsia="zh-CN"/>
              </w:rPr>
              <w:t>1、</w:t>
            </w:r>
            <w:r>
              <w:rPr>
                <w:rFonts w:hint="default"/>
                <w:color w:val="auto"/>
              </w:rPr>
              <w:t>地表水环境质量现状调查与评价</w:t>
            </w:r>
          </w:p>
          <w:p>
            <w:pPr>
              <w:pStyle w:val="54"/>
              <w:bidi w:val="0"/>
              <w:rPr>
                <w:rFonts w:hint="default"/>
                <w:color w:val="auto"/>
                <w:lang w:val="en-US" w:eastAsia="zh-CN"/>
              </w:rPr>
            </w:pPr>
            <w:r>
              <w:rPr>
                <w:rFonts w:hint="eastAsia"/>
                <w:color w:val="auto"/>
                <w:lang w:val="en-US" w:eastAsia="zh-CN"/>
              </w:rPr>
              <w:t>本项目生活污水排入化粪池定期委托清运处理。本项目所在区域距离地表水较远且无水力联系。</w:t>
            </w:r>
          </w:p>
          <w:p>
            <w:pPr>
              <w:pStyle w:val="54"/>
              <w:bidi w:val="0"/>
              <w:rPr>
                <w:rFonts w:hint="default"/>
                <w:color w:val="auto"/>
              </w:rPr>
            </w:pPr>
            <w:r>
              <w:rPr>
                <w:rFonts w:hint="eastAsia"/>
                <w:color w:val="auto"/>
                <w:lang w:val="en-US" w:eastAsia="zh-CN"/>
              </w:rPr>
              <w:t>2、</w:t>
            </w:r>
            <w:r>
              <w:rPr>
                <w:rFonts w:hint="default"/>
                <w:color w:val="auto"/>
              </w:rPr>
              <w:t>地下水质量调查与评价</w:t>
            </w:r>
          </w:p>
          <w:p>
            <w:pPr>
              <w:pStyle w:val="54"/>
              <w:bidi w:val="0"/>
              <w:rPr>
                <w:rFonts w:hint="default" w:ascii="Times New Roman" w:hAnsi="Times New Roman" w:eastAsia="宋体" w:cs="Times New Roman"/>
                <w:bCs/>
                <w:color w:val="auto"/>
                <w:szCs w:val="24"/>
              </w:rPr>
            </w:pPr>
            <w:r>
              <w:rPr>
                <w:color w:val="auto"/>
              </w:rPr>
              <w:t>根据《建设项目环境影响报告表编制技术指南（污染影响类）（试行）》</w:t>
            </w:r>
            <w:r>
              <w:rPr>
                <w:rFonts w:hint="eastAsia"/>
                <w:color w:val="auto"/>
                <w:lang w:eastAsia="zh-CN"/>
              </w:rPr>
              <w:t>，原则上不开展环境质量现状调查。建设项目存在土壤、地下水环境污染途径的，应结合污染源、保护目标分布情况开展现状调查以留作背景值。本项目不存在地下水污染途径，因此</w:t>
            </w:r>
            <w:r>
              <w:rPr>
                <w:rFonts w:hint="eastAsia"/>
                <w:color w:val="auto"/>
                <w:lang w:val="en-US" w:eastAsia="zh-CN"/>
              </w:rPr>
              <w:t>不进行地下水环境质量现状评价</w:t>
            </w:r>
            <w:r>
              <w:rPr>
                <w:rFonts w:hint="default"/>
                <w:color w:val="auto"/>
                <w:lang w:val="en-US" w:eastAsia="zh-CN"/>
              </w:rPr>
              <w:t>。</w:t>
            </w:r>
          </w:p>
          <w:p>
            <w:pPr>
              <w:pStyle w:val="54"/>
              <w:bidi w:val="0"/>
              <w:rPr>
                <w:rFonts w:hint="default"/>
                <w:color w:val="auto"/>
              </w:rPr>
            </w:pPr>
            <w:r>
              <w:rPr>
                <w:rFonts w:hint="eastAsia"/>
                <w:b/>
                <w:bCs/>
                <w:color w:val="auto"/>
                <w:lang w:val="en-US" w:eastAsia="zh-CN"/>
              </w:rPr>
              <w:t>三、</w:t>
            </w:r>
            <w:r>
              <w:rPr>
                <w:rFonts w:hint="default"/>
                <w:b/>
                <w:bCs/>
                <w:color w:val="auto"/>
              </w:rPr>
              <w:t>声环境质量现状调查与评价</w:t>
            </w:r>
          </w:p>
          <w:p>
            <w:pPr>
              <w:pStyle w:val="54"/>
              <w:bidi w:val="0"/>
              <w:rPr>
                <w:color w:val="auto"/>
              </w:rPr>
            </w:pPr>
            <w:r>
              <w:rPr>
                <w:color w:val="auto"/>
              </w:rPr>
              <w:t>根据《建设项目环境影响报告表编制技术指南（污染影响类）（试行）》本项目</w:t>
            </w:r>
            <w:r>
              <w:rPr>
                <w:rFonts w:hint="eastAsia"/>
                <w:color w:val="auto"/>
                <w:lang w:val="en-US" w:eastAsia="zh-CN"/>
              </w:rPr>
              <w:t>50m范围内无环境敏感目标，</w:t>
            </w:r>
            <w:r>
              <w:rPr>
                <w:color w:val="auto"/>
              </w:rPr>
              <w:t>不开展</w:t>
            </w:r>
            <w:r>
              <w:rPr>
                <w:rFonts w:hint="eastAsia"/>
                <w:color w:val="auto"/>
                <w:lang w:val="en-US" w:eastAsia="zh-CN"/>
              </w:rPr>
              <w:t>声</w:t>
            </w:r>
            <w:r>
              <w:rPr>
                <w:color w:val="auto"/>
              </w:rPr>
              <w:t>环境质量现状调查。</w:t>
            </w:r>
          </w:p>
          <w:p>
            <w:pPr>
              <w:pStyle w:val="54"/>
              <w:bidi w:val="0"/>
              <w:rPr>
                <w:rFonts w:hint="default"/>
                <w:color w:val="auto"/>
              </w:rPr>
            </w:pPr>
            <w:r>
              <w:rPr>
                <w:rFonts w:hint="eastAsia"/>
                <w:b/>
                <w:bCs/>
                <w:color w:val="auto"/>
                <w:lang w:val="en-US" w:eastAsia="zh-CN"/>
              </w:rPr>
              <w:t>四、</w:t>
            </w:r>
            <w:r>
              <w:rPr>
                <w:rFonts w:hint="default"/>
                <w:b/>
                <w:bCs/>
                <w:color w:val="auto"/>
              </w:rPr>
              <w:t>土壤环境质量现状调查与评价</w:t>
            </w:r>
          </w:p>
          <w:p>
            <w:pPr>
              <w:pStyle w:val="54"/>
              <w:bidi w:val="0"/>
              <w:rPr>
                <w:rFonts w:hint="default"/>
                <w:color w:val="auto"/>
                <w:lang w:val="en-US" w:eastAsia="zh-CN"/>
              </w:rPr>
            </w:pPr>
            <w:r>
              <w:rPr>
                <w:color w:val="auto"/>
              </w:rPr>
              <w:t>根据《建设项目环境影响报告表编制技术指南（污染影响类）（试行）》</w:t>
            </w:r>
            <w:r>
              <w:rPr>
                <w:rFonts w:hint="eastAsia"/>
                <w:color w:val="auto"/>
                <w:lang w:eastAsia="zh-CN"/>
              </w:rPr>
              <w:t>，原则上不开展环境质量现状调查。建设项目存在土壤、地下水环境污染途径的，应结合污染源、保护目标分布情况开展现状调查以留作背景值。本项目不存在</w:t>
            </w:r>
            <w:r>
              <w:rPr>
                <w:rFonts w:hint="eastAsia"/>
                <w:color w:val="auto"/>
                <w:lang w:val="en-US" w:eastAsia="zh-CN"/>
              </w:rPr>
              <w:t>土壤</w:t>
            </w:r>
            <w:r>
              <w:rPr>
                <w:rFonts w:hint="eastAsia"/>
                <w:color w:val="auto"/>
                <w:lang w:eastAsia="zh-CN"/>
              </w:rPr>
              <w:t>污染途径，因此未进行</w:t>
            </w:r>
            <w:r>
              <w:rPr>
                <w:rFonts w:hint="eastAsia"/>
                <w:color w:val="auto"/>
                <w:lang w:val="en-US" w:eastAsia="zh-CN"/>
              </w:rPr>
              <w:t>土壤现状</w:t>
            </w:r>
            <w:r>
              <w:rPr>
                <w:rFonts w:hint="eastAsia"/>
                <w:color w:val="auto"/>
                <w:lang w:eastAsia="zh-CN"/>
              </w:rPr>
              <w:t>监测</w:t>
            </w:r>
            <w:r>
              <w:rPr>
                <w:rFonts w:hint="default"/>
                <w:color w:val="auto"/>
                <w:lang w:val="en-US" w:eastAsia="zh-CN"/>
              </w:rPr>
              <w:t>。</w:t>
            </w:r>
          </w:p>
          <w:p>
            <w:pPr>
              <w:pStyle w:val="54"/>
              <w:bidi w:val="0"/>
              <w:rPr>
                <w:rFonts w:hint="default"/>
                <w:color w:val="auto"/>
                <w:lang w:val="en-US" w:eastAsia="zh-CN"/>
              </w:rPr>
            </w:pPr>
            <w:r>
              <w:rPr>
                <w:rFonts w:hint="default"/>
                <w:b/>
                <w:bCs/>
                <w:color w:val="auto"/>
                <w:lang w:val="en-US" w:eastAsia="zh-CN"/>
              </w:rPr>
              <w:t>五、生态环境现状调查与评价</w:t>
            </w:r>
          </w:p>
          <w:p>
            <w:pPr>
              <w:pStyle w:val="54"/>
              <w:bidi w:val="0"/>
              <w:rPr>
                <w:rFonts w:hint="eastAsia" w:cs="Times New Roman"/>
                <w:color w:val="auto"/>
                <w:szCs w:val="24"/>
                <w:lang w:val="en-US" w:eastAsia="zh-CN"/>
              </w:rPr>
            </w:pPr>
            <w:r>
              <w:rPr>
                <w:rFonts w:hint="default"/>
                <w:color w:val="auto"/>
                <w:lang w:val="en-US" w:eastAsia="zh-CN"/>
              </w:rPr>
              <w:t>根据《新疆生态功能区划》，本规划所在区域位于</w:t>
            </w:r>
            <w:r>
              <w:rPr>
                <w:rFonts w:hint="eastAsia"/>
                <w:color w:val="auto"/>
                <w:lang w:val="en-US" w:eastAsia="zh-CN"/>
              </w:rPr>
              <w:t>Ⅲ天山山地温性草原、森林生态区</w:t>
            </w:r>
            <w:r>
              <w:rPr>
                <w:rFonts w:hint="default"/>
                <w:color w:val="auto"/>
                <w:lang w:val="en-US" w:eastAsia="zh-CN"/>
              </w:rPr>
              <w:t>，</w:t>
            </w:r>
            <w:r>
              <w:rPr>
                <w:rFonts w:hint="eastAsia"/>
                <w:color w:val="auto"/>
                <w:lang w:val="en-US" w:eastAsia="zh-CN"/>
              </w:rPr>
              <w:t>Ⅲ</w:t>
            </w:r>
            <w:r>
              <w:rPr>
                <w:rFonts w:hint="eastAsia"/>
                <w:color w:val="auto"/>
                <w:vertAlign w:val="subscript"/>
                <w:lang w:val="en-US" w:eastAsia="zh-CN"/>
              </w:rPr>
              <w:t>4</w:t>
            </w:r>
            <w:r>
              <w:rPr>
                <w:rFonts w:hint="eastAsia"/>
                <w:color w:val="auto"/>
                <w:lang w:val="en-US" w:eastAsia="zh-CN"/>
              </w:rPr>
              <w:t>天山南坡吐鲁番—哈密盆地戈壁荒漠、绿洲农业生态亚区</w:t>
            </w:r>
            <w:r>
              <w:rPr>
                <w:rFonts w:hint="default"/>
                <w:color w:val="auto"/>
                <w:lang w:val="en-US" w:eastAsia="zh-CN"/>
              </w:rPr>
              <w:t>，</w:t>
            </w:r>
            <w:r>
              <w:rPr>
                <w:rFonts w:hint="eastAsia"/>
                <w:color w:val="auto"/>
                <w:lang w:val="en-US" w:eastAsia="zh-CN"/>
              </w:rPr>
              <w:t>嘎顺—南湖戈壁荒漠风蚀敏感生态功能区</w:t>
            </w:r>
            <w:r>
              <w:rPr>
                <w:rFonts w:hint="default"/>
                <w:color w:val="auto"/>
                <w:lang w:val="en-US" w:eastAsia="zh-CN"/>
              </w:rPr>
              <w:t>。</w:t>
            </w:r>
            <w:r>
              <w:rPr>
                <w:rFonts w:hint="eastAsia"/>
                <w:color w:val="auto"/>
                <w:lang w:val="en-US" w:eastAsia="zh-CN"/>
              </w:rPr>
              <w:t>具体见下表3-3。</w:t>
            </w:r>
          </w:p>
          <w:p>
            <w:pPr>
              <w:pStyle w:val="50"/>
              <w:bidi w:val="0"/>
              <w:rPr>
                <w:rFonts w:hint="eastAsia" w:cs="Times New Roman"/>
                <w:b/>
                <w:bCs/>
                <w:color w:val="auto"/>
                <w:szCs w:val="21"/>
                <w:lang w:val="en-US" w:eastAsia="zh-CN"/>
              </w:rPr>
            </w:pPr>
            <w:r>
              <w:rPr>
                <w:rFonts w:hint="eastAsia"/>
                <w:color w:val="auto"/>
                <w:lang w:val="en-US" w:eastAsia="zh-CN"/>
              </w:rPr>
              <w:t>表3-3  项目所在区域生态功能区划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734"/>
              <w:gridCol w:w="5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生态功能分区单元</w:t>
                  </w:r>
                </w:p>
              </w:tc>
              <w:tc>
                <w:tcPr>
                  <w:tcW w:w="108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生态区</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天山山地温性草原、森林生态区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continue"/>
                  <w:tcBorders>
                    <w:tl2br w:val="nil"/>
                    <w:tr2bl w:val="nil"/>
                  </w:tcBorders>
                  <w:vAlign w:val="center"/>
                </w:tcPr>
                <w:p>
                  <w:pPr>
                    <w:pStyle w:val="51"/>
                    <w:bidi w:val="0"/>
                    <w:rPr>
                      <w:rFonts w:hint="default"/>
                      <w:color w:val="auto"/>
                      <w:lang w:val="en-US" w:eastAsia="zh-CN"/>
                    </w:rPr>
                  </w:pPr>
                </w:p>
              </w:tc>
              <w:tc>
                <w:tcPr>
                  <w:tcW w:w="108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生态亚区</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天山南坡吐鲁番—哈密盆地戈壁荒漠、绿洲农业生态亚区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continue"/>
                  <w:tcBorders>
                    <w:tl2br w:val="nil"/>
                    <w:tr2bl w:val="nil"/>
                  </w:tcBorders>
                  <w:vAlign w:val="center"/>
                </w:tcPr>
                <w:p>
                  <w:pPr>
                    <w:pStyle w:val="51"/>
                    <w:bidi w:val="0"/>
                    <w:rPr>
                      <w:rFonts w:hint="default"/>
                      <w:color w:val="auto"/>
                      <w:lang w:val="en-US" w:eastAsia="zh-CN"/>
                    </w:rPr>
                  </w:pPr>
                </w:p>
              </w:tc>
              <w:tc>
                <w:tcPr>
                  <w:tcW w:w="108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生态功能区</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嘎顺—南湖戈壁荒漠风蚀敏感生态功能区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主要生态服务功能</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荒漠化控制、生物多样性维护、矿产资源开发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主要生态环境问题</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风沙危害铁路公路、地表形态破坏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主要生态敏感因子、敏感程度</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生物多样性及其生境高度敏感，土壤侵蚀极度敏感，土地沙漠化轻度敏感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主要保护目标</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保护砾幕、保护野生动植物、保护铁路公路、保护戈壁泉眼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主要保护措施</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减少公路管道工程破坏地表植被、保护矿区生态、铁路公路沿线防风固沙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适宜发展方向</w:t>
                  </w:r>
                </w:p>
              </w:tc>
              <w:tc>
                <w:tcPr>
                  <w:tcW w:w="315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保护荒漠自然景观，维护生态平衡</w:t>
                  </w:r>
                </w:p>
              </w:tc>
            </w:tr>
          </w:tbl>
          <w:p>
            <w:pPr>
              <w:pStyle w:val="54"/>
              <w:bidi w:val="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保护</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目标</w:t>
            </w:r>
          </w:p>
        </w:tc>
        <w:tc>
          <w:tcPr>
            <w:tcW w:w="8190" w:type="dxa"/>
            <w:noWrap w:val="0"/>
            <w:vAlign w:val="center"/>
          </w:tcPr>
          <w:p>
            <w:pPr>
              <w:pStyle w:val="54"/>
              <w:bidi w:val="0"/>
              <w:rPr>
                <w:rFonts w:hint="default"/>
                <w:color w:val="auto"/>
              </w:rPr>
            </w:pPr>
            <w:r>
              <w:rPr>
                <w:rFonts w:hint="eastAsia"/>
                <w:b/>
                <w:bCs/>
                <w:color w:val="auto"/>
                <w:lang w:val="en-US" w:eastAsia="zh-CN"/>
              </w:rPr>
              <w:t>一、</w:t>
            </w:r>
            <w:r>
              <w:rPr>
                <w:rFonts w:hint="default"/>
                <w:b/>
                <w:bCs/>
                <w:color w:val="auto"/>
              </w:rPr>
              <w:t>大气环境</w:t>
            </w:r>
          </w:p>
          <w:p>
            <w:pPr>
              <w:pStyle w:val="54"/>
              <w:bidi w:val="0"/>
              <w:rPr>
                <w:rFonts w:hint="default"/>
                <w:color w:val="auto"/>
              </w:rPr>
            </w:pPr>
            <w:r>
              <w:rPr>
                <w:rFonts w:hint="default"/>
                <w:color w:val="auto"/>
              </w:rPr>
              <w:t>本项目厂界外500m范围内无自然保护区、风景名胜区、居住区、文化区和农村地区中人群较集中的区域，无环境敏感目标。</w:t>
            </w:r>
          </w:p>
          <w:p>
            <w:pPr>
              <w:pStyle w:val="54"/>
              <w:bidi w:val="0"/>
              <w:rPr>
                <w:rFonts w:hint="default"/>
                <w:color w:val="auto"/>
              </w:rPr>
            </w:pPr>
            <w:r>
              <w:rPr>
                <w:rFonts w:hint="eastAsia"/>
                <w:b/>
                <w:bCs/>
                <w:color w:val="auto"/>
                <w:lang w:val="en-US" w:eastAsia="zh-CN"/>
              </w:rPr>
              <w:t>二、</w:t>
            </w:r>
            <w:r>
              <w:rPr>
                <w:rFonts w:hint="default"/>
                <w:b/>
                <w:bCs/>
                <w:color w:val="auto"/>
              </w:rPr>
              <w:t>声环境</w:t>
            </w:r>
          </w:p>
          <w:p>
            <w:pPr>
              <w:pStyle w:val="54"/>
              <w:bidi w:val="0"/>
              <w:rPr>
                <w:rFonts w:hint="default"/>
                <w:color w:val="auto"/>
              </w:rPr>
            </w:pPr>
            <w:r>
              <w:rPr>
                <w:rFonts w:hint="default"/>
                <w:color w:val="auto"/>
              </w:rPr>
              <w:t>本项目厂界外50m范围内无医院、学校、居民区等声环境保护目标。</w:t>
            </w:r>
          </w:p>
          <w:p>
            <w:pPr>
              <w:pStyle w:val="54"/>
              <w:bidi w:val="0"/>
              <w:rPr>
                <w:rFonts w:hint="default"/>
                <w:color w:val="auto"/>
              </w:rPr>
            </w:pPr>
            <w:r>
              <w:rPr>
                <w:rFonts w:hint="eastAsia"/>
                <w:b/>
                <w:bCs/>
                <w:color w:val="auto"/>
                <w:lang w:val="en-US" w:eastAsia="zh-CN"/>
              </w:rPr>
              <w:t>三、</w:t>
            </w:r>
            <w:r>
              <w:rPr>
                <w:rFonts w:hint="default"/>
                <w:b/>
                <w:bCs/>
                <w:color w:val="auto"/>
              </w:rPr>
              <w:t>水环境</w:t>
            </w:r>
          </w:p>
          <w:p>
            <w:pPr>
              <w:pStyle w:val="54"/>
              <w:bidi w:val="0"/>
              <w:rPr>
                <w:rFonts w:hint="default"/>
                <w:color w:val="auto"/>
              </w:rPr>
            </w:pPr>
            <w:r>
              <w:rPr>
                <w:rFonts w:hint="default"/>
                <w:color w:val="auto"/>
              </w:rPr>
              <w:t>本项目厂界外500m范围内无地下水集中式饮用水水源和热水、矿泉水、温泉等特殊地下水资源。无水环境保护目标。</w:t>
            </w:r>
          </w:p>
          <w:p>
            <w:pPr>
              <w:pStyle w:val="54"/>
              <w:bidi w:val="0"/>
              <w:rPr>
                <w:rFonts w:hint="default"/>
                <w:color w:val="auto"/>
              </w:rPr>
            </w:pPr>
            <w:r>
              <w:rPr>
                <w:rFonts w:hint="eastAsia"/>
                <w:b/>
                <w:bCs/>
                <w:color w:val="auto"/>
                <w:lang w:val="en-US" w:eastAsia="zh-CN"/>
              </w:rPr>
              <w:t>四、</w:t>
            </w:r>
            <w:r>
              <w:rPr>
                <w:rFonts w:hint="default"/>
                <w:b/>
                <w:bCs/>
                <w:color w:val="auto"/>
              </w:rPr>
              <w:t>生态环境</w:t>
            </w:r>
          </w:p>
          <w:p>
            <w:pPr>
              <w:pStyle w:val="54"/>
              <w:bidi w:val="0"/>
              <w:rPr>
                <w:rFonts w:hint="default" w:ascii="Times New Roman" w:hAnsi="Times New Roman" w:cs="Times New Roman"/>
                <w:color w:val="auto"/>
                <w:szCs w:val="24"/>
              </w:rPr>
            </w:pPr>
            <w:r>
              <w:rPr>
                <w:rFonts w:hint="default"/>
                <w:color w:val="auto"/>
              </w:rPr>
              <w:t>本项目</w:t>
            </w:r>
            <w:r>
              <w:rPr>
                <w:rFonts w:hint="eastAsia"/>
                <w:color w:val="auto"/>
                <w:lang w:eastAsia="zh-CN"/>
              </w:rPr>
              <w:t>位于新疆巴音郭楞蒙古自治州若羌县罗布泊盐湖罗中生产基地，</w:t>
            </w:r>
            <w:r>
              <w:rPr>
                <w:rFonts w:hint="eastAsia"/>
                <w:color w:val="auto"/>
                <w:lang w:val="en-US" w:eastAsia="zh-CN"/>
              </w:rPr>
              <w:t>为工业用地</w:t>
            </w:r>
            <w:r>
              <w:rPr>
                <w:rFonts w:hint="default"/>
                <w:color w:val="auto"/>
                <w:lang w:val="en-US" w:eastAsia="zh-CN"/>
              </w:rPr>
              <w:t>，</w:t>
            </w:r>
            <w:r>
              <w:rPr>
                <w:rFonts w:hint="eastAsia"/>
                <w:color w:val="auto"/>
                <w:lang w:val="en-US" w:eastAsia="zh-CN"/>
              </w:rPr>
              <w:t>用地</w:t>
            </w:r>
            <w:r>
              <w:rPr>
                <w:rFonts w:hint="default"/>
                <w:color w:val="auto"/>
              </w:rPr>
              <w:t>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物排</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放控</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制标</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准</w:t>
            </w:r>
          </w:p>
        </w:tc>
        <w:tc>
          <w:tcPr>
            <w:tcW w:w="8190" w:type="dxa"/>
            <w:noWrap w:val="0"/>
            <w:vAlign w:val="center"/>
          </w:tcPr>
          <w:p>
            <w:pPr>
              <w:pStyle w:val="54"/>
              <w:bidi w:val="0"/>
              <w:rPr>
                <w:rFonts w:hint="default"/>
                <w:color w:val="auto"/>
                <w:lang w:val="en-US" w:eastAsia="zh-CN"/>
              </w:rPr>
            </w:pPr>
            <w:r>
              <w:rPr>
                <w:rFonts w:hint="eastAsia"/>
                <w:b/>
                <w:bCs/>
                <w:color w:val="auto"/>
                <w:lang w:val="en-US" w:eastAsia="zh-CN"/>
              </w:rPr>
              <w:t>一、</w:t>
            </w:r>
            <w:r>
              <w:rPr>
                <w:rFonts w:hint="default"/>
                <w:b/>
                <w:bCs/>
                <w:color w:val="auto"/>
                <w:lang w:val="en-US" w:eastAsia="zh-CN"/>
              </w:rPr>
              <w:t>废气污染物排放标准</w:t>
            </w:r>
          </w:p>
          <w:p>
            <w:pPr>
              <w:pStyle w:val="54"/>
              <w:bidi w:val="0"/>
              <w:rPr>
                <w:rFonts w:hint="eastAsia" w:cs="Times New Roman"/>
                <w:bCs/>
                <w:color w:val="auto"/>
                <w:szCs w:val="24"/>
                <w:lang w:val="en-US" w:eastAsia="zh-CN"/>
              </w:rPr>
            </w:pPr>
            <w:r>
              <w:rPr>
                <w:rFonts w:hint="eastAsia"/>
                <w:color w:val="auto"/>
                <w:lang w:val="en-US" w:eastAsia="zh-CN"/>
              </w:rPr>
              <w:t>运营期颗粒物执行《大气污染物综合排放标准》（GB 16297-1996）表2新污染源大气污染物排放限值；厂界执行《大气污染物综合排放标准》（GB 16297-1996）表2新污染源大气污染物排放限值。</w:t>
            </w:r>
          </w:p>
          <w:p>
            <w:pPr>
              <w:pStyle w:val="50"/>
              <w:bidi w:val="0"/>
              <w:rPr>
                <w:rFonts w:hint="default" w:ascii="Times New Roman" w:hAnsi="Times New Roman" w:eastAsia="宋体" w:cs="Times New Roman"/>
                <w:b w:val="0"/>
                <w:bCs/>
                <w:snapToGrid w:val="0"/>
                <w:color w:val="auto"/>
                <w:kern w:val="0"/>
                <w:szCs w:val="24"/>
                <w:lang w:val="en-US"/>
              </w:rPr>
            </w:pPr>
            <w:r>
              <w:rPr>
                <w:rFonts w:hint="default"/>
                <w:color w:val="auto"/>
              </w:rPr>
              <w:t>表</w:t>
            </w:r>
            <w:r>
              <w:rPr>
                <w:rFonts w:hint="default"/>
                <w:color w:val="auto"/>
                <w:lang w:val="en-US" w:eastAsia="zh-CN"/>
              </w:rPr>
              <w:t>3-</w:t>
            </w:r>
            <w:r>
              <w:rPr>
                <w:rFonts w:hint="eastAsia"/>
                <w:color w:val="auto"/>
                <w:lang w:val="en-US" w:eastAsia="zh-CN"/>
              </w:rPr>
              <w:t>4  废气排放限值一览表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499"/>
              <w:gridCol w:w="1915"/>
              <w:gridCol w:w="34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类型</w:t>
                  </w:r>
                </w:p>
              </w:tc>
              <w:tc>
                <w:tcPr>
                  <w:tcW w:w="94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污染物名称</w:t>
                  </w:r>
                </w:p>
              </w:tc>
              <w:tc>
                <w:tcPr>
                  <w:tcW w:w="1201"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排放限值（mg/m</w:t>
                  </w:r>
                  <w:r>
                    <w:rPr>
                      <w:rFonts w:hint="eastAsia"/>
                      <w:color w:val="auto"/>
                      <w:vertAlign w:val="superscript"/>
                      <w:lang w:val="en-US" w:eastAsia="zh-CN"/>
                    </w:rPr>
                    <w:t>3</w:t>
                  </w:r>
                  <w:r>
                    <w:rPr>
                      <w:rFonts w:hint="eastAsia"/>
                      <w:color w:val="auto"/>
                      <w:lang w:val="en-US" w:eastAsia="zh-CN"/>
                    </w:rPr>
                    <w:t>）</w:t>
                  </w:r>
                </w:p>
              </w:tc>
              <w:tc>
                <w:tcPr>
                  <w:tcW w:w="2192"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有组织</w:t>
                  </w:r>
                </w:p>
              </w:tc>
              <w:tc>
                <w:tcPr>
                  <w:tcW w:w="94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颗粒物</w:t>
                  </w:r>
                </w:p>
              </w:tc>
              <w:tc>
                <w:tcPr>
                  <w:tcW w:w="120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120</w:t>
                  </w:r>
                </w:p>
              </w:tc>
              <w:tc>
                <w:tcPr>
                  <w:tcW w:w="2192" w:type="pct"/>
                  <w:vMerge w:val="restar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《大气污染物综合排放标准》（GB 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无组织（厂界）</w:t>
                  </w:r>
                </w:p>
              </w:tc>
              <w:tc>
                <w:tcPr>
                  <w:tcW w:w="940" w:type="pct"/>
                  <w:tcBorders>
                    <w:tl2br w:val="nil"/>
                    <w:tr2bl w:val="nil"/>
                  </w:tcBorders>
                  <w:noWrap w:val="0"/>
                  <w:vAlign w:val="center"/>
                </w:tcPr>
                <w:p>
                  <w:pPr>
                    <w:pStyle w:val="51"/>
                    <w:bidi w:val="0"/>
                    <w:rPr>
                      <w:rFonts w:hint="eastAsia"/>
                      <w:color w:val="auto"/>
                      <w:lang w:val="en-US" w:eastAsia="zh-CN"/>
                    </w:rPr>
                  </w:pPr>
                  <w:r>
                    <w:rPr>
                      <w:rFonts w:hint="eastAsia"/>
                      <w:color w:val="auto"/>
                      <w:lang w:val="en-US" w:eastAsia="zh-CN"/>
                    </w:rPr>
                    <w:t>颗粒物</w:t>
                  </w:r>
                </w:p>
              </w:tc>
              <w:tc>
                <w:tcPr>
                  <w:tcW w:w="1201"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1.0</w:t>
                  </w:r>
                </w:p>
              </w:tc>
              <w:tc>
                <w:tcPr>
                  <w:tcW w:w="2192" w:type="pct"/>
                  <w:vMerge w:val="continue"/>
                  <w:tcBorders>
                    <w:tl2br w:val="nil"/>
                    <w:tr2bl w:val="nil"/>
                  </w:tcBorders>
                  <w:noWrap w:val="0"/>
                  <w:vAlign w:val="center"/>
                </w:tcPr>
                <w:p>
                  <w:pPr>
                    <w:pStyle w:val="51"/>
                    <w:bidi w:val="0"/>
                    <w:rPr>
                      <w:rFonts w:hint="eastAsia"/>
                      <w:color w:val="auto"/>
                      <w:lang w:val="en-US" w:eastAsia="zh-CN"/>
                    </w:rPr>
                  </w:pPr>
                </w:p>
              </w:tc>
            </w:tr>
          </w:tbl>
          <w:p>
            <w:pPr>
              <w:pStyle w:val="54"/>
              <w:bidi w:val="0"/>
              <w:rPr>
                <w:rFonts w:hint="eastAsia"/>
                <w:color w:val="auto"/>
                <w:lang w:val="en-US" w:eastAsia="zh-CN"/>
              </w:rPr>
            </w:pPr>
            <w:r>
              <w:rPr>
                <w:rFonts w:hint="eastAsia"/>
                <w:b/>
                <w:bCs/>
                <w:color w:val="auto"/>
                <w:lang w:val="en-US" w:eastAsia="zh-CN"/>
              </w:rPr>
              <w:t>二、废水污染物排放标准</w:t>
            </w:r>
          </w:p>
          <w:p>
            <w:pPr>
              <w:pStyle w:val="54"/>
              <w:bidi w:val="0"/>
              <w:rPr>
                <w:rFonts w:hint="eastAsia"/>
                <w:color w:val="auto"/>
                <w:lang w:val="en-US" w:eastAsia="zh-CN"/>
              </w:rPr>
            </w:pPr>
            <w:r>
              <w:rPr>
                <w:rFonts w:hint="eastAsia"/>
                <w:color w:val="auto"/>
                <w:lang w:val="en-US" w:eastAsia="zh-CN"/>
              </w:rPr>
              <w:t>本项目运营期废水为生活污水。本项目生活废水排入化粪池定期委托清运处理。生活废水执行《农村生活污水处理排放标准》（DB 65 4275-2019）表2C级标准。</w:t>
            </w:r>
          </w:p>
          <w:p>
            <w:pPr>
              <w:pStyle w:val="50"/>
              <w:bidi w:val="0"/>
              <w:rPr>
                <w:rFonts w:hint="default"/>
                <w:color w:val="auto"/>
                <w:lang w:val="en-US" w:eastAsia="zh-CN"/>
              </w:rPr>
            </w:pPr>
            <w:r>
              <w:rPr>
                <w:rFonts w:hint="default"/>
                <w:color w:val="auto"/>
                <w:lang w:eastAsia="zh-CN"/>
              </w:rPr>
              <w:t>表</w:t>
            </w:r>
            <w:r>
              <w:rPr>
                <w:rFonts w:hint="default"/>
                <w:color w:val="auto"/>
                <w:lang w:val="en-US" w:eastAsia="zh-CN"/>
              </w:rPr>
              <w:t>3-</w:t>
            </w:r>
            <w:r>
              <w:rPr>
                <w:rFonts w:hint="eastAsia"/>
                <w:color w:val="auto"/>
                <w:lang w:val="en-US" w:eastAsia="zh-CN"/>
              </w:rPr>
              <w:t>5  废水</w:t>
            </w:r>
            <w:r>
              <w:rPr>
                <w:rFonts w:hint="default"/>
                <w:color w:val="auto"/>
                <w:lang w:val="en-US" w:eastAsia="zh-CN"/>
              </w:rPr>
              <w:t>排放标准</w:t>
            </w:r>
            <w:r>
              <w:rPr>
                <w:rFonts w:hint="eastAsia"/>
                <w:color w:val="auto"/>
                <w:lang w:val="en-US" w:eastAsia="zh-CN"/>
              </w:rPr>
              <w:t xml:space="preserve">  单位：mg/L（除pH外）</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341"/>
              <w:gridCol w:w="1945"/>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污染物</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浓度限值</w:t>
                  </w:r>
                </w:p>
              </w:tc>
              <w:tc>
                <w:tcPr>
                  <w:tcW w:w="122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污染物排放监控位置</w:t>
                  </w:r>
                </w:p>
              </w:tc>
              <w:tc>
                <w:tcPr>
                  <w:tcW w:w="136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pH</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6~9</w:t>
                  </w:r>
                </w:p>
              </w:tc>
              <w:tc>
                <w:tcPr>
                  <w:tcW w:w="1220"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化粪池</w:t>
                  </w:r>
                </w:p>
              </w:tc>
              <w:tc>
                <w:tcPr>
                  <w:tcW w:w="1361"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《农村生活污水处理排放标准》（DB 65 4275-2019）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悬浮物（SS）</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100</w:t>
                  </w:r>
                </w:p>
              </w:tc>
              <w:tc>
                <w:tcPr>
                  <w:tcW w:w="1220" w:type="pct"/>
                  <w:vMerge w:val="continue"/>
                  <w:tcBorders>
                    <w:tl2br w:val="nil"/>
                    <w:tr2bl w:val="nil"/>
                  </w:tcBorders>
                  <w:vAlign w:val="center"/>
                </w:tcPr>
                <w:p>
                  <w:pPr>
                    <w:pStyle w:val="51"/>
                    <w:bidi w:val="0"/>
                    <w:rPr>
                      <w:rFonts w:hint="default"/>
                      <w:color w:val="auto"/>
                      <w:lang w:val="en-US" w:eastAsia="zh-CN"/>
                    </w:rPr>
                  </w:pPr>
                </w:p>
              </w:tc>
              <w:tc>
                <w:tcPr>
                  <w:tcW w:w="1361"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化学需氧量（COD</w:t>
                  </w:r>
                  <w:r>
                    <w:rPr>
                      <w:rFonts w:hint="eastAsia"/>
                      <w:color w:val="auto"/>
                      <w:vertAlign w:val="subscript"/>
                      <w:lang w:val="en-US" w:eastAsia="zh-CN"/>
                    </w:rPr>
                    <w:t>Cr</w:t>
                  </w:r>
                  <w:r>
                    <w:rPr>
                      <w:rFonts w:hint="eastAsia"/>
                      <w:color w:val="auto"/>
                      <w:lang w:val="en-US" w:eastAsia="zh-CN"/>
                    </w:rPr>
                    <w:t>）</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200</w:t>
                  </w:r>
                </w:p>
              </w:tc>
              <w:tc>
                <w:tcPr>
                  <w:tcW w:w="1220" w:type="pct"/>
                  <w:vMerge w:val="continue"/>
                  <w:tcBorders>
                    <w:tl2br w:val="nil"/>
                    <w:tr2bl w:val="nil"/>
                  </w:tcBorders>
                  <w:vAlign w:val="center"/>
                </w:tcPr>
                <w:p>
                  <w:pPr>
                    <w:pStyle w:val="51"/>
                    <w:bidi w:val="0"/>
                    <w:rPr>
                      <w:rFonts w:hint="default"/>
                      <w:color w:val="auto"/>
                      <w:lang w:val="en-US" w:eastAsia="zh-CN"/>
                    </w:rPr>
                  </w:pPr>
                </w:p>
              </w:tc>
              <w:tc>
                <w:tcPr>
                  <w:tcW w:w="1361"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粪大肠菌群（MPN/L）</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40000</w:t>
                  </w:r>
                </w:p>
              </w:tc>
              <w:tc>
                <w:tcPr>
                  <w:tcW w:w="1220" w:type="pct"/>
                  <w:vMerge w:val="continue"/>
                  <w:tcBorders>
                    <w:tl2br w:val="nil"/>
                    <w:tr2bl w:val="nil"/>
                  </w:tcBorders>
                  <w:vAlign w:val="center"/>
                </w:tcPr>
                <w:p>
                  <w:pPr>
                    <w:pStyle w:val="51"/>
                    <w:bidi w:val="0"/>
                    <w:rPr>
                      <w:rFonts w:hint="default"/>
                      <w:color w:val="auto"/>
                      <w:lang w:val="en-US" w:eastAsia="zh-CN"/>
                    </w:rPr>
                  </w:pPr>
                </w:p>
              </w:tc>
              <w:tc>
                <w:tcPr>
                  <w:tcW w:w="1361"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蛔虫卵个数（个/L）</w:t>
                  </w:r>
                </w:p>
              </w:tc>
              <w:tc>
                <w:tcPr>
                  <w:tcW w:w="84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w:t>
                  </w:r>
                </w:p>
              </w:tc>
              <w:tc>
                <w:tcPr>
                  <w:tcW w:w="1220" w:type="pct"/>
                  <w:vMerge w:val="continue"/>
                  <w:tcBorders>
                    <w:tl2br w:val="nil"/>
                    <w:tr2bl w:val="nil"/>
                  </w:tcBorders>
                  <w:vAlign w:val="center"/>
                </w:tcPr>
                <w:p>
                  <w:pPr>
                    <w:pStyle w:val="51"/>
                    <w:bidi w:val="0"/>
                    <w:rPr>
                      <w:rFonts w:hint="default"/>
                      <w:color w:val="auto"/>
                      <w:lang w:val="en-US" w:eastAsia="zh-CN"/>
                    </w:rPr>
                  </w:pPr>
                </w:p>
              </w:tc>
              <w:tc>
                <w:tcPr>
                  <w:tcW w:w="1361" w:type="pct"/>
                  <w:vMerge w:val="continue"/>
                  <w:tcBorders>
                    <w:tl2br w:val="nil"/>
                    <w:tr2bl w:val="nil"/>
                  </w:tcBorders>
                  <w:vAlign w:val="center"/>
                </w:tcPr>
                <w:p>
                  <w:pPr>
                    <w:pStyle w:val="51"/>
                    <w:bidi w:val="0"/>
                    <w:rPr>
                      <w:rFonts w:hint="default"/>
                      <w:color w:val="auto"/>
                      <w:lang w:val="en-US" w:eastAsia="zh-CN"/>
                    </w:rPr>
                  </w:pPr>
                </w:p>
              </w:tc>
            </w:tr>
          </w:tbl>
          <w:p>
            <w:pPr>
              <w:numPr>
                <w:ilvl w:val="0"/>
                <w:numId w:val="0"/>
              </w:numPr>
              <w:wordWrap w:val="0"/>
              <w:adjustRightInd w:val="0"/>
              <w:snapToGrid w:val="0"/>
              <w:spacing w:line="360" w:lineRule="auto"/>
              <w:ind w:firstLine="482" w:firstLineChars="200"/>
              <w:jc w:val="both"/>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三、</w:t>
            </w:r>
            <w:r>
              <w:rPr>
                <w:rFonts w:hint="default" w:ascii="Times New Roman" w:hAnsi="Times New Roman" w:eastAsia="宋体" w:cs="Times New Roman"/>
                <w:b/>
                <w:bCs/>
                <w:color w:val="auto"/>
                <w:sz w:val="24"/>
                <w:szCs w:val="24"/>
                <w:lang w:val="en-US" w:eastAsia="zh-CN"/>
              </w:rPr>
              <w:t>噪声</w:t>
            </w:r>
            <w:r>
              <w:rPr>
                <w:rFonts w:hint="default" w:ascii="Times New Roman" w:hAnsi="Times New Roman" w:eastAsia="宋体" w:cs="Times New Roman"/>
                <w:b/>
                <w:bCs/>
                <w:color w:val="auto"/>
                <w:kern w:val="0"/>
                <w:sz w:val="24"/>
                <w:szCs w:val="24"/>
                <w:lang w:val="en-US" w:eastAsia="zh-CN"/>
              </w:rPr>
              <w:t>排放标准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施工期</w:t>
            </w:r>
            <w:r>
              <w:rPr>
                <w:rFonts w:hint="default" w:ascii="Times New Roman" w:hAnsi="Times New Roman" w:eastAsia="宋体" w:cs="Times New Roman"/>
                <w:color w:val="auto"/>
                <w:sz w:val="24"/>
                <w:szCs w:val="24"/>
                <w:lang w:val="en-US" w:eastAsia="zh-CN"/>
              </w:rPr>
              <w:t>噪声排放执行</w:t>
            </w:r>
            <w:r>
              <w:rPr>
                <w:rFonts w:hint="eastAsia" w:cs="Times New Roman"/>
                <w:color w:val="auto"/>
                <w:sz w:val="24"/>
                <w:szCs w:val="24"/>
                <w:lang w:val="en-US" w:eastAsia="zh-CN"/>
              </w:rPr>
              <w:t>《建设施工场界环境噪声排放标准》（GB12353-2011）表1中排放限值，运营期噪声排放执行</w:t>
            </w:r>
            <w:r>
              <w:rPr>
                <w:rFonts w:hint="default" w:ascii="Times New Roman" w:hAnsi="Times New Roman" w:eastAsia="宋体" w:cs="Times New Roman"/>
                <w:color w:val="auto"/>
                <w:sz w:val="24"/>
                <w:szCs w:val="24"/>
                <w:lang w:val="en-US" w:eastAsia="zh-CN"/>
              </w:rPr>
              <w:t>《工业企业厂界环境噪声排放标准》（GB12348-2008）</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类功能区标准。具体见表3-</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pPr>
              <w:pStyle w:val="50"/>
              <w:bidi w:val="0"/>
              <w:rPr>
                <w:rFonts w:hint="default" w:ascii="Times New Roman" w:hAnsi="Times New Roman" w:eastAsia="宋体" w:cs="Times New Roman"/>
                <w:b w:val="0"/>
                <w:bCs w:val="0"/>
                <w:color w:val="auto"/>
                <w:szCs w:val="24"/>
                <w:lang w:val="en-US" w:eastAsia="zh-CN"/>
              </w:rPr>
            </w:pPr>
            <w:r>
              <w:rPr>
                <w:rFonts w:hint="default"/>
                <w:color w:val="auto"/>
                <w:lang w:eastAsia="zh-CN"/>
              </w:rPr>
              <w:t>表</w:t>
            </w:r>
            <w:r>
              <w:rPr>
                <w:rFonts w:hint="default"/>
                <w:color w:val="auto"/>
                <w:lang w:val="en-US" w:eastAsia="zh-CN"/>
              </w:rPr>
              <w:t>3-</w:t>
            </w:r>
            <w:r>
              <w:rPr>
                <w:rFonts w:hint="eastAsia"/>
                <w:color w:val="auto"/>
                <w:lang w:val="en-US" w:eastAsia="zh-CN"/>
              </w:rPr>
              <w:t xml:space="preserve">6  </w:t>
            </w:r>
            <w:r>
              <w:rPr>
                <w:rFonts w:hint="default"/>
                <w:color w:val="auto"/>
                <w:lang w:val="en-US" w:eastAsia="zh-CN"/>
              </w:rPr>
              <w:t>噪声排放标准</w:t>
            </w:r>
          </w:p>
          <w:tbl>
            <w:tblPr>
              <w:tblStyle w:val="20"/>
              <w:tblW w:w="499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50"/>
              <w:gridCol w:w="955"/>
              <w:gridCol w:w="1344"/>
              <w:gridCol w:w="276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tcBorders>
                    <w:tl2br w:val="nil"/>
                    <w:tr2bl w:val="nil"/>
                  </w:tcBorders>
                  <w:noWrap w:val="0"/>
                  <w:vAlign w:val="center"/>
                </w:tcPr>
                <w:p>
                  <w:pPr>
                    <w:pStyle w:val="51"/>
                    <w:bidi w:val="0"/>
                    <w:rPr>
                      <w:rFonts w:hint="default"/>
                      <w:color w:val="auto"/>
                      <w:lang w:eastAsia="zh-CN"/>
                    </w:rPr>
                  </w:pPr>
                  <w:r>
                    <w:rPr>
                      <w:rFonts w:hint="default"/>
                      <w:color w:val="auto"/>
                      <w:lang w:eastAsia="zh-CN"/>
                    </w:rPr>
                    <w:t>污染源（类型）</w:t>
                  </w:r>
                </w:p>
              </w:tc>
              <w:tc>
                <w:tcPr>
                  <w:tcW w:w="533" w:type="pct"/>
                  <w:tcBorders>
                    <w:tl2br w:val="nil"/>
                    <w:tr2bl w:val="nil"/>
                  </w:tcBorders>
                  <w:noWrap w:val="0"/>
                  <w:vAlign w:val="center"/>
                </w:tcPr>
                <w:p>
                  <w:pPr>
                    <w:pStyle w:val="51"/>
                    <w:bidi w:val="0"/>
                    <w:rPr>
                      <w:rFonts w:hint="default"/>
                      <w:color w:val="auto"/>
                      <w:lang w:eastAsia="zh-CN"/>
                    </w:rPr>
                  </w:pPr>
                  <w:r>
                    <w:rPr>
                      <w:rFonts w:hint="default"/>
                      <w:color w:val="auto"/>
                      <w:lang w:eastAsia="zh-CN"/>
                    </w:rPr>
                    <w:t>污染物</w:t>
                  </w:r>
                </w:p>
              </w:tc>
              <w:tc>
                <w:tcPr>
                  <w:tcW w:w="1442" w:type="pct"/>
                  <w:gridSpan w:val="2"/>
                  <w:tcBorders>
                    <w:tl2br w:val="nil"/>
                    <w:tr2bl w:val="nil"/>
                  </w:tcBorders>
                  <w:noWrap w:val="0"/>
                  <w:vAlign w:val="center"/>
                </w:tcPr>
                <w:p>
                  <w:pPr>
                    <w:pStyle w:val="51"/>
                    <w:bidi w:val="0"/>
                    <w:rPr>
                      <w:rFonts w:hint="default"/>
                      <w:color w:val="auto"/>
                      <w:lang w:eastAsia="zh-CN"/>
                    </w:rPr>
                  </w:pPr>
                  <w:r>
                    <w:rPr>
                      <w:rFonts w:hint="default"/>
                      <w:color w:val="auto"/>
                      <w:lang w:eastAsia="zh-CN"/>
                    </w:rPr>
                    <w:t>污染物排放限值</w:t>
                  </w:r>
                </w:p>
              </w:tc>
              <w:tc>
                <w:tcPr>
                  <w:tcW w:w="1733" w:type="pct"/>
                  <w:tcBorders>
                    <w:tl2br w:val="nil"/>
                    <w:tr2bl w:val="nil"/>
                  </w:tcBorders>
                  <w:noWrap w:val="0"/>
                  <w:vAlign w:val="center"/>
                </w:tcPr>
                <w:p>
                  <w:pPr>
                    <w:pStyle w:val="51"/>
                    <w:bidi w:val="0"/>
                    <w:rPr>
                      <w:rFonts w:hint="default"/>
                      <w:color w:val="auto"/>
                      <w:lang w:eastAsia="zh-CN"/>
                    </w:rPr>
                  </w:pPr>
                  <w:r>
                    <w:rPr>
                      <w:rFonts w:hint="default"/>
                      <w:color w:val="auto"/>
                      <w:lang w:eastAsia="zh-CN"/>
                    </w:rPr>
                    <w:t>标准来源</w:t>
                  </w:r>
                </w:p>
              </w:tc>
              <w:tc>
                <w:tcPr>
                  <w:tcW w:w="622" w:type="pct"/>
                  <w:tcBorders>
                    <w:tl2br w:val="nil"/>
                    <w:tr2bl w:val="nil"/>
                  </w:tcBorders>
                  <w:noWrap w:val="0"/>
                  <w:vAlign w:val="center"/>
                </w:tcPr>
                <w:p>
                  <w:pPr>
                    <w:pStyle w:val="51"/>
                    <w:bidi w:val="0"/>
                    <w:rPr>
                      <w:rFonts w:hint="default"/>
                      <w:color w:val="auto"/>
                      <w:lang w:eastAsia="zh-CN"/>
                    </w:rPr>
                  </w:pPr>
                  <w:r>
                    <w:rPr>
                      <w:rFonts w:hint="default"/>
                      <w:color w:val="auto"/>
                      <w:lang w:eastAsia="zh-CN"/>
                    </w:rPr>
                    <w:t>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施工期噪声</w:t>
                  </w:r>
                </w:p>
              </w:tc>
              <w:tc>
                <w:tcPr>
                  <w:tcW w:w="533"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噪声</w:t>
                  </w:r>
                </w:p>
              </w:tc>
              <w:tc>
                <w:tcPr>
                  <w:tcW w:w="59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昼间</w:t>
                  </w:r>
                </w:p>
              </w:tc>
              <w:tc>
                <w:tcPr>
                  <w:tcW w:w="84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70</w:t>
                  </w:r>
                  <w:r>
                    <w:rPr>
                      <w:rFonts w:hint="default"/>
                      <w:color w:val="auto"/>
                      <w:lang w:val="en-US" w:eastAsia="zh-CN"/>
                    </w:rPr>
                    <w:t>dB（A）</w:t>
                  </w:r>
                </w:p>
              </w:tc>
              <w:tc>
                <w:tcPr>
                  <w:tcW w:w="1733"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eastAsia="zh-CN"/>
                    </w:rPr>
                    <w:t>《</w:t>
                  </w:r>
                  <w:r>
                    <w:rPr>
                      <w:rFonts w:hint="eastAsia"/>
                      <w:color w:val="auto"/>
                      <w:lang w:val="en-US" w:eastAsia="zh-CN"/>
                    </w:rPr>
                    <w:t>建设施工场界环境噪声排放标准</w:t>
                  </w:r>
                  <w:r>
                    <w:rPr>
                      <w:rFonts w:hint="eastAsia"/>
                      <w:color w:val="auto"/>
                      <w:lang w:eastAsia="zh-CN"/>
                    </w:rPr>
                    <w:t>》（</w:t>
                  </w:r>
                  <w:r>
                    <w:rPr>
                      <w:rFonts w:hint="eastAsia"/>
                      <w:color w:val="auto"/>
                      <w:lang w:val="en-US" w:eastAsia="zh-CN"/>
                    </w:rPr>
                    <w:t>GB12353-2001</w:t>
                  </w:r>
                  <w:r>
                    <w:rPr>
                      <w:rFonts w:hint="eastAsia"/>
                      <w:color w:val="auto"/>
                      <w:lang w:eastAsia="zh-CN"/>
                    </w:rPr>
                    <w:t>）</w:t>
                  </w:r>
                  <w:r>
                    <w:rPr>
                      <w:rFonts w:hint="eastAsia"/>
                      <w:color w:val="auto"/>
                      <w:lang w:val="en-US" w:eastAsia="zh-CN"/>
                    </w:rPr>
                    <w:t>表1中排放限值</w:t>
                  </w:r>
                </w:p>
              </w:tc>
              <w:tc>
                <w:tcPr>
                  <w:tcW w:w="622"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厂界外1m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continue"/>
                  <w:tcBorders>
                    <w:tl2br w:val="nil"/>
                    <w:tr2bl w:val="nil"/>
                  </w:tcBorders>
                  <w:noWrap w:val="0"/>
                  <w:vAlign w:val="center"/>
                </w:tcPr>
                <w:p>
                  <w:pPr>
                    <w:pStyle w:val="51"/>
                    <w:bidi w:val="0"/>
                    <w:rPr>
                      <w:rFonts w:hint="default"/>
                      <w:color w:val="auto"/>
                      <w:lang w:eastAsia="zh-CN"/>
                    </w:rPr>
                  </w:pPr>
                </w:p>
              </w:tc>
              <w:tc>
                <w:tcPr>
                  <w:tcW w:w="533" w:type="pct"/>
                  <w:vMerge w:val="continue"/>
                  <w:tcBorders>
                    <w:tl2br w:val="nil"/>
                    <w:tr2bl w:val="nil"/>
                  </w:tcBorders>
                  <w:noWrap w:val="0"/>
                  <w:vAlign w:val="center"/>
                </w:tcPr>
                <w:p>
                  <w:pPr>
                    <w:pStyle w:val="51"/>
                    <w:bidi w:val="0"/>
                    <w:rPr>
                      <w:rFonts w:hint="default"/>
                      <w:color w:val="auto"/>
                      <w:lang w:eastAsia="zh-CN"/>
                    </w:rPr>
                  </w:pPr>
                </w:p>
              </w:tc>
              <w:tc>
                <w:tcPr>
                  <w:tcW w:w="59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夜间</w:t>
                  </w:r>
                </w:p>
              </w:tc>
              <w:tc>
                <w:tcPr>
                  <w:tcW w:w="84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55</w:t>
                  </w:r>
                  <w:r>
                    <w:rPr>
                      <w:rFonts w:hint="default"/>
                      <w:color w:val="auto"/>
                      <w:lang w:val="en-US" w:eastAsia="zh-CN"/>
                    </w:rPr>
                    <w:t>dB（A）</w:t>
                  </w:r>
                </w:p>
              </w:tc>
              <w:tc>
                <w:tcPr>
                  <w:tcW w:w="1733" w:type="pct"/>
                  <w:vMerge w:val="continue"/>
                  <w:tcBorders>
                    <w:tl2br w:val="nil"/>
                    <w:tr2bl w:val="nil"/>
                  </w:tcBorders>
                  <w:noWrap w:val="0"/>
                  <w:vAlign w:val="center"/>
                </w:tcPr>
                <w:p>
                  <w:pPr>
                    <w:pStyle w:val="51"/>
                    <w:bidi w:val="0"/>
                    <w:rPr>
                      <w:rFonts w:hint="default"/>
                      <w:color w:val="auto"/>
                      <w:lang w:eastAsia="zh-CN"/>
                    </w:rPr>
                  </w:pPr>
                </w:p>
              </w:tc>
              <w:tc>
                <w:tcPr>
                  <w:tcW w:w="622" w:type="pct"/>
                  <w:vMerge w:val="continue"/>
                  <w:tcBorders>
                    <w:tl2br w:val="nil"/>
                    <w:tr2bl w:val="nil"/>
                  </w:tcBorders>
                  <w:noWrap w:val="0"/>
                  <w:vAlign w:val="center"/>
                </w:tcPr>
                <w:p>
                  <w:pPr>
                    <w:pStyle w:val="51"/>
                    <w:bidi w:val="0"/>
                    <w:rPr>
                      <w:rFonts w:hint="default"/>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运营期噪声</w:t>
                  </w:r>
                </w:p>
              </w:tc>
              <w:tc>
                <w:tcPr>
                  <w:tcW w:w="533" w:type="pct"/>
                  <w:vMerge w:val="restar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噪声</w:t>
                  </w:r>
                </w:p>
              </w:tc>
              <w:tc>
                <w:tcPr>
                  <w:tcW w:w="59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昼间</w:t>
                  </w:r>
                </w:p>
              </w:tc>
              <w:tc>
                <w:tcPr>
                  <w:tcW w:w="84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60</w:t>
                  </w:r>
                  <w:r>
                    <w:rPr>
                      <w:rFonts w:hint="default"/>
                      <w:color w:val="auto"/>
                      <w:lang w:val="en-US" w:eastAsia="zh-CN"/>
                    </w:rPr>
                    <w:t>dB（A）</w:t>
                  </w:r>
                </w:p>
              </w:tc>
              <w:tc>
                <w:tcPr>
                  <w:tcW w:w="1733" w:type="pct"/>
                  <w:vMerge w:val="restart"/>
                  <w:tcBorders>
                    <w:tl2br w:val="nil"/>
                    <w:tr2bl w:val="nil"/>
                  </w:tcBorders>
                  <w:noWrap w:val="0"/>
                  <w:vAlign w:val="center"/>
                </w:tcPr>
                <w:p>
                  <w:pPr>
                    <w:pStyle w:val="51"/>
                    <w:bidi w:val="0"/>
                    <w:rPr>
                      <w:rFonts w:hint="default"/>
                      <w:color w:val="auto"/>
                      <w:lang w:eastAsia="zh-CN"/>
                    </w:rPr>
                  </w:pPr>
                  <w:r>
                    <w:rPr>
                      <w:rFonts w:hint="default"/>
                      <w:color w:val="auto"/>
                      <w:lang w:eastAsia="zh-CN"/>
                    </w:rPr>
                    <w:t>《工业企业厂界环境噪声排放标准》（</w:t>
                  </w:r>
                  <w:r>
                    <w:rPr>
                      <w:rFonts w:hint="default"/>
                      <w:color w:val="auto"/>
                      <w:lang w:val="en-US" w:eastAsia="zh-CN"/>
                    </w:rPr>
                    <w:t>GB12348-2008</w:t>
                  </w:r>
                  <w:r>
                    <w:rPr>
                      <w:rFonts w:hint="default"/>
                      <w:color w:val="auto"/>
                      <w:lang w:eastAsia="zh-CN"/>
                    </w:rPr>
                    <w:t>）</w:t>
                  </w:r>
                  <w:r>
                    <w:rPr>
                      <w:rFonts w:hint="eastAsia"/>
                      <w:color w:val="auto"/>
                      <w:lang w:val="en-US" w:eastAsia="zh-CN"/>
                    </w:rPr>
                    <w:t>2</w:t>
                  </w:r>
                  <w:r>
                    <w:rPr>
                      <w:rFonts w:hint="default"/>
                      <w:color w:val="auto"/>
                      <w:lang w:val="en-US" w:eastAsia="zh-CN"/>
                    </w:rPr>
                    <w:t>类功能区</w:t>
                  </w:r>
                </w:p>
              </w:tc>
              <w:tc>
                <w:tcPr>
                  <w:tcW w:w="622" w:type="pct"/>
                  <w:vMerge w:val="continue"/>
                  <w:tcBorders>
                    <w:tl2br w:val="nil"/>
                    <w:tr2bl w:val="nil"/>
                  </w:tcBorders>
                  <w:noWrap w:val="0"/>
                  <w:vAlign w:val="center"/>
                </w:tcPr>
                <w:p>
                  <w:pPr>
                    <w:pStyle w:val="51"/>
                    <w:bidi w:val="0"/>
                    <w:rPr>
                      <w:rFonts w:hint="default"/>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continue"/>
                  <w:tcBorders>
                    <w:tl2br w:val="nil"/>
                    <w:tr2bl w:val="nil"/>
                  </w:tcBorders>
                  <w:noWrap w:val="0"/>
                  <w:vAlign w:val="center"/>
                </w:tcPr>
                <w:p>
                  <w:pPr>
                    <w:pStyle w:val="51"/>
                    <w:bidi w:val="0"/>
                    <w:rPr>
                      <w:rFonts w:hint="default"/>
                      <w:color w:val="auto"/>
                      <w:lang w:eastAsia="zh-CN"/>
                    </w:rPr>
                  </w:pPr>
                </w:p>
              </w:tc>
              <w:tc>
                <w:tcPr>
                  <w:tcW w:w="533" w:type="pct"/>
                  <w:vMerge w:val="continue"/>
                  <w:tcBorders>
                    <w:tl2br w:val="nil"/>
                    <w:tr2bl w:val="nil"/>
                  </w:tcBorders>
                  <w:noWrap w:val="0"/>
                  <w:vAlign w:val="center"/>
                </w:tcPr>
                <w:p>
                  <w:pPr>
                    <w:pStyle w:val="51"/>
                    <w:bidi w:val="0"/>
                    <w:rPr>
                      <w:rFonts w:hint="default"/>
                      <w:color w:val="auto"/>
                      <w:lang w:eastAsia="zh-CN"/>
                    </w:rPr>
                  </w:pPr>
                </w:p>
              </w:tc>
              <w:tc>
                <w:tcPr>
                  <w:tcW w:w="599"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夜间</w:t>
                  </w:r>
                </w:p>
              </w:tc>
              <w:tc>
                <w:tcPr>
                  <w:tcW w:w="843" w:type="pct"/>
                  <w:tcBorders>
                    <w:tl2br w:val="nil"/>
                    <w:tr2bl w:val="nil"/>
                  </w:tcBorders>
                  <w:noWrap w:val="0"/>
                  <w:vAlign w:val="center"/>
                </w:tcPr>
                <w:p>
                  <w:pPr>
                    <w:pStyle w:val="51"/>
                    <w:bidi w:val="0"/>
                    <w:rPr>
                      <w:rFonts w:hint="default"/>
                      <w:color w:val="auto"/>
                      <w:lang w:val="en-US" w:eastAsia="zh-CN"/>
                    </w:rPr>
                  </w:pPr>
                  <w:r>
                    <w:rPr>
                      <w:rFonts w:hint="eastAsia"/>
                      <w:color w:val="auto"/>
                      <w:lang w:val="en-US" w:eastAsia="zh-CN"/>
                    </w:rPr>
                    <w:t>50</w:t>
                  </w:r>
                  <w:r>
                    <w:rPr>
                      <w:rFonts w:hint="default"/>
                      <w:color w:val="auto"/>
                      <w:lang w:val="en-US" w:eastAsia="zh-CN"/>
                    </w:rPr>
                    <w:t>dB（A）</w:t>
                  </w:r>
                </w:p>
              </w:tc>
              <w:tc>
                <w:tcPr>
                  <w:tcW w:w="1733" w:type="pct"/>
                  <w:vMerge w:val="continue"/>
                  <w:tcBorders>
                    <w:tl2br w:val="nil"/>
                    <w:tr2bl w:val="nil"/>
                  </w:tcBorders>
                  <w:noWrap w:val="0"/>
                  <w:vAlign w:val="center"/>
                </w:tcPr>
                <w:p>
                  <w:pPr>
                    <w:pStyle w:val="51"/>
                    <w:bidi w:val="0"/>
                    <w:rPr>
                      <w:rFonts w:hint="default"/>
                      <w:color w:val="auto"/>
                      <w:lang w:eastAsia="zh-CN"/>
                    </w:rPr>
                  </w:pPr>
                </w:p>
              </w:tc>
              <w:tc>
                <w:tcPr>
                  <w:tcW w:w="622" w:type="pct"/>
                  <w:vMerge w:val="continue"/>
                  <w:tcBorders>
                    <w:tl2br w:val="nil"/>
                    <w:tr2bl w:val="nil"/>
                  </w:tcBorders>
                  <w:noWrap w:val="0"/>
                  <w:vAlign w:val="center"/>
                </w:tcPr>
                <w:p>
                  <w:pPr>
                    <w:pStyle w:val="51"/>
                    <w:bidi w:val="0"/>
                    <w:rPr>
                      <w:rFonts w:hint="default"/>
                      <w:color w:val="auto"/>
                      <w:lang w:eastAsia="zh-CN"/>
                    </w:rPr>
                  </w:pPr>
                </w:p>
              </w:tc>
            </w:tr>
          </w:tbl>
          <w:p>
            <w:pPr>
              <w:adjustRightInd w:val="0"/>
              <w:snapToGrid w:val="0"/>
              <w:spacing w:line="360" w:lineRule="auto"/>
              <w:ind w:firstLine="482" w:firstLineChars="200"/>
              <w:rPr>
                <w:rFonts w:hint="default"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四、</w:t>
            </w:r>
            <w:r>
              <w:rPr>
                <w:rFonts w:hint="default" w:ascii="Times New Roman" w:hAnsi="Times New Roman" w:eastAsia="宋体" w:cs="Times New Roman"/>
                <w:b/>
                <w:bCs w:val="0"/>
                <w:color w:val="auto"/>
                <w:sz w:val="24"/>
                <w:szCs w:val="24"/>
                <w:lang w:val="en-US" w:eastAsia="zh-CN"/>
              </w:rPr>
              <w:t>固废</w:t>
            </w:r>
          </w:p>
          <w:p>
            <w:pPr>
              <w:adjustRightInd w:val="0"/>
              <w:snapToGrid w:val="0"/>
              <w:spacing w:line="360" w:lineRule="auto"/>
              <w:ind w:firstLine="480" w:firstLineChars="200"/>
              <w:rPr>
                <w:rFonts w:hint="eastAsia" w:cs="Times New Roman"/>
                <w:bCs/>
                <w:color w:val="auto"/>
                <w:sz w:val="24"/>
                <w:szCs w:val="24"/>
                <w:lang w:val="en-US" w:eastAsia="zh-CN"/>
              </w:rPr>
            </w:pPr>
            <w:r>
              <w:rPr>
                <w:rFonts w:hint="eastAsia" w:cs="Times New Roman"/>
                <w:bCs/>
                <w:color w:val="auto"/>
                <w:sz w:val="24"/>
                <w:szCs w:val="24"/>
                <w:lang w:val="en-US" w:eastAsia="zh-CN"/>
              </w:rPr>
              <w:t>1、本项目产生的一般工业固体废物贮存执行《一般工业固体废物贮存和填埋污染控制标准》（GB18599-2020）相关要求。</w:t>
            </w:r>
          </w:p>
          <w:p>
            <w:pPr>
              <w:adjustRightInd w:val="0"/>
              <w:snapToGrid w:val="0"/>
              <w:spacing w:line="360" w:lineRule="auto"/>
              <w:ind w:firstLine="480" w:firstLineChars="200"/>
              <w:rPr>
                <w:rFonts w:hint="default" w:cs="Times New Roman"/>
                <w:bCs/>
                <w:color w:val="auto"/>
                <w:sz w:val="24"/>
                <w:szCs w:val="24"/>
                <w:lang w:val="en-US" w:eastAsia="zh-CN"/>
              </w:rPr>
            </w:pPr>
            <w:r>
              <w:rPr>
                <w:rFonts w:hint="eastAsia" w:cs="Times New Roman"/>
                <w:bCs/>
                <w:color w:val="auto"/>
                <w:sz w:val="24"/>
                <w:szCs w:val="24"/>
                <w:lang w:val="en-US" w:eastAsia="zh-CN"/>
              </w:rPr>
              <w:t>2、本项目产生的危险废物贮存执行《危险废物贮存污染控制标准》（GB 18597-2023）相关要求。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指标</w:t>
            </w:r>
          </w:p>
        </w:tc>
        <w:tc>
          <w:tcPr>
            <w:tcW w:w="8190" w:type="dxa"/>
            <w:noWrap w:val="0"/>
            <w:vAlign w:val="center"/>
          </w:tcPr>
          <w:p>
            <w:pPr>
              <w:pStyle w:val="54"/>
              <w:bidi w:val="0"/>
              <w:rPr>
                <w:rFonts w:hint="eastAsia"/>
                <w:color w:val="auto"/>
                <w:lang w:val="en-US" w:eastAsia="zh-CN"/>
              </w:rPr>
            </w:pPr>
            <w:r>
              <w:rPr>
                <w:rFonts w:hint="eastAsia"/>
                <w:color w:val="auto"/>
                <w:lang w:val="en-US" w:eastAsia="zh-CN"/>
              </w:rPr>
              <w:t>根据国家规定的总量控制污染物种类，综合考虑本项目的排污特点和所在区域的环境质量现状等因素，本项目总量控制指标颗粒物：有组织排放量为6.063t/a。</w:t>
            </w:r>
          </w:p>
          <w:p>
            <w:pPr>
              <w:pStyle w:val="54"/>
              <w:bidi w:val="0"/>
              <w:rPr>
                <w:rFonts w:hint="eastAsia"/>
                <w:color w:val="auto"/>
                <w:lang w:val="en-US" w:eastAsia="zh-CN"/>
              </w:rPr>
            </w:pPr>
            <w:r>
              <w:rPr>
                <w:rFonts w:hint="eastAsia"/>
                <w:color w:val="auto"/>
                <w:lang w:val="en-US" w:eastAsia="zh-CN"/>
              </w:rPr>
              <w:t>上述建议值可作为生态环境管理部门制定企业污染物排放总量控制指标的参考，总体总量控制指标由生态环境管理部门确定。</w:t>
            </w: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eastAsia" w:cs="Times New Roman"/>
                <w:bCs/>
                <w:color w:val="auto"/>
                <w:sz w:val="24"/>
                <w:szCs w:val="24"/>
                <w:lang w:val="en-US" w:eastAsia="zh-CN"/>
              </w:rPr>
            </w:pPr>
          </w:p>
          <w:p>
            <w:pPr>
              <w:pStyle w:val="26"/>
              <w:rPr>
                <w:rFonts w:hint="default" w:cs="Times New Roman"/>
                <w:bCs/>
                <w:color w:val="auto"/>
                <w:sz w:val="24"/>
                <w:szCs w:val="24"/>
                <w:lang w:val="en-US" w:eastAsia="zh-CN"/>
              </w:rPr>
            </w:pPr>
          </w:p>
        </w:tc>
      </w:tr>
    </w:tbl>
    <w:p>
      <w:pPr>
        <w:pStyle w:val="17"/>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6"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期环</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境保</w:t>
            </w:r>
          </w:p>
          <w:p>
            <w:pPr>
              <w:pStyle w:val="17"/>
              <w:adjustRightInd w:val="0"/>
              <w:snapToGrid w:val="0"/>
              <w:spacing w:before="0" w:beforeAutospacing="0" w:after="0" w:afterAutospacing="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护措</w:t>
            </w:r>
          </w:p>
          <w:p>
            <w:pPr>
              <w:pStyle w:val="17"/>
              <w:adjustRightInd w:val="0"/>
              <w:snapToGrid w:val="0"/>
              <w:spacing w:before="0" w:beforeAutospacing="0" w:after="0" w:afterAutospacing="0"/>
              <w:jc w:val="center"/>
              <w:rPr>
                <w:rFonts w:hint="default" w:ascii="Times New Roman" w:hAnsi="Times New Roman" w:cs="Times New Roman"/>
                <w:bCs/>
                <w:color w:val="auto"/>
                <w:kern w:val="2"/>
                <w:sz w:val="24"/>
                <w:szCs w:val="24"/>
              </w:rPr>
            </w:pPr>
            <w:r>
              <w:rPr>
                <w:rFonts w:hint="default" w:ascii="Times New Roman" w:hAnsi="Times New Roman" w:cs="Times New Roman"/>
                <w:color w:val="auto"/>
                <w:kern w:val="2"/>
                <w:sz w:val="24"/>
                <w:szCs w:val="24"/>
              </w:rPr>
              <w:t>施</w:t>
            </w:r>
          </w:p>
        </w:tc>
        <w:tc>
          <w:tcPr>
            <w:tcW w:w="8162" w:type="dxa"/>
            <w:noWrap w:val="0"/>
            <w:vAlign w:val="center"/>
          </w:tcPr>
          <w:p>
            <w:pPr>
              <w:pStyle w:val="54"/>
              <w:bidi w:val="0"/>
              <w:rPr>
                <w:rFonts w:hint="default"/>
                <w:color w:val="auto"/>
                <w:lang w:val="en-US" w:eastAsia="zh-CN"/>
              </w:rPr>
            </w:pPr>
            <w:r>
              <w:rPr>
                <w:rFonts w:hint="default"/>
                <w:b/>
                <w:bCs/>
                <w:color w:val="auto"/>
                <w:lang w:val="en-US" w:eastAsia="zh-CN"/>
              </w:rPr>
              <w:t>一、施工期大气环境保护措施</w:t>
            </w:r>
          </w:p>
          <w:p>
            <w:pPr>
              <w:pStyle w:val="54"/>
              <w:bidi w:val="0"/>
              <w:rPr>
                <w:rFonts w:hint="default"/>
                <w:color w:val="auto"/>
              </w:rPr>
            </w:pPr>
            <w:r>
              <w:rPr>
                <w:rFonts w:hint="eastAsia"/>
                <w:color w:val="auto"/>
                <w:lang w:val="en-US" w:eastAsia="zh-CN"/>
              </w:rPr>
              <w:t>施工期对</w:t>
            </w:r>
            <w:r>
              <w:rPr>
                <w:rFonts w:hint="default"/>
                <w:color w:val="auto"/>
              </w:rPr>
              <w:t>大气环境</w:t>
            </w:r>
            <w:r>
              <w:rPr>
                <w:rFonts w:hint="eastAsia"/>
                <w:color w:val="auto"/>
                <w:lang w:val="en-US" w:eastAsia="zh-CN"/>
              </w:rPr>
              <w:t>的</w:t>
            </w:r>
            <w:r>
              <w:rPr>
                <w:rFonts w:hint="default"/>
                <w:color w:val="auto"/>
              </w:rPr>
              <w:t>影响主要有：施工车辆产生</w:t>
            </w:r>
            <w:r>
              <w:rPr>
                <w:rFonts w:hint="eastAsia"/>
                <w:color w:val="auto"/>
                <w:lang w:val="en-US" w:eastAsia="zh-CN"/>
              </w:rPr>
              <w:t>的</w:t>
            </w:r>
            <w:r>
              <w:rPr>
                <w:rFonts w:hint="default"/>
                <w:color w:val="auto"/>
              </w:rPr>
              <w:t>扬尘污染</w:t>
            </w:r>
            <w:r>
              <w:rPr>
                <w:rFonts w:hint="eastAsia"/>
                <w:color w:val="auto"/>
                <w:lang w:val="en-US" w:eastAsia="zh-CN"/>
              </w:rPr>
              <w:t>、</w:t>
            </w:r>
            <w:r>
              <w:rPr>
                <w:rFonts w:hint="default"/>
                <w:color w:val="auto"/>
              </w:rPr>
              <w:t>施工材料在有风的天气产生</w:t>
            </w:r>
            <w:r>
              <w:rPr>
                <w:rFonts w:hint="eastAsia"/>
                <w:color w:val="auto"/>
                <w:lang w:val="en-US" w:eastAsia="zh-CN"/>
              </w:rPr>
              <w:t>的</w:t>
            </w:r>
            <w:r>
              <w:rPr>
                <w:rFonts w:hint="default"/>
                <w:color w:val="auto"/>
              </w:rPr>
              <w:t>扬尘污染。</w:t>
            </w:r>
          </w:p>
          <w:p>
            <w:pPr>
              <w:pStyle w:val="54"/>
              <w:bidi w:val="0"/>
              <w:rPr>
                <w:rFonts w:hint="default"/>
                <w:color w:val="auto"/>
                <w:lang w:val="en-US" w:eastAsia="zh-CN"/>
              </w:rPr>
            </w:pPr>
            <w:r>
              <w:rPr>
                <w:rFonts w:hint="eastAsia"/>
                <w:color w:val="auto"/>
                <w:lang w:val="en-US" w:eastAsia="zh-CN"/>
              </w:rPr>
              <w:t>建设单位应在施工期采取以下相应措施：</w:t>
            </w:r>
          </w:p>
          <w:p>
            <w:pPr>
              <w:pStyle w:val="54"/>
              <w:bidi w:val="0"/>
              <w:rPr>
                <w:rFonts w:hint="default"/>
                <w:color w:val="auto"/>
                <w:lang w:val="en-US" w:eastAsia="zh-CN"/>
              </w:rPr>
            </w:pPr>
            <w:r>
              <w:rPr>
                <w:rFonts w:hint="eastAsia"/>
                <w:color w:val="auto"/>
                <w:lang w:val="en-US" w:eastAsia="zh-CN"/>
              </w:rPr>
              <w:t>1、对施工用地边界设置施工围挡。</w:t>
            </w:r>
          </w:p>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、土石方及散装物料装卸应尽可能降低落差、轻装慢卸，并在背风面进行，车辆应覆盖篷布</w:t>
            </w:r>
            <w:r>
              <w:rPr>
                <w:rFonts w:hint="eastAsia"/>
                <w:color w:val="auto"/>
                <w:lang w:val="en-US" w:eastAsia="zh-CN"/>
              </w:rPr>
              <w:t>，</w:t>
            </w:r>
            <w:r>
              <w:rPr>
                <w:rFonts w:hint="default"/>
                <w:color w:val="auto"/>
              </w:rPr>
              <w:t>慢速行驶</w:t>
            </w:r>
            <w:r>
              <w:rPr>
                <w:rFonts w:hint="default"/>
                <w:color w:val="auto"/>
                <w:lang w:val="en-US" w:eastAsia="zh-CN"/>
              </w:rPr>
              <w:t>。</w:t>
            </w:r>
          </w:p>
          <w:p>
            <w:pPr>
              <w:pStyle w:val="54"/>
              <w:bidi w:val="0"/>
              <w:rPr>
                <w:rFonts w:hint="default"/>
                <w:color w:val="auto"/>
                <w:lang w:val="en-US" w:eastAsia="zh-CN"/>
              </w:rPr>
            </w:pPr>
            <w:r>
              <w:rPr>
                <w:rFonts w:hint="eastAsia"/>
                <w:color w:val="auto"/>
                <w:lang w:val="en-US" w:eastAsia="zh-CN"/>
              </w:rPr>
              <w:t>3、施工场地、施工道路每天洒水4~5次，并及时清扫道路，碾压或覆盖裸露地表。</w:t>
            </w:r>
          </w:p>
          <w:p>
            <w:pPr>
              <w:pStyle w:val="54"/>
              <w:bidi w:val="0"/>
              <w:rPr>
                <w:rFonts w:hint="eastAsia"/>
                <w:color w:val="auto"/>
                <w:lang w:val="en-US" w:eastAsia="zh-CN"/>
              </w:rPr>
            </w:pPr>
            <w:r>
              <w:rPr>
                <w:rFonts w:hint="eastAsia"/>
                <w:color w:val="auto"/>
                <w:lang w:val="en-US" w:eastAsia="zh-CN"/>
              </w:rPr>
              <w:t>4、易起尘物料应尽可能避免露天堆放，若露天堆放应加以覆盖。</w:t>
            </w:r>
          </w:p>
          <w:p>
            <w:pPr>
              <w:pStyle w:val="54"/>
              <w:bidi w:val="0"/>
              <w:rPr>
                <w:rFonts w:hint="eastAsia"/>
                <w:color w:val="auto"/>
                <w:lang w:val="en-US" w:eastAsia="zh-CN"/>
              </w:rPr>
            </w:pPr>
            <w:r>
              <w:rPr>
                <w:rFonts w:hint="eastAsia"/>
                <w:color w:val="auto"/>
                <w:lang w:val="en-US" w:eastAsia="zh-CN"/>
              </w:rPr>
              <w:t>5、对于开挖和回填区域应在作业完成后及时压实地面，临时性使用完毕后，应恢复植被，可以有效防止交通扬尘和自然扬尘。</w:t>
            </w:r>
          </w:p>
          <w:p>
            <w:pPr>
              <w:pStyle w:val="54"/>
              <w:bidi w:val="0"/>
              <w:rPr>
                <w:rFonts w:hint="eastAsia"/>
                <w:color w:val="auto"/>
                <w:lang w:val="en-US" w:eastAsia="zh-CN"/>
              </w:rPr>
            </w:pPr>
            <w:r>
              <w:rPr>
                <w:rFonts w:hint="eastAsia"/>
                <w:color w:val="auto"/>
                <w:lang w:val="en-US" w:eastAsia="zh-CN"/>
              </w:rPr>
              <w:t>6、合理安排施工设备工作时间，并使用清洁燃油，减少施工设备废气的影响。</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扬尘污染</w:t>
            </w:r>
            <w:r>
              <w:rPr>
                <w:rFonts w:hint="default"/>
                <w:color w:val="auto"/>
                <w:lang w:val="en-US" w:eastAsia="zh-CN"/>
              </w:rPr>
              <w:t>对施工现场周围的环境影响较小，伴随施工期的结束也将结束。</w:t>
            </w:r>
          </w:p>
          <w:p>
            <w:pPr>
              <w:pStyle w:val="54"/>
              <w:bidi w:val="0"/>
              <w:rPr>
                <w:rFonts w:hint="default"/>
                <w:color w:val="auto"/>
                <w:lang w:val="en-US" w:eastAsia="zh-CN"/>
              </w:rPr>
            </w:pPr>
            <w:r>
              <w:rPr>
                <w:rFonts w:hint="eastAsia"/>
                <w:b/>
                <w:bCs/>
                <w:color w:val="auto"/>
                <w:lang w:val="en-US" w:eastAsia="zh-CN"/>
              </w:rPr>
              <w:t>二、施工期水环境保护措施</w:t>
            </w:r>
          </w:p>
          <w:p>
            <w:pPr>
              <w:pStyle w:val="54"/>
              <w:bidi w:val="0"/>
              <w:rPr>
                <w:rFonts w:hint="eastAsia"/>
                <w:color w:val="auto"/>
                <w:lang w:eastAsia="zh-CN"/>
              </w:rPr>
            </w:pPr>
            <w:r>
              <w:rPr>
                <w:rFonts w:hint="eastAsia"/>
                <w:color w:val="auto"/>
                <w:lang w:val="en-US" w:eastAsia="zh-CN"/>
              </w:rPr>
              <w:t>施工期</w:t>
            </w:r>
            <w:r>
              <w:rPr>
                <w:rFonts w:hint="default"/>
                <w:color w:val="auto"/>
              </w:rPr>
              <w:t>对水环境的影响主要有</w:t>
            </w:r>
            <w:r>
              <w:rPr>
                <w:rFonts w:hint="eastAsia"/>
                <w:color w:val="auto"/>
                <w:lang w:eastAsia="zh-CN"/>
              </w:rPr>
              <w:t>：</w:t>
            </w:r>
            <w:r>
              <w:rPr>
                <w:rFonts w:hint="default"/>
                <w:color w:val="auto"/>
              </w:rPr>
              <w:t>施工废水</w:t>
            </w:r>
            <w:r>
              <w:rPr>
                <w:rFonts w:hint="eastAsia"/>
                <w:color w:val="auto"/>
                <w:lang w:val="en-US" w:eastAsia="zh-CN"/>
              </w:rPr>
              <w:t>、</w:t>
            </w:r>
            <w:r>
              <w:rPr>
                <w:rFonts w:hint="default"/>
                <w:color w:val="auto"/>
              </w:rPr>
              <w:t>施工人员</w:t>
            </w:r>
            <w:r>
              <w:rPr>
                <w:rFonts w:hint="eastAsia"/>
                <w:color w:val="auto"/>
                <w:lang w:val="en-US" w:eastAsia="zh-CN"/>
              </w:rPr>
              <w:t>产生的</w:t>
            </w:r>
            <w:r>
              <w:rPr>
                <w:rFonts w:hint="default"/>
                <w:color w:val="auto"/>
              </w:rPr>
              <w:t>生活污水</w:t>
            </w:r>
            <w:r>
              <w:rPr>
                <w:rFonts w:hint="eastAsia"/>
                <w:color w:val="auto"/>
                <w:lang w:eastAsia="zh-CN"/>
              </w:rPr>
              <w:t>。</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eastAsia"/>
                <w:color w:val="auto"/>
                <w:lang w:val="en-US" w:eastAsia="zh-CN"/>
              </w:rPr>
            </w:pPr>
            <w:r>
              <w:rPr>
                <w:rFonts w:hint="eastAsia"/>
                <w:color w:val="auto"/>
                <w:lang w:val="en-US" w:eastAsia="zh-CN"/>
              </w:rPr>
              <w:t>1、施工废水主要包括施工机械冲洗水以及施工机械跑、冒、滴、漏的油等，主要含SS和石油类等污染物，施工废水应进入沉淀池，经沉淀处理后循环使用和洒水降尘。</w:t>
            </w:r>
          </w:p>
          <w:p>
            <w:pPr>
              <w:pStyle w:val="54"/>
              <w:bidi w:val="0"/>
              <w:rPr>
                <w:rFonts w:hint="default"/>
                <w:color w:val="auto"/>
                <w:highlight w:val="none"/>
              </w:rPr>
            </w:pPr>
            <w:r>
              <w:rPr>
                <w:rFonts w:hint="default"/>
                <w:color w:val="auto"/>
                <w:lang w:val="en-US" w:eastAsia="zh-CN"/>
              </w:rPr>
              <w:t>2、</w:t>
            </w:r>
            <w:r>
              <w:rPr>
                <w:rFonts w:hint="eastAsia"/>
                <w:color w:val="auto"/>
                <w:lang w:val="en-US" w:eastAsia="zh-CN"/>
              </w:rPr>
              <w:t>施工人员产生的生活污水排入化粪</w:t>
            </w:r>
            <w:r>
              <w:rPr>
                <w:rFonts w:hint="eastAsia"/>
                <w:color w:val="auto"/>
                <w:highlight w:val="none"/>
                <w:lang w:val="en-US" w:eastAsia="zh-CN"/>
              </w:rPr>
              <w:t>池定期委托清运处理。</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施工废水</w:t>
            </w:r>
            <w:r>
              <w:rPr>
                <w:rFonts w:hint="default"/>
                <w:color w:val="auto"/>
                <w:lang w:val="en-US" w:eastAsia="zh-CN"/>
              </w:rPr>
              <w:t>对施工现场周围的环境影响较小，伴随施工期的结束也将结束。</w:t>
            </w:r>
          </w:p>
          <w:p>
            <w:pPr>
              <w:pStyle w:val="54"/>
              <w:bidi w:val="0"/>
              <w:rPr>
                <w:rFonts w:hint="default"/>
                <w:color w:val="auto"/>
              </w:rPr>
            </w:pPr>
            <w:r>
              <w:rPr>
                <w:rFonts w:hint="eastAsia"/>
                <w:b/>
                <w:bCs/>
                <w:color w:val="auto"/>
                <w:lang w:val="en-US" w:eastAsia="zh-CN"/>
              </w:rPr>
              <w:t>三、施工期声环境保护措施</w:t>
            </w:r>
          </w:p>
          <w:p>
            <w:pPr>
              <w:pStyle w:val="54"/>
              <w:bidi w:val="0"/>
              <w:rPr>
                <w:rFonts w:hint="default"/>
                <w:color w:val="auto"/>
              </w:rPr>
            </w:pPr>
            <w:r>
              <w:rPr>
                <w:rFonts w:hint="default"/>
                <w:color w:val="auto"/>
              </w:rPr>
              <w:t>施工期对</w:t>
            </w:r>
            <w:r>
              <w:rPr>
                <w:rFonts w:hint="eastAsia"/>
                <w:color w:val="auto"/>
                <w:lang w:val="en-US" w:eastAsia="zh-CN"/>
              </w:rPr>
              <w:t>声</w:t>
            </w:r>
            <w:r>
              <w:rPr>
                <w:rFonts w:hint="default"/>
                <w:color w:val="auto"/>
              </w:rPr>
              <w:t>环境的影响主要有</w:t>
            </w:r>
            <w:r>
              <w:rPr>
                <w:rFonts w:hint="eastAsia"/>
                <w:color w:val="auto"/>
                <w:lang w:eastAsia="zh-CN"/>
              </w:rPr>
              <w:t>：</w:t>
            </w:r>
            <w:r>
              <w:rPr>
                <w:rFonts w:hint="default"/>
                <w:color w:val="auto"/>
              </w:rPr>
              <w:t>施工现场的各类机械设备噪声、物料运输造成的交通噪声。</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eastAsia"/>
                <w:color w:val="auto"/>
                <w:lang w:val="en-US" w:eastAsia="zh-CN"/>
              </w:rPr>
            </w:pPr>
            <w:r>
              <w:rPr>
                <w:rFonts w:hint="eastAsia"/>
                <w:color w:val="auto"/>
                <w:lang w:val="en-US" w:eastAsia="zh-CN"/>
              </w:rPr>
              <w:t>1、机械设备应适时维修，特别对因松动部件的震动或降低噪声部件的损坏而产生很强的噪声的设备，更应经常检查维护。</w:t>
            </w:r>
          </w:p>
          <w:p>
            <w:pPr>
              <w:pStyle w:val="54"/>
              <w:bidi w:val="0"/>
              <w:rPr>
                <w:rFonts w:hint="default"/>
                <w:color w:val="auto"/>
                <w:lang w:val="en-US" w:eastAsia="zh-CN"/>
              </w:rPr>
            </w:pPr>
            <w:r>
              <w:rPr>
                <w:rFonts w:hint="default"/>
                <w:color w:val="auto"/>
                <w:lang w:val="en-US" w:eastAsia="zh-CN"/>
              </w:rPr>
              <w:t>2、</w:t>
            </w:r>
            <w:r>
              <w:rPr>
                <w:rFonts w:hint="eastAsia"/>
                <w:color w:val="auto"/>
                <w:lang w:val="en-US" w:eastAsia="zh-CN"/>
              </w:rPr>
              <w:t>合理安排施工时间，制定科学的施工计划，节省施工时间，尽量缩短施工周期。</w:t>
            </w:r>
          </w:p>
          <w:p>
            <w:pPr>
              <w:pStyle w:val="54"/>
              <w:bidi w:val="0"/>
              <w:rPr>
                <w:rFonts w:hint="default"/>
                <w:color w:val="auto"/>
                <w:lang w:val="en-US" w:eastAsia="zh-CN"/>
              </w:rPr>
            </w:pPr>
            <w:r>
              <w:rPr>
                <w:rFonts w:hint="eastAsia"/>
                <w:color w:val="auto"/>
                <w:lang w:val="en-US" w:eastAsia="zh-CN"/>
              </w:rPr>
              <w:t>3</w:t>
            </w:r>
            <w:r>
              <w:rPr>
                <w:rFonts w:hint="default"/>
                <w:color w:val="auto"/>
                <w:lang w:val="en-US" w:eastAsia="zh-CN"/>
              </w:rPr>
              <w:t>、</w:t>
            </w:r>
            <w:r>
              <w:rPr>
                <w:rFonts w:hint="eastAsia"/>
                <w:color w:val="auto"/>
                <w:lang w:val="en-US" w:eastAsia="zh-CN"/>
              </w:rPr>
              <w:t>严格操作规程，加强施工机械管理，规范建筑物料、土石方清运车辆进出工地，禁止高速行驶、鸣笛等，降低人为噪声影响。</w:t>
            </w:r>
          </w:p>
          <w:p>
            <w:pPr>
              <w:pStyle w:val="54"/>
              <w:bidi w:val="0"/>
              <w:rPr>
                <w:rFonts w:hint="eastAsia"/>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严格控制施工车辆运输路线，控制车速。</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施工噪声</w:t>
            </w:r>
            <w:r>
              <w:rPr>
                <w:rFonts w:hint="default"/>
                <w:color w:val="auto"/>
                <w:lang w:val="en-US" w:eastAsia="zh-CN"/>
              </w:rPr>
              <w:t>对施工现场周围的环境影响较小，伴随施工期的结束也将结束。</w:t>
            </w:r>
          </w:p>
          <w:p>
            <w:pPr>
              <w:pStyle w:val="54"/>
              <w:bidi w:val="0"/>
              <w:rPr>
                <w:rFonts w:hint="default"/>
                <w:color w:val="auto"/>
                <w:lang w:val="en-US"/>
              </w:rPr>
            </w:pPr>
            <w:r>
              <w:rPr>
                <w:rFonts w:hint="eastAsia"/>
                <w:b/>
                <w:bCs/>
                <w:color w:val="auto"/>
                <w:lang w:val="en-US" w:eastAsia="zh-CN"/>
              </w:rPr>
              <w:t>四、施工期固体废物防治措施</w:t>
            </w:r>
          </w:p>
          <w:p>
            <w:pPr>
              <w:pStyle w:val="54"/>
              <w:bidi w:val="0"/>
              <w:rPr>
                <w:rFonts w:hint="default"/>
                <w:color w:val="auto"/>
              </w:rPr>
            </w:pPr>
            <w:r>
              <w:rPr>
                <w:rFonts w:hint="default"/>
                <w:color w:val="auto"/>
              </w:rPr>
              <w:t>施工期</w:t>
            </w:r>
            <w:r>
              <w:rPr>
                <w:rFonts w:hint="eastAsia"/>
                <w:color w:val="auto"/>
                <w:lang w:val="en-US" w:eastAsia="zh-CN"/>
              </w:rPr>
              <w:t>固体废物的产生</w:t>
            </w:r>
            <w:r>
              <w:rPr>
                <w:rFonts w:hint="default"/>
                <w:color w:val="auto"/>
              </w:rPr>
              <w:t>主要有</w:t>
            </w:r>
            <w:r>
              <w:rPr>
                <w:rFonts w:hint="eastAsia"/>
                <w:color w:val="auto"/>
                <w:lang w:eastAsia="zh-CN"/>
              </w:rPr>
              <w:t>：</w:t>
            </w:r>
            <w:r>
              <w:rPr>
                <w:rFonts w:hint="eastAsia"/>
                <w:color w:val="auto"/>
                <w:lang w:val="en-US" w:eastAsia="zh-CN"/>
              </w:rPr>
              <w:t>弃土、建筑垃圾、生活垃圾。</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default"/>
                <w:color w:val="auto"/>
              </w:rPr>
            </w:pPr>
            <w:r>
              <w:rPr>
                <w:rFonts w:hint="eastAsia"/>
                <w:color w:val="auto"/>
                <w:lang w:val="en-US" w:eastAsia="zh-CN"/>
              </w:rPr>
              <w:t>1、本</w:t>
            </w:r>
            <w:r>
              <w:rPr>
                <w:rFonts w:hint="default"/>
                <w:color w:val="auto"/>
              </w:rPr>
              <w:t>项目拟设置固废临时堆放场，对</w:t>
            </w:r>
            <w:r>
              <w:rPr>
                <w:rFonts w:hint="eastAsia"/>
                <w:color w:val="auto"/>
                <w:lang w:val="en-US" w:eastAsia="zh-CN"/>
              </w:rPr>
              <w:t>弃土和</w:t>
            </w:r>
            <w:r>
              <w:rPr>
                <w:rFonts w:hint="default"/>
                <w:color w:val="auto"/>
              </w:rPr>
              <w:t>建筑废物临时堆存，可回用部分尽可能回用，不可回用部分运往市政部门</w:t>
            </w:r>
            <w:r>
              <w:rPr>
                <w:rFonts w:hint="eastAsia"/>
                <w:color w:val="auto"/>
                <w:lang w:eastAsia="zh-CN"/>
              </w:rPr>
              <w:t>指定</w:t>
            </w:r>
            <w:r>
              <w:rPr>
                <w:rFonts w:hint="default"/>
                <w:color w:val="auto"/>
              </w:rPr>
              <w:t>堆放点。</w:t>
            </w:r>
          </w:p>
          <w:p>
            <w:pPr>
              <w:pStyle w:val="54"/>
              <w:bidi w:val="0"/>
              <w:rPr>
                <w:rFonts w:hint="default"/>
                <w:color w:val="auto"/>
                <w:lang w:val="en-US" w:eastAsia="zh-CN"/>
              </w:rPr>
            </w:pPr>
            <w:r>
              <w:rPr>
                <w:rFonts w:hint="eastAsia"/>
                <w:color w:val="auto"/>
                <w:lang w:val="en-US" w:eastAsia="zh-CN"/>
              </w:rPr>
              <w:t>2、施工人员产生的生活垃圾收集至垃圾箱，统一定期清理至垃圾填埋场。</w:t>
            </w:r>
          </w:p>
          <w:p>
            <w:pPr>
              <w:pStyle w:val="54"/>
              <w:bidi w:val="0"/>
              <w:rPr>
                <w:rFonts w:hint="default"/>
                <w:color w:val="auto"/>
              </w:rPr>
            </w:pPr>
            <w:r>
              <w:rPr>
                <w:rFonts w:hint="eastAsia"/>
                <w:color w:val="auto"/>
                <w:lang w:val="en-US" w:eastAsia="zh-CN"/>
              </w:rPr>
              <w:t>建设单位需加强管理，妥善处置各种施工期固体废物。</w:t>
            </w:r>
            <w:r>
              <w:rPr>
                <w:rFonts w:hint="default"/>
                <w:color w:val="auto"/>
                <w:lang w:val="en-US" w:eastAsia="zh-CN"/>
              </w:rPr>
              <w:t>认真落实上述措施的基础上，</w:t>
            </w:r>
            <w:r>
              <w:rPr>
                <w:rFonts w:hint="eastAsia"/>
                <w:color w:val="auto"/>
                <w:lang w:val="en-US" w:eastAsia="zh-CN"/>
              </w:rPr>
              <w:t>固体废物</w:t>
            </w:r>
            <w:r>
              <w:rPr>
                <w:rFonts w:hint="default"/>
                <w:color w:val="auto"/>
                <w:lang w:val="en-US" w:eastAsia="zh-CN"/>
              </w:rPr>
              <w:t>对施工现场周围的环境影响较小，伴随施工期的结束也将结束。</w:t>
            </w:r>
          </w:p>
          <w:p>
            <w:pPr>
              <w:pStyle w:val="54"/>
              <w:bidi w:val="0"/>
              <w:rPr>
                <w:rFonts w:hint="default"/>
                <w:color w:val="auto"/>
              </w:rPr>
            </w:pPr>
            <w:r>
              <w:rPr>
                <w:rFonts w:hint="eastAsia"/>
                <w:b/>
                <w:bCs/>
                <w:color w:val="auto"/>
                <w:lang w:val="en-US" w:eastAsia="zh-CN"/>
              </w:rPr>
              <w:t>五、施工期生态环境保护措施</w:t>
            </w:r>
          </w:p>
          <w:p>
            <w:pPr>
              <w:pStyle w:val="54"/>
              <w:bidi w:val="0"/>
              <w:rPr>
                <w:rFonts w:hint="default"/>
                <w:color w:val="auto"/>
              </w:rPr>
            </w:pPr>
            <w:r>
              <w:rPr>
                <w:rFonts w:hint="eastAsia"/>
                <w:color w:val="auto"/>
                <w:lang w:val="en-US" w:eastAsia="zh-CN"/>
              </w:rPr>
              <w:t>本项目</w:t>
            </w:r>
            <w:r>
              <w:rPr>
                <w:rFonts w:hint="default"/>
                <w:color w:val="auto"/>
              </w:rPr>
              <w:t>施工水泥、石灰、沙石土等建筑材料在装卸、运输、堆存等过程中将产生大量的扬尘。另外施工现场的暴露、建筑垃圾的堆存也影响景观。</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default"/>
                <w:color w:val="auto"/>
              </w:rPr>
            </w:pPr>
            <w:r>
              <w:rPr>
                <w:rFonts w:hint="default"/>
                <w:color w:val="auto"/>
                <w:lang w:val="en-US" w:eastAsia="zh-CN"/>
              </w:rPr>
              <w:t>1、</w:t>
            </w:r>
            <w:r>
              <w:rPr>
                <w:rFonts w:hint="default"/>
                <w:color w:val="auto"/>
              </w:rPr>
              <w:t>加强施工管理，尽量减少施工扰动面积</w:t>
            </w:r>
            <w:r>
              <w:rPr>
                <w:rFonts w:hint="eastAsia"/>
                <w:color w:val="auto"/>
                <w:lang w:eastAsia="zh-CN"/>
              </w:rPr>
              <w:t>，合理安排施工时序，避免反复开挖地表。</w:t>
            </w:r>
          </w:p>
          <w:p>
            <w:pPr>
              <w:pStyle w:val="54"/>
              <w:bidi w:val="0"/>
              <w:rPr>
                <w:rFonts w:hint="default"/>
                <w:color w:val="auto"/>
              </w:rPr>
            </w:pPr>
            <w:r>
              <w:rPr>
                <w:rFonts w:hint="default"/>
                <w:color w:val="auto"/>
                <w:lang w:val="en-US" w:eastAsia="zh-CN"/>
              </w:rPr>
              <w:t>2、</w:t>
            </w:r>
            <w:r>
              <w:rPr>
                <w:rFonts w:hint="default"/>
                <w:color w:val="auto"/>
              </w:rPr>
              <w:t>施工区域采取高围挡作业，施工现场洒水作业，在施工场地外围设置截、排水沟</w:t>
            </w:r>
            <w:r>
              <w:rPr>
                <w:rFonts w:hint="eastAsia"/>
                <w:color w:val="auto"/>
                <w:lang w:eastAsia="zh-CN"/>
              </w:rPr>
              <w:t>。</w:t>
            </w:r>
          </w:p>
          <w:p>
            <w:pPr>
              <w:pStyle w:val="54"/>
              <w:bidi w:val="0"/>
              <w:rPr>
                <w:rFonts w:hint="default"/>
                <w:color w:val="auto"/>
              </w:rPr>
            </w:pPr>
            <w:r>
              <w:rPr>
                <w:rFonts w:hint="default"/>
                <w:color w:val="auto"/>
                <w:lang w:val="en-US" w:eastAsia="zh-CN"/>
              </w:rPr>
              <w:t>3、</w:t>
            </w:r>
            <w:r>
              <w:rPr>
                <w:rFonts w:hint="default"/>
                <w:color w:val="auto"/>
              </w:rPr>
              <w:t>施工单位对附近道路实行保洁制度，制</w:t>
            </w:r>
            <w:r>
              <w:rPr>
                <w:rFonts w:hint="eastAsia"/>
                <w:color w:val="auto"/>
                <w:lang w:eastAsia="zh-CN"/>
              </w:rPr>
              <w:t>定</w:t>
            </w:r>
            <w:r>
              <w:rPr>
                <w:rFonts w:hint="default"/>
                <w:color w:val="auto"/>
              </w:rPr>
              <w:t>切实可行的建筑垃圾处置和运输计划，避免在交通高峰期时清运建筑垃圾，按规定路线运输，按规定地点处置建筑垃圾，杜绝随意乱倒等。</w:t>
            </w:r>
          </w:p>
          <w:p>
            <w:pPr>
              <w:pStyle w:val="54"/>
              <w:bidi w:val="0"/>
              <w:rPr>
                <w:rFonts w:hint="default"/>
                <w:color w:val="auto"/>
              </w:rPr>
            </w:pPr>
            <w:r>
              <w:rPr>
                <w:rFonts w:hint="default"/>
                <w:color w:val="auto"/>
                <w:lang w:val="en-US" w:eastAsia="zh-CN"/>
              </w:rPr>
              <w:t>4、</w:t>
            </w:r>
            <w:r>
              <w:rPr>
                <w:rFonts w:hint="default"/>
                <w:color w:val="auto"/>
              </w:rPr>
              <w:t>施工结束后，及时进行清理、对场地进行清理，拆除临时设施、坑凹回填、清理场内各类垃圾</w:t>
            </w:r>
            <w:r>
              <w:rPr>
                <w:rFonts w:hint="eastAsia"/>
                <w:color w:val="auto"/>
                <w:lang w:eastAsia="zh-CN"/>
              </w:rPr>
              <w:t>，</w:t>
            </w:r>
            <w:r>
              <w:rPr>
                <w:rFonts w:hint="default"/>
                <w:color w:val="auto"/>
              </w:rPr>
              <w:t>对可以集中美化的区域进行土地整理并及时绿化。</w:t>
            </w:r>
          </w:p>
          <w:p>
            <w:pPr>
              <w:pStyle w:val="54"/>
              <w:bidi w:val="0"/>
              <w:rPr>
                <w:rFonts w:hint="eastAsia"/>
                <w:color w:val="auto"/>
                <w:lang w:val="en-US" w:eastAsia="zh-CN"/>
              </w:rPr>
            </w:pPr>
            <w:r>
              <w:rPr>
                <w:rFonts w:hint="default"/>
                <w:color w:val="auto"/>
                <w:lang w:val="en-US" w:eastAsia="zh-CN"/>
              </w:rPr>
              <w:t>在认真落实上述措施的基础上，</w:t>
            </w:r>
            <w:r>
              <w:rPr>
                <w:rFonts w:hint="eastAsia"/>
                <w:color w:val="auto"/>
                <w:lang w:val="en-US" w:eastAsia="zh-CN"/>
              </w:rPr>
              <w:t>项目区生态环境和景观将在很大程度上得到改善。</w:t>
            </w: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2" w:hRule="atLeast"/>
          <w:jc w:val="center"/>
        </w:trPr>
        <w:tc>
          <w:tcPr>
            <w:tcW w:w="746"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运营</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期环</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境影</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响和</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保护</w:t>
            </w:r>
          </w:p>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措施</w:t>
            </w:r>
          </w:p>
        </w:tc>
        <w:tc>
          <w:tcPr>
            <w:tcW w:w="8162" w:type="dxa"/>
            <w:noWrap w:val="0"/>
            <w:vAlign w:val="center"/>
          </w:tcPr>
          <w:p>
            <w:pPr>
              <w:pStyle w:val="54"/>
              <w:bidi w:val="0"/>
              <w:rPr>
                <w:rFonts w:hint="default"/>
                <w:color w:val="auto"/>
                <w:lang w:val="en-US" w:eastAsia="zh-CN"/>
              </w:rPr>
            </w:pPr>
            <w:r>
              <w:rPr>
                <w:rFonts w:hint="eastAsia"/>
                <w:b/>
                <w:bCs/>
                <w:color w:val="auto"/>
                <w:lang w:val="en-US" w:eastAsia="zh-CN"/>
              </w:rPr>
              <w:t>一、废气</w:t>
            </w:r>
          </w:p>
          <w:p>
            <w:pPr>
              <w:pStyle w:val="54"/>
              <w:bidi w:val="0"/>
              <w:rPr>
                <w:rFonts w:hint="default"/>
                <w:color w:val="auto"/>
                <w:lang w:val="en-US" w:eastAsia="zh-CN"/>
              </w:rPr>
            </w:pPr>
            <w:r>
              <w:rPr>
                <w:rFonts w:hint="eastAsia"/>
                <w:color w:val="auto"/>
                <w:lang w:val="en-US" w:eastAsia="zh-CN"/>
              </w:rPr>
              <w:t>1、产生情况</w:t>
            </w:r>
          </w:p>
          <w:p>
            <w:pPr>
              <w:pStyle w:val="54"/>
              <w:bidi w:val="0"/>
              <w:rPr>
                <w:rFonts w:hint="eastAsia"/>
                <w:color w:val="auto"/>
                <w:lang w:val="en-US" w:eastAsia="zh-CN"/>
              </w:rPr>
            </w:pPr>
            <w:r>
              <w:rPr>
                <w:rFonts w:hint="eastAsia"/>
                <w:color w:val="auto"/>
                <w:lang w:val="en-US" w:eastAsia="zh-CN"/>
              </w:rPr>
              <w:t>本项目运营期产生的废气主要有投料粉尘、磨粉粉尘及包装粉尘。</w:t>
            </w:r>
          </w:p>
          <w:p>
            <w:pPr>
              <w:pStyle w:val="54"/>
              <w:bidi w:val="0"/>
              <w:rPr>
                <w:rFonts w:hint="eastAsia"/>
                <w:color w:val="auto"/>
                <w:lang w:val="en-US" w:eastAsia="zh-CN"/>
              </w:rPr>
            </w:pPr>
            <w:r>
              <w:rPr>
                <w:rFonts w:hint="eastAsia"/>
                <w:color w:val="auto"/>
                <w:lang w:val="en-US" w:eastAsia="zh-CN"/>
              </w:rPr>
              <w:t>（1）磨粉粉尘</w:t>
            </w:r>
          </w:p>
          <w:p>
            <w:pPr>
              <w:pStyle w:val="54"/>
              <w:bidi w:val="0"/>
              <w:rPr>
                <w:rFonts w:hint="default"/>
                <w:color w:val="auto"/>
                <w:lang w:val="en-US" w:eastAsia="zh-CN"/>
              </w:rPr>
            </w:pPr>
            <w:r>
              <w:rPr>
                <w:rFonts w:hint="eastAsia"/>
                <w:color w:val="auto"/>
                <w:lang w:val="en-US" w:eastAsia="zh-CN"/>
              </w:rPr>
              <w:t>本项目在磨粉过程中会产生颗粒物，根据《排放源统计调查产排污核算方法排放源统计调查产排污核算方法》中2624复混肥料制造行业系数手册中产污系数可知工业废气量为2000标立方米/吨-产品、颗粒物为8.40千克/吨-产品，产品产生量为150000t。</w:t>
            </w:r>
          </w:p>
          <w:p>
            <w:pPr>
              <w:pStyle w:val="54"/>
              <w:bidi w:val="0"/>
              <w:rPr>
                <w:rFonts w:hint="eastAsia"/>
                <w:color w:val="auto"/>
                <w:lang w:val="en-US" w:eastAsia="zh-CN"/>
              </w:rPr>
            </w:pPr>
            <w:r>
              <w:rPr>
                <w:rFonts w:hint="eastAsia"/>
                <w:color w:val="auto"/>
                <w:lang w:val="en-US" w:eastAsia="zh-CN"/>
              </w:rPr>
              <w:t>因此本项目废气量=2000×150000/6720=44643m</w:t>
            </w:r>
            <w:r>
              <w:rPr>
                <w:rFonts w:hint="eastAsia"/>
                <w:color w:val="auto"/>
                <w:vertAlign w:val="superscript"/>
                <w:lang w:val="en-US" w:eastAsia="zh-CN"/>
              </w:rPr>
              <w:t>3</w:t>
            </w:r>
            <w:r>
              <w:rPr>
                <w:rFonts w:hint="eastAsia"/>
                <w:color w:val="auto"/>
                <w:lang w:val="en-US" w:eastAsia="zh-CN"/>
              </w:rPr>
              <w:t>/h；颗粒物产生量=8.4×150000/1000=1260t，产生速率=1260×1000/6720=187.5kg/h，产生浓度=187.5×10</w:t>
            </w:r>
            <w:r>
              <w:rPr>
                <w:rFonts w:hint="eastAsia"/>
                <w:color w:val="auto"/>
                <w:vertAlign w:val="superscript"/>
                <w:lang w:val="en-US" w:eastAsia="zh-CN"/>
              </w:rPr>
              <w:t>6</w:t>
            </w:r>
            <w:r>
              <w:rPr>
                <w:rFonts w:hint="eastAsia"/>
                <w:color w:val="auto"/>
                <w:lang w:val="en-US" w:eastAsia="zh-CN"/>
              </w:rPr>
              <w:t>/44643=4199.987mg/m</w:t>
            </w:r>
            <w:r>
              <w:rPr>
                <w:rFonts w:hint="eastAsia"/>
                <w:color w:val="auto"/>
                <w:vertAlign w:val="superscript"/>
                <w:lang w:val="en-US" w:eastAsia="zh-CN"/>
              </w:rPr>
              <w:t>3</w:t>
            </w:r>
            <w:r>
              <w:rPr>
                <w:rFonts w:hint="eastAsia"/>
                <w:color w:val="auto"/>
                <w:lang w:val="en-US" w:eastAsia="zh-CN"/>
              </w:rPr>
              <w:t>。产生的粉尘经吸气罩进行收集（收集效率以95%计）后经高效脉冲袋式除尘器（处理效率99.5%）除尘后通过1根DA001高度为20m的排气筒排放，则颗粒物排放量=1260×95%×（1-99.5%）=5.985t，排放速率=5.985×1000/6720=0.891kg/h，产生浓度=0.891×10</w:t>
            </w:r>
            <w:r>
              <w:rPr>
                <w:rFonts w:hint="eastAsia"/>
                <w:color w:val="auto"/>
                <w:vertAlign w:val="superscript"/>
                <w:lang w:val="en-US" w:eastAsia="zh-CN"/>
              </w:rPr>
              <w:t>6</w:t>
            </w:r>
            <w:r>
              <w:rPr>
                <w:rFonts w:hint="eastAsia"/>
                <w:color w:val="auto"/>
                <w:lang w:val="en-US" w:eastAsia="zh-CN"/>
              </w:rPr>
              <w:t>/44643=19.958mg/m</w:t>
            </w:r>
            <w:r>
              <w:rPr>
                <w:rFonts w:hint="eastAsia"/>
                <w:color w:val="auto"/>
                <w:vertAlign w:val="superscript"/>
                <w:lang w:val="en-US" w:eastAsia="zh-CN"/>
              </w:rPr>
              <w:t>3</w:t>
            </w:r>
            <w:r>
              <w:rPr>
                <w:rFonts w:hint="eastAsia"/>
                <w:color w:val="auto"/>
                <w:lang w:val="en-US" w:eastAsia="zh-CN"/>
              </w:rPr>
              <w:t>。</w:t>
            </w:r>
          </w:p>
          <w:p>
            <w:pPr>
              <w:pStyle w:val="54"/>
              <w:bidi w:val="0"/>
              <w:rPr>
                <w:rFonts w:hint="eastAsia"/>
                <w:color w:val="auto"/>
                <w:lang w:val="en-US" w:eastAsia="zh-CN"/>
              </w:rPr>
            </w:pPr>
            <w:r>
              <w:rPr>
                <w:rFonts w:hint="eastAsia"/>
                <w:color w:val="auto"/>
                <w:lang w:val="en-US" w:eastAsia="zh-CN"/>
              </w:rPr>
              <w:t>（2）投料粉尘</w:t>
            </w:r>
          </w:p>
          <w:p>
            <w:pPr>
              <w:pStyle w:val="54"/>
              <w:bidi w:val="0"/>
              <w:rPr>
                <w:rFonts w:hint="eastAsia"/>
                <w:color w:val="auto"/>
                <w:lang w:val="en-US" w:eastAsia="zh-CN"/>
              </w:rPr>
            </w:pPr>
            <w:r>
              <w:rPr>
                <w:rFonts w:hint="eastAsia"/>
                <w:color w:val="auto"/>
                <w:lang w:val="en-US" w:eastAsia="zh-CN"/>
              </w:rPr>
              <w:t>本项目在投料过程中会产生颗粒物，参考《逸散性工业粉尘控制技术》中投料过程粉尘产生系数为0.01kg/t-原料进行计算。</w:t>
            </w:r>
          </w:p>
          <w:p>
            <w:pPr>
              <w:pStyle w:val="54"/>
              <w:bidi w:val="0"/>
              <w:rPr>
                <w:rFonts w:hint="eastAsia"/>
                <w:color w:val="auto"/>
                <w:lang w:val="en-US" w:eastAsia="zh-CN"/>
              </w:rPr>
            </w:pPr>
            <w:r>
              <w:rPr>
                <w:rFonts w:hint="eastAsia"/>
                <w:color w:val="auto"/>
                <w:lang w:val="en-US" w:eastAsia="zh-CN"/>
              </w:rPr>
              <w:t>风量为44643m</w:t>
            </w:r>
            <w:r>
              <w:rPr>
                <w:rFonts w:hint="eastAsia"/>
                <w:color w:val="auto"/>
                <w:vertAlign w:val="superscript"/>
                <w:lang w:val="en-US" w:eastAsia="zh-CN"/>
              </w:rPr>
              <w:t>3</w:t>
            </w:r>
            <w:r>
              <w:rPr>
                <w:rFonts w:hint="eastAsia"/>
                <w:color w:val="auto"/>
                <w:lang w:val="en-US" w:eastAsia="zh-CN"/>
              </w:rPr>
              <w:t>/h，原料使用量为150000t/a，则颗粒物产生量=0.01×150000/1000=1.5t，产生速率=1.5×1000/6720=0.223kg/h，产生浓度=0.223×10</w:t>
            </w:r>
            <w:r>
              <w:rPr>
                <w:rFonts w:hint="eastAsia"/>
                <w:color w:val="auto"/>
                <w:vertAlign w:val="superscript"/>
                <w:lang w:val="en-US" w:eastAsia="zh-CN"/>
              </w:rPr>
              <w:t>6</w:t>
            </w:r>
            <w:r>
              <w:rPr>
                <w:rFonts w:hint="eastAsia"/>
                <w:color w:val="auto"/>
                <w:lang w:val="en-US" w:eastAsia="zh-CN"/>
              </w:rPr>
              <w:t>/44643=4.995mg/m</w:t>
            </w:r>
            <w:r>
              <w:rPr>
                <w:rFonts w:hint="eastAsia"/>
                <w:color w:val="auto"/>
                <w:vertAlign w:val="superscript"/>
                <w:lang w:val="en-US" w:eastAsia="zh-CN"/>
              </w:rPr>
              <w:t>3</w:t>
            </w:r>
            <w:r>
              <w:rPr>
                <w:rFonts w:hint="eastAsia"/>
                <w:color w:val="auto"/>
                <w:lang w:val="en-US" w:eastAsia="zh-CN"/>
              </w:rPr>
              <w:t>。产生的粉尘经吸气罩进行收集（收集效率95%）后经高效脉冲袋式除尘器（处理效率99.5%）除尘后通过1根DA001高度为20m的排气筒排放，则颗粒物排放量=1.5×95%×（1-99.5%）=0.007t，排放速率=0.007×1000/6720=0.001kg/h，产生浓度=0.001×10</w:t>
            </w:r>
            <w:r>
              <w:rPr>
                <w:rFonts w:hint="eastAsia"/>
                <w:color w:val="auto"/>
                <w:vertAlign w:val="superscript"/>
                <w:lang w:val="en-US" w:eastAsia="zh-CN"/>
              </w:rPr>
              <w:t>6</w:t>
            </w:r>
            <w:r>
              <w:rPr>
                <w:rFonts w:hint="eastAsia"/>
                <w:color w:val="auto"/>
                <w:lang w:val="en-US" w:eastAsia="zh-CN"/>
              </w:rPr>
              <w:t>/44643=0.022mg/m</w:t>
            </w:r>
            <w:r>
              <w:rPr>
                <w:rFonts w:hint="eastAsia"/>
                <w:color w:val="auto"/>
                <w:vertAlign w:val="superscript"/>
                <w:lang w:val="en-US" w:eastAsia="zh-CN"/>
              </w:rPr>
              <w:t>3</w:t>
            </w:r>
            <w:r>
              <w:rPr>
                <w:rFonts w:hint="eastAsia"/>
                <w:color w:val="auto"/>
                <w:lang w:val="en-US" w:eastAsia="zh-CN"/>
              </w:rPr>
              <w:t>。</w:t>
            </w:r>
          </w:p>
          <w:p>
            <w:pPr>
              <w:pStyle w:val="54"/>
              <w:bidi w:val="0"/>
              <w:rPr>
                <w:rFonts w:hint="eastAsia"/>
                <w:color w:val="auto"/>
                <w:lang w:val="en-US" w:eastAsia="zh-CN"/>
              </w:rPr>
            </w:pPr>
            <w:r>
              <w:rPr>
                <w:rFonts w:hint="eastAsia"/>
                <w:color w:val="auto"/>
                <w:lang w:val="en-US" w:eastAsia="zh-CN"/>
              </w:rPr>
              <w:t>（3）包装粉尘</w:t>
            </w:r>
          </w:p>
          <w:p>
            <w:pPr>
              <w:pStyle w:val="54"/>
              <w:bidi w:val="0"/>
              <w:rPr>
                <w:rFonts w:hint="eastAsia"/>
                <w:color w:val="auto"/>
                <w:lang w:val="en-US" w:eastAsia="zh-CN"/>
              </w:rPr>
            </w:pPr>
            <w:r>
              <w:rPr>
                <w:rFonts w:hint="eastAsia"/>
                <w:color w:val="auto"/>
                <w:lang w:val="en-US" w:eastAsia="zh-CN"/>
              </w:rPr>
              <w:t>本项目在包装过程中会产生颗粒物，以产品的0.01%进行计算，产品产生量为150000t。。</w:t>
            </w:r>
          </w:p>
          <w:p>
            <w:pPr>
              <w:pStyle w:val="54"/>
              <w:bidi w:val="0"/>
              <w:rPr>
                <w:rFonts w:hint="default" w:cs="Times New Roman"/>
                <w:bCs/>
                <w:color w:val="auto"/>
                <w:spacing w:val="-10"/>
                <w:kern w:val="2"/>
                <w:szCs w:val="24"/>
                <w:lang w:val="en-US" w:eastAsia="zh-CN" w:bidi="ar-SA"/>
              </w:rPr>
            </w:pPr>
            <w:r>
              <w:rPr>
                <w:rFonts w:hint="eastAsia"/>
                <w:color w:val="auto"/>
                <w:lang w:val="en-US" w:eastAsia="zh-CN"/>
              </w:rPr>
              <w:t>风量为44643m</w:t>
            </w:r>
            <w:r>
              <w:rPr>
                <w:rFonts w:hint="eastAsia"/>
                <w:color w:val="auto"/>
                <w:vertAlign w:val="superscript"/>
                <w:lang w:val="en-US" w:eastAsia="zh-CN"/>
              </w:rPr>
              <w:t>3</w:t>
            </w:r>
            <w:r>
              <w:rPr>
                <w:rFonts w:hint="eastAsia"/>
                <w:color w:val="auto"/>
                <w:lang w:val="en-US" w:eastAsia="zh-CN"/>
              </w:rPr>
              <w:t>/h，则颗粒物产生量=150000×0.01%=15t，产生速率=15×1000/6720=2.232kg/h，产生浓度=2.232×10</w:t>
            </w:r>
            <w:r>
              <w:rPr>
                <w:rFonts w:hint="eastAsia"/>
                <w:color w:val="auto"/>
                <w:vertAlign w:val="superscript"/>
                <w:lang w:val="en-US" w:eastAsia="zh-CN"/>
              </w:rPr>
              <w:t>6</w:t>
            </w:r>
            <w:r>
              <w:rPr>
                <w:rFonts w:hint="eastAsia"/>
                <w:color w:val="auto"/>
                <w:lang w:val="en-US" w:eastAsia="zh-CN"/>
              </w:rPr>
              <w:t>/44643=49.997mg/m</w:t>
            </w:r>
            <w:r>
              <w:rPr>
                <w:rFonts w:hint="eastAsia"/>
                <w:color w:val="auto"/>
                <w:vertAlign w:val="superscript"/>
                <w:lang w:val="en-US" w:eastAsia="zh-CN"/>
              </w:rPr>
              <w:t>3</w:t>
            </w:r>
            <w:r>
              <w:rPr>
                <w:rFonts w:hint="eastAsia"/>
                <w:color w:val="auto"/>
                <w:lang w:val="en-US" w:eastAsia="zh-CN"/>
              </w:rPr>
              <w:t>。产生的粉尘经吸气罩进行收集（收集效率95%）后经高效脉冲袋式除尘器（处理效率99.5%）除尘后通过1根DA001高度为20m的排气筒排放，则颗粒物排放量=15×95%×（1-99.5%）=0.071t，排放速率=0.071×1000/6720=0.011kg/h，产生浓度=0.011×10</w:t>
            </w:r>
            <w:r>
              <w:rPr>
                <w:rFonts w:hint="eastAsia"/>
                <w:color w:val="auto"/>
                <w:vertAlign w:val="superscript"/>
                <w:lang w:val="en-US" w:eastAsia="zh-CN"/>
              </w:rPr>
              <w:t>6</w:t>
            </w:r>
            <w:r>
              <w:rPr>
                <w:rFonts w:hint="eastAsia"/>
                <w:color w:val="auto"/>
                <w:lang w:val="en-US" w:eastAsia="zh-CN"/>
              </w:rPr>
              <w:t>/44643=0.025mg/m</w:t>
            </w:r>
            <w:r>
              <w:rPr>
                <w:rFonts w:hint="eastAsia"/>
                <w:color w:val="auto"/>
                <w:vertAlign w:val="superscript"/>
                <w:lang w:val="en-US" w:eastAsia="zh-CN"/>
              </w:rPr>
              <w:t>3</w:t>
            </w:r>
            <w:r>
              <w:rPr>
                <w:rFonts w:hint="eastAsia"/>
                <w:color w:val="auto"/>
                <w:lang w:val="en-US" w:eastAsia="zh-CN"/>
              </w:rPr>
              <w:t>。</w:t>
            </w:r>
          </w:p>
          <w:p>
            <w:pPr>
              <w:pStyle w:val="50"/>
              <w:bidi w:val="0"/>
              <w:rPr>
                <w:rFonts w:hint="default" w:cs="Times New Roman"/>
                <w:bCs/>
                <w:color w:val="auto"/>
                <w:spacing w:val="-10"/>
                <w:kern w:val="2"/>
                <w:szCs w:val="24"/>
                <w:lang w:val="en-US" w:eastAsia="zh-CN" w:bidi="ar-SA"/>
              </w:rPr>
            </w:pPr>
            <w:r>
              <w:rPr>
                <w:rFonts w:hint="default"/>
                <w:color w:val="auto"/>
                <w:lang w:val="en-US" w:eastAsia="zh-CN"/>
              </w:rPr>
              <w:t>表</w:t>
            </w:r>
            <w:r>
              <w:rPr>
                <w:rFonts w:hint="eastAsia"/>
                <w:color w:val="auto"/>
                <w:lang w:val="en-US" w:eastAsia="zh-CN"/>
              </w:rPr>
              <w:t>4</w:t>
            </w:r>
            <w:r>
              <w:rPr>
                <w:rFonts w:hint="default"/>
                <w:color w:val="auto"/>
                <w:lang w:val="en-US" w:eastAsia="zh-CN"/>
              </w:rPr>
              <w:t xml:space="preserve">-1 </w:t>
            </w:r>
            <w:r>
              <w:rPr>
                <w:rFonts w:hint="eastAsia"/>
                <w:color w:val="auto"/>
                <w:lang w:val="en-US" w:eastAsia="zh-CN"/>
              </w:rPr>
              <w:t>废气有组织污染物产排情况</w:t>
            </w:r>
            <w:r>
              <w:rPr>
                <w:rFonts w:hint="default"/>
                <w:color w:val="auto"/>
                <w:lang w:val="en-US" w:eastAsia="zh-CN"/>
              </w:rPr>
              <w:t>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745"/>
              <w:gridCol w:w="790"/>
              <w:gridCol w:w="689"/>
              <w:gridCol w:w="1004"/>
              <w:gridCol w:w="969"/>
              <w:gridCol w:w="748"/>
              <w:gridCol w:w="689"/>
              <w:gridCol w:w="794"/>
              <w:gridCol w:w="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产污环节</w:t>
                  </w:r>
                </w:p>
              </w:tc>
              <w:tc>
                <w:tcPr>
                  <w:tcW w:w="298"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污染物</w:t>
                  </w:r>
                </w:p>
              </w:tc>
              <w:tc>
                <w:tcPr>
                  <w:tcW w:w="567" w:type="pct"/>
                  <w:vMerge w:val="restart"/>
                  <w:tcBorders>
                    <w:tl2br w:val="nil"/>
                    <w:tr2bl w:val="nil"/>
                  </w:tcBorders>
                  <w:vAlign w:val="center"/>
                </w:tcPr>
                <w:p>
                  <w:pPr>
                    <w:pStyle w:val="51"/>
                    <w:bidi w:val="0"/>
                    <w:rPr>
                      <w:rFonts w:hint="eastAsia"/>
                      <w:color w:val="auto"/>
                      <w:lang w:val="en-US" w:eastAsia="zh-CN"/>
                    </w:rPr>
                  </w:pPr>
                  <w:r>
                    <w:rPr>
                      <w:rFonts w:hint="eastAsia"/>
                      <w:color w:val="auto"/>
                      <w:lang w:val="en-US" w:eastAsia="zh-CN"/>
                    </w:rPr>
                    <w:t>风量</w:t>
                  </w:r>
                </w:p>
                <w:p>
                  <w:pPr>
                    <w:pStyle w:val="51"/>
                    <w:bidi w:val="0"/>
                    <w:rPr>
                      <w:rFonts w:hint="default"/>
                      <w:color w:val="auto"/>
                      <w:lang w:val="en-US" w:eastAsia="zh-CN"/>
                    </w:rPr>
                  </w:pP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/h</w:t>
                  </w:r>
                </w:p>
              </w:tc>
              <w:tc>
                <w:tcPr>
                  <w:tcW w:w="1529" w:type="pct"/>
                  <w:gridSpan w:val="3"/>
                  <w:tcBorders>
                    <w:tl2br w:val="nil"/>
                    <w:tr2bl w:val="nil"/>
                  </w:tcBorders>
                  <w:vAlign w:val="center"/>
                </w:tcPr>
                <w:p>
                  <w:pPr>
                    <w:pStyle w:val="51"/>
                    <w:bidi w:val="0"/>
                    <w:rPr>
                      <w:rFonts w:hint="eastAsia"/>
                      <w:color w:val="auto"/>
                      <w:lang w:val="en-US" w:eastAsia="zh-CN"/>
                    </w:rPr>
                  </w:pPr>
                  <w:r>
                    <w:rPr>
                      <w:rFonts w:hint="eastAsia"/>
                      <w:color w:val="auto"/>
                      <w:lang w:val="en-US" w:eastAsia="zh-CN"/>
                    </w:rPr>
                    <w:t>污染物</w:t>
                  </w:r>
                  <w:r>
                    <w:rPr>
                      <w:rFonts w:hint="default"/>
                      <w:color w:val="auto"/>
                      <w:lang w:val="en-US" w:eastAsia="zh-CN"/>
                    </w:rPr>
                    <w:t>产生</w:t>
                  </w:r>
                </w:p>
              </w:tc>
              <w:tc>
                <w:tcPr>
                  <w:tcW w:w="345"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治理措施</w:t>
                  </w:r>
                </w:p>
              </w:tc>
              <w:tc>
                <w:tcPr>
                  <w:tcW w:w="1532" w:type="pct"/>
                  <w:gridSpan w:val="3"/>
                  <w:tcBorders>
                    <w:tl2br w:val="nil"/>
                    <w:tr2bl w:val="nil"/>
                  </w:tcBorders>
                  <w:vAlign w:val="center"/>
                </w:tcPr>
                <w:p>
                  <w:pPr>
                    <w:pStyle w:val="51"/>
                    <w:bidi w:val="0"/>
                    <w:rPr>
                      <w:rFonts w:hint="default"/>
                      <w:color w:val="auto"/>
                      <w:lang w:val="en-US" w:eastAsia="zh-CN"/>
                    </w:rPr>
                  </w:pPr>
                  <w:r>
                    <w:rPr>
                      <w:rFonts w:hint="default"/>
                      <w:color w:val="auto"/>
                      <w:lang w:val="en-US" w:eastAsia="zh-CN"/>
                    </w:rPr>
                    <w:t>污染物排放</w:t>
                  </w:r>
                </w:p>
              </w:tc>
              <w:tc>
                <w:tcPr>
                  <w:tcW w:w="428"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排放时间h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vMerge w:val="continue"/>
                  <w:tcBorders>
                    <w:tl2br w:val="nil"/>
                    <w:tr2bl w:val="nil"/>
                  </w:tcBorders>
                  <w:vAlign w:val="center"/>
                </w:tcPr>
                <w:p>
                  <w:pPr>
                    <w:pStyle w:val="51"/>
                    <w:bidi w:val="0"/>
                    <w:rPr>
                      <w:rFonts w:hint="default"/>
                      <w:color w:val="auto"/>
                      <w:lang w:val="en-US" w:eastAsia="zh-CN"/>
                    </w:rPr>
                  </w:pPr>
                </w:p>
              </w:tc>
              <w:tc>
                <w:tcPr>
                  <w:tcW w:w="298" w:type="pct"/>
                  <w:vMerge w:val="continue"/>
                  <w:tcBorders>
                    <w:tl2br w:val="nil"/>
                    <w:tr2bl w:val="nil"/>
                  </w:tcBorders>
                  <w:vAlign w:val="center"/>
                </w:tcPr>
                <w:p>
                  <w:pPr>
                    <w:pStyle w:val="51"/>
                    <w:bidi w:val="0"/>
                    <w:rPr>
                      <w:rFonts w:hint="default"/>
                      <w:color w:val="auto"/>
                      <w:lang w:val="en-US" w:eastAsia="zh-CN"/>
                    </w:rPr>
                  </w:pPr>
                </w:p>
              </w:tc>
              <w:tc>
                <w:tcPr>
                  <w:tcW w:w="567" w:type="pct"/>
                  <w:vMerge w:val="continue"/>
                  <w:tcBorders>
                    <w:tl2br w:val="nil"/>
                    <w:tr2bl w:val="nil"/>
                  </w:tcBorders>
                  <w:vAlign w:val="center"/>
                </w:tcPr>
                <w:p>
                  <w:pPr>
                    <w:pStyle w:val="51"/>
                    <w:bidi w:val="0"/>
                    <w:rPr>
                      <w:rFonts w:hint="default"/>
                      <w:color w:val="auto"/>
                      <w:lang w:val="en-US" w:eastAsia="zh-CN"/>
                    </w:rPr>
                  </w:pPr>
                </w:p>
              </w:tc>
              <w:tc>
                <w:tcPr>
                  <w:tcW w:w="567"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产生量</w:t>
                  </w:r>
                </w:p>
                <w:p>
                  <w:pPr>
                    <w:pStyle w:val="51"/>
                    <w:bidi w:val="0"/>
                    <w:rPr>
                      <w:rFonts w:hint="default"/>
                      <w:color w:val="auto"/>
                      <w:lang w:val="en-US" w:eastAsia="zh-CN"/>
                    </w:rPr>
                  </w:pPr>
                  <w:r>
                    <w:rPr>
                      <w:rFonts w:hint="eastAsia"/>
                      <w:color w:val="auto"/>
                      <w:lang w:val="en-US" w:eastAsia="zh-CN"/>
                    </w:rPr>
                    <w:t>t</w:t>
                  </w:r>
                  <w:r>
                    <w:rPr>
                      <w:rFonts w:hint="default"/>
                      <w:color w:val="auto"/>
                      <w:lang w:val="en-US" w:eastAsia="zh-CN"/>
                    </w:rPr>
                    <w:t>/a</w:t>
                  </w:r>
                </w:p>
              </w:tc>
              <w:tc>
                <w:tcPr>
                  <w:tcW w:w="450"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产生速率</w:t>
                  </w:r>
                </w:p>
                <w:p>
                  <w:pPr>
                    <w:pStyle w:val="51"/>
                    <w:bidi w:val="0"/>
                    <w:rPr>
                      <w:rFonts w:hint="default"/>
                      <w:color w:val="auto"/>
                      <w:lang w:val="en-US" w:eastAsia="zh-CN"/>
                    </w:rPr>
                  </w:pPr>
                  <w:r>
                    <w:rPr>
                      <w:rFonts w:hint="eastAsia"/>
                      <w:color w:val="auto"/>
                      <w:lang w:val="en-US" w:eastAsia="zh-CN"/>
                    </w:rPr>
                    <w:t>kg/h</w:t>
                  </w:r>
                </w:p>
              </w:tc>
              <w:tc>
                <w:tcPr>
                  <w:tcW w:w="512"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产生浓度</w:t>
                  </w:r>
                </w:p>
                <w:p>
                  <w:pPr>
                    <w:pStyle w:val="51"/>
                    <w:bidi w:val="0"/>
                    <w:rPr>
                      <w:rFonts w:hint="eastAsia"/>
                      <w:color w:val="auto"/>
                      <w:lang w:val="en-US" w:eastAsia="zh-CN"/>
                    </w:rPr>
                  </w:pPr>
                  <w:r>
                    <w:rPr>
                      <w:rFonts w:hint="eastAsia"/>
                      <w:color w:val="auto"/>
                      <w:lang w:val="en-US" w:eastAsia="zh-CN"/>
                    </w:rPr>
                    <w:t>mg/m</w:t>
                  </w:r>
                  <w:r>
                    <w:rPr>
                      <w:rFonts w:hint="eastAsia"/>
                      <w:color w:val="auto"/>
                      <w:vertAlign w:val="superscript"/>
                      <w:lang w:val="en-US" w:eastAsia="zh-CN"/>
                    </w:rPr>
                    <w:t>3</w:t>
                  </w:r>
                </w:p>
              </w:tc>
              <w:tc>
                <w:tcPr>
                  <w:tcW w:w="345" w:type="pct"/>
                  <w:vMerge w:val="continue"/>
                  <w:tcBorders>
                    <w:tl2br w:val="nil"/>
                    <w:tr2bl w:val="nil"/>
                  </w:tcBorders>
                  <w:vAlign w:val="center"/>
                </w:tcPr>
                <w:p>
                  <w:pPr>
                    <w:pStyle w:val="51"/>
                    <w:bidi w:val="0"/>
                    <w:rPr>
                      <w:rFonts w:hint="default"/>
                      <w:color w:val="auto"/>
                      <w:lang w:val="en-US" w:eastAsia="zh-CN"/>
                    </w:rPr>
                  </w:pPr>
                </w:p>
              </w:tc>
              <w:tc>
                <w:tcPr>
                  <w:tcW w:w="56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排放量</w:t>
                  </w:r>
                </w:p>
                <w:p>
                  <w:pPr>
                    <w:pStyle w:val="51"/>
                    <w:bidi w:val="0"/>
                    <w:rPr>
                      <w:rFonts w:hint="default"/>
                      <w:color w:val="auto"/>
                      <w:lang w:val="en-US" w:eastAsia="zh-CN"/>
                    </w:rPr>
                  </w:pPr>
                  <w:r>
                    <w:rPr>
                      <w:rFonts w:hint="eastAsia"/>
                      <w:color w:val="auto"/>
                      <w:lang w:val="en-US" w:eastAsia="zh-CN"/>
                    </w:rPr>
                    <w:t>t</w:t>
                  </w:r>
                  <w:r>
                    <w:rPr>
                      <w:rFonts w:hint="default"/>
                      <w:color w:val="auto"/>
                      <w:lang w:val="en-US" w:eastAsia="zh-CN"/>
                    </w:rPr>
                    <w:t>/a</w:t>
                  </w:r>
                </w:p>
              </w:tc>
              <w:tc>
                <w:tcPr>
                  <w:tcW w:w="450"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排放速率</w:t>
                  </w:r>
                </w:p>
                <w:p>
                  <w:pPr>
                    <w:pStyle w:val="51"/>
                    <w:bidi w:val="0"/>
                    <w:rPr>
                      <w:rFonts w:hint="default"/>
                      <w:color w:val="auto"/>
                      <w:lang w:val="en-US" w:eastAsia="zh-CN"/>
                    </w:rPr>
                  </w:pPr>
                  <w:r>
                    <w:rPr>
                      <w:rFonts w:hint="default"/>
                      <w:color w:val="auto"/>
                      <w:lang w:val="en-US" w:eastAsia="zh-CN"/>
                    </w:rPr>
                    <w:t>kg/h</w:t>
                  </w:r>
                </w:p>
              </w:tc>
              <w:tc>
                <w:tcPr>
                  <w:tcW w:w="514"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排放浓度</w:t>
                  </w:r>
                </w:p>
                <w:p>
                  <w:pPr>
                    <w:pStyle w:val="51"/>
                    <w:bidi w:val="0"/>
                    <w:rPr>
                      <w:rFonts w:hint="default"/>
                      <w:color w:val="auto"/>
                      <w:lang w:val="en-US" w:eastAsia="zh-CN"/>
                    </w:rPr>
                  </w:pPr>
                  <w:r>
                    <w:rPr>
                      <w:rFonts w:hint="eastAsia"/>
                      <w:color w:val="auto"/>
                      <w:lang w:val="en-US" w:eastAsia="zh-CN"/>
                    </w:rPr>
                    <w:t>mg/m</w:t>
                  </w:r>
                  <w:r>
                    <w:rPr>
                      <w:rFonts w:hint="eastAsia"/>
                      <w:color w:val="auto"/>
                      <w:vertAlign w:val="superscript"/>
                      <w:lang w:val="en-US" w:eastAsia="zh-CN"/>
                    </w:rPr>
                    <w:t>3</w:t>
                  </w:r>
                </w:p>
              </w:tc>
              <w:tc>
                <w:tcPr>
                  <w:tcW w:w="428"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磨粉粉尘</w:t>
                  </w:r>
                </w:p>
              </w:tc>
              <w:tc>
                <w:tcPr>
                  <w:tcW w:w="298"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颗粒物</w:t>
                  </w:r>
                </w:p>
              </w:tc>
              <w:tc>
                <w:tcPr>
                  <w:tcW w:w="567"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44643</w:t>
                  </w:r>
                </w:p>
              </w:tc>
              <w:tc>
                <w:tcPr>
                  <w:tcW w:w="56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1260</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187.5</w:t>
                  </w:r>
                </w:p>
              </w:tc>
              <w:tc>
                <w:tcPr>
                  <w:tcW w:w="51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4199.987</w:t>
                  </w:r>
                </w:p>
              </w:tc>
              <w:tc>
                <w:tcPr>
                  <w:tcW w:w="345"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经集气罩进行收集（收集效率95%）后经高效脉冲袋式除尘器（处理效率99.5%）除尘后通过1根DA001高度为20m的排气筒排放</w:t>
                  </w:r>
                </w:p>
              </w:tc>
              <w:tc>
                <w:tcPr>
                  <w:tcW w:w="5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5.985</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0.891</w:t>
                  </w:r>
                </w:p>
              </w:tc>
              <w:tc>
                <w:tcPr>
                  <w:tcW w:w="51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19.958</w:t>
                  </w:r>
                </w:p>
              </w:tc>
              <w:tc>
                <w:tcPr>
                  <w:tcW w:w="428"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6720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投料粉尘</w:t>
                  </w:r>
                </w:p>
              </w:tc>
              <w:tc>
                <w:tcPr>
                  <w:tcW w:w="298" w:type="pct"/>
                  <w:vMerge w:val="continue"/>
                  <w:tcBorders>
                    <w:tl2br w:val="nil"/>
                    <w:tr2bl w:val="nil"/>
                  </w:tcBorders>
                  <w:vAlign w:val="center"/>
                </w:tcPr>
                <w:p>
                  <w:pPr>
                    <w:pStyle w:val="51"/>
                    <w:bidi w:val="0"/>
                    <w:rPr>
                      <w:rFonts w:hint="eastAsia"/>
                      <w:color w:val="auto"/>
                      <w:lang w:val="en-US" w:eastAsia="zh-CN"/>
                    </w:rPr>
                  </w:pPr>
                </w:p>
              </w:tc>
              <w:tc>
                <w:tcPr>
                  <w:tcW w:w="567" w:type="pct"/>
                  <w:vMerge w:val="continue"/>
                  <w:tcBorders>
                    <w:tl2br w:val="nil"/>
                    <w:tr2bl w:val="nil"/>
                  </w:tcBorders>
                  <w:vAlign w:val="center"/>
                </w:tcPr>
                <w:p>
                  <w:pPr>
                    <w:pStyle w:val="51"/>
                    <w:bidi w:val="0"/>
                    <w:rPr>
                      <w:rFonts w:hint="eastAsia"/>
                      <w:color w:val="auto"/>
                      <w:lang w:val="en-US" w:eastAsia="zh-CN"/>
                    </w:rPr>
                  </w:pPr>
                </w:p>
              </w:tc>
              <w:tc>
                <w:tcPr>
                  <w:tcW w:w="56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1.5</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0.223</w:t>
                  </w:r>
                </w:p>
              </w:tc>
              <w:tc>
                <w:tcPr>
                  <w:tcW w:w="51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4.995</w:t>
                  </w:r>
                </w:p>
              </w:tc>
              <w:tc>
                <w:tcPr>
                  <w:tcW w:w="345" w:type="pct"/>
                  <w:vMerge w:val="continue"/>
                  <w:tcBorders>
                    <w:tl2br w:val="nil"/>
                    <w:tr2bl w:val="nil"/>
                  </w:tcBorders>
                  <w:vAlign w:val="center"/>
                </w:tcPr>
                <w:p>
                  <w:pPr>
                    <w:pStyle w:val="51"/>
                    <w:bidi w:val="0"/>
                    <w:rPr>
                      <w:rFonts w:hint="eastAsia"/>
                      <w:color w:val="auto"/>
                      <w:lang w:val="en-US" w:eastAsia="zh-CN"/>
                    </w:rPr>
                  </w:pPr>
                </w:p>
              </w:tc>
              <w:tc>
                <w:tcPr>
                  <w:tcW w:w="5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0.007</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0.001</w:t>
                  </w:r>
                </w:p>
              </w:tc>
              <w:tc>
                <w:tcPr>
                  <w:tcW w:w="51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0.022</w:t>
                  </w:r>
                </w:p>
              </w:tc>
              <w:tc>
                <w:tcPr>
                  <w:tcW w:w="428" w:type="pct"/>
                  <w:vMerge w:val="continue"/>
                  <w:tcBorders>
                    <w:tl2br w:val="nil"/>
                    <w:tr2bl w:val="nil"/>
                  </w:tcBorders>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包装粉尘</w:t>
                  </w:r>
                </w:p>
              </w:tc>
              <w:tc>
                <w:tcPr>
                  <w:tcW w:w="298" w:type="pct"/>
                  <w:vMerge w:val="continue"/>
                  <w:tcBorders>
                    <w:tl2br w:val="nil"/>
                    <w:tr2bl w:val="nil"/>
                  </w:tcBorders>
                  <w:vAlign w:val="center"/>
                </w:tcPr>
                <w:p>
                  <w:pPr>
                    <w:pStyle w:val="51"/>
                    <w:bidi w:val="0"/>
                    <w:rPr>
                      <w:rFonts w:hint="eastAsia"/>
                      <w:color w:val="auto"/>
                      <w:lang w:val="en-US" w:eastAsia="zh-CN"/>
                    </w:rPr>
                  </w:pPr>
                </w:p>
              </w:tc>
              <w:tc>
                <w:tcPr>
                  <w:tcW w:w="567" w:type="pct"/>
                  <w:vMerge w:val="continue"/>
                  <w:tcBorders>
                    <w:tl2br w:val="nil"/>
                    <w:tr2bl w:val="nil"/>
                  </w:tcBorders>
                  <w:vAlign w:val="center"/>
                </w:tcPr>
                <w:p>
                  <w:pPr>
                    <w:pStyle w:val="51"/>
                    <w:bidi w:val="0"/>
                    <w:rPr>
                      <w:rFonts w:hint="eastAsia"/>
                      <w:color w:val="auto"/>
                      <w:lang w:val="en-US" w:eastAsia="zh-CN"/>
                    </w:rPr>
                  </w:pPr>
                </w:p>
              </w:tc>
              <w:tc>
                <w:tcPr>
                  <w:tcW w:w="56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15</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2.232</w:t>
                  </w:r>
                </w:p>
              </w:tc>
              <w:tc>
                <w:tcPr>
                  <w:tcW w:w="51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49.997</w:t>
                  </w:r>
                </w:p>
              </w:tc>
              <w:tc>
                <w:tcPr>
                  <w:tcW w:w="345" w:type="pct"/>
                  <w:vMerge w:val="continue"/>
                  <w:tcBorders>
                    <w:tl2br w:val="nil"/>
                    <w:tr2bl w:val="nil"/>
                  </w:tcBorders>
                  <w:vAlign w:val="center"/>
                </w:tcPr>
                <w:p>
                  <w:pPr>
                    <w:pStyle w:val="51"/>
                    <w:bidi w:val="0"/>
                    <w:rPr>
                      <w:rFonts w:hint="eastAsia"/>
                      <w:color w:val="auto"/>
                      <w:lang w:val="en-US" w:eastAsia="zh-CN"/>
                    </w:rPr>
                  </w:pPr>
                </w:p>
              </w:tc>
              <w:tc>
                <w:tcPr>
                  <w:tcW w:w="5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0.071</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0.011</w:t>
                  </w:r>
                </w:p>
              </w:tc>
              <w:tc>
                <w:tcPr>
                  <w:tcW w:w="51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0.025</w:t>
                  </w:r>
                </w:p>
              </w:tc>
              <w:tc>
                <w:tcPr>
                  <w:tcW w:w="428" w:type="pct"/>
                  <w:vMerge w:val="continue"/>
                  <w:tcBorders>
                    <w:tl2br w:val="nil"/>
                    <w:tr2bl w:val="nil"/>
                  </w:tcBorders>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合计</w:t>
                  </w:r>
                </w:p>
              </w:tc>
              <w:tc>
                <w:tcPr>
                  <w:tcW w:w="298" w:type="pct"/>
                  <w:tcBorders>
                    <w:tl2br w:val="nil"/>
                    <w:tr2bl w:val="nil"/>
                  </w:tcBorders>
                  <w:vAlign w:val="center"/>
                </w:tcPr>
                <w:p>
                  <w:pPr>
                    <w:pStyle w:val="51"/>
                    <w:bidi w:val="0"/>
                    <w:rPr>
                      <w:rFonts w:hint="eastAsia"/>
                      <w:color w:val="auto"/>
                      <w:lang w:val="en-US" w:eastAsia="zh-CN"/>
                    </w:rPr>
                  </w:pPr>
                </w:p>
              </w:tc>
              <w:tc>
                <w:tcPr>
                  <w:tcW w:w="567" w:type="pct"/>
                  <w:tcBorders>
                    <w:tl2br w:val="nil"/>
                    <w:tr2bl w:val="nil"/>
                  </w:tcBorders>
                  <w:vAlign w:val="center"/>
                </w:tcPr>
                <w:p>
                  <w:pPr>
                    <w:pStyle w:val="51"/>
                    <w:bidi w:val="0"/>
                    <w:rPr>
                      <w:rFonts w:hint="eastAsia"/>
                      <w:color w:val="auto"/>
                      <w:lang w:val="en-US" w:eastAsia="zh-CN"/>
                    </w:rPr>
                  </w:pPr>
                </w:p>
              </w:tc>
              <w:tc>
                <w:tcPr>
                  <w:tcW w:w="567" w:type="pct"/>
                  <w:tcBorders>
                    <w:tl2br w:val="nil"/>
                    <w:tr2bl w:val="nil"/>
                  </w:tcBorders>
                  <w:vAlign w:val="center"/>
                </w:tcPr>
                <w:p>
                  <w:pPr>
                    <w:pStyle w:val="51"/>
                    <w:bidi w:val="0"/>
                    <w:rPr>
                      <w:rFonts w:hint="eastAsia"/>
                      <w:color w:val="auto"/>
                      <w:lang w:val="en-US" w:eastAsia="zh-CN"/>
                    </w:rPr>
                  </w:pPr>
                </w:p>
              </w:tc>
              <w:tc>
                <w:tcPr>
                  <w:tcW w:w="450" w:type="pct"/>
                  <w:tcBorders>
                    <w:tl2br w:val="nil"/>
                    <w:tr2bl w:val="nil"/>
                  </w:tcBorders>
                  <w:vAlign w:val="center"/>
                </w:tcPr>
                <w:p>
                  <w:pPr>
                    <w:pStyle w:val="51"/>
                    <w:bidi w:val="0"/>
                    <w:rPr>
                      <w:rFonts w:hint="eastAsia"/>
                      <w:color w:val="auto"/>
                      <w:lang w:val="en-US" w:eastAsia="zh-CN"/>
                    </w:rPr>
                  </w:pPr>
                </w:p>
              </w:tc>
              <w:tc>
                <w:tcPr>
                  <w:tcW w:w="512" w:type="pct"/>
                  <w:tcBorders>
                    <w:tl2br w:val="nil"/>
                    <w:tr2bl w:val="nil"/>
                  </w:tcBorders>
                  <w:vAlign w:val="center"/>
                </w:tcPr>
                <w:p>
                  <w:pPr>
                    <w:pStyle w:val="51"/>
                    <w:bidi w:val="0"/>
                    <w:rPr>
                      <w:rFonts w:hint="eastAsia"/>
                      <w:color w:val="auto"/>
                      <w:lang w:val="en-US" w:eastAsia="zh-CN"/>
                    </w:rPr>
                  </w:pPr>
                </w:p>
              </w:tc>
              <w:tc>
                <w:tcPr>
                  <w:tcW w:w="345" w:type="pct"/>
                  <w:tcBorders>
                    <w:tl2br w:val="nil"/>
                    <w:tr2bl w:val="nil"/>
                  </w:tcBorders>
                  <w:vAlign w:val="center"/>
                </w:tcPr>
                <w:p>
                  <w:pPr>
                    <w:pStyle w:val="51"/>
                    <w:bidi w:val="0"/>
                    <w:rPr>
                      <w:rFonts w:hint="eastAsia"/>
                      <w:color w:val="auto"/>
                      <w:lang w:val="en-US" w:eastAsia="zh-CN"/>
                    </w:rPr>
                  </w:pPr>
                </w:p>
              </w:tc>
              <w:tc>
                <w:tcPr>
                  <w:tcW w:w="5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6.063</w:t>
                  </w:r>
                </w:p>
              </w:tc>
              <w:tc>
                <w:tcPr>
                  <w:tcW w:w="45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0.903</w:t>
                  </w:r>
                </w:p>
              </w:tc>
              <w:tc>
                <w:tcPr>
                  <w:tcW w:w="51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20.227</w:t>
                  </w:r>
                </w:p>
              </w:tc>
              <w:tc>
                <w:tcPr>
                  <w:tcW w:w="428" w:type="pct"/>
                  <w:tcBorders>
                    <w:tl2br w:val="nil"/>
                    <w:tr2bl w:val="nil"/>
                  </w:tcBorders>
                  <w:vAlign w:val="center"/>
                </w:tcPr>
                <w:p>
                  <w:pPr>
                    <w:pStyle w:val="51"/>
                    <w:bidi w:val="0"/>
                    <w:rPr>
                      <w:rFonts w:hint="eastAsia"/>
                      <w:color w:val="auto"/>
                      <w:lang w:val="en-US" w:eastAsia="zh-CN"/>
                    </w:rPr>
                  </w:pPr>
                </w:p>
              </w:tc>
            </w:tr>
          </w:tbl>
          <w:p>
            <w:pPr>
              <w:pStyle w:val="50"/>
              <w:bidi w:val="0"/>
              <w:rPr>
                <w:rFonts w:hint="default"/>
                <w:color w:val="auto"/>
                <w:lang w:val="en-US" w:eastAsia="zh-CN"/>
              </w:rPr>
            </w:pPr>
            <w:r>
              <w:rPr>
                <w:rFonts w:hint="eastAsia"/>
                <w:color w:val="auto"/>
                <w:lang w:val="en-US" w:eastAsia="zh-CN"/>
              </w:rPr>
              <w:t>表4-2  有组织排气筒情况一览表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89"/>
              <w:gridCol w:w="1109"/>
              <w:gridCol w:w="1109"/>
              <w:gridCol w:w="814"/>
              <w:gridCol w:w="815"/>
              <w:gridCol w:w="852"/>
              <w:gridCol w:w="778"/>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2"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编号</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名称</w:t>
                  </w:r>
                </w:p>
              </w:tc>
              <w:tc>
                <w:tcPr>
                  <w:tcW w:w="1113" w:type="pct"/>
                  <w:gridSpan w:val="2"/>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排气筒底部中心坐标</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排气筒高度（m）</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排气筒内径（m）</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温度（℃）</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类型</w:t>
                  </w:r>
                </w:p>
              </w:tc>
              <w:tc>
                <w:tcPr>
                  <w:tcW w:w="555" w:type="pct"/>
                  <w:vMerge w:val="restar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年排放小时（h）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2"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经</w:t>
                  </w:r>
                  <w:r>
                    <w:rPr>
                      <w:rFonts w:hint="default" w:ascii="Times New Roman" w:hAnsi="Times New Roman" w:cs="Times New Roman"/>
                      <w:color w:val="auto"/>
                      <w:lang w:val="en-US" w:eastAsia="zh-CN"/>
                    </w:rPr>
                    <w:t>度（°）</w:t>
                  </w:r>
                </w:p>
              </w:tc>
              <w:tc>
                <w:tcPr>
                  <w:tcW w:w="558"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维度</w:t>
                  </w:r>
                  <w:r>
                    <w:rPr>
                      <w:rFonts w:hint="default" w:ascii="Times New Roman" w:hAnsi="Times New Roman" w:cs="Times New Roman"/>
                      <w:color w:val="auto"/>
                      <w:lang w:val="en-US" w:eastAsia="zh-CN"/>
                    </w:rPr>
                    <w:t>（°）</w:t>
                  </w: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c>
                <w:tcPr>
                  <w:tcW w:w="555" w:type="pct"/>
                  <w:vMerge w:val="continue"/>
                  <w:tcBorders>
                    <w:tl2br w:val="nil"/>
                    <w:tr2bl w:val="nil"/>
                  </w:tcBorders>
                  <w:vAlign w:val="center"/>
                </w:tcPr>
                <w:p>
                  <w:pPr>
                    <w:pStyle w:val="51"/>
                    <w:bidi w:val="0"/>
                    <w:jc w:val="center"/>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2"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DA001</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投料、破碎及包装废气排放口</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90.852442</w:t>
                  </w:r>
                </w:p>
              </w:tc>
              <w:tc>
                <w:tcPr>
                  <w:tcW w:w="558"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40.471780</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常温</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一般排放口</w:t>
                  </w:r>
                </w:p>
              </w:tc>
              <w:tc>
                <w:tcPr>
                  <w:tcW w:w="555" w:type="pct"/>
                  <w:tcBorders>
                    <w:tl2br w:val="nil"/>
                    <w:tr2bl w:val="nil"/>
                  </w:tcBorders>
                  <w:vAlign w:val="center"/>
                </w:tcPr>
                <w:p>
                  <w:pPr>
                    <w:pStyle w:val="51"/>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6720</w:t>
                  </w:r>
                </w:p>
              </w:tc>
            </w:tr>
          </w:tbl>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工艺可行性分析</w:t>
            </w:r>
          </w:p>
          <w:p>
            <w:pPr>
              <w:pStyle w:val="54"/>
              <w:bidi w:val="0"/>
              <w:rPr>
                <w:rFonts w:hint="default" w:ascii="Times New Roman" w:hAnsi="Times New Roman" w:eastAsia="宋体" w:cs="Times New Roman"/>
                <w:color w:val="auto"/>
                <w:szCs w:val="24"/>
                <w:lang w:val="en-US" w:eastAsia="zh-CN"/>
              </w:rPr>
            </w:pPr>
            <w:r>
              <w:rPr>
                <w:rFonts w:hint="eastAsia"/>
                <w:color w:val="auto"/>
                <w:lang w:val="en-US" w:eastAsia="zh-CN"/>
              </w:rPr>
              <w:t>根据《排污许可证申请与核发技术规范 磷肥、钾肥、复混肥料、有机肥料及微生物肥料工业》（HJ 864.2-2018）中污染物治理可行技术，本项目符合性情况见表4-3。</w:t>
            </w:r>
          </w:p>
          <w:p>
            <w:pPr>
              <w:pStyle w:val="50"/>
              <w:bidi w:val="0"/>
              <w:rPr>
                <w:rFonts w:hint="default" w:ascii="Times New Roman" w:hAnsi="Times New Roman" w:eastAsia="宋体" w:cs="Times New Roman"/>
                <w:color w:val="auto"/>
                <w:szCs w:val="21"/>
                <w:lang w:val="en-US" w:eastAsia="zh-CN"/>
              </w:rPr>
            </w:pPr>
            <w:r>
              <w:rPr>
                <w:rFonts w:hint="eastAsia"/>
                <w:color w:val="auto"/>
                <w:lang w:val="en-US" w:eastAsia="zh-CN"/>
              </w:rPr>
              <w:t>表4-3  废气治理可行技术符合性</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5"/>
              <w:gridCol w:w="3179"/>
              <w:gridCol w:w="1641"/>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产排污环节</w:t>
                  </w:r>
                </w:p>
              </w:tc>
              <w:tc>
                <w:tcPr>
                  <w:tcW w:w="74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污染控制项目</w:t>
                  </w:r>
                </w:p>
              </w:tc>
              <w:tc>
                <w:tcPr>
                  <w:tcW w:w="200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可行技术</w:t>
                  </w:r>
                </w:p>
              </w:tc>
              <w:tc>
                <w:tcPr>
                  <w:tcW w:w="103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本项目采取治理措施</w:t>
                  </w:r>
                </w:p>
              </w:tc>
              <w:tc>
                <w:tcPr>
                  <w:tcW w:w="460"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破碎废气</w:t>
                  </w:r>
                </w:p>
              </w:tc>
              <w:tc>
                <w:tcPr>
                  <w:tcW w:w="74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颗粒物</w:t>
                  </w:r>
                </w:p>
              </w:tc>
              <w:tc>
                <w:tcPr>
                  <w:tcW w:w="200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静电除尘、袋式除尘</w:t>
                  </w:r>
                </w:p>
              </w:tc>
              <w:tc>
                <w:tcPr>
                  <w:tcW w:w="103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高效脉冲袋式除尘器</w:t>
                  </w:r>
                </w:p>
              </w:tc>
              <w:tc>
                <w:tcPr>
                  <w:tcW w:w="4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符合</w:t>
                  </w:r>
                </w:p>
              </w:tc>
            </w:tr>
          </w:tbl>
          <w:p>
            <w:pPr>
              <w:pStyle w:val="54"/>
              <w:bidi w:val="0"/>
              <w:rPr>
                <w:rFonts w:hint="eastAsia" w:cs="Times New Roman"/>
                <w:bCs/>
                <w:color w:val="auto"/>
                <w:spacing w:val="-10"/>
                <w:kern w:val="2"/>
                <w:szCs w:val="24"/>
                <w:lang w:val="en-US" w:eastAsia="zh-CN" w:bidi="ar-SA"/>
              </w:rPr>
            </w:pPr>
            <w:r>
              <w:rPr>
                <w:rFonts w:hint="eastAsia"/>
                <w:color w:val="auto"/>
                <w:lang w:val="en-US" w:eastAsia="zh-CN"/>
              </w:rPr>
              <w:t>由上表可见，本项目废气选取的治理措施符合《排污许可证申请与核发技术规范 磷肥、钾肥、复混肥料、有机肥料及微生物肥料工业》（HJ 864.2-2018）中污染物治理可行技术。</w:t>
            </w:r>
          </w:p>
          <w:p>
            <w:pPr>
              <w:pStyle w:val="54"/>
              <w:bidi w:val="0"/>
              <w:rPr>
                <w:rFonts w:hint="default"/>
                <w:color w:val="auto"/>
                <w:lang w:val="en-US" w:eastAsia="zh-CN"/>
              </w:rPr>
            </w:pPr>
            <w:r>
              <w:rPr>
                <w:rFonts w:hint="eastAsia"/>
                <w:color w:val="auto"/>
                <w:lang w:val="en-US" w:eastAsia="zh-CN"/>
              </w:rPr>
              <w:t>3、监测要求</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根据《排污许可证申请与核发技术规范 磷肥、钾肥、复混肥料、有机肥料及微生物肥料工业》（HJ 864.2-2018）中自行监测管理要求，本项目废气具体监测计划见表4-4。</w:t>
            </w:r>
          </w:p>
          <w:p>
            <w:pPr>
              <w:pStyle w:val="50"/>
              <w:bidi w:val="0"/>
              <w:rPr>
                <w:rFonts w:hint="default" w:cs="Times New Roman"/>
                <w:bCs/>
                <w:color w:val="auto"/>
                <w:spacing w:val="-10"/>
                <w:kern w:val="2"/>
                <w:szCs w:val="21"/>
                <w:lang w:val="en-US" w:eastAsia="zh-CN" w:bidi="ar-SA"/>
              </w:rPr>
            </w:pPr>
            <w:r>
              <w:rPr>
                <w:rFonts w:hint="eastAsia"/>
                <w:color w:val="auto"/>
                <w:lang w:val="en-US" w:eastAsia="zh-CN"/>
              </w:rPr>
              <w:t>表4-4  废气监测计划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00"/>
              <w:gridCol w:w="1312"/>
              <w:gridCol w:w="1076"/>
              <w:gridCol w:w="1363"/>
              <w:gridCol w:w="2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3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环境要素</w:t>
                  </w:r>
                </w:p>
              </w:tc>
              <w:tc>
                <w:tcPr>
                  <w:tcW w:w="63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监测点位</w:t>
                  </w: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监测指标</w:t>
                  </w:r>
                </w:p>
              </w:tc>
              <w:tc>
                <w:tcPr>
                  <w:tcW w:w="67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监测频次</w:t>
                  </w: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标准限值（mg/m</w:t>
                  </w:r>
                  <w:r>
                    <w:rPr>
                      <w:rFonts w:hint="eastAsia"/>
                      <w:color w:val="auto"/>
                      <w:vertAlign w:val="superscript"/>
                      <w:lang w:val="en-US" w:eastAsia="zh-CN"/>
                    </w:rPr>
                    <w:t>3</w:t>
                  </w:r>
                  <w:r>
                    <w:rPr>
                      <w:rFonts w:hint="eastAsia"/>
                      <w:color w:val="auto"/>
                      <w:lang w:val="en-US" w:eastAsia="zh-CN"/>
                    </w:rPr>
                    <w:t>）</w:t>
                  </w:r>
                </w:p>
              </w:tc>
              <w:tc>
                <w:tcPr>
                  <w:tcW w:w="14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有组织废气</w:t>
                  </w:r>
                </w:p>
              </w:tc>
              <w:tc>
                <w:tcPr>
                  <w:tcW w:w="63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DA001</w:t>
                  </w: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颗粒物</w:t>
                  </w:r>
                </w:p>
              </w:tc>
              <w:tc>
                <w:tcPr>
                  <w:tcW w:w="67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1次/半年</w:t>
                  </w: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120</w:t>
                  </w:r>
                </w:p>
              </w:tc>
              <w:tc>
                <w:tcPr>
                  <w:tcW w:w="1460" w:type="pct"/>
                  <w:vMerge w:val="restart"/>
                  <w:tcBorders>
                    <w:tl2br w:val="nil"/>
                    <w:tr2bl w:val="nil"/>
                  </w:tcBorders>
                  <w:vAlign w:val="center"/>
                </w:tcPr>
                <w:p>
                  <w:pPr>
                    <w:pStyle w:val="51"/>
                    <w:bidi w:val="0"/>
                    <w:rPr>
                      <w:rFonts w:hint="default"/>
                      <w:color w:val="auto"/>
                      <w:lang w:val="en-US" w:eastAsia="zh-CN"/>
                    </w:rPr>
                  </w:pPr>
                  <w:r>
                    <w:rPr>
                      <w:rFonts w:hint="default"/>
                      <w:color w:val="auto"/>
                      <w:lang w:val="en-US" w:eastAsia="zh-CN"/>
                    </w:rPr>
                    <w:t>《大气污染物综合排放标准》（GB 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无组织废气</w:t>
                  </w:r>
                </w:p>
              </w:tc>
              <w:tc>
                <w:tcPr>
                  <w:tcW w:w="63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厂界</w:t>
                  </w:r>
                </w:p>
              </w:tc>
              <w:tc>
                <w:tcPr>
                  <w:tcW w:w="82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颗粒物</w:t>
                  </w:r>
                </w:p>
              </w:tc>
              <w:tc>
                <w:tcPr>
                  <w:tcW w:w="679"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1次/季度</w:t>
                  </w: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w:t>
                  </w:r>
                </w:p>
              </w:tc>
              <w:tc>
                <w:tcPr>
                  <w:tcW w:w="1460" w:type="pct"/>
                  <w:vMerge w:val="continue"/>
                  <w:tcBorders>
                    <w:tl2br w:val="nil"/>
                    <w:tr2bl w:val="nil"/>
                  </w:tcBorders>
                  <w:vAlign w:val="center"/>
                </w:tcPr>
                <w:p>
                  <w:pPr>
                    <w:pStyle w:val="51"/>
                    <w:bidi w:val="0"/>
                    <w:rPr>
                      <w:rFonts w:hint="eastAsia"/>
                      <w:color w:val="auto"/>
                      <w:lang w:val="en-US" w:eastAsia="zh-CN"/>
                    </w:rPr>
                  </w:pPr>
                </w:p>
              </w:tc>
            </w:tr>
          </w:tbl>
          <w:p>
            <w:pPr>
              <w:pStyle w:val="54"/>
              <w:bidi w:val="0"/>
              <w:rPr>
                <w:rFonts w:hint="default"/>
                <w:color w:val="auto"/>
                <w:lang w:val="en-US" w:eastAsia="zh-CN"/>
              </w:rPr>
            </w:pPr>
            <w:r>
              <w:rPr>
                <w:rFonts w:hint="default"/>
                <w:color w:val="auto"/>
                <w:lang w:val="en-US" w:eastAsia="zh-CN"/>
              </w:rPr>
              <w:t>4、大气环境保护措施</w:t>
            </w:r>
          </w:p>
          <w:p>
            <w:pPr>
              <w:pStyle w:val="54"/>
              <w:bidi w:val="0"/>
              <w:rPr>
                <w:rFonts w:hint="default" w:ascii="Times New Roman" w:hAnsi="Times New Roman" w:eastAsia="宋体" w:cs="Times New Roman"/>
                <w:color w:val="auto"/>
                <w:szCs w:val="24"/>
                <w:lang w:val="en-US" w:eastAsia="zh-CN"/>
              </w:rPr>
            </w:pPr>
            <w:r>
              <w:rPr>
                <w:rFonts w:hint="default"/>
                <w:color w:val="auto"/>
              </w:rPr>
              <w:t>本项目</w:t>
            </w:r>
            <w:r>
              <w:rPr>
                <w:rFonts w:hint="eastAsia"/>
                <w:color w:val="auto"/>
                <w:lang w:eastAsia="zh-CN"/>
              </w:rPr>
              <w:t>磨粉、投料及包装</w:t>
            </w:r>
            <w:r>
              <w:rPr>
                <w:rFonts w:hint="eastAsia"/>
                <w:color w:val="auto"/>
                <w:lang w:val="en-US" w:eastAsia="zh-CN"/>
              </w:rPr>
              <w:t>废气经集气罩进行收集（收集效率95%）后经高效脉冲袋式除尘器（处理效率99.5%）除尘后通过1根DA001高度为20m的排气筒排放，污染物可满足《大气污染物综合排放标准》（GB 16297-1996）中排放限值要求。且</w:t>
            </w:r>
            <w:r>
              <w:rPr>
                <w:rFonts w:hint="default"/>
                <w:color w:val="auto"/>
              </w:rPr>
              <w:t>本项目周围无敏感目标，对周围环境影响较小。</w:t>
            </w:r>
          </w:p>
          <w:p>
            <w:pPr>
              <w:pStyle w:val="54"/>
              <w:bidi w:val="0"/>
              <w:rPr>
                <w:rFonts w:hint="default"/>
                <w:color w:val="auto"/>
                <w:lang w:val="en-US" w:eastAsia="zh-CN"/>
              </w:rPr>
            </w:pPr>
            <w:r>
              <w:rPr>
                <w:rFonts w:hint="eastAsia"/>
                <w:b/>
                <w:bCs/>
                <w:color w:val="auto"/>
                <w:lang w:val="en-US" w:eastAsia="zh-CN"/>
              </w:rPr>
              <w:t>二、废水</w:t>
            </w:r>
          </w:p>
          <w:p>
            <w:pPr>
              <w:pStyle w:val="54"/>
              <w:bidi w:val="0"/>
              <w:rPr>
                <w:rFonts w:hint="eastAsia"/>
                <w:color w:val="auto"/>
                <w:lang w:val="en-US" w:eastAsia="zh-CN"/>
              </w:rPr>
            </w:pPr>
            <w:r>
              <w:rPr>
                <w:rFonts w:hint="eastAsia"/>
                <w:color w:val="auto"/>
                <w:lang w:val="en-US" w:eastAsia="zh-CN"/>
              </w:rPr>
              <w:t>1、产生情况</w:t>
            </w:r>
          </w:p>
          <w:p>
            <w:pPr>
              <w:pStyle w:val="54"/>
              <w:bidi w:val="0"/>
              <w:rPr>
                <w:rFonts w:hint="default"/>
                <w:color w:val="auto"/>
                <w:lang w:val="en-US" w:eastAsia="zh-CN"/>
              </w:rPr>
            </w:pPr>
            <w:r>
              <w:rPr>
                <w:rFonts w:hint="eastAsia"/>
                <w:color w:val="auto"/>
                <w:lang w:val="en-US" w:eastAsia="zh-CN"/>
              </w:rPr>
              <w:t>本项目运营期产生的废水为生活污水。</w:t>
            </w:r>
          </w:p>
          <w:p>
            <w:pPr>
              <w:pStyle w:val="54"/>
              <w:bidi w:val="0"/>
              <w:rPr>
                <w:rFonts w:hint="eastAsia"/>
                <w:color w:val="auto"/>
                <w:lang w:val="en-US" w:eastAsia="zh-CN"/>
              </w:rPr>
            </w:pPr>
            <w:r>
              <w:rPr>
                <w:rFonts w:hint="eastAsia"/>
                <w:color w:val="auto"/>
                <w:lang w:val="en-US" w:eastAsia="zh-CN"/>
              </w:rPr>
              <w:t>本项目生活污水按用水量的80%计，根据《新疆维吾尔自治区生活用水定额》用水量为25L/（人·d）；劳动定员为15人，年工作日280d，则用水量为105m</w:t>
            </w:r>
            <w:r>
              <w:rPr>
                <w:rFonts w:hint="eastAsia"/>
                <w:color w:val="auto"/>
                <w:vertAlign w:val="superscript"/>
                <w:lang w:val="en-US" w:eastAsia="zh-CN"/>
              </w:rPr>
              <w:t>3</w:t>
            </w:r>
            <w:r>
              <w:rPr>
                <w:rFonts w:hint="eastAsia"/>
                <w:color w:val="auto"/>
                <w:lang w:val="en-US" w:eastAsia="zh-CN"/>
              </w:rPr>
              <w:t>/a，污水产生量为84m</w:t>
            </w:r>
            <w:r>
              <w:rPr>
                <w:rFonts w:hint="eastAsia"/>
                <w:color w:val="auto"/>
                <w:vertAlign w:val="superscript"/>
                <w:lang w:val="en-US" w:eastAsia="zh-CN"/>
              </w:rPr>
              <w:t>3</w:t>
            </w:r>
            <w:r>
              <w:rPr>
                <w:rFonts w:hint="eastAsia"/>
                <w:color w:val="auto"/>
                <w:lang w:val="en-US" w:eastAsia="zh-CN"/>
              </w:rPr>
              <w:t>/a，本项目生活废水排入化粪池定期委托清运处理。</w:t>
            </w:r>
          </w:p>
          <w:p>
            <w:pPr>
              <w:pStyle w:val="50"/>
              <w:bidi w:val="0"/>
              <w:rPr>
                <w:rFonts w:hint="default"/>
                <w:color w:val="auto"/>
                <w:lang w:val="en-US" w:eastAsia="zh-CN"/>
              </w:rPr>
            </w:pPr>
            <w:r>
              <w:rPr>
                <w:rFonts w:hint="eastAsia"/>
                <w:color w:val="auto"/>
                <w:lang w:val="en-US" w:eastAsia="zh-CN"/>
              </w:rPr>
              <w:t>表4-5  生产废水污染物产生情况表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684"/>
              <w:gridCol w:w="825"/>
              <w:gridCol w:w="1385"/>
              <w:gridCol w:w="1652"/>
              <w:gridCol w:w="15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污染源</w:t>
                  </w:r>
                </w:p>
              </w:tc>
              <w:tc>
                <w:tcPr>
                  <w:tcW w:w="1064"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污染物</w:t>
                  </w:r>
                </w:p>
              </w:tc>
              <w:tc>
                <w:tcPr>
                  <w:tcW w:w="3415" w:type="pct"/>
                  <w:gridSpan w:val="4"/>
                  <w:tcBorders>
                    <w:tl2br w:val="nil"/>
                    <w:tr2bl w:val="nil"/>
                  </w:tcBorders>
                  <w:vAlign w:val="center"/>
                </w:tcPr>
                <w:p>
                  <w:pPr>
                    <w:pStyle w:val="51"/>
                    <w:bidi w:val="0"/>
                    <w:rPr>
                      <w:rFonts w:hint="default"/>
                      <w:color w:val="auto"/>
                      <w:lang w:val="en-US" w:eastAsia="zh-CN"/>
                    </w:rPr>
                  </w:pPr>
                  <w:r>
                    <w:rPr>
                      <w:rFonts w:hint="eastAsia"/>
                      <w:color w:val="auto"/>
                      <w:lang w:val="en-US" w:eastAsia="zh-CN"/>
                    </w:rPr>
                    <w:t>污染物产生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continue"/>
                  <w:tcBorders>
                    <w:tl2br w:val="nil"/>
                    <w:tr2bl w:val="nil"/>
                  </w:tcBorders>
                  <w:vAlign w:val="center"/>
                </w:tcPr>
                <w:p>
                  <w:pPr>
                    <w:pStyle w:val="51"/>
                    <w:bidi w:val="0"/>
                    <w:rPr>
                      <w:rFonts w:hint="default"/>
                      <w:color w:val="auto"/>
                      <w:lang w:val="en-US" w:eastAsia="zh-CN"/>
                    </w:rPr>
                  </w:pPr>
                </w:p>
              </w:tc>
              <w:tc>
                <w:tcPr>
                  <w:tcW w:w="1064" w:type="pct"/>
                  <w:vMerge w:val="continue"/>
                  <w:tcBorders>
                    <w:tl2br w:val="nil"/>
                    <w:tr2bl w:val="nil"/>
                  </w:tcBorders>
                  <w:vAlign w:val="center"/>
                </w:tcPr>
                <w:p>
                  <w:pPr>
                    <w:pStyle w:val="51"/>
                    <w:bidi w:val="0"/>
                    <w:rPr>
                      <w:rFonts w:hint="default"/>
                      <w:color w:val="auto"/>
                      <w:lang w:val="en-US" w:eastAsia="zh-CN"/>
                    </w:rPr>
                  </w:pPr>
                </w:p>
              </w:tc>
              <w:tc>
                <w:tcPr>
                  <w:tcW w:w="52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核算方法</w:t>
                  </w:r>
                </w:p>
              </w:tc>
              <w:tc>
                <w:tcPr>
                  <w:tcW w:w="87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产生废水量m</w:t>
                  </w:r>
                  <w:r>
                    <w:rPr>
                      <w:rFonts w:hint="eastAsia"/>
                      <w:color w:val="auto"/>
                      <w:vertAlign w:val="superscript"/>
                      <w:lang w:val="en-US" w:eastAsia="zh-CN"/>
                    </w:rPr>
                    <w:t>3</w:t>
                  </w:r>
                  <w:r>
                    <w:rPr>
                      <w:rFonts w:hint="eastAsia"/>
                      <w:color w:val="auto"/>
                      <w:lang w:val="en-US" w:eastAsia="zh-CN"/>
                    </w:rPr>
                    <w:t>/a</w:t>
                  </w:r>
                </w:p>
              </w:tc>
              <w:tc>
                <w:tcPr>
                  <w:tcW w:w="104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排放浓度mg/L</w:t>
                  </w:r>
                </w:p>
              </w:tc>
              <w:tc>
                <w:tcPr>
                  <w:tcW w:w="97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生活污水</w:t>
                  </w:r>
                </w:p>
              </w:tc>
              <w:tc>
                <w:tcPr>
                  <w:tcW w:w="1064"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SS</w:t>
                  </w:r>
                </w:p>
              </w:tc>
              <w:tc>
                <w:tcPr>
                  <w:tcW w:w="521"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类比法</w:t>
                  </w:r>
                </w:p>
              </w:tc>
              <w:tc>
                <w:tcPr>
                  <w:tcW w:w="875"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84</w:t>
                  </w:r>
                </w:p>
              </w:tc>
              <w:tc>
                <w:tcPr>
                  <w:tcW w:w="104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23</w:t>
                  </w:r>
                </w:p>
              </w:tc>
              <w:tc>
                <w:tcPr>
                  <w:tcW w:w="97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continue"/>
                  <w:tcBorders>
                    <w:tl2br w:val="nil"/>
                    <w:tr2bl w:val="nil"/>
                  </w:tcBorders>
                  <w:vAlign w:val="center"/>
                </w:tcPr>
                <w:p>
                  <w:pPr>
                    <w:pStyle w:val="51"/>
                    <w:bidi w:val="0"/>
                    <w:rPr>
                      <w:rFonts w:hint="default"/>
                      <w:color w:val="auto"/>
                      <w:lang w:val="en-US" w:eastAsia="zh-CN"/>
                    </w:rPr>
                  </w:pPr>
                </w:p>
              </w:tc>
              <w:tc>
                <w:tcPr>
                  <w:tcW w:w="1064"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BOD</w:t>
                  </w:r>
                  <w:r>
                    <w:rPr>
                      <w:rFonts w:hint="default"/>
                      <w:color w:val="auto"/>
                      <w:vertAlign w:val="subscript"/>
                      <w:lang w:val="en-US" w:eastAsia="zh-CN"/>
                    </w:rPr>
                    <w:t>5</w:t>
                  </w:r>
                </w:p>
              </w:tc>
              <w:tc>
                <w:tcPr>
                  <w:tcW w:w="521" w:type="pct"/>
                  <w:vMerge w:val="continue"/>
                  <w:tcBorders>
                    <w:tl2br w:val="nil"/>
                    <w:tr2bl w:val="nil"/>
                  </w:tcBorders>
                  <w:vAlign w:val="center"/>
                </w:tcPr>
                <w:p>
                  <w:pPr>
                    <w:pStyle w:val="51"/>
                    <w:bidi w:val="0"/>
                    <w:rPr>
                      <w:rFonts w:hint="default"/>
                      <w:color w:val="auto"/>
                      <w:lang w:val="en-US" w:eastAsia="zh-CN"/>
                    </w:rPr>
                  </w:pPr>
                </w:p>
              </w:tc>
              <w:tc>
                <w:tcPr>
                  <w:tcW w:w="875" w:type="pct"/>
                  <w:vMerge w:val="continue"/>
                  <w:tcBorders>
                    <w:tl2br w:val="nil"/>
                    <w:tr2bl w:val="nil"/>
                  </w:tcBorders>
                  <w:vAlign w:val="center"/>
                </w:tcPr>
                <w:p>
                  <w:pPr>
                    <w:pStyle w:val="51"/>
                    <w:bidi w:val="0"/>
                    <w:rPr>
                      <w:rFonts w:hint="default"/>
                      <w:color w:val="auto"/>
                      <w:lang w:val="en-US" w:eastAsia="zh-CN"/>
                    </w:rPr>
                  </w:pPr>
                </w:p>
              </w:tc>
              <w:tc>
                <w:tcPr>
                  <w:tcW w:w="104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5.9</w:t>
                  </w:r>
                </w:p>
              </w:tc>
              <w:tc>
                <w:tcPr>
                  <w:tcW w:w="97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continue"/>
                  <w:tcBorders>
                    <w:tl2br w:val="nil"/>
                    <w:tr2bl w:val="nil"/>
                  </w:tcBorders>
                  <w:vAlign w:val="center"/>
                </w:tcPr>
                <w:p>
                  <w:pPr>
                    <w:pStyle w:val="51"/>
                    <w:bidi w:val="0"/>
                    <w:rPr>
                      <w:rFonts w:hint="default"/>
                      <w:color w:val="auto"/>
                      <w:lang w:val="en-US" w:eastAsia="zh-CN"/>
                    </w:rPr>
                  </w:pPr>
                </w:p>
              </w:tc>
              <w:tc>
                <w:tcPr>
                  <w:tcW w:w="1064"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COD</w:t>
                  </w:r>
                  <w:r>
                    <w:rPr>
                      <w:rFonts w:hint="default"/>
                      <w:color w:val="auto"/>
                      <w:vertAlign w:val="subscript"/>
                      <w:lang w:val="en-US" w:eastAsia="zh-CN"/>
                    </w:rPr>
                    <w:t>Cr</w:t>
                  </w:r>
                </w:p>
              </w:tc>
              <w:tc>
                <w:tcPr>
                  <w:tcW w:w="521" w:type="pct"/>
                  <w:vMerge w:val="continue"/>
                  <w:tcBorders>
                    <w:tl2br w:val="nil"/>
                    <w:tr2bl w:val="nil"/>
                  </w:tcBorders>
                  <w:vAlign w:val="center"/>
                </w:tcPr>
                <w:p>
                  <w:pPr>
                    <w:pStyle w:val="51"/>
                    <w:bidi w:val="0"/>
                    <w:rPr>
                      <w:rFonts w:hint="default"/>
                      <w:color w:val="auto"/>
                      <w:lang w:val="en-US" w:eastAsia="zh-CN"/>
                    </w:rPr>
                  </w:pPr>
                </w:p>
              </w:tc>
              <w:tc>
                <w:tcPr>
                  <w:tcW w:w="875" w:type="pct"/>
                  <w:vMerge w:val="continue"/>
                  <w:tcBorders>
                    <w:tl2br w:val="nil"/>
                    <w:tr2bl w:val="nil"/>
                  </w:tcBorders>
                  <w:vAlign w:val="center"/>
                </w:tcPr>
                <w:p>
                  <w:pPr>
                    <w:pStyle w:val="51"/>
                    <w:bidi w:val="0"/>
                    <w:rPr>
                      <w:rFonts w:hint="default"/>
                      <w:color w:val="auto"/>
                      <w:lang w:val="en-US" w:eastAsia="zh-CN"/>
                    </w:rPr>
                  </w:pPr>
                </w:p>
              </w:tc>
              <w:tc>
                <w:tcPr>
                  <w:tcW w:w="104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46</w:t>
                  </w:r>
                </w:p>
              </w:tc>
              <w:tc>
                <w:tcPr>
                  <w:tcW w:w="97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pct"/>
                  <w:vMerge w:val="continue"/>
                  <w:tcBorders>
                    <w:tl2br w:val="nil"/>
                    <w:tr2bl w:val="nil"/>
                  </w:tcBorders>
                  <w:vAlign w:val="center"/>
                </w:tcPr>
                <w:p>
                  <w:pPr>
                    <w:pStyle w:val="51"/>
                    <w:bidi w:val="0"/>
                    <w:rPr>
                      <w:rFonts w:hint="default"/>
                      <w:color w:val="auto"/>
                      <w:lang w:val="en-US" w:eastAsia="zh-CN"/>
                    </w:rPr>
                  </w:pPr>
                </w:p>
              </w:tc>
              <w:tc>
                <w:tcPr>
                  <w:tcW w:w="1064"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NH</w:t>
                  </w:r>
                  <w:r>
                    <w:rPr>
                      <w:rFonts w:hint="default"/>
                      <w:color w:val="auto"/>
                      <w:vertAlign w:val="subscript"/>
                      <w:lang w:val="en-US" w:eastAsia="zh-CN"/>
                    </w:rPr>
                    <w:t>3</w:t>
                  </w:r>
                  <w:r>
                    <w:rPr>
                      <w:rFonts w:hint="default"/>
                      <w:color w:val="auto"/>
                      <w:lang w:val="en-US" w:eastAsia="zh-CN"/>
                    </w:rPr>
                    <w:t>-N</w:t>
                  </w:r>
                </w:p>
              </w:tc>
              <w:tc>
                <w:tcPr>
                  <w:tcW w:w="521" w:type="pct"/>
                  <w:vMerge w:val="continue"/>
                  <w:tcBorders>
                    <w:tl2br w:val="nil"/>
                    <w:tr2bl w:val="nil"/>
                  </w:tcBorders>
                  <w:vAlign w:val="center"/>
                </w:tcPr>
                <w:p>
                  <w:pPr>
                    <w:pStyle w:val="51"/>
                    <w:bidi w:val="0"/>
                    <w:rPr>
                      <w:rFonts w:hint="default"/>
                      <w:color w:val="auto"/>
                      <w:lang w:val="en-US" w:eastAsia="zh-CN"/>
                    </w:rPr>
                  </w:pPr>
                </w:p>
              </w:tc>
              <w:tc>
                <w:tcPr>
                  <w:tcW w:w="875" w:type="pct"/>
                  <w:vMerge w:val="continue"/>
                  <w:tcBorders>
                    <w:tl2br w:val="nil"/>
                    <w:tr2bl w:val="nil"/>
                  </w:tcBorders>
                  <w:vAlign w:val="center"/>
                </w:tcPr>
                <w:p>
                  <w:pPr>
                    <w:pStyle w:val="51"/>
                    <w:bidi w:val="0"/>
                    <w:rPr>
                      <w:rFonts w:hint="default"/>
                      <w:color w:val="auto"/>
                      <w:lang w:val="en-US" w:eastAsia="zh-CN"/>
                    </w:rPr>
                  </w:pPr>
                </w:p>
              </w:tc>
              <w:tc>
                <w:tcPr>
                  <w:tcW w:w="104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23.9</w:t>
                  </w:r>
                </w:p>
              </w:tc>
              <w:tc>
                <w:tcPr>
                  <w:tcW w:w="97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vAlign w:val="center"/>
                </w:tcPr>
                <w:p>
                  <w:pPr>
                    <w:pStyle w:val="51"/>
                    <w:bidi w:val="0"/>
                    <w:jc w:val="left"/>
                    <w:rPr>
                      <w:rFonts w:hint="default"/>
                      <w:color w:val="auto"/>
                      <w:lang w:val="en-US" w:eastAsia="zh-CN"/>
                    </w:rPr>
                  </w:pPr>
                  <w:r>
                    <w:rPr>
                      <w:rFonts w:hint="eastAsia"/>
                      <w:color w:val="auto"/>
                      <w:lang w:val="en-US" w:eastAsia="zh-CN"/>
                    </w:rPr>
                    <w:t>类比数据来自同类型处理方式（化粪池）监测数据。</w:t>
                  </w:r>
                </w:p>
              </w:tc>
            </w:tr>
          </w:tbl>
          <w:p>
            <w:pPr>
              <w:pStyle w:val="54"/>
              <w:bidi w:val="0"/>
              <w:rPr>
                <w:rFonts w:hint="default"/>
                <w:color w:val="auto"/>
                <w:lang w:val="en-US" w:eastAsia="zh-CN"/>
              </w:rPr>
            </w:pPr>
            <w:r>
              <w:rPr>
                <w:rFonts w:hint="eastAsia"/>
                <w:color w:val="auto"/>
                <w:lang w:val="en-US" w:eastAsia="zh-CN"/>
              </w:rPr>
              <w:t>2、监测要求</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根据《排污单位自行监测技术指南 总则》（HJ 819-2017）中自行监测管理要求，本项目废水具体监测计划见表4-6。</w:t>
            </w:r>
          </w:p>
          <w:p>
            <w:pPr>
              <w:pStyle w:val="50"/>
              <w:bidi w:val="0"/>
              <w:rPr>
                <w:rFonts w:hint="default" w:cs="Times New Roman"/>
                <w:bCs/>
                <w:color w:val="auto"/>
                <w:spacing w:val="-10"/>
                <w:kern w:val="2"/>
                <w:szCs w:val="21"/>
                <w:lang w:val="en-US" w:eastAsia="zh-CN" w:bidi="ar-SA"/>
              </w:rPr>
            </w:pPr>
            <w:r>
              <w:rPr>
                <w:rFonts w:hint="eastAsia"/>
                <w:color w:val="auto"/>
                <w:lang w:val="en-US" w:eastAsia="zh-CN"/>
              </w:rPr>
              <w:t>表4-6  废水监测计划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96"/>
              <w:gridCol w:w="1308"/>
              <w:gridCol w:w="1072"/>
              <w:gridCol w:w="1383"/>
              <w:gridCol w:w="2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环境要素</w:t>
                  </w:r>
                </w:p>
              </w:tc>
              <w:tc>
                <w:tcPr>
                  <w:tcW w:w="63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监测点位</w:t>
                  </w: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监测指标</w:t>
                  </w:r>
                </w:p>
              </w:tc>
              <w:tc>
                <w:tcPr>
                  <w:tcW w:w="67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监测频次</w:t>
                  </w: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标准限值</w:t>
                  </w:r>
                </w:p>
              </w:tc>
              <w:tc>
                <w:tcPr>
                  <w:tcW w:w="14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生活废水</w:t>
                  </w:r>
                </w:p>
              </w:tc>
              <w:tc>
                <w:tcPr>
                  <w:tcW w:w="631"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化粪池</w:t>
                  </w: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pH</w:t>
                  </w:r>
                </w:p>
              </w:tc>
              <w:tc>
                <w:tcPr>
                  <w:tcW w:w="679"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1次/季</w:t>
                  </w: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6~9</w:t>
                  </w:r>
                </w:p>
              </w:tc>
              <w:tc>
                <w:tcPr>
                  <w:tcW w:w="1460"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《农村生活污水处理排放标准》（DB 65 4275-2019）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51"/>
                    <w:bidi w:val="0"/>
                    <w:rPr>
                      <w:rFonts w:hint="eastAsia"/>
                      <w:color w:val="auto"/>
                      <w:lang w:val="en-US" w:eastAsia="zh-CN"/>
                    </w:rPr>
                  </w:pPr>
                </w:p>
              </w:tc>
              <w:tc>
                <w:tcPr>
                  <w:tcW w:w="631" w:type="pct"/>
                  <w:vMerge w:val="continue"/>
                  <w:tcBorders>
                    <w:tl2br w:val="nil"/>
                    <w:tr2bl w:val="nil"/>
                  </w:tcBorders>
                  <w:vAlign w:val="center"/>
                </w:tcPr>
                <w:p>
                  <w:pPr>
                    <w:pStyle w:val="51"/>
                    <w:bidi w:val="0"/>
                    <w:rPr>
                      <w:rFonts w:hint="eastAsia"/>
                      <w:color w:val="auto"/>
                      <w:lang w:val="en-US" w:eastAsia="zh-CN"/>
                    </w:rPr>
                  </w:pP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悬浮物</w:t>
                  </w:r>
                </w:p>
              </w:tc>
              <w:tc>
                <w:tcPr>
                  <w:tcW w:w="679" w:type="pct"/>
                  <w:vMerge w:val="continue"/>
                  <w:tcBorders>
                    <w:tl2br w:val="nil"/>
                    <w:tr2bl w:val="nil"/>
                  </w:tcBorders>
                  <w:vAlign w:val="center"/>
                </w:tcPr>
                <w:p>
                  <w:pPr>
                    <w:pStyle w:val="51"/>
                    <w:bidi w:val="0"/>
                    <w:rPr>
                      <w:rFonts w:hint="eastAsia"/>
                      <w:color w:val="auto"/>
                      <w:lang w:val="en-US" w:eastAsia="zh-CN"/>
                    </w:rPr>
                  </w:pP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100mg/m</w:t>
                  </w:r>
                  <w:r>
                    <w:rPr>
                      <w:rFonts w:hint="eastAsia"/>
                      <w:color w:val="auto"/>
                      <w:vertAlign w:val="superscript"/>
                      <w:lang w:val="en-US" w:eastAsia="zh-CN"/>
                    </w:rPr>
                    <w:t>3</w:t>
                  </w:r>
                </w:p>
              </w:tc>
              <w:tc>
                <w:tcPr>
                  <w:tcW w:w="1460" w:type="pct"/>
                  <w:vMerge w:val="continue"/>
                  <w:tcBorders>
                    <w:tl2br w:val="nil"/>
                    <w:tr2bl w:val="nil"/>
                  </w:tcBorders>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51"/>
                    <w:bidi w:val="0"/>
                    <w:rPr>
                      <w:rFonts w:hint="eastAsia"/>
                      <w:color w:val="auto"/>
                      <w:lang w:val="en-US" w:eastAsia="zh-CN"/>
                    </w:rPr>
                  </w:pPr>
                </w:p>
              </w:tc>
              <w:tc>
                <w:tcPr>
                  <w:tcW w:w="631" w:type="pct"/>
                  <w:vMerge w:val="continue"/>
                  <w:tcBorders>
                    <w:tl2br w:val="nil"/>
                    <w:tr2bl w:val="nil"/>
                  </w:tcBorders>
                  <w:vAlign w:val="center"/>
                </w:tcPr>
                <w:p>
                  <w:pPr>
                    <w:pStyle w:val="51"/>
                    <w:bidi w:val="0"/>
                    <w:rPr>
                      <w:rFonts w:hint="eastAsia"/>
                      <w:color w:val="auto"/>
                      <w:lang w:val="en-US" w:eastAsia="zh-CN"/>
                    </w:rPr>
                  </w:pPr>
                </w:p>
              </w:tc>
              <w:tc>
                <w:tcPr>
                  <w:tcW w:w="82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化学需氧量</w:t>
                  </w:r>
                </w:p>
              </w:tc>
              <w:tc>
                <w:tcPr>
                  <w:tcW w:w="679" w:type="pct"/>
                  <w:vMerge w:val="continue"/>
                  <w:tcBorders>
                    <w:tl2br w:val="nil"/>
                    <w:tr2bl w:val="nil"/>
                  </w:tcBorders>
                  <w:vAlign w:val="center"/>
                </w:tcPr>
                <w:p>
                  <w:pPr>
                    <w:pStyle w:val="51"/>
                    <w:bidi w:val="0"/>
                    <w:rPr>
                      <w:rFonts w:hint="eastAsia"/>
                      <w:color w:val="auto"/>
                      <w:lang w:val="en-US" w:eastAsia="zh-CN"/>
                    </w:rPr>
                  </w:pP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200mg/m</w:t>
                  </w:r>
                  <w:r>
                    <w:rPr>
                      <w:rFonts w:hint="eastAsia"/>
                      <w:color w:val="auto"/>
                      <w:vertAlign w:val="superscript"/>
                      <w:lang w:val="en-US" w:eastAsia="zh-CN"/>
                    </w:rPr>
                    <w:t>3</w:t>
                  </w:r>
                </w:p>
              </w:tc>
              <w:tc>
                <w:tcPr>
                  <w:tcW w:w="1460" w:type="pct"/>
                  <w:vMerge w:val="continue"/>
                  <w:tcBorders>
                    <w:tl2br w:val="nil"/>
                    <w:tr2bl w:val="nil"/>
                  </w:tcBorders>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51"/>
                    <w:bidi w:val="0"/>
                    <w:rPr>
                      <w:rFonts w:hint="eastAsia"/>
                      <w:color w:val="auto"/>
                      <w:lang w:val="en-US" w:eastAsia="zh-CN"/>
                    </w:rPr>
                  </w:pPr>
                </w:p>
              </w:tc>
              <w:tc>
                <w:tcPr>
                  <w:tcW w:w="631" w:type="pct"/>
                  <w:vMerge w:val="continue"/>
                  <w:tcBorders>
                    <w:tl2br w:val="nil"/>
                    <w:tr2bl w:val="nil"/>
                  </w:tcBorders>
                  <w:vAlign w:val="center"/>
                </w:tcPr>
                <w:p>
                  <w:pPr>
                    <w:pStyle w:val="51"/>
                    <w:bidi w:val="0"/>
                    <w:rPr>
                      <w:rFonts w:hint="eastAsia"/>
                      <w:color w:val="auto"/>
                      <w:lang w:val="en-US" w:eastAsia="zh-CN"/>
                    </w:rPr>
                  </w:pPr>
                </w:p>
              </w:tc>
              <w:tc>
                <w:tcPr>
                  <w:tcW w:w="82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粪大肠菌群</w:t>
                  </w:r>
                </w:p>
              </w:tc>
              <w:tc>
                <w:tcPr>
                  <w:tcW w:w="679" w:type="pct"/>
                  <w:vMerge w:val="continue"/>
                  <w:tcBorders>
                    <w:tl2br w:val="nil"/>
                    <w:tr2bl w:val="nil"/>
                  </w:tcBorders>
                  <w:vAlign w:val="center"/>
                </w:tcPr>
                <w:p>
                  <w:pPr>
                    <w:pStyle w:val="51"/>
                    <w:bidi w:val="0"/>
                    <w:rPr>
                      <w:rFonts w:hint="eastAsia"/>
                      <w:color w:val="auto"/>
                      <w:lang w:val="en-US" w:eastAsia="zh-CN"/>
                    </w:rPr>
                  </w:pP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40000MPN/L</w:t>
                  </w:r>
                </w:p>
              </w:tc>
              <w:tc>
                <w:tcPr>
                  <w:tcW w:w="1460" w:type="pct"/>
                  <w:vMerge w:val="continue"/>
                  <w:tcBorders>
                    <w:tl2br w:val="nil"/>
                    <w:tr2bl w:val="nil"/>
                  </w:tcBorders>
                  <w:vAlign w:val="center"/>
                </w:tcPr>
                <w:p>
                  <w:pPr>
                    <w:pStyle w:val="51"/>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51"/>
                    <w:bidi w:val="0"/>
                    <w:rPr>
                      <w:rFonts w:hint="eastAsia"/>
                      <w:color w:val="auto"/>
                      <w:lang w:val="en-US" w:eastAsia="zh-CN"/>
                    </w:rPr>
                  </w:pPr>
                </w:p>
              </w:tc>
              <w:tc>
                <w:tcPr>
                  <w:tcW w:w="631" w:type="pct"/>
                  <w:vMerge w:val="continue"/>
                  <w:tcBorders>
                    <w:tl2br w:val="nil"/>
                    <w:tr2bl w:val="nil"/>
                  </w:tcBorders>
                  <w:vAlign w:val="center"/>
                </w:tcPr>
                <w:p>
                  <w:pPr>
                    <w:pStyle w:val="51"/>
                    <w:bidi w:val="0"/>
                    <w:rPr>
                      <w:rFonts w:hint="eastAsia"/>
                      <w:color w:val="auto"/>
                      <w:lang w:val="en-US" w:eastAsia="zh-CN"/>
                    </w:rPr>
                  </w:pPr>
                </w:p>
              </w:tc>
              <w:tc>
                <w:tcPr>
                  <w:tcW w:w="82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蛔虫卵个数</w:t>
                  </w:r>
                </w:p>
              </w:tc>
              <w:tc>
                <w:tcPr>
                  <w:tcW w:w="679" w:type="pct"/>
                  <w:vMerge w:val="continue"/>
                  <w:tcBorders>
                    <w:tl2br w:val="nil"/>
                    <w:tr2bl w:val="nil"/>
                  </w:tcBorders>
                  <w:vAlign w:val="center"/>
                </w:tcPr>
                <w:p>
                  <w:pPr>
                    <w:pStyle w:val="51"/>
                    <w:bidi w:val="0"/>
                    <w:rPr>
                      <w:rFonts w:hint="eastAsia"/>
                      <w:color w:val="auto"/>
                      <w:lang w:val="en-US" w:eastAsia="zh-CN"/>
                    </w:rPr>
                  </w:pPr>
                </w:p>
              </w:tc>
              <w:tc>
                <w:tcPr>
                  <w:tcW w:w="8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2个/L</w:t>
                  </w:r>
                </w:p>
              </w:tc>
              <w:tc>
                <w:tcPr>
                  <w:tcW w:w="1460" w:type="pct"/>
                  <w:vMerge w:val="continue"/>
                  <w:tcBorders>
                    <w:tl2br w:val="nil"/>
                    <w:tr2bl w:val="nil"/>
                  </w:tcBorders>
                  <w:vAlign w:val="center"/>
                </w:tcPr>
                <w:p>
                  <w:pPr>
                    <w:pStyle w:val="51"/>
                    <w:bidi w:val="0"/>
                    <w:rPr>
                      <w:rFonts w:hint="eastAsia"/>
                      <w:color w:val="auto"/>
                      <w:lang w:val="en-US" w:eastAsia="zh-CN"/>
                    </w:rPr>
                  </w:pPr>
                </w:p>
              </w:tc>
            </w:tr>
          </w:tbl>
          <w:p>
            <w:pPr>
              <w:pStyle w:val="54"/>
              <w:bidi w:val="0"/>
              <w:rPr>
                <w:rFonts w:hint="default" w:cs="Times New Roman"/>
                <w:color w:val="auto"/>
                <w:szCs w:val="24"/>
                <w:lang w:val="en-US" w:eastAsia="zh-CN"/>
              </w:rPr>
            </w:pPr>
            <w:r>
              <w:rPr>
                <w:rFonts w:hint="default"/>
                <w:color w:val="auto"/>
                <w:lang w:val="en-US" w:eastAsia="zh-CN"/>
              </w:rPr>
              <w:t>综上所述，本项目的废水排放通过相应的措施处理后对周边水环境影响较小。</w:t>
            </w:r>
          </w:p>
          <w:p>
            <w:pPr>
              <w:pStyle w:val="54"/>
              <w:bidi w:val="0"/>
              <w:rPr>
                <w:rFonts w:hint="default"/>
                <w:color w:val="auto"/>
                <w:lang w:val="en-US" w:eastAsia="zh-CN"/>
              </w:rPr>
            </w:pPr>
            <w:r>
              <w:rPr>
                <w:rFonts w:hint="eastAsia"/>
                <w:b/>
                <w:bCs/>
                <w:color w:val="auto"/>
                <w:lang w:val="en-US" w:eastAsia="zh-CN"/>
              </w:rPr>
              <w:t>三、噪声</w:t>
            </w:r>
          </w:p>
          <w:p>
            <w:pPr>
              <w:pStyle w:val="54"/>
              <w:bidi w:val="0"/>
              <w:rPr>
                <w:rFonts w:hint="default"/>
                <w:color w:val="auto"/>
                <w:lang w:val="en-US" w:eastAsia="zh-CN"/>
              </w:rPr>
            </w:pPr>
            <w:r>
              <w:rPr>
                <w:rFonts w:hint="eastAsia"/>
                <w:color w:val="auto"/>
                <w:lang w:val="en-US" w:eastAsia="zh-CN"/>
              </w:rPr>
              <w:t>1、产生情况</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本项目的噪声来自生产设备运行时发出的噪声，包括超微粉碎主机、风机等，类比同类型企业噪声源强在80dB（A）~90dB（A）之间。本项目选用低音设备、安装消声减震器可以从声源上降低设备本身噪声。加强设备的维护，确保设备处于良好的运转状态，杜绝因设备不正常运转时产生的高噪声现象；加强操作管理和维护；合理布局等措施，可有效主要噪声源强见下表。</w:t>
            </w:r>
          </w:p>
          <w:p>
            <w:pPr>
              <w:pStyle w:val="50"/>
              <w:bidi w:val="0"/>
              <w:rPr>
                <w:rFonts w:hint="eastAsia" w:cs="Times New Roman"/>
                <w:bCs/>
                <w:color w:val="auto"/>
                <w:spacing w:val="-10"/>
                <w:kern w:val="2"/>
                <w:szCs w:val="21"/>
                <w:lang w:val="en-US" w:eastAsia="zh-CN" w:bidi="ar-SA"/>
              </w:rPr>
            </w:pPr>
            <w:r>
              <w:rPr>
                <w:rFonts w:hint="eastAsia"/>
                <w:color w:val="auto"/>
                <w:lang w:val="en-US" w:eastAsia="zh-CN"/>
              </w:rPr>
              <w:t>表4-7  设备噪声源强一览表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45"/>
              <w:gridCol w:w="627"/>
              <w:gridCol w:w="1083"/>
              <w:gridCol w:w="1089"/>
              <w:gridCol w:w="1143"/>
              <w:gridCol w:w="627"/>
              <w:gridCol w:w="1083"/>
              <w:gridCol w:w="8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序号</w:t>
                  </w:r>
                </w:p>
              </w:tc>
              <w:tc>
                <w:tcPr>
                  <w:tcW w:w="597"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高噪声设备名称</w:t>
                  </w:r>
                </w:p>
              </w:tc>
              <w:tc>
                <w:tcPr>
                  <w:tcW w:w="108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噪声源强</w:t>
                  </w:r>
                </w:p>
              </w:tc>
              <w:tc>
                <w:tcPr>
                  <w:tcW w:w="141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降噪措施</w:t>
                  </w:r>
                </w:p>
              </w:tc>
              <w:tc>
                <w:tcPr>
                  <w:tcW w:w="1080" w:type="pct"/>
                  <w:gridSpan w:val="2"/>
                  <w:tcBorders>
                    <w:tl2br w:val="nil"/>
                    <w:tr2bl w:val="nil"/>
                  </w:tcBorders>
                  <w:vAlign w:val="center"/>
                </w:tcPr>
                <w:p>
                  <w:pPr>
                    <w:pStyle w:val="51"/>
                    <w:bidi w:val="0"/>
                    <w:rPr>
                      <w:rFonts w:hint="default"/>
                      <w:color w:val="auto"/>
                      <w:lang w:val="en-US" w:eastAsia="zh-CN"/>
                    </w:rPr>
                  </w:pPr>
                  <w:r>
                    <w:rPr>
                      <w:rFonts w:hint="eastAsia"/>
                      <w:color w:val="auto"/>
                      <w:lang w:val="en-US" w:eastAsia="zh-CN"/>
                    </w:rPr>
                    <w:t>噪声排放值</w:t>
                  </w:r>
                </w:p>
              </w:tc>
              <w:tc>
                <w:tcPr>
                  <w:tcW w:w="516"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持续时间h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vMerge w:val="continue"/>
                  <w:tcBorders>
                    <w:tl2br w:val="nil"/>
                    <w:tr2bl w:val="nil"/>
                  </w:tcBorders>
                  <w:vAlign w:val="center"/>
                </w:tcPr>
                <w:p>
                  <w:pPr>
                    <w:pStyle w:val="51"/>
                    <w:bidi w:val="0"/>
                    <w:rPr>
                      <w:rFonts w:hint="default"/>
                      <w:color w:val="auto"/>
                      <w:lang w:val="en-US" w:eastAsia="zh-CN"/>
                    </w:rPr>
                  </w:pPr>
                </w:p>
              </w:tc>
              <w:tc>
                <w:tcPr>
                  <w:tcW w:w="597" w:type="pct"/>
                  <w:vMerge w:val="continue"/>
                  <w:tcBorders>
                    <w:tl2br w:val="nil"/>
                    <w:tr2bl w:val="nil"/>
                  </w:tcBorders>
                  <w:vAlign w:val="center"/>
                </w:tcPr>
                <w:p>
                  <w:pPr>
                    <w:pStyle w:val="51"/>
                    <w:bidi w:val="0"/>
                    <w:rPr>
                      <w:rFonts w:hint="default"/>
                      <w:color w:val="auto"/>
                      <w:lang w:val="en-US" w:eastAsia="zh-CN"/>
                    </w:rPr>
                  </w:pPr>
                </w:p>
              </w:tc>
              <w:tc>
                <w:tcPr>
                  <w:tcW w:w="39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核算方法</w:t>
                  </w: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噪声值dB（A）</w:t>
                  </w:r>
                </w:p>
              </w:tc>
              <w:tc>
                <w:tcPr>
                  <w:tcW w:w="68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工艺</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降噪效果dB（A）</w:t>
                  </w:r>
                </w:p>
              </w:tc>
              <w:tc>
                <w:tcPr>
                  <w:tcW w:w="39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核算方法</w:t>
                  </w: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噪声值dB（A）</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1</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刮板机</w:t>
                  </w:r>
                </w:p>
              </w:tc>
              <w:tc>
                <w:tcPr>
                  <w:tcW w:w="396"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类比法</w:t>
                  </w: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w:t>
                  </w:r>
                </w:p>
              </w:tc>
              <w:tc>
                <w:tcPr>
                  <w:tcW w:w="396"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类比法</w:t>
                  </w: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70</w:t>
                  </w:r>
                </w:p>
              </w:tc>
              <w:tc>
                <w:tcPr>
                  <w:tcW w:w="516"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6720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斗提机</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85</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3</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超微粉碎主机</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4</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旋风分离器</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5</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风机</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6</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双工位抽气全自动包装机</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70</w:t>
                  </w:r>
                </w:p>
              </w:tc>
              <w:tc>
                <w:tcPr>
                  <w:tcW w:w="516"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w:t>
                  </w:r>
                </w:p>
              </w:tc>
              <w:tc>
                <w:tcPr>
                  <w:tcW w:w="597"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振袋输送机</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51"/>
                    <w:bidi w:val="0"/>
                    <w:rPr>
                      <w:rFonts w:hint="default"/>
                      <w:color w:val="auto"/>
                      <w:lang w:val="en-US" w:eastAsia="zh-CN"/>
                    </w:rPr>
                  </w:pPr>
                </w:p>
              </w:tc>
              <w:tc>
                <w:tcPr>
                  <w:tcW w:w="684"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70</w:t>
                  </w:r>
                </w:p>
              </w:tc>
              <w:tc>
                <w:tcPr>
                  <w:tcW w:w="516" w:type="pct"/>
                  <w:vMerge w:val="continue"/>
                  <w:tcBorders>
                    <w:tl2br w:val="nil"/>
                    <w:tr2bl w:val="nil"/>
                  </w:tcBorders>
                  <w:vAlign w:val="center"/>
                </w:tcPr>
                <w:p>
                  <w:pPr>
                    <w:pStyle w:val="51"/>
                    <w:bidi w:val="0"/>
                    <w:rPr>
                      <w:rFonts w:hint="default"/>
                      <w:color w:val="auto"/>
                      <w:lang w:val="en-US" w:eastAsia="zh-CN"/>
                    </w:rPr>
                  </w:pPr>
                </w:p>
              </w:tc>
            </w:tr>
          </w:tbl>
          <w:p>
            <w:pPr>
              <w:pStyle w:val="54"/>
              <w:bidi w:val="0"/>
              <w:rPr>
                <w:rFonts w:hint="default" w:cs="Times New Roman"/>
                <w:bCs/>
                <w:color w:val="auto"/>
                <w:spacing w:val="-10"/>
                <w:kern w:val="2"/>
                <w:szCs w:val="24"/>
                <w:lang w:val="en-US" w:eastAsia="zh-CN" w:bidi="ar-SA"/>
              </w:rPr>
            </w:pPr>
            <w:r>
              <w:rPr>
                <w:rFonts w:hint="eastAsia"/>
                <w:color w:val="auto"/>
                <w:lang w:val="en-US" w:eastAsia="zh-CN"/>
              </w:rPr>
              <w:t>本项目主要为生产设备产生的噪声，声源噪声级在80~90dB（A）之间。通过选取低噪声设备、基础减振等措施后车间外噪声设备的噪声值降至70~75dB（A）。同时通过加强管理，厂房隔声、距离衰减等措施，</w:t>
            </w:r>
            <w:r>
              <w:rPr>
                <w:color w:val="auto"/>
              </w:rPr>
              <w:t>项目厂界噪声昼间和夜间均满足《工业企业厂界环境噪声排放标准》（GB</w:t>
            </w:r>
            <w:r>
              <w:rPr>
                <w:rFonts w:hint="eastAsia"/>
                <w:color w:val="auto"/>
                <w:lang w:val="en-US" w:eastAsia="zh-CN"/>
              </w:rPr>
              <w:t xml:space="preserve"> </w:t>
            </w:r>
            <w:r>
              <w:rPr>
                <w:color w:val="auto"/>
              </w:rPr>
              <w:t>12348-2008）中的</w:t>
            </w:r>
            <w:r>
              <w:rPr>
                <w:rFonts w:hint="eastAsia"/>
                <w:color w:val="auto"/>
                <w:lang w:val="en-US" w:eastAsia="zh-CN"/>
              </w:rPr>
              <w:t>2</w:t>
            </w:r>
            <w:r>
              <w:rPr>
                <w:rFonts w:hint="eastAsia"/>
                <w:color w:val="auto"/>
              </w:rPr>
              <w:t>类</w:t>
            </w:r>
            <w:r>
              <w:rPr>
                <w:color w:val="auto"/>
              </w:rPr>
              <w:t>标准</w:t>
            </w:r>
            <w:r>
              <w:rPr>
                <w:rFonts w:hint="eastAsia"/>
                <w:color w:val="auto"/>
              </w:rPr>
              <w:t>，</w:t>
            </w:r>
            <w:r>
              <w:rPr>
                <w:color w:val="auto"/>
              </w:rPr>
              <w:t>对周围声环境影响较小。</w:t>
            </w:r>
            <w:r>
              <w:rPr>
                <w:rFonts w:hint="eastAsia"/>
                <w:color w:val="auto"/>
              </w:rPr>
              <w:t>厂区远离居民点，本项目噪声对周围声环境影响不大。</w:t>
            </w:r>
          </w:p>
          <w:p>
            <w:pPr>
              <w:pStyle w:val="54"/>
              <w:bidi w:val="0"/>
              <w:rPr>
                <w:rFonts w:hint="default"/>
                <w:color w:val="auto"/>
                <w:lang w:val="en-US" w:eastAsia="zh-CN"/>
              </w:rPr>
            </w:pPr>
            <w:r>
              <w:rPr>
                <w:rFonts w:hint="eastAsia"/>
                <w:color w:val="auto"/>
                <w:lang w:val="en-US" w:eastAsia="zh-CN"/>
              </w:rPr>
              <w:t>2、监测要求</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根据《排污单位自行检测技术指南 总则》（HJ 819-2017）的监测要求，本项目噪声具体监测计划见下表。</w:t>
            </w:r>
          </w:p>
          <w:p>
            <w:pPr>
              <w:pStyle w:val="50"/>
              <w:bidi w:val="0"/>
              <w:rPr>
                <w:rFonts w:hint="default" w:cs="Times New Roman"/>
                <w:bCs/>
                <w:color w:val="auto"/>
                <w:spacing w:val="-10"/>
                <w:kern w:val="2"/>
                <w:szCs w:val="21"/>
                <w:lang w:val="en-US" w:eastAsia="zh-CN" w:bidi="ar-SA"/>
              </w:rPr>
            </w:pPr>
            <w:r>
              <w:rPr>
                <w:rFonts w:hint="eastAsia"/>
                <w:color w:val="auto"/>
                <w:lang w:val="en-US" w:eastAsia="zh-CN"/>
              </w:rPr>
              <w:t>表4-8 噪声监测计划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34"/>
              <w:gridCol w:w="1066"/>
              <w:gridCol w:w="1033"/>
              <w:gridCol w:w="1529"/>
              <w:gridCol w:w="2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环境要素</w:t>
                  </w:r>
                </w:p>
              </w:tc>
              <w:tc>
                <w:tcPr>
                  <w:tcW w:w="77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监测点位</w:t>
                  </w:r>
                </w:p>
              </w:tc>
              <w:tc>
                <w:tcPr>
                  <w:tcW w:w="67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监测项目</w:t>
                  </w:r>
                </w:p>
              </w:tc>
              <w:tc>
                <w:tcPr>
                  <w:tcW w:w="65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监测频次</w:t>
                  </w:r>
                </w:p>
              </w:tc>
              <w:tc>
                <w:tcPr>
                  <w:tcW w:w="96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标准限值</w:t>
                  </w:r>
                </w:p>
              </w:tc>
              <w:tc>
                <w:tcPr>
                  <w:tcW w:w="14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噪声</w:t>
                  </w:r>
                </w:p>
              </w:tc>
              <w:tc>
                <w:tcPr>
                  <w:tcW w:w="779"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厂界四周外1m</w:t>
                  </w:r>
                </w:p>
              </w:tc>
              <w:tc>
                <w:tcPr>
                  <w:tcW w:w="673"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等效A声级</w:t>
                  </w:r>
                </w:p>
              </w:tc>
              <w:tc>
                <w:tcPr>
                  <w:tcW w:w="65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1次/季</w:t>
                  </w:r>
                </w:p>
              </w:tc>
              <w:tc>
                <w:tcPr>
                  <w:tcW w:w="965"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昼间60dB（A）</w:t>
                  </w:r>
                </w:p>
                <w:p>
                  <w:pPr>
                    <w:pStyle w:val="51"/>
                    <w:bidi w:val="0"/>
                    <w:rPr>
                      <w:rFonts w:hint="eastAsia"/>
                      <w:color w:val="auto"/>
                      <w:lang w:val="en-US" w:eastAsia="zh-CN"/>
                    </w:rPr>
                  </w:pPr>
                  <w:r>
                    <w:rPr>
                      <w:rFonts w:hint="eastAsia"/>
                      <w:color w:val="auto"/>
                      <w:lang w:val="en-US" w:eastAsia="zh-CN"/>
                    </w:rPr>
                    <w:t>夜间50dB（A）</w:t>
                  </w:r>
                </w:p>
              </w:tc>
              <w:tc>
                <w:tcPr>
                  <w:tcW w:w="1460"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《工业企业厂界环境噪声排放标准》（GB 12348-2008）</w:t>
                  </w:r>
                </w:p>
              </w:tc>
            </w:tr>
          </w:tbl>
          <w:p>
            <w:pPr>
              <w:pStyle w:val="54"/>
              <w:bidi w:val="0"/>
              <w:rPr>
                <w:rFonts w:hint="default"/>
                <w:color w:val="auto"/>
                <w:lang w:val="en-US" w:eastAsia="zh-CN"/>
              </w:rPr>
            </w:pPr>
            <w:r>
              <w:rPr>
                <w:rFonts w:hint="default"/>
                <w:b/>
                <w:bCs/>
                <w:color w:val="auto"/>
                <w:lang w:val="en-US" w:eastAsia="zh-CN"/>
              </w:rPr>
              <w:t>四、固体废物</w:t>
            </w:r>
          </w:p>
          <w:p>
            <w:pPr>
              <w:pStyle w:val="54"/>
              <w:bidi w:val="0"/>
              <w:rPr>
                <w:rFonts w:hint="default"/>
                <w:color w:val="auto"/>
                <w:lang w:val="en-US" w:eastAsia="zh-CN"/>
              </w:rPr>
            </w:pPr>
            <w:r>
              <w:rPr>
                <w:rFonts w:hint="eastAsia"/>
                <w:color w:val="auto"/>
                <w:lang w:val="en-US" w:eastAsia="zh-CN"/>
              </w:rPr>
              <w:t>本项目运营期产生的固废主要有除尘器收集粉尘、生活垃圾及废机油。</w:t>
            </w:r>
          </w:p>
          <w:p>
            <w:pPr>
              <w:pStyle w:val="54"/>
              <w:bidi w:val="0"/>
              <w:rPr>
                <w:rFonts w:hint="eastAsia"/>
                <w:color w:val="auto"/>
                <w:lang w:val="en-US" w:eastAsia="zh-CN"/>
              </w:rPr>
            </w:pPr>
            <w:r>
              <w:rPr>
                <w:rFonts w:hint="eastAsia"/>
                <w:color w:val="auto"/>
                <w:lang w:val="en-US" w:eastAsia="zh-CN"/>
              </w:rPr>
              <w:t>1</w:t>
            </w:r>
            <w:r>
              <w:rPr>
                <w:rFonts w:hint="default"/>
                <w:color w:val="auto"/>
                <w:lang w:val="en-US" w:eastAsia="zh-CN"/>
              </w:rPr>
              <w:t>、</w:t>
            </w:r>
            <w:r>
              <w:rPr>
                <w:rFonts w:hint="eastAsia"/>
                <w:color w:val="auto"/>
                <w:lang w:val="en-US" w:eastAsia="zh-CN"/>
              </w:rPr>
              <w:t>除尘器收集粉尘</w:t>
            </w:r>
          </w:p>
          <w:p>
            <w:pPr>
              <w:pStyle w:val="54"/>
              <w:bidi w:val="0"/>
              <w:rPr>
                <w:rFonts w:hint="default"/>
                <w:color w:val="auto"/>
                <w:lang w:val="en-US" w:eastAsia="zh-CN"/>
              </w:rPr>
            </w:pPr>
            <w:r>
              <w:rPr>
                <w:rFonts w:hint="eastAsia"/>
                <w:color w:val="auto"/>
                <w:lang w:val="en-US" w:eastAsia="zh-CN"/>
              </w:rPr>
              <w:t>主要有投料、破碎及包装工段除尘器收集粉尘，收集量约1206.612t/a，各除尘器收集的粉尘暂存于除尘器收集槽中，定期回用于对应的生产工段。</w:t>
            </w:r>
          </w:p>
          <w:p>
            <w:pPr>
              <w:pStyle w:val="54"/>
              <w:bidi w:val="0"/>
              <w:rPr>
                <w:rFonts w:hint="default"/>
                <w:color w:val="auto"/>
                <w:lang w:val="en-US" w:eastAsia="zh-CN"/>
              </w:rPr>
            </w:pPr>
            <w:r>
              <w:rPr>
                <w:rFonts w:hint="eastAsia"/>
                <w:color w:val="auto"/>
                <w:lang w:val="en-US" w:eastAsia="zh-CN"/>
              </w:rPr>
              <w:t>2、生活垃圾</w:t>
            </w:r>
          </w:p>
          <w:p>
            <w:pPr>
              <w:pStyle w:val="54"/>
              <w:bidi w:val="0"/>
              <w:rPr>
                <w:rFonts w:hint="default"/>
                <w:color w:val="auto"/>
                <w:lang w:val="en-US" w:eastAsia="zh-CN"/>
              </w:rPr>
            </w:pPr>
            <w:r>
              <w:rPr>
                <w:rFonts w:hint="eastAsia"/>
                <w:color w:val="auto"/>
                <w:lang w:val="en-US" w:eastAsia="zh-CN"/>
              </w:rPr>
              <w:t>本项目劳动定员15人，年工作时间280天，生活垃圾按照每人每天0.5kg计，则生活垃圾产生量=15×0.5×280/1000=2.1t/a。</w:t>
            </w:r>
            <w:r>
              <w:rPr>
                <w:rFonts w:hint="default"/>
                <w:color w:val="auto"/>
                <w:lang w:val="en-US" w:eastAsia="zh-CN"/>
              </w:rPr>
              <w:t>生活垃圾设垃圾箱，拉运至当地生活垃圾填埋场进行处理，以最大限度</w:t>
            </w:r>
            <w:r>
              <w:rPr>
                <w:rFonts w:hint="eastAsia"/>
                <w:color w:val="auto"/>
                <w:lang w:val="en-US" w:eastAsia="zh-CN"/>
              </w:rPr>
              <w:t>地</w:t>
            </w:r>
            <w:r>
              <w:rPr>
                <w:rFonts w:hint="default"/>
                <w:color w:val="auto"/>
                <w:lang w:val="en-US" w:eastAsia="zh-CN"/>
              </w:rPr>
              <w:t>减少生活垃圾对环境的影响。</w:t>
            </w:r>
          </w:p>
          <w:p>
            <w:pPr>
              <w:pStyle w:val="54"/>
              <w:bidi w:val="0"/>
              <w:rPr>
                <w:rFonts w:hint="default"/>
                <w:color w:val="auto"/>
                <w:lang w:val="en-US" w:eastAsia="zh-CN"/>
              </w:rPr>
            </w:pPr>
            <w:r>
              <w:rPr>
                <w:rFonts w:hint="eastAsia"/>
                <w:color w:val="auto"/>
                <w:lang w:val="en-US" w:eastAsia="zh-CN"/>
              </w:rPr>
              <w:t>3、废机油</w:t>
            </w:r>
          </w:p>
          <w:p>
            <w:pPr>
              <w:pStyle w:val="54"/>
              <w:bidi w:val="0"/>
              <w:rPr>
                <w:rFonts w:hint="default"/>
                <w:color w:val="auto"/>
                <w:lang w:val="en-US" w:eastAsia="zh-CN"/>
              </w:rPr>
            </w:pPr>
            <w:r>
              <w:rPr>
                <w:rFonts w:hint="default"/>
                <w:color w:val="auto"/>
                <w:lang w:val="en-US" w:eastAsia="zh-CN"/>
              </w:rPr>
              <w:t>本项目设备维修会产生废机油，产生量约为0.</w:t>
            </w:r>
            <w:r>
              <w:rPr>
                <w:rFonts w:hint="eastAsia"/>
                <w:color w:val="auto"/>
                <w:lang w:val="en-US" w:eastAsia="zh-CN"/>
              </w:rPr>
              <w:t>1</w:t>
            </w:r>
            <w:r>
              <w:rPr>
                <w:rFonts w:hint="default"/>
                <w:color w:val="auto"/>
                <w:lang w:val="en-US" w:eastAsia="zh-CN"/>
              </w:rPr>
              <w:t>t/a。根据《国家危险废物名录》（202</w:t>
            </w:r>
            <w:r>
              <w:rPr>
                <w:rFonts w:hint="eastAsia"/>
                <w:color w:val="auto"/>
                <w:lang w:val="en-US" w:eastAsia="zh-CN"/>
              </w:rPr>
              <w:t>5</w:t>
            </w:r>
            <w:r>
              <w:rPr>
                <w:rFonts w:hint="default"/>
                <w:color w:val="auto"/>
                <w:lang w:val="en-US" w:eastAsia="zh-CN"/>
              </w:rPr>
              <w:t>年版），属于HW08废矿物油与含矿物油废物——非特定行业——900-249-08——其他生产、销售、使用过程中产生的废矿物油及沾染矿物油的废弃包装物。</w:t>
            </w:r>
          </w:p>
          <w:p>
            <w:pPr>
              <w:pStyle w:val="54"/>
              <w:bidi w:val="0"/>
              <w:rPr>
                <w:rFonts w:hint="default"/>
                <w:color w:val="auto"/>
                <w:lang w:val="en-US" w:eastAsia="zh-CN"/>
              </w:rPr>
            </w:pPr>
            <w:r>
              <w:rPr>
                <w:rFonts w:hint="default"/>
                <w:color w:val="auto"/>
                <w:lang w:val="en-US" w:eastAsia="zh-CN"/>
              </w:rPr>
              <w:t>本项目产生的废机油收集后密封储存，暂存于国投罗钾现有危废暂存间储存，面积约378m</w:t>
            </w:r>
            <w:r>
              <w:rPr>
                <w:rFonts w:hint="default"/>
                <w:color w:val="auto"/>
                <w:vertAlign w:val="superscript"/>
                <w:lang w:val="en-US" w:eastAsia="zh-CN"/>
              </w:rPr>
              <w:t>2</w:t>
            </w:r>
            <w:r>
              <w:rPr>
                <w:rFonts w:hint="default"/>
                <w:color w:val="auto"/>
                <w:lang w:val="en-US" w:eastAsia="zh-CN"/>
              </w:rPr>
              <w:t>，定期委托有资质的第三方进行运输和处置。</w:t>
            </w:r>
          </w:p>
          <w:p>
            <w:pPr>
              <w:pStyle w:val="54"/>
              <w:bidi w:val="0"/>
              <w:rPr>
                <w:rFonts w:hint="default"/>
                <w:color w:val="auto"/>
                <w:lang w:val="en-US" w:eastAsia="zh-CN"/>
              </w:rPr>
            </w:pPr>
            <w:r>
              <w:rPr>
                <w:rFonts w:hint="default"/>
                <w:color w:val="auto"/>
                <w:lang w:val="en-US" w:eastAsia="zh-CN"/>
              </w:rPr>
              <w:t>国投罗钾现有危废暂存间</w:t>
            </w:r>
            <w:r>
              <w:rPr>
                <w:rFonts w:hint="eastAsia"/>
                <w:color w:val="auto"/>
                <w:lang w:val="en-US" w:eastAsia="zh-CN"/>
              </w:rPr>
              <w:t>位于“国投新疆罗布泊钾盐有限责任公司钾镁特种肥及全水溶硫酸钾工业性试验项目”内，该项目已于2022年3月14日组织生态环境主管部门、建设单位、监理单位、相关专家及验收监测报告编制单位开展项目竣工环境保护验收，并形成验收意见。</w:t>
            </w:r>
          </w:p>
          <w:p>
            <w:pPr>
              <w:pStyle w:val="50"/>
              <w:bidi w:val="0"/>
              <w:rPr>
                <w:rFonts w:hint="default" w:ascii="Times New Roman" w:hAnsi="Times New Roman" w:eastAsia="宋体" w:cs="Times New Roman"/>
                <w:b w:val="0"/>
                <w:bCs/>
                <w:color w:val="auto"/>
                <w:szCs w:val="21"/>
              </w:rPr>
            </w:pPr>
            <w:r>
              <w:rPr>
                <w:rFonts w:hint="default"/>
                <w:color w:val="auto"/>
              </w:rPr>
              <w:t>表</w:t>
            </w:r>
            <w:r>
              <w:rPr>
                <w:rFonts w:hint="eastAsia"/>
                <w:color w:val="auto"/>
                <w:lang w:val="en-US" w:eastAsia="zh-CN"/>
              </w:rPr>
              <w:t xml:space="preserve">4-9  </w:t>
            </w:r>
            <w:r>
              <w:rPr>
                <w:rFonts w:hint="default"/>
                <w:color w:val="auto"/>
              </w:rPr>
              <w:t>固体废物产生及处置情况一览表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00"/>
              <w:gridCol w:w="1237"/>
              <w:gridCol w:w="800"/>
              <w:gridCol w:w="643"/>
              <w:gridCol w:w="643"/>
              <w:gridCol w:w="1214"/>
              <w:gridCol w:w="646"/>
              <w:gridCol w:w="647"/>
              <w:gridCol w:w="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产生环节</w:t>
                  </w:r>
                </w:p>
              </w:tc>
              <w:tc>
                <w:tcPr>
                  <w:tcW w:w="505"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固废名称</w:t>
                  </w:r>
                </w:p>
              </w:tc>
              <w:tc>
                <w:tcPr>
                  <w:tcW w:w="781"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固废属性</w:t>
                  </w:r>
                </w:p>
              </w:tc>
              <w:tc>
                <w:tcPr>
                  <w:tcW w:w="505"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主要有毒有害物质名称</w:t>
                  </w:r>
                </w:p>
              </w:tc>
              <w:tc>
                <w:tcPr>
                  <w:tcW w:w="406"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物理性状</w:t>
                  </w:r>
                </w:p>
              </w:tc>
              <w:tc>
                <w:tcPr>
                  <w:tcW w:w="406"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环境危险特性</w:t>
                  </w:r>
                </w:p>
              </w:tc>
              <w:tc>
                <w:tcPr>
                  <w:tcW w:w="766"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产生量</w:t>
                  </w:r>
                </w:p>
              </w:tc>
              <w:tc>
                <w:tcPr>
                  <w:tcW w:w="40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贮存方式</w:t>
                  </w:r>
                </w:p>
              </w:tc>
              <w:tc>
                <w:tcPr>
                  <w:tcW w:w="408"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最终去向</w:t>
                  </w:r>
                </w:p>
              </w:tc>
              <w:tc>
                <w:tcPr>
                  <w:tcW w:w="409" w:type="pct"/>
                  <w:tcBorders>
                    <w:tl2br w:val="nil"/>
                    <w:tr2bl w:val="nil"/>
                  </w:tcBorders>
                  <w:vAlign w:val="center"/>
                </w:tcPr>
                <w:p>
                  <w:pPr>
                    <w:pStyle w:val="51"/>
                    <w:bidi w:val="0"/>
                    <w:rPr>
                      <w:rFonts w:hint="default"/>
                      <w:color w:val="auto"/>
                      <w:lang w:val="en-US" w:eastAsia="zh-CN"/>
                    </w:rPr>
                  </w:pPr>
                  <w:r>
                    <w:rPr>
                      <w:rFonts w:hint="default"/>
                      <w:color w:val="auto"/>
                      <w:lang w:val="en-US" w:eastAsia="zh-CN"/>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职工生活</w:t>
                  </w:r>
                </w:p>
              </w:tc>
              <w:tc>
                <w:tcPr>
                  <w:tcW w:w="50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生活垃圾</w:t>
                  </w:r>
                </w:p>
              </w:tc>
              <w:tc>
                <w:tcPr>
                  <w:tcW w:w="78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生活垃圾</w:t>
                  </w:r>
                </w:p>
              </w:tc>
              <w:tc>
                <w:tcPr>
                  <w:tcW w:w="50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无</w:t>
                  </w:r>
                </w:p>
              </w:tc>
              <w:tc>
                <w:tcPr>
                  <w:tcW w:w="40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固态</w:t>
                  </w:r>
                </w:p>
              </w:tc>
              <w:tc>
                <w:tcPr>
                  <w:tcW w:w="40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无</w:t>
                  </w:r>
                </w:p>
              </w:tc>
              <w:tc>
                <w:tcPr>
                  <w:tcW w:w="76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2.1</w:t>
                  </w:r>
                  <w:r>
                    <w:rPr>
                      <w:rFonts w:hint="default"/>
                      <w:color w:val="auto"/>
                      <w:lang w:val="en-US" w:eastAsia="zh-CN"/>
                    </w:rPr>
                    <w:t>t/a</w:t>
                  </w:r>
                </w:p>
              </w:tc>
              <w:tc>
                <w:tcPr>
                  <w:tcW w:w="40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垃圾收集箱</w:t>
                  </w:r>
                </w:p>
              </w:tc>
              <w:tc>
                <w:tcPr>
                  <w:tcW w:w="408"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拉运至当地生活垃圾填埋场进行处理</w:t>
                  </w:r>
                </w:p>
              </w:tc>
              <w:tc>
                <w:tcPr>
                  <w:tcW w:w="409" w:type="pct"/>
                  <w:vMerge w:val="restart"/>
                  <w:tcBorders>
                    <w:tl2br w:val="nil"/>
                    <w:tr2bl w:val="nil"/>
                  </w:tcBorders>
                  <w:vAlign w:val="center"/>
                </w:tcPr>
                <w:p>
                  <w:pPr>
                    <w:pStyle w:val="51"/>
                    <w:bidi w:val="0"/>
                    <w:rPr>
                      <w:rFonts w:hint="default"/>
                      <w:color w:val="auto"/>
                      <w:lang w:val="en-US" w:eastAsia="zh-CN"/>
                    </w:rPr>
                  </w:pPr>
                  <w:r>
                    <w:rPr>
                      <w:rFonts w:hint="eastAsia"/>
                      <w:color w:val="auto"/>
                      <w:lang w:val="en-US" w:eastAsia="zh-CN"/>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restart"/>
                  <w:tcBorders>
                    <w:tl2br w:val="nil"/>
                    <w:tr2bl w:val="nil"/>
                  </w:tcBorders>
                  <w:vAlign w:val="center"/>
                </w:tcPr>
                <w:p>
                  <w:pPr>
                    <w:pStyle w:val="51"/>
                    <w:bidi w:val="0"/>
                    <w:rPr>
                      <w:rFonts w:hint="eastAsia"/>
                      <w:color w:val="auto"/>
                      <w:lang w:val="en-US" w:eastAsia="zh-CN"/>
                    </w:rPr>
                  </w:pPr>
                  <w:r>
                    <w:rPr>
                      <w:rFonts w:hint="eastAsia"/>
                      <w:color w:val="auto"/>
                      <w:lang w:val="en-US" w:eastAsia="zh-CN"/>
                    </w:rPr>
                    <w:t>生产过程</w:t>
                  </w:r>
                </w:p>
              </w:tc>
              <w:tc>
                <w:tcPr>
                  <w:tcW w:w="50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除尘器收集粉尘</w:t>
                  </w:r>
                </w:p>
              </w:tc>
              <w:tc>
                <w:tcPr>
                  <w:tcW w:w="781"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一般工业固体废物</w:t>
                  </w:r>
                </w:p>
              </w:tc>
              <w:tc>
                <w:tcPr>
                  <w:tcW w:w="505"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无</w:t>
                  </w:r>
                </w:p>
              </w:tc>
              <w:tc>
                <w:tcPr>
                  <w:tcW w:w="406"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固态</w:t>
                  </w:r>
                </w:p>
              </w:tc>
              <w:tc>
                <w:tcPr>
                  <w:tcW w:w="406"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无</w:t>
                  </w:r>
                </w:p>
              </w:tc>
              <w:tc>
                <w:tcPr>
                  <w:tcW w:w="76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1206.612t/a</w:t>
                  </w:r>
                </w:p>
              </w:tc>
              <w:tc>
                <w:tcPr>
                  <w:tcW w:w="40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除尘器收集槽</w:t>
                  </w:r>
                </w:p>
              </w:tc>
              <w:tc>
                <w:tcPr>
                  <w:tcW w:w="40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定期回用于对应的生产工段</w:t>
                  </w:r>
                </w:p>
              </w:tc>
              <w:tc>
                <w:tcPr>
                  <w:tcW w:w="409" w:type="pct"/>
                  <w:vMerge w:val="continue"/>
                  <w:tcBorders>
                    <w:tl2br w:val="nil"/>
                    <w:tr2bl w:val="nil"/>
                  </w:tcBorders>
                  <w:vAlign w:val="center"/>
                </w:tcPr>
                <w:p>
                  <w:pPr>
                    <w:pStyle w:val="51"/>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Borders>
                    <w:tl2br w:val="nil"/>
                    <w:tr2bl w:val="nil"/>
                  </w:tcBorders>
                  <w:vAlign w:val="center"/>
                </w:tcPr>
                <w:p>
                  <w:pPr>
                    <w:pStyle w:val="51"/>
                    <w:bidi w:val="0"/>
                    <w:rPr>
                      <w:rFonts w:hint="eastAsia"/>
                      <w:color w:val="auto"/>
                      <w:lang w:val="en-US" w:eastAsia="zh-CN"/>
                    </w:rPr>
                  </w:pPr>
                </w:p>
              </w:tc>
              <w:tc>
                <w:tcPr>
                  <w:tcW w:w="50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废机油</w:t>
                  </w:r>
                </w:p>
              </w:tc>
              <w:tc>
                <w:tcPr>
                  <w:tcW w:w="781"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危险废物HW08</w:t>
                  </w:r>
                </w:p>
                <w:p>
                  <w:pPr>
                    <w:pStyle w:val="51"/>
                    <w:bidi w:val="0"/>
                    <w:rPr>
                      <w:rFonts w:hint="default"/>
                      <w:color w:val="auto"/>
                      <w:lang w:val="en-US" w:eastAsia="zh-CN"/>
                    </w:rPr>
                  </w:pPr>
                  <w:r>
                    <w:rPr>
                      <w:rFonts w:hint="eastAsia"/>
                      <w:color w:val="auto"/>
                      <w:lang w:val="en-US" w:eastAsia="zh-CN"/>
                    </w:rPr>
                    <w:t>900-249-08</w:t>
                  </w:r>
                </w:p>
              </w:tc>
              <w:tc>
                <w:tcPr>
                  <w:tcW w:w="505"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废机油</w:t>
                  </w:r>
                </w:p>
              </w:tc>
              <w:tc>
                <w:tcPr>
                  <w:tcW w:w="40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液态</w:t>
                  </w:r>
                </w:p>
              </w:tc>
              <w:tc>
                <w:tcPr>
                  <w:tcW w:w="40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T，I</w:t>
                  </w:r>
                </w:p>
              </w:tc>
              <w:tc>
                <w:tcPr>
                  <w:tcW w:w="766" w:type="pct"/>
                  <w:tcBorders>
                    <w:tl2br w:val="nil"/>
                    <w:tr2bl w:val="nil"/>
                  </w:tcBorders>
                  <w:vAlign w:val="center"/>
                </w:tcPr>
                <w:p>
                  <w:pPr>
                    <w:pStyle w:val="51"/>
                    <w:bidi w:val="0"/>
                    <w:rPr>
                      <w:rFonts w:hint="default"/>
                      <w:color w:val="auto"/>
                      <w:lang w:val="en-US" w:eastAsia="zh-CN"/>
                    </w:rPr>
                  </w:pPr>
                  <w:r>
                    <w:rPr>
                      <w:rFonts w:hint="eastAsia"/>
                      <w:color w:val="auto"/>
                      <w:lang w:val="en-US" w:eastAsia="zh-CN"/>
                    </w:rPr>
                    <w:t>0.1t/a</w:t>
                  </w:r>
                </w:p>
              </w:tc>
              <w:tc>
                <w:tcPr>
                  <w:tcW w:w="40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暂存于国投罗钾现有危废暂存间</w:t>
                  </w:r>
                </w:p>
              </w:tc>
              <w:tc>
                <w:tcPr>
                  <w:tcW w:w="408" w:type="pct"/>
                  <w:tcBorders>
                    <w:tl2br w:val="nil"/>
                    <w:tr2bl w:val="nil"/>
                  </w:tcBorders>
                  <w:vAlign w:val="center"/>
                </w:tcPr>
                <w:p>
                  <w:pPr>
                    <w:pStyle w:val="51"/>
                    <w:bidi w:val="0"/>
                    <w:rPr>
                      <w:rFonts w:hint="eastAsia"/>
                      <w:color w:val="auto"/>
                      <w:lang w:val="en-US" w:eastAsia="zh-CN"/>
                    </w:rPr>
                  </w:pPr>
                  <w:r>
                    <w:rPr>
                      <w:rFonts w:hint="eastAsia"/>
                      <w:color w:val="auto"/>
                      <w:lang w:val="en-US" w:eastAsia="zh-CN"/>
                    </w:rPr>
                    <w:t>定期委托有资质的第三方进行运输和处置</w:t>
                  </w:r>
                </w:p>
              </w:tc>
              <w:tc>
                <w:tcPr>
                  <w:tcW w:w="409" w:type="pct"/>
                  <w:vMerge w:val="continue"/>
                  <w:tcBorders>
                    <w:tl2br w:val="nil"/>
                    <w:tr2bl w:val="nil"/>
                  </w:tcBorders>
                  <w:vAlign w:val="center"/>
                </w:tcPr>
                <w:p>
                  <w:pPr>
                    <w:pStyle w:val="51"/>
                    <w:bidi w:val="0"/>
                    <w:rPr>
                      <w:rFonts w:hint="default"/>
                      <w:color w:val="auto"/>
                      <w:lang w:val="en-US" w:eastAsia="zh-CN"/>
                    </w:rPr>
                  </w:pPr>
                </w:p>
              </w:tc>
            </w:tr>
          </w:tbl>
          <w:p>
            <w:pPr>
              <w:pStyle w:val="54"/>
              <w:bidi w:val="0"/>
              <w:rPr>
                <w:rFonts w:hint="eastAsia"/>
                <w:b w:val="0"/>
                <w:bCs w:val="0"/>
                <w:color w:val="auto"/>
                <w:lang w:val="en-US" w:eastAsia="zh-CN"/>
              </w:rPr>
            </w:pPr>
            <w:r>
              <w:rPr>
                <w:rFonts w:hint="eastAsia"/>
                <w:b w:val="0"/>
                <w:bCs w:val="0"/>
                <w:color w:val="auto"/>
                <w:lang w:val="en-US" w:eastAsia="zh-CN"/>
              </w:rPr>
              <w:t>项目危险废物按照《危险废物贮存污染控制标准》（GB 18597-2023）相关要求进行贮存，具体要求如下：</w:t>
            </w:r>
          </w:p>
          <w:p>
            <w:pPr>
              <w:pStyle w:val="54"/>
              <w:bidi w:val="0"/>
              <w:rPr>
                <w:rFonts w:hint="eastAsia"/>
                <w:b w:val="0"/>
                <w:bCs w:val="0"/>
                <w:color w:val="auto"/>
                <w:lang w:val="en-US" w:eastAsia="zh-CN"/>
              </w:rPr>
            </w:pPr>
            <w:r>
              <w:rPr>
                <w:rFonts w:hint="eastAsia"/>
                <w:b w:val="0"/>
                <w:bCs w:val="0"/>
                <w:color w:val="auto"/>
                <w:lang w:val="en-US" w:eastAsia="zh-CN"/>
              </w:rPr>
              <w:t>（1）不相容的危险废物不能堆放在一起；</w:t>
            </w:r>
          </w:p>
          <w:p>
            <w:pPr>
              <w:pStyle w:val="54"/>
              <w:bidi w:val="0"/>
              <w:rPr>
                <w:rFonts w:hint="eastAsia"/>
                <w:b w:val="0"/>
                <w:bCs w:val="0"/>
                <w:color w:val="auto"/>
                <w:lang w:val="en-US" w:eastAsia="zh-CN"/>
              </w:rPr>
            </w:pPr>
            <w:r>
              <w:rPr>
                <w:rFonts w:hint="eastAsia"/>
                <w:b w:val="0"/>
                <w:bCs w:val="0"/>
                <w:color w:val="auto"/>
                <w:lang w:val="en-US" w:eastAsia="zh-CN"/>
              </w:rPr>
              <w:t>（2）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角或储漏盘，防漏裙角或储漏盘的材料要与危险废物相容。</w:t>
            </w:r>
          </w:p>
          <w:p>
            <w:pPr>
              <w:pStyle w:val="54"/>
              <w:bidi w:val="0"/>
              <w:rPr>
                <w:rFonts w:hint="eastAsia"/>
                <w:b w:val="0"/>
                <w:bCs w:val="0"/>
                <w:color w:val="auto"/>
                <w:lang w:val="en-US" w:eastAsia="zh-CN"/>
              </w:rPr>
            </w:pPr>
            <w:r>
              <w:rPr>
                <w:rFonts w:hint="eastAsia"/>
                <w:b w:val="0"/>
                <w:bCs w:val="0"/>
                <w:color w:val="auto"/>
                <w:lang w:val="en-US" w:eastAsia="zh-CN"/>
              </w:rPr>
              <w:t>（3）存放装载危险废物的容器的地方必须有耐腐蚀性的硬化地面，且表面无裂缝；</w:t>
            </w:r>
          </w:p>
          <w:p>
            <w:pPr>
              <w:pStyle w:val="54"/>
              <w:bidi w:val="0"/>
              <w:rPr>
                <w:rFonts w:hint="eastAsia"/>
                <w:b w:val="0"/>
                <w:bCs w:val="0"/>
                <w:color w:val="auto"/>
                <w:lang w:val="en-US" w:eastAsia="zh-CN"/>
              </w:rPr>
            </w:pPr>
            <w:r>
              <w:rPr>
                <w:rFonts w:hint="eastAsia"/>
                <w:b w:val="0"/>
                <w:bCs w:val="0"/>
                <w:color w:val="auto"/>
                <w:lang w:val="en-US" w:eastAsia="zh-CN"/>
              </w:rPr>
              <w:t>（4）有防风、防雨、防晒、防渗漏等措施，设置围堤或托盘等措施进行收集，地面硬化且采取防渗防腐处理，防止各种液体类危险废物漫流或泄漏；</w:t>
            </w:r>
          </w:p>
          <w:p>
            <w:pPr>
              <w:pStyle w:val="54"/>
              <w:bidi w:val="0"/>
              <w:rPr>
                <w:rFonts w:hint="eastAsia"/>
                <w:b w:val="0"/>
                <w:bCs w:val="0"/>
                <w:color w:val="auto"/>
                <w:lang w:val="en-US" w:eastAsia="zh-CN"/>
              </w:rPr>
            </w:pPr>
            <w:r>
              <w:rPr>
                <w:rFonts w:hint="eastAsia"/>
                <w:b w:val="0"/>
                <w:bCs w:val="0"/>
                <w:color w:val="auto"/>
                <w:lang w:val="en-US" w:eastAsia="zh-CN"/>
              </w:rPr>
              <w:t>（5）按照《环境保护图形标志固体废物贮存（处置）场》（GB 15562.2）要求标示环保标志；</w:t>
            </w:r>
          </w:p>
          <w:p>
            <w:pPr>
              <w:pStyle w:val="54"/>
              <w:bidi w:val="0"/>
              <w:rPr>
                <w:rFonts w:hint="eastAsia"/>
                <w:b w:val="0"/>
                <w:bCs w:val="0"/>
                <w:color w:val="auto"/>
                <w:lang w:val="en-US" w:eastAsia="zh-CN"/>
              </w:rPr>
            </w:pPr>
            <w:r>
              <w:rPr>
                <w:rFonts w:hint="eastAsia"/>
                <w:b w:val="0"/>
                <w:bCs w:val="0"/>
                <w:color w:val="auto"/>
                <w:lang w:val="en-US" w:eastAsia="zh-CN"/>
              </w:rPr>
              <w:t>（6）贮存间应配备通讯设备、照明设施、安全防护服装及工具，并设有应急设施；</w:t>
            </w:r>
          </w:p>
          <w:p>
            <w:pPr>
              <w:pStyle w:val="54"/>
              <w:bidi w:val="0"/>
              <w:rPr>
                <w:rFonts w:hint="eastAsia"/>
                <w:b w:val="0"/>
                <w:bCs w:val="0"/>
                <w:color w:val="auto"/>
                <w:lang w:val="en-US" w:eastAsia="zh-CN"/>
              </w:rPr>
            </w:pPr>
            <w:r>
              <w:rPr>
                <w:rFonts w:hint="eastAsia"/>
                <w:b w:val="0"/>
                <w:bCs w:val="0"/>
                <w:color w:val="auto"/>
                <w:lang w:val="en-US" w:eastAsia="zh-CN"/>
              </w:rPr>
              <w:t>（7）危险废物的产生者和危险废物贮存设施经营者均须做好危险废物情况的记录，记录上须注明危险废物的名称、来源、数量、特性和包装容器的类别、入库日期、存放库位、废物出库日期及接收单位名称。危险废物的记录和货单在危险废物回取后应继续保留三年。</w:t>
            </w:r>
          </w:p>
          <w:p>
            <w:pPr>
              <w:pStyle w:val="54"/>
              <w:bidi w:val="0"/>
              <w:rPr>
                <w:rFonts w:hint="eastAsia"/>
                <w:b w:val="0"/>
                <w:bCs w:val="0"/>
                <w:color w:val="auto"/>
                <w:lang w:val="en-US" w:eastAsia="zh-CN"/>
              </w:rPr>
            </w:pPr>
            <w:r>
              <w:rPr>
                <w:rFonts w:hint="eastAsia"/>
                <w:b w:val="0"/>
                <w:bCs w:val="0"/>
                <w:color w:val="auto"/>
                <w:lang w:val="en-US" w:eastAsia="zh-CN"/>
              </w:rPr>
              <w:t>综上所述，项目固体废物在采取以上措施后对周围环境的影响较小。</w:t>
            </w:r>
          </w:p>
          <w:p>
            <w:pPr>
              <w:pStyle w:val="54"/>
              <w:bidi w:val="0"/>
              <w:rPr>
                <w:rFonts w:hint="default"/>
                <w:color w:val="auto"/>
                <w:lang w:val="en-US" w:eastAsia="zh-CN"/>
              </w:rPr>
            </w:pPr>
            <w:r>
              <w:rPr>
                <w:rFonts w:hint="eastAsia"/>
                <w:b/>
                <w:bCs/>
                <w:color w:val="auto"/>
                <w:lang w:val="en-US" w:eastAsia="zh-CN"/>
              </w:rPr>
              <w:t>五、地下水及土壤</w:t>
            </w:r>
          </w:p>
          <w:p>
            <w:pPr>
              <w:pStyle w:val="54"/>
              <w:bidi w:val="0"/>
              <w:rPr>
                <w:rFonts w:hint="default"/>
                <w:color w:val="auto"/>
                <w:lang w:val="en-US" w:eastAsia="zh-CN"/>
              </w:rPr>
            </w:pPr>
            <w:r>
              <w:rPr>
                <w:rFonts w:hint="default"/>
                <w:color w:val="auto"/>
                <w:lang w:val="en-US" w:eastAsia="zh-CN"/>
              </w:rPr>
              <w:t>在做好防渗的前提下，本项目对地下水及土壤不会造成影响。</w:t>
            </w:r>
          </w:p>
          <w:p>
            <w:pPr>
              <w:pStyle w:val="54"/>
              <w:bidi w:val="0"/>
              <w:rPr>
                <w:rFonts w:hint="default"/>
                <w:color w:val="auto"/>
                <w:lang w:val="en-US" w:eastAsia="zh-CN"/>
              </w:rPr>
            </w:pPr>
            <w:r>
              <w:rPr>
                <w:rFonts w:hint="default"/>
                <w:color w:val="auto"/>
                <w:lang w:val="en-US" w:eastAsia="zh-CN"/>
              </w:rPr>
              <w:t>根据《环境影响评价技术导则</w:t>
            </w:r>
            <w:r>
              <w:rPr>
                <w:rFonts w:hint="eastAsia"/>
                <w:color w:val="auto"/>
                <w:lang w:val="en-US" w:eastAsia="zh-CN"/>
              </w:rPr>
              <w:t xml:space="preserve"> </w:t>
            </w:r>
            <w:r>
              <w:rPr>
                <w:rFonts w:hint="default"/>
                <w:color w:val="auto"/>
                <w:lang w:val="en-US" w:eastAsia="zh-CN"/>
              </w:rPr>
              <w:t>地下水环境》</w:t>
            </w:r>
            <w:r>
              <w:rPr>
                <w:rFonts w:hint="eastAsia"/>
                <w:color w:val="auto"/>
                <w:lang w:val="en-US" w:eastAsia="zh-CN"/>
              </w:rPr>
              <w:t>（</w:t>
            </w:r>
            <w:r>
              <w:rPr>
                <w:rFonts w:hint="default"/>
                <w:color w:val="auto"/>
                <w:lang w:val="en-US" w:eastAsia="zh-CN"/>
              </w:rPr>
              <w:t>HJ</w:t>
            </w:r>
            <w:r>
              <w:rPr>
                <w:rFonts w:hint="eastAsia"/>
                <w:color w:val="auto"/>
                <w:lang w:val="en-US" w:eastAsia="zh-CN"/>
              </w:rPr>
              <w:t xml:space="preserve"> </w:t>
            </w:r>
            <w:r>
              <w:rPr>
                <w:rFonts w:hint="default"/>
                <w:color w:val="auto"/>
                <w:lang w:val="en-US" w:eastAsia="zh-CN"/>
              </w:rPr>
              <w:t>610-2016</w:t>
            </w:r>
            <w:r>
              <w:rPr>
                <w:rFonts w:hint="eastAsia"/>
                <w:color w:val="auto"/>
                <w:lang w:val="en-US" w:eastAsia="zh-CN"/>
              </w:rPr>
              <w:t>）</w:t>
            </w:r>
            <w:r>
              <w:rPr>
                <w:rFonts w:hint="default"/>
                <w:color w:val="auto"/>
                <w:lang w:val="en-US" w:eastAsia="zh-CN"/>
              </w:rPr>
              <w:t>要求，对厂区内建构筑物进行分区防控。为了进一步保护地下水资源，本项目在设计上采取以下防渗处理措施</w:t>
            </w:r>
            <w:r>
              <w:rPr>
                <w:rFonts w:hint="eastAsia"/>
                <w:color w:val="auto"/>
                <w:lang w:val="en-US" w:eastAsia="zh-CN"/>
              </w:rPr>
              <w:t>：</w:t>
            </w:r>
          </w:p>
          <w:p>
            <w:pPr>
              <w:pStyle w:val="54"/>
              <w:bidi w:val="0"/>
              <w:rPr>
                <w:rFonts w:hint="default"/>
                <w:color w:val="auto"/>
                <w:lang w:val="en-US" w:eastAsia="zh-CN"/>
              </w:rPr>
            </w:pPr>
            <w:r>
              <w:rPr>
                <w:rFonts w:hint="eastAsia"/>
                <w:color w:val="auto"/>
                <w:lang w:val="en-US" w:eastAsia="zh-CN"/>
              </w:rPr>
              <w:t>（1）</w:t>
            </w:r>
            <w:r>
              <w:rPr>
                <w:rFonts w:hint="default"/>
                <w:color w:val="auto"/>
                <w:lang w:val="en-US" w:eastAsia="zh-CN"/>
              </w:rPr>
              <w:t>重点防渗区</w:t>
            </w:r>
          </w:p>
          <w:p>
            <w:pPr>
              <w:pStyle w:val="54"/>
              <w:bidi w:val="0"/>
              <w:rPr>
                <w:rFonts w:hint="default"/>
                <w:color w:val="auto"/>
                <w:lang w:val="en-US" w:eastAsia="zh-CN"/>
              </w:rPr>
            </w:pPr>
            <w:r>
              <w:rPr>
                <w:rFonts w:hint="eastAsia"/>
                <w:color w:val="auto"/>
                <w:lang w:val="en-US" w:eastAsia="zh-CN"/>
              </w:rPr>
              <w:t>本项目不涉及重金属、持久性有机物污染物，因此不设置重点防渗区。</w:t>
            </w:r>
          </w:p>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简单防渗区</w:t>
            </w:r>
          </w:p>
          <w:p>
            <w:pPr>
              <w:pStyle w:val="54"/>
              <w:bidi w:val="0"/>
              <w:rPr>
                <w:rFonts w:hint="default"/>
                <w:color w:val="auto"/>
                <w:lang w:val="en-US" w:eastAsia="zh-CN"/>
              </w:rPr>
            </w:pPr>
            <w:r>
              <w:rPr>
                <w:rFonts w:hint="eastAsia"/>
                <w:color w:val="auto"/>
                <w:lang w:val="en-US" w:eastAsia="zh-CN"/>
              </w:rPr>
              <w:t>对生产区地面</w:t>
            </w:r>
            <w:r>
              <w:rPr>
                <w:rFonts w:hint="default"/>
                <w:color w:val="auto"/>
                <w:lang w:val="en-US" w:eastAsia="zh-CN"/>
              </w:rPr>
              <w:t>采取水泥地面硬化，减少裸露地面。</w:t>
            </w:r>
          </w:p>
          <w:p>
            <w:pPr>
              <w:pStyle w:val="54"/>
              <w:bidi w:val="0"/>
              <w:rPr>
                <w:rFonts w:hint="default"/>
                <w:color w:val="auto"/>
                <w:lang w:val="en-US" w:eastAsia="zh-CN"/>
              </w:rPr>
            </w:pPr>
            <w:r>
              <w:rPr>
                <w:rFonts w:hint="default"/>
                <w:color w:val="auto"/>
                <w:lang w:val="en-US" w:eastAsia="zh-CN"/>
              </w:rPr>
              <w:t>综上所述，本项目主要采取对厂区内构筑物采用防渗措施，可有效避免由于污水下渗造成的</w:t>
            </w:r>
            <w:r>
              <w:rPr>
                <w:rFonts w:hint="eastAsia"/>
                <w:color w:val="auto"/>
                <w:lang w:val="en-US" w:eastAsia="zh-CN"/>
              </w:rPr>
              <w:t>地下水及</w:t>
            </w:r>
            <w:r>
              <w:rPr>
                <w:rFonts w:hint="default"/>
                <w:color w:val="auto"/>
                <w:lang w:val="en-US" w:eastAsia="zh-CN"/>
              </w:rPr>
              <w:t>土壤环境污染</w:t>
            </w:r>
            <w:r>
              <w:rPr>
                <w:rFonts w:hint="eastAsia"/>
                <w:color w:val="auto"/>
                <w:lang w:val="en-US" w:eastAsia="zh-CN"/>
              </w:rPr>
              <w:t>，</w:t>
            </w:r>
            <w:r>
              <w:rPr>
                <w:rFonts w:hint="default"/>
                <w:color w:val="auto"/>
                <w:lang w:val="en-US" w:eastAsia="zh-CN"/>
              </w:rPr>
              <w:t>来减小项目建设对</w:t>
            </w:r>
            <w:r>
              <w:rPr>
                <w:rFonts w:hint="eastAsia"/>
                <w:color w:val="auto"/>
                <w:lang w:val="en-US" w:eastAsia="zh-CN"/>
              </w:rPr>
              <w:t>地下水及</w:t>
            </w:r>
            <w:r>
              <w:rPr>
                <w:rFonts w:hint="default"/>
                <w:color w:val="auto"/>
                <w:lang w:val="en-US" w:eastAsia="zh-CN"/>
              </w:rPr>
              <w:t>土壤的影响。</w:t>
            </w:r>
          </w:p>
          <w:p>
            <w:pPr>
              <w:pStyle w:val="54"/>
              <w:bidi w:val="0"/>
              <w:rPr>
                <w:rFonts w:hint="default"/>
                <w:color w:val="auto"/>
                <w:lang w:val="en-US" w:eastAsia="zh-CN"/>
              </w:rPr>
            </w:pPr>
            <w:r>
              <w:rPr>
                <w:rFonts w:hint="eastAsia"/>
                <w:b/>
                <w:bCs/>
                <w:color w:val="auto"/>
                <w:lang w:val="en-US" w:eastAsia="zh-CN"/>
              </w:rPr>
              <w:t>六、环境风险</w:t>
            </w:r>
          </w:p>
          <w:p>
            <w:pPr>
              <w:pStyle w:val="54"/>
              <w:bidi w:val="0"/>
              <w:rPr>
                <w:rFonts w:hint="eastAsia"/>
                <w:color w:val="auto"/>
                <w:lang w:val="en-US" w:eastAsia="zh-CN"/>
              </w:rPr>
            </w:pPr>
            <w:r>
              <w:rPr>
                <w:rFonts w:hint="eastAsia"/>
                <w:color w:val="auto"/>
                <w:lang w:val="en-US" w:eastAsia="zh-CN"/>
              </w:rPr>
              <w:t>根据《建设项目环境风险评价技术导则》（HJ 169-2018），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54"/>
              <w:bidi w:val="0"/>
              <w:rPr>
                <w:rFonts w:hint="eastAsia"/>
                <w:color w:val="auto"/>
                <w:lang w:val="en-US" w:eastAsia="zh-CN"/>
              </w:rPr>
            </w:pPr>
            <w:r>
              <w:rPr>
                <w:rFonts w:hint="eastAsia"/>
                <w:color w:val="auto"/>
                <w:lang w:val="en-US" w:eastAsia="zh-CN"/>
              </w:rPr>
              <w:t>1、环境风险识别</w:t>
            </w:r>
          </w:p>
          <w:p>
            <w:pPr>
              <w:pStyle w:val="54"/>
              <w:bidi w:val="0"/>
              <w:rPr>
                <w:rFonts w:hint="default"/>
                <w:color w:val="auto"/>
                <w:lang w:val="en-US" w:eastAsia="zh-CN"/>
              </w:rPr>
            </w:pPr>
            <w:r>
              <w:rPr>
                <w:rFonts w:hint="eastAsia"/>
                <w:color w:val="auto"/>
                <w:lang w:val="en-US" w:eastAsia="zh-CN"/>
              </w:rPr>
              <w:t>本项目原辅材料及产品不涉及《建设项目环境风险评价技术导则》（HJ 169-2018）附录B中重点关注的危险物质，产生的危险废物涉及建设项目环境风险评价技术导则》（HJ 169-2018）附录B中重点关注的危险物质——381油类物质（矿物油类，如石油、汽油、柴油等；生物柴油等）。</w:t>
            </w:r>
          </w:p>
          <w:p>
            <w:pPr>
              <w:pStyle w:val="54"/>
              <w:bidi w:val="0"/>
              <w:rPr>
                <w:rFonts w:hint="eastAsia"/>
                <w:color w:val="auto"/>
                <w:lang w:val="en-US" w:eastAsia="zh-CN"/>
              </w:rPr>
            </w:pPr>
            <w:r>
              <w:rPr>
                <w:rFonts w:hint="eastAsia"/>
                <w:color w:val="auto"/>
                <w:lang w:val="en-US" w:eastAsia="zh-CN"/>
              </w:rPr>
              <w:t>2、Q值计算</w:t>
            </w:r>
          </w:p>
          <w:p>
            <w:pPr>
              <w:pStyle w:val="54"/>
              <w:bidi w:val="0"/>
              <w:rPr>
                <w:rFonts w:hint="eastAsia"/>
                <w:color w:val="auto"/>
                <w:lang w:val="en-US" w:eastAsia="zh-CN"/>
              </w:rPr>
            </w:pPr>
            <w:r>
              <w:rPr>
                <w:rFonts w:hint="eastAsia"/>
                <w:color w:val="auto"/>
                <w:lang w:val="en-US" w:eastAsia="zh-CN"/>
              </w:rPr>
              <w:t>在不同厂区的同一种物质，按其在厂界内的最大存在总量计算。当只涉及一种危险物质时，计算该物质的总量与其临界量比值，即为Q；当存在多种危险物质时，则按下式计算物质总量与其临界量比值（Q）：</w:t>
            </w:r>
          </w:p>
          <w:p>
            <w:pPr>
              <w:pStyle w:val="54"/>
              <w:bidi w:val="0"/>
              <w:rPr>
                <w:rFonts w:hint="eastAsia"/>
                <w:color w:val="auto"/>
                <w:lang w:val="en-US" w:eastAsia="zh-CN"/>
              </w:rPr>
            </w:pPr>
            <m:oMathPara>
              <m:oMath>
                <m:r>
                  <m:rPr>
                    <m:sty m:val="p"/>
                  </m:rPr>
                  <w:rPr>
                    <w:rFonts w:hint="default" w:ascii="Cambria Math" w:hAnsi="Cambria Math" w:cs="Times New Roman"/>
                    <w:color w:val="auto"/>
                    <w:spacing w:val="-10"/>
                    <w:kern w:val="2"/>
                    <w:sz w:val="24"/>
                    <w:szCs w:val="24"/>
                    <w:lang w:val="en-US" w:eastAsia="zh-CN" w:bidi="ar-SA"/>
                  </w:rPr>
                  <m:t>Q=</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1</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1</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r>
                  <m:rPr>
                    <m:sty m:val="p"/>
                  </m:rPr>
                  <w:rPr>
                    <w:rFonts w:hint="default" w:ascii="Cambria Math" w:hAnsi="Cambria Math" w:cs="Times New Roman"/>
                    <w:color w:val="auto"/>
                    <w:spacing w:val="-10"/>
                    <w:kern w:val="2"/>
                    <w:sz w:val="24"/>
                    <w:szCs w:val="24"/>
                    <w:lang w:val="en-US" w:eastAsia="zh-CN" w:bidi="ar-SA"/>
                  </w:rPr>
                  <m:t>+</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2</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2</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r>
                  <m:rPr>
                    <m:sty m:val="p"/>
                  </m:rPr>
                  <w:rPr>
                    <w:rFonts w:hint="default" w:ascii="Cambria Math" w:hAnsi="Cambria Math" w:cs="Times New Roman"/>
                    <w:color w:val="auto"/>
                    <w:spacing w:val="-10"/>
                    <w:kern w:val="2"/>
                    <w:sz w:val="24"/>
                    <w:szCs w:val="24"/>
                    <w:lang w:val="en-US" w:eastAsia="zh-CN" w:bidi="ar-SA"/>
                  </w:rPr>
                  <m:t>+...+</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eastAsia" w:ascii="Cambria Math" w:hAnsi="Cambria Math" w:cs="Times New Roman"/>
                            <w:color w:val="auto"/>
                            <w:spacing w:val="-10"/>
                            <w:kern w:val="2"/>
                            <w:sz w:val="24"/>
                            <w:szCs w:val="24"/>
                            <w:lang w:val="en-US" w:eastAsia="zh-CN" w:bidi="ar-SA"/>
                          </w:rPr>
                          <m:t>n</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n</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oMath>
            </m:oMathPara>
          </w:p>
          <w:p>
            <w:pPr>
              <w:pStyle w:val="54"/>
              <w:bidi w:val="0"/>
              <w:rPr>
                <w:rFonts w:hint="eastAsia"/>
                <w:color w:val="auto"/>
                <w:lang w:val="en-US" w:eastAsia="zh-CN"/>
              </w:rPr>
            </w:pPr>
            <w:r>
              <w:rPr>
                <w:rFonts w:hint="eastAsia"/>
                <w:color w:val="auto"/>
                <w:lang w:val="en-US" w:eastAsia="zh-CN"/>
              </w:rPr>
              <w:t>式中：</w:t>
            </w:r>
          </w:p>
          <w:p>
            <w:pPr>
              <w:pStyle w:val="54"/>
              <w:bidi w:val="0"/>
              <w:rPr>
                <w:rFonts w:hint="default"/>
                <w:color w:val="auto"/>
                <w:lang w:val="en-US" w:eastAsia="zh-CN"/>
              </w:rPr>
            </w:pPr>
            <w:r>
              <w:rPr>
                <w:rFonts w:hint="eastAsia"/>
                <w:color w:val="auto"/>
                <w:lang w:val="en-US" w:eastAsia="zh-CN"/>
              </w:rPr>
              <w:t>q</w:t>
            </w:r>
            <w:r>
              <w:rPr>
                <w:rFonts w:hint="eastAsia"/>
                <w:color w:val="auto"/>
                <w:vertAlign w:val="subscript"/>
                <w:lang w:val="en-US" w:eastAsia="zh-CN"/>
              </w:rPr>
              <w:t>1</w:t>
            </w:r>
            <w:r>
              <w:rPr>
                <w:rFonts w:hint="eastAsia"/>
                <w:color w:val="auto"/>
                <w:lang w:val="en-US" w:eastAsia="zh-CN"/>
              </w:rPr>
              <w:t>，q</w:t>
            </w:r>
            <w:r>
              <w:rPr>
                <w:rFonts w:hint="eastAsia"/>
                <w:color w:val="auto"/>
                <w:vertAlign w:val="subscript"/>
                <w:lang w:val="en-US" w:eastAsia="zh-CN"/>
              </w:rPr>
              <w:t>2</w:t>
            </w:r>
            <w:r>
              <w:rPr>
                <w:rFonts w:hint="eastAsia"/>
                <w:color w:val="auto"/>
                <w:lang w:val="en-US" w:eastAsia="zh-CN"/>
              </w:rPr>
              <w:t>，…q</w:t>
            </w:r>
            <w:r>
              <w:rPr>
                <w:rFonts w:hint="eastAsia"/>
                <w:color w:val="auto"/>
                <w:vertAlign w:val="subscript"/>
                <w:lang w:val="en-US" w:eastAsia="zh-CN"/>
              </w:rPr>
              <w:t>n</w:t>
            </w:r>
            <w:r>
              <w:rPr>
                <w:rFonts w:hint="eastAsia"/>
                <w:color w:val="auto"/>
                <w:lang w:val="en-US" w:eastAsia="zh-CN"/>
              </w:rPr>
              <w:t>——每种危险物质的最大存在总量，t；本次计算取2500</w:t>
            </w:r>
          </w:p>
          <w:p>
            <w:pPr>
              <w:pStyle w:val="54"/>
              <w:bidi w:val="0"/>
              <w:rPr>
                <w:rFonts w:hint="default"/>
                <w:color w:val="auto"/>
                <w:lang w:val="en-US" w:eastAsia="zh-CN"/>
              </w:rPr>
            </w:pPr>
            <w:r>
              <w:rPr>
                <w:rFonts w:hint="eastAsia"/>
                <w:color w:val="auto"/>
                <w:lang w:val="en-US" w:eastAsia="zh-CN"/>
              </w:rPr>
              <w:t>Q</w:t>
            </w:r>
            <w:r>
              <w:rPr>
                <w:rFonts w:hint="eastAsia"/>
                <w:color w:val="auto"/>
                <w:vertAlign w:val="subscript"/>
                <w:lang w:val="en-US" w:eastAsia="zh-CN"/>
              </w:rPr>
              <w:t>1</w:t>
            </w:r>
            <w:r>
              <w:rPr>
                <w:rFonts w:hint="eastAsia"/>
                <w:color w:val="auto"/>
                <w:lang w:val="en-US" w:eastAsia="zh-CN"/>
              </w:rPr>
              <w:t>，Q</w:t>
            </w:r>
            <w:r>
              <w:rPr>
                <w:rFonts w:hint="eastAsia"/>
                <w:color w:val="auto"/>
                <w:vertAlign w:val="subscript"/>
                <w:lang w:val="en-US" w:eastAsia="zh-CN"/>
              </w:rPr>
              <w:t>2</w:t>
            </w:r>
            <w:r>
              <w:rPr>
                <w:rFonts w:hint="eastAsia"/>
                <w:color w:val="auto"/>
                <w:lang w:val="en-US" w:eastAsia="zh-CN"/>
              </w:rPr>
              <w:t>，…Q</w:t>
            </w:r>
            <w:r>
              <w:rPr>
                <w:rFonts w:hint="eastAsia"/>
                <w:color w:val="auto"/>
                <w:vertAlign w:val="subscript"/>
                <w:lang w:val="en-US" w:eastAsia="zh-CN"/>
              </w:rPr>
              <w:t>n</w:t>
            </w:r>
            <w:r>
              <w:rPr>
                <w:rFonts w:hint="eastAsia"/>
                <w:color w:val="auto"/>
                <w:lang w:val="en-US" w:eastAsia="zh-CN"/>
              </w:rPr>
              <w:t>——每种危险物质的临界量，t。本次计算取0.1</w:t>
            </w:r>
          </w:p>
          <w:p>
            <w:pPr>
              <w:pStyle w:val="54"/>
              <w:bidi w:val="0"/>
              <w:rPr>
                <w:rFonts w:hint="eastAsia"/>
                <w:color w:val="auto"/>
                <w:lang w:val="en-US" w:eastAsia="zh-CN"/>
              </w:rPr>
            </w:pPr>
            <w:r>
              <w:rPr>
                <w:rFonts w:hint="eastAsia"/>
                <w:color w:val="auto"/>
                <w:lang w:val="en-US" w:eastAsia="zh-CN"/>
              </w:rPr>
              <w:t>当Q＜1时，该项目环境风险潜势为Ⅰ。</w:t>
            </w:r>
          </w:p>
          <w:p>
            <w:pPr>
              <w:pStyle w:val="54"/>
              <w:bidi w:val="0"/>
              <w:rPr>
                <w:rFonts w:hint="eastAsia"/>
                <w:color w:val="auto"/>
                <w:lang w:val="en-US" w:eastAsia="zh-CN"/>
              </w:rPr>
            </w:pPr>
            <w:r>
              <w:rPr>
                <w:rFonts w:hint="eastAsia"/>
                <w:color w:val="auto"/>
                <w:lang w:val="en-US" w:eastAsia="zh-CN"/>
              </w:rPr>
              <w:t>当Q≥1时，将Q值划分为：（1）1≤Q＜10；（2）10≤Q＜100；（3）Q≥100。</w:t>
            </w:r>
          </w:p>
          <w:p>
            <w:pPr>
              <w:pStyle w:val="54"/>
              <w:bidi w:val="0"/>
              <w:rPr>
                <w:rFonts w:hint="eastAsia"/>
                <w:color w:val="auto"/>
                <w:lang w:val="en-US" w:eastAsia="zh-CN"/>
              </w:rPr>
            </w:pPr>
            <w:r>
              <w:rPr>
                <w:rFonts w:hint="eastAsia"/>
                <w:color w:val="auto"/>
                <w:lang w:val="en-US" w:eastAsia="zh-CN"/>
              </w:rPr>
              <w:t>因此本项目Q=0.1/2500=0.00004＜1，故环境风险潜势为Ⅰ。</w:t>
            </w:r>
          </w:p>
          <w:p>
            <w:pPr>
              <w:pStyle w:val="54"/>
              <w:bidi w:val="0"/>
              <w:rPr>
                <w:rFonts w:hint="default"/>
                <w:color w:val="auto"/>
                <w:lang w:val="en-US" w:eastAsia="zh-CN"/>
              </w:rPr>
            </w:pPr>
            <w:r>
              <w:rPr>
                <w:rFonts w:hint="eastAsia"/>
                <w:color w:val="auto"/>
                <w:lang w:val="en-US" w:eastAsia="zh-CN"/>
              </w:rPr>
              <w:t>3、环境风险评价等级判定</w:t>
            </w:r>
          </w:p>
          <w:p>
            <w:pPr>
              <w:pStyle w:val="54"/>
              <w:bidi w:val="0"/>
              <w:rPr>
                <w:rFonts w:hint="default"/>
                <w:color w:val="auto"/>
                <w:lang w:val="en-US" w:eastAsia="zh-CN"/>
              </w:rPr>
            </w:pPr>
            <w:r>
              <w:rPr>
                <w:rFonts w:hint="default"/>
                <w:color w:val="auto"/>
                <w:lang w:val="en-US" w:eastAsia="zh-CN"/>
              </w:rPr>
              <w:t>根据《建设项目环境风险评价技术导则》（HJ 169-2018）危险物质数量与临界量比值Q小于1，环境风险潜势为Ⅰ，评价工作等级为简单分析。</w:t>
            </w:r>
          </w:p>
          <w:p>
            <w:pPr>
              <w:pStyle w:val="54"/>
              <w:bidi w:val="0"/>
              <w:rPr>
                <w:rFonts w:hint="eastAsia"/>
                <w:color w:val="auto"/>
                <w:lang w:val="en-US" w:eastAsia="zh-CN"/>
              </w:rPr>
            </w:pPr>
            <w:r>
              <w:rPr>
                <w:rFonts w:hint="eastAsia"/>
                <w:color w:val="auto"/>
                <w:lang w:val="en-US" w:eastAsia="zh-CN"/>
              </w:rPr>
              <w:t>4、环境风险防范措施</w:t>
            </w:r>
          </w:p>
          <w:p>
            <w:pPr>
              <w:pStyle w:val="54"/>
              <w:bidi w:val="0"/>
              <w:rPr>
                <w:rFonts w:hint="eastAsia"/>
                <w:color w:val="auto"/>
                <w:lang w:val="en-US" w:eastAsia="zh-CN"/>
              </w:rPr>
            </w:pPr>
            <w:r>
              <w:rPr>
                <w:rFonts w:hint="eastAsia"/>
                <w:color w:val="auto"/>
                <w:lang w:val="en-US" w:eastAsia="zh-CN"/>
              </w:rPr>
              <w:t>（1）主要负责人及安全管理必须取得安全合格证。</w:t>
            </w:r>
          </w:p>
          <w:p>
            <w:pPr>
              <w:pStyle w:val="54"/>
              <w:bidi w:val="0"/>
              <w:rPr>
                <w:rFonts w:hint="eastAsia"/>
                <w:color w:val="auto"/>
                <w:lang w:val="en-US" w:eastAsia="zh-CN"/>
              </w:rPr>
            </w:pPr>
            <w:r>
              <w:rPr>
                <w:rFonts w:hint="eastAsia"/>
                <w:color w:val="auto"/>
                <w:lang w:val="en-US" w:eastAsia="zh-CN"/>
              </w:rPr>
              <w:t>（2）应制定站内各类人员安全生产责任制和安全操作规程。</w:t>
            </w:r>
          </w:p>
          <w:p>
            <w:pPr>
              <w:pStyle w:val="54"/>
              <w:bidi w:val="0"/>
              <w:rPr>
                <w:rFonts w:hint="eastAsia"/>
                <w:color w:val="auto"/>
                <w:lang w:val="en-US" w:eastAsia="zh-CN"/>
              </w:rPr>
            </w:pPr>
            <w:r>
              <w:rPr>
                <w:rFonts w:hint="eastAsia"/>
                <w:color w:val="auto"/>
                <w:lang w:val="en-US" w:eastAsia="zh-CN"/>
              </w:rPr>
              <w:t>（3）加强电气等检修作业的管理：</w:t>
            </w:r>
          </w:p>
          <w:p>
            <w:pPr>
              <w:pStyle w:val="54"/>
              <w:bidi w:val="0"/>
              <w:rPr>
                <w:rFonts w:hint="eastAsia"/>
                <w:color w:val="auto"/>
                <w:lang w:val="en-US" w:eastAsia="zh-CN"/>
              </w:rPr>
            </w:pPr>
            <w:r>
              <w:rPr>
                <w:rFonts w:hint="eastAsia"/>
                <w:color w:val="auto"/>
                <w:lang w:val="en-US" w:eastAsia="zh-CN"/>
              </w:rPr>
              <w:t>①电气作业严格执行作业票制度。电工作业人员应经安全技术培训，考试合格，取得相应的资格证书后，才能从事电工作业，禁止非电工作业人员从事任何电工作业。</w:t>
            </w:r>
          </w:p>
          <w:p>
            <w:pPr>
              <w:pStyle w:val="54"/>
              <w:bidi w:val="0"/>
              <w:rPr>
                <w:rFonts w:hint="eastAsia"/>
                <w:color w:val="auto"/>
                <w:lang w:val="en-US" w:eastAsia="zh-CN"/>
              </w:rPr>
            </w:pPr>
            <w:r>
              <w:rPr>
                <w:rFonts w:hint="eastAsia"/>
                <w:color w:val="auto"/>
                <w:lang w:val="en-US" w:eastAsia="zh-CN"/>
              </w:rPr>
              <w:t>（4）对从业人员进行安全培训。</w:t>
            </w:r>
          </w:p>
          <w:p>
            <w:pPr>
              <w:pStyle w:val="54"/>
              <w:bidi w:val="0"/>
              <w:rPr>
                <w:rFonts w:hint="eastAsia"/>
                <w:color w:val="auto"/>
                <w:lang w:val="en-US" w:eastAsia="zh-CN"/>
              </w:rPr>
            </w:pPr>
            <w:r>
              <w:rPr>
                <w:rFonts w:hint="eastAsia"/>
                <w:color w:val="auto"/>
                <w:lang w:val="en-US" w:eastAsia="zh-CN"/>
              </w:rPr>
              <w:t>（5）建立健全各种设备管理制度、管理台帐和技术档案，尤其要完善设备的检、维修管理制度。加强对设备运行的监视、检查、定期维护保养等管理工作。</w:t>
            </w:r>
          </w:p>
          <w:p>
            <w:pPr>
              <w:pStyle w:val="54"/>
              <w:bidi w:val="0"/>
              <w:rPr>
                <w:rFonts w:hint="eastAsia"/>
                <w:color w:val="auto"/>
                <w:lang w:val="en-US" w:eastAsia="zh-CN"/>
              </w:rPr>
            </w:pPr>
            <w:r>
              <w:rPr>
                <w:rFonts w:hint="eastAsia"/>
                <w:color w:val="auto"/>
                <w:lang w:val="en-US" w:eastAsia="zh-CN"/>
              </w:rPr>
              <w:t>（6）冬寒、暑热、风、霜、雨、雪、雷电等，会影响操作人员作出正确的判断和操作，会间接或直接影响到人员的安全和健康。因此，作业场所的温度、采光照明、通风、噪声、空气中有毒、有害物质含量要定期进行检测，重视作业环境及条件的改善，做到清洁、文明生产。</w:t>
            </w:r>
          </w:p>
          <w:p>
            <w:pPr>
              <w:pStyle w:val="54"/>
              <w:bidi w:val="0"/>
              <w:rPr>
                <w:rFonts w:hint="eastAsia"/>
                <w:color w:val="auto"/>
                <w:lang w:val="en-US" w:eastAsia="zh-CN"/>
              </w:rPr>
            </w:pPr>
            <w:r>
              <w:rPr>
                <w:rFonts w:hint="eastAsia"/>
                <w:color w:val="auto"/>
                <w:lang w:val="en-US" w:eastAsia="zh-CN"/>
              </w:rPr>
              <w:t>（7）编制事故应救援预案并组织演练，使每个职工都会使用消防器材，有效地扑救初期火灾。</w:t>
            </w:r>
          </w:p>
          <w:p>
            <w:pPr>
              <w:pStyle w:val="54"/>
              <w:bidi w:val="0"/>
              <w:rPr>
                <w:rFonts w:hint="eastAsia"/>
                <w:color w:val="auto"/>
                <w:lang w:val="en-US" w:eastAsia="zh-CN"/>
              </w:rPr>
            </w:pPr>
            <w:r>
              <w:rPr>
                <w:rFonts w:hint="eastAsia"/>
                <w:color w:val="auto"/>
                <w:lang w:val="en-US" w:eastAsia="zh-CN"/>
              </w:rPr>
              <w:t>（8）根据劳动防护用品配备标准，做好防护用品的配备和发放工作。</w:t>
            </w:r>
          </w:p>
          <w:p>
            <w:pPr>
              <w:pStyle w:val="54"/>
              <w:bidi w:val="0"/>
              <w:rPr>
                <w:rFonts w:hint="eastAsia"/>
                <w:color w:val="auto"/>
                <w:lang w:val="en-US" w:eastAsia="zh-CN"/>
              </w:rPr>
            </w:pPr>
            <w:r>
              <w:rPr>
                <w:rFonts w:hint="eastAsia"/>
                <w:color w:val="auto"/>
                <w:lang w:val="en-US" w:eastAsia="zh-CN"/>
              </w:rPr>
              <w:t>（9）危废暂存间事故风险</w:t>
            </w:r>
          </w:p>
          <w:p>
            <w:pPr>
              <w:pStyle w:val="54"/>
              <w:bidi w:val="0"/>
              <w:rPr>
                <w:rFonts w:hint="eastAsia"/>
                <w:color w:val="auto"/>
                <w:lang w:val="en-US" w:eastAsia="zh-CN"/>
              </w:rPr>
            </w:pPr>
            <w:r>
              <w:rPr>
                <w:rFonts w:hint="eastAsia"/>
                <w:color w:val="auto"/>
                <w:lang w:val="en-US" w:eastAsia="zh-CN"/>
              </w:rPr>
              <w:t>本项目废机油包装桶在存放过程中，如桶体发生腐蚀或破裂，桶内危险废物渗出，可能会对周边地下水及土壤环境产生影响。当存在火源时可能导致火灾。危废暂存间发生泄漏时地下水受到污染可能导致区域地下水水质降低或污染周边区域土壤，导致地下水无法被利用，还会导致植物不能正常生长。发生火灾时会导致有毒有害气体散发，引起大气环境污染。本项目区地域空旷，扩散条件较好，发生事故后，及时采取相应的措施，不会对周围环境产生明显影响。</w:t>
            </w:r>
          </w:p>
          <w:p>
            <w:pPr>
              <w:pStyle w:val="54"/>
              <w:bidi w:val="0"/>
              <w:rPr>
                <w:rFonts w:hint="default"/>
                <w:color w:val="auto"/>
                <w:lang w:val="en-US" w:eastAsia="zh-CN"/>
              </w:rPr>
            </w:pPr>
            <w:r>
              <w:rPr>
                <w:rFonts w:hint="eastAsia"/>
                <w:color w:val="auto"/>
                <w:lang w:val="en-US" w:eastAsia="zh-CN"/>
              </w:rPr>
              <w:t>5、</w:t>
            </w:r>
            <w:r>
              <w:rPr>
                <w:rFonts w:hint="default"/>
                <w:color w:val="auto"/>
                <w:lang w:val="en-US" w:eastAsia="zh-CN"/>
              </w:rPr>
              <w:t>环境风险结论</w:t>
            </w:r>
          </w:p>
          <w:p>
            <w:pPr>
              <w:pStyle w:val="54"/>
              <w:bidi w:val="0"/>
              <w:rPr>
                <w:rFonts w:hint="default" w:ascii="Times New Roman" w:hAnsi="Times New Roman" w:eastAsia="宋体" w:cs="Times New Roman"/>
                <w:b w:val="0"/>
                <w:bCs/>
                <w:snapToGrid w:val="0"/>
                <w:color w:val="auto"/>
                <w:szCs w:val="24"/>
                <w:lang w:val="en-US" w:eastAsia="zh-CN"/>
              </w:rPr>
            </w:pPr>
            <w:r>
              <w:rPr>
                <w:rFonts w:hint="eastAsia"/>
                <w:color w:val="auto"/>
                <w:lang w:val="en-US" w:eastAsia="zh-CN"/>
              </w:rPr>
              <w:t>建设单位</w:t>
            </w:r>
            <w:r>
              <w:rPr>
                <w:rFonts w:hint="default"/>
                <w:color w:val="auto"/>
                <w:lang w:val="en-US" w:eastAsia="zh-CN"/>
              </w:rPr>
              <w:t>严格按照国家有关规范标准的要求进行监控和管理，认真落实本次环评提出的对策措施</w:t>
            </w:r>
            <w:r>
              <w:rPr>
                <w:rFonts w:hint="eastAsia"/>
                <w:color w:val="auto"/>
                <w:lang w:val="en-US" w:eastAsia="zh-CN"/>
              </w:rPr>
              <w:t>后</w:t>
            </w:r>
            <w:r>
              <w:rPr>
                <w:rFonts w:hint="default"/>
                <w:color w:val="auto"/>
                <w:lang w:val="en-US" w:eastAsia="zh-CN"/>
              </w:rPr>
              <w:t>，可有效防止项目产生的污染物进入环境，有效降低了对周围环境存在的风险影响。项目环境风险可控。</w:t>
            </w:r>
          </w:p>
          <w:p>
            <w:pPr>
              <w:pStyle w:val="54"/>
              <w:bidi w:val="0"/>
              <w:rPr>
                <w:rFonts w:hint="default"/>
                <w:color w:val="auto"/>
                <w:lang w:val="en-US" w:eastAsia="zh-CN"/>
              </w:rPr>
            </w:pPr>
            <w:r>
              <w:rPr>
                <w:rFonts w:hint="eastAsia"/>
                <w:b/>
                <w:bCs/>
                <w:color w:val="auto"/>
                <w:lang w:val="en-US" w:eastAsia="zh-CN"/>
              </w:rPr>
              <w:t>七、环保“三同时”验收</w:t>
            </w:r>
          </w:p>
          <w:p>
            <w:pPr>
              <w:pStyle w:val="54"/>
              <w:bidi w:val="0"/>
              <w:rPr>
                <w:rFonts w:hint="default" w:ascii="Times New Roman" w:hAnsi="Times New Roman" w:eastAsia="宋体" w:cs="Times New Roman"/>
                <w:b w:val="0"/>
                <w:bCs/>
                <w:snapToGrid w:val="0"/>
                <w:color w:val="auto"/>
                <w:szCs w:val="24"/>
                <w:lang w:val="en-US" w:eastAsia="zh-CN"/>
              </w:rPr>
            </w:pPr>
            <w:r>
              <w:rPr>
                <w:rFonts w:hint="eastAsia"/>
                <w:color w:val="auto"/>
                <w:lang w:val="en-US" w:eastAsia="zh-CN"/>
              </w:rPr>
              <w:t>根据《建设项目环境保护管理条例》《建设项目竣工环境保护验收管理办法》《建设项目竣工环境保护验收技术指南 污染影响类》的规定，本项目必须进行竣工环境保护验收，及时进行竣工环保验收，环保“三同时”验收一览表如下。</w:t>
            </w:r>
          </w:p>
          <w:p>
            <w:pPr>
              <w:pStyle w:val="50"/>
              <w:bidi w:val="0"/>
              <w:rPr>
                <w:rFonts w:hint="default" w:ascii="Times New Roman" w:hAnsi="Times New Roman" w:eastAsia="宋体" w:cs="Times New Roman"/>
                <w:b w:val="0"/>
                <w:bCs/>
                <w:snapToGrid w:val="0"/>
                <w:color w:val="auto"/>
                <w:szCs w:val="21"/>
                <w:lang w:val="en-US" w:eastAsia="zh-CN"/>
              </w:rPr>
            </w:pPr>
            <w:r>
              <w:rPr>
                <w:rFonts w:hint="eastAsia"/>
                <w:color w:val="auto"/>
                <w:lang w:val="en-US" w:eastAsia="zh-CN"/>
              </w:rPr>
              <w:t>表4-10  环保“三同时”验收一览表</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26"/>
              <w:gridCol w:w="2614"/>
              <w:gridCol w:w="2514"/>
              <w:gridCol w:w="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治理项目</w:t>
                  </w:r>
                </w:p>
              </w:tc>
              <w:tc>
                <w:tcPr>
                  <w:tcW w:w="1726"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环保措施</w:t>
                  </w:r>
                </w:p>
              </w:tc>
              <w:tc>
                <w:tcPr>
                  <w:tcW w:w="26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验收标准</w:t>
                  </w:r>
                </w:p>
              </w:tc>
              <w:tc>
                <w:tcPr>
                  <w:tcW w:w="25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标准限值</w:t>
                  </w:r>
                </w:p>
              </w:tc>
              <w:tc>
                <w:tcPr>
                  <w:tcW w:w="0" w:type="auto"/>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实施时段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vMerge w:val="restar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废气</w:t>
                  </w:r>
                </w:p>
              </w:tc>
              <w:tc>
                <w:tcPr>
                  <w:tcW w:w="1726"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有组织废气经集气罩进行收集（收集效率95%）后经高效脉冲袋式除尘器（处理效率99.5%）除尘后通过1根DA001高度为20m的排气筒排放。</w:t>
                  </w:r>
                </w:p>
              </w:tc>
              <w:tc>
                <w:tcPr>
                  <w:tcW w:w="26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DA001满足</w:t>
                  </w:r>
                  <w:r>
                    <w:rPr>
                      <w:rFonts w:hint="default"/>
                      <w:color w:val="auto"/>
                      <w:lang w:val="en-US" w:eastAsia="zh-CN"/>
                    </w:rPr>
                    <w:t>《大气污染物综合排放标准》（GB 16297-1996）</w:t>
                  </w:r>
                  <w:r>
                    <w:rPr>
                      <w:rFonts w:hint="eastAsia"/>
                      <w:color w:val="auto"/>
                      <w:lang w:val="en-US" w:eastAsia="zh-CN"/>
                    </w:rPr>
                    <w:t>中</w:t>
                  </w:r>
                  <w:r>
                    <w:rPr>
                      <w:rFonts w:hint="default"/>
                      <w:color w:val="auto"/>
                      <w:lang w:val="en-US" w:eastAsia="zh-CN"/>
                    </w:rPr>
                    <w:t>限值</w:t>
                  </w:r>
                  <w:r>
                    <w:rPr>
                      <w:rFonts w:hint="eastAsia"/>
                      <w:color w:val="auto"/>
                      <w:lang w:val="en-US" w:eastAsia="zh-CN"/>
                    </w:rPr>
                    <w:t>要求</w:t>
                  </w:r>
                </w:p>
              </w:tc>
              <w:tc>
                <w:tcPr>
                  <w:tcW w:w="2514" w:type="dxa"/>
                  <w:tcBorders>
                    <w:tl2br w:val="nil"/>
                    <w:tr2bl w:val="nil"/>
                  </w:tcBorders>
                  <w:vAlign w:val="center"/>
                </w:tcPr>
                <w:p>
                  <w:pPr>
                    <w:pStyle w:val="51"/>
                    <w:bidi w:val="0"/>
                    <w:jc w:val="center"/>
                    <w:rPr>
                      <w:rFonts w:hint="default"/>
                      <w:color w:val="auto"/>
                      <w:vertAlign w:val="superscript"/>
                      <w:lang w:val="en-US" w:eastAsia="zh-CN"/>
                    </w:rPr>
                  </w:pPr>
                  <w:r>
                    <w:rPr>
                      <w:rFonts w:hint="eastAsia"/>
                      <w:color w:val="auto"/>
                      <w:lang w:val="en-US" w:eastAsia="zh-CN"/>
                    </w:rPr>
                    <w:t>颗粒物：120mg/m</w:t>
                  </w:r>
                  <w:r>
                    <w:rPr>
                      <w:rFonts w:hint="eastAsia"/>
                      <w:color w:val="auto"/>
                      <w:vertAlign w:val="superscript"/>
                      <w:lang w:val="en-US" w:eastAsia="zh-CN"/>
                    </w:rPr>
                    <w:t>3</w:t>
                  </w:r>
                </w:p>
              </w:tc>
              <w:tc>
                <w:tcPr>
                  <w:tcW w:w="0" w:type="auto"/>
                  <w:vMerge w:val="restart"/>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环评批复后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l2br w:val="nil"/>
                    <w:tr2bl w:val="nil"/>
                  </w:tcBorders>
                  <w:vAlign w:val="center"/>
                </w:tcPr>
                <w:p>
                  <w:pPr>
                    <w:pStyle w:val="51"/>
                    <w:bidi w:val="0"/>
                    <w:jc w:val="center"/>
                    <w:rPr>
                      <w:rFonts w:hint="eastAsia"/>
                      <w:color w:val="auto"/>
                      <w:lang w:val="en-US" w:eastAsia="zh-CN"/>
                    </w:rPr>
                  </w:pPr>
                </w:p>
              </w:tc>
              <w:tc>
                <w:tcPr>
                  <w:tcW w:w="1726"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加强管理及监测</w:t>
                  </w:r>
                </w:p>
              </w:tc>
              <w:tc>
                <w:tcPr>
                  <w:tcW w:w="2614" w:type="dxa"/>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厂界满足</w:t>
                  </w:r>
                  <w:r>
                    <w:rPr>
                      <w:rFonts w:hint="default"/>
                      <w:color w:val="auto"/>
                      <w:lang w:val="en-US" w:eastAsia="zh-CN"/>
                    </w:rPr>
                    <w:t>《大气污染物综合排放标准》（GB 16297-1996）</w:t>
                  </w:r>
                  <w:r>
                    <w:rPr>
                      <w:rFonts w:hint="eastAsia"/>
                      <w:color w:val="auto"/>
                      <w:lang w:val="en-US" w:eastAsia="zh-CN"/>
                    </w:rPr>
                    <w:t>。</w:t>
                  </w:r>
                </w:p>
              </w:tc>
              <w:tc>
                <w:tcPr>
                  <w:tcW w:w="2514" w:type="dxa"/>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颗粒物：1.0mg/m</w:t>
                  </w:r>
                  <w:r>
                    <w:rPr>
                      <w:rFonts w:hint="eastAsia"/>
                      <w:color w:val="auto"/>
                      <w:vertAlign w:val="superscript"/>
                      <w:lang w:val="en-US" w:eastAsia="zh-CN"/>
                    </w:rPr>
                    <w:t>3</w:t>
                  </w:r>
                </w:p>
              </w:tc>
              <w:tc>
                <w:tcPr>
                  <w:tcW w:w="0" w:type="auto"/>
                  <w:vMerge w:val="continue"/>
                  <w:tcBorders>
                    <w:tl2br w:val="nil"/>
                    <w:tr2bl w:val="nil"/>
                  </w:tcBorders>
                  <w:vAlign w:val="center"/>
                </w:tcPr>
                <w:p>
                  <w:pPr>
                    <w:pStyle w:val="51"/>
                    <w:bidi w:val="0"/>
                    <w:jc w:val="center"/>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废水</w:t>
                  </w:r>
                </w:p>
              </w:tc>
              <w:tc>
                <w:tcPr>
                  <w:tcW w:w="1726"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生活污水排入化粪池定期委托清运处理。</w:t>
                  </w:r>
                </w:p>
              </w:tc>
              <w:tc>
                <w:tcPr>
                  <w:tcW w:w="26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满足《农村生活污水处理排放标准》（DB 65 4275-2019）表2C级标准</w:t>
                  </w:r>
                </w:p>
              </w:tc>
              <w:tc>
                <w:tcPr>
                  <w:tcW w:w="2514" w:type="dxa"/>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pH：6~9</w:t>
                  </w:r>
                </w:p>
                <w:p>
                  <w:pPr>
                    <w:pStyle w:val="51"/>
                    <w:bidi w:val="0"/>
                    <w:jc w:val="center"/>
                    <w:rPr>
                      <w:rFonts w:hint="eastAsia"/>
                      <w:color w:val="auto"/>
                      <w:lang w:val="en-US" w:eastAsia="zh-CN"/>
                    </w:rPr>
                  </w:pPr>
                  <w:r>
                    <w:rPr>
                      <w:rFonts w:hint="eastAsia"/>
                      <w:color w:val="auto"/>
                      <w:lang w:val="en-US" w:eastAsia="zh-CN"/>
                    </w:rPr>
                    <w:t>悬浮物（SS）：100mg/L</w:t>
                  </w:r>
                </w:p>
                <w:p>
                  <w:pPr>
                    <w:pStyle w:val="51"/>
                    <w:bidi w:val="0"/>
                    <w:jc w:val="center"/>
                    <w:rPr>
                      <w:rFonts w:hint="eastAsia"/>
                      <w:color w:val="auto"/>
                      <w:lang w:val="en-US" w:eastAsia="zh-CN"/>
                    </w:rPr>
                  </w:pPr>
                  <w:r>
                    <w:rPr>
                      <w:rFonts w:hint="eastAsia"/>
                      <w:color w:val="auto"/>
                      <w:lang w:val="en-US" w:eastAsia="zh-CN"/>
                    </w:rPr>
                    <w:t>化学需氧量：200mg/L</w:t>
                  </w:r>
                </w:p>
                <w:p>
                  <w:pPr>
                    <w:pStyle w:val="51"/>
                    <w:bidi w:val="0"/>
                    <w:jc w:val="center"/>
                    <w:rPr>
                      <w:rFonts w:hint="eastAsia"/>
                      <w:color w:val="auto"/>
                      <w:lang w:val="en-US" w:eastAsia="zh-CN"/>
                    </w:rPr>
                  </w:pPr>
                  <w:r>
                    <w:rPr>
                      <w:rFonts w:hint="eastAsia"/>
                      <w:color w:val="auto"/>
                      <w:lang w:val="en-US" w:eastAsia="zh-CN"/>
                    </w:rPr>
                    <w:t>粪大肠菌群：40000MPN/L</w:t>
                  </w:r>
                </w:p>
                <w:p>
                  <w:pPr>
                    <w:pStyle w:val="51"/>
                    <w:bidi w:val="0"/>
                    <w:jc w:val="center"/>
                    <w:rPr>
                      <w:rFonts w:hint="default"/>
                      <w:color w:val="auto"/>
                      <w:lang w:val="en-US" w:eastAsia="zh-CN"/>
                    </w:rPr>
                  </w:pPr>
                  <w:r>
                    <w:rPr>
                      <w:rFonts w:hint="eastAsia"/>
                      <w:color w:val="auto"/>
                      <w:lang w:val="en-US" w:eastAsia="zh-CN"/>
                    </w:rPr>
                    <w:t>蛔虫卵个数：2个/L</w:t>
                  </w:r>
                </w:p>
              </w:tc>
              <w:tc>
                <w:tcPr>
                  <w:tcW w:w="0" w:type="auto"/>
                  <w:vMerge w:val="continue"/>
                  <w:tcBorders>
                    <w:tl2br w:val="nil"/>
                    <w:tr2bl w:val="nil"/>
                  </w:tcBorders>
                  <w:vAlign w:val="center"/>
                </w:tcPr>
                <w:p>
                  <w:pPr>
                    <w:pStyle w:val="51"/>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噪声</w:t>
                  </w:r>
                </w:p>
              </w:tc>
              <w:tc>
                <w:tcPr>
                  <w:tcW w:w="1726"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选取低噪声设备、基础减振及消声器等措施。</w:t>
                  </w:r>
                </w:p>
              </w:tc>
              <w:tc>
                <w:tcPr>
                  <w:tcW w:w="2614" w:type="dxa"/>
                  <w:tcBorders>
                    <w:tl2br w:val="nil"/>
                    <w:tr2bl w:val="nil"/>
                  </w:tcBorders>
                  <w:vAlign w:val="center"/>
                </w:tcPr>
                <w:p>
                  <w:pPr>
                    <w:pStyle w:val="51"/>
                    <w:bidi w:val="0"/>
                    <w:jc w:val="center"/>
                    <w:rPr>
                      <w:rFonts w:hint="default"/>
                      <w:color w:val="auto"/>
                      <w:lang w:val="en-US" w:eastAsia="zh-CN"/>
                    </w:rPr>
                  </w:pPr>
                  <w:r>
                    <w:rPr>
                      <w:rFonts w:hint="default"/>
                      <w:color w:val="auto"/>
                      <w:lang w:val="en-US" w:eastAsia="zh-CN"/>
                    </w:rPr>
                    <w:t>《工业企业厂界环境噪声排放标准》（GB12348-2008）中的</w:t>
                  </w:r>
                  <w:r>
                    <w:rPr>
                      <w:rFonts w:hint="eastAsia"/>
                      <w:color w:val="auto"/>
                      <w:lang w:val="en-US" w:eastAsia="zh-CN"/>
                    </w:rPr>
                    <w:t>2</w:t>
                  </w:r>
                  <w:r>
                    <w:rPr>
                      <w:rFonts w:hint="default"/>
                      <w:color w:val="auto"/>
                      <w:lang w:val="en-US" w:eastAsia="zh-CN"/>
                    </w:rPr>
                    <w:t>类标准</w:t>
                  </w:r>
                </w:p>
              </w:tc>
              <w:tc>
                <w:tcPr>
                  <w:tcW w:w="2514" w:type="dxa"/>
                  <w:tcBorders>
                    <w:tl2br w:val="nil"/>
                    <w:tr2bl w:val="nil"/>
                  </w:tcBorders>
                  <w:vAlign w:val="center"/>
                </w:tcPr>
                <w:p>
                  <w:pPr>
                    <w:pStyle w:val="51"/>
                    <w:bidi w:val="0"/>
                    <w:jc w:val="center"/>
                    <w:rPr>
                      <w:rFonts w:hint="eastAsia"/>
                      <w:color w:val="auto"/>
                      <w:lang w:val="en-US" w:eastAsia="zh-CN"/>
                    </w:rPr>
                  </w:pPr>
                  <w:r>
                    <w:rPr>
                      <w:rFonts w:hint="eastAsia"/>
                      <w:color w:val="auto"/>
                      <w:lang w:val="en-US" w:eastAsia="zh-CN"/>
                    </w:rPr>
                    <w:t>昼间60dB（A）</w:t>
                  </w:r>
                </w:p>
                <w:p>
                  <w:pPr>
                    <w:pStyle w:val="51"/>
                    <w:bidi w:val="0"/>
                    <w:jc w:val="center"/>
                    <w:rPr>
                      <w:rFonts w:hint="default"/>
                      <w:color w:val="auto"/>
                      <w:lang w:val="en-US" w:eastAsia="zh-CN"/>
                    </w:rPr>
                  </w:pPr>
                  <w:r>
                    <w:rPr>
                      <w:rFonts w:hint="eastAsia"/>
                      <w:color w:val="auto"/>
                      <w:lang w:val="en-US" w:eastAsia="zh-CN"/>
                    </w:rPr>
                    <w:t>夜间50dB（A）</w:t>
                  </w:r>
                </w:p>
              </w:tc>
              <w:tc>
                <w:tcPr>
                  <w:tcW w:w="0" w:type="auto"/>
                  <w:vMerge w:val="continue"/>
                  <w:tcBorders>
                    <w:tl2br w:val="nil"/>
                    <w:tr2bl w:val="nil"/>
                  </w:tcBorders>
                  <w:vAlign w:val="center"/>
                </w:tcPr>
                <w:p>
                  <w:pPr>
                    <w:pStyle w:val="51"/>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固废</w:t>
                  </w:r>
                </w:p>
              </w:tc>
              <w:tc>
                <w:tcPr>
                  <w:tcW w:w="1726" w:type="dxa"/>
                  <w:tcBorders>
                    <w:tl2br w:val="nil"/>
                    <w:tr2bl w:val="nil"/>
                  </w:tcBorders>
                  <w:vAlign w:val="center"/>
                </w:tcPr>
                <w:p>
                  <w:pPr>
                    <w:pStyle w:val="51"/>
                    <w:bidi w:val="0"/>
                    <w:jc w:val="center"/>
                    <w:rPr>
                      <w:rFonts w:hint="default"/>
                      <w:color w:val="auto"/>
                      <w:lang w:val="en-US" w:eastAsia="zh-CN"/>
                    </w:rPr>
                  </w:pPr>
                  <w:r>
                    <w:rPr>
                      <w:rFonts w:hint="default" w:ascii="Times New Roman" w:hAnsi="Times New Roman" w:eastAsia="宋体" w:cs="Times New Roman"/>
                      <w:color w:val="auto"/>
                      <w:sz w:val="21"/>
                      <w:szCs w:val="21"/>
                      <w:vertAlign w:val="baseline"/>
                      <w:lang w:val="en-US" w:eastAsia="zh-CN"/>
                    </w:rPr>
                    <w:t>各除尘器收集的粉尘暂存于除尘器收集槽中，定期回用于对应的生产工段；生活垃圾设垃圾箱，拉运至当地生活垃圾填埋场进行处理</w:t>
                  </w:r>
                  <w:r>
                    <w:rPr>
                      <w:rFonts w:hint="eastAsia" w:cs="Times New Roman"/>
                      <w:color w:val="auto"/>
                      <w:sz w:val="21"/>
                      <w:szCs w:val="21"/>
                      <w:vertAlign w:val="baseline"/>
                      <w:lang w:val="en-US" w:eastAsia="zh-CN"/>
                    </w:rPr>
                    <w:t>；废机油暂存于国投罗钾现有危废暂存间储存，定期委托有资质的第三方进行运输和处置。</w:t>
                  </w:r>
                </w:p>
              </w:tc>
              <w:tc>
                <w:tcPr>
                  <w:tcW w:w="26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是否按环评要求处置</w:t>
                  </w:r>
                </w:p>
              </w:tc>
              <w:tc>
                <w:tcPr>
                  <w:tcW w:w="2514" w:type="dxa"/>
                  <w:tcBorders>
                    <w:tl2br w:val="nil"/>
                    <w:tr2bl w:val="nil"/>
                  </w:tcBorders>
                  <w:vAlign w:val="center"/>
                </w:tcPr>
                <w:p>
                  <w:pPr>
                    <w:pStyle w:val="51"/>
                    <w:bidi w:val="0"/>
                    <w:jc w:val="center"/>
                    <w:rPr>
                      <w:rFonts w:hint="default"/>
                      <w:color w:val="auto"/>
                      <w:lang w:val="en-US" w:eastAsia="zh-CN"/>
                    </w:rPr>
                  </w:pPr>
                  <w:r>
                    <w:rPr>
                      <w:rFonts w:hint="eastAsia"/>
                      <w:color w:val="auto"/>
                      <w:lang w:val="en-US" w:eastAsia="zh-CN"/>
                    </w:rPr>
                    <w:t>-</w:t>
                  </w:r>
                </w:p>
              </w:tc>
              <w:tc>
                <w:tcPr>
                  <w:tcW w:w="0" w:type="auto"/>
                  <w:vMerge w:val="continue"/>
                  <w:tcBorders>
                    <w:tl2br w:val="nil"/>
                    <w:tr2bl w:val="nil"/>
                  </w:tcBorders>
                  <w:vAlign w:val="center"/>
                </w:tcPr>
                <w:p>
                  <w:pPr>
                    <w:pStyle w:val="51"/>
                    <w:bidi w:val="0"/>
                    <w:jc w:val="center"/>
                    <w:rPr>
                      <w:rFonts w:hint="default"/>
                      <w:color w:val="auto"/>
                      <w:lang w:val="en-US" w:eastAsia="zh-CN"/>
                    </w:rPr>
                  </w:pPr>
                </w:p>
              </w:tc>
            </w:tr>
          </w:tbl>
          <w:p>
            <w:pPr>
              <w:pStyle w:val="54"/>
              <w:bidi w:val="0"/>
              <w:rPr>
                <w:rFonts w:hint="default"/>
                <w:color w:val="auto"/>
                <w:lang w:val="en-US" w:eastAsia="zh-CN"/>
              </w:rPr>
            </w:pPr>
            <w:r>
              <w:rPr>
                <w:rFonts w:hint="eastAsia"/>
                <w:b/>
                <w:bCs/>
                <w:color w:val="auto"/>
                <w:lang w:val="en-US" w:eastAsia="zh-CN"/>
              </w:rPr>
              <w:t>八、排污许可</w:t>
            </w:r>
          </w:p>
          <w:p>
            <w:pPr>
              <w:pStyle w:val="54"/>
              <w:bidi w:val="0"/>
              <w:rPr>
                <w:rFonts w:hint="default"/>
                <w:color w:val="auto"/>
                <w:lang w:val="en-US" w:eastAsia="zh-CN"/>
              </w:rPr>
            </w:pPr>
            <w:r>
              <w:rPr>
                <w:rFonts w:hint="default"/>
                <w:color w:val="auto"/>
                <w:lang w:val="en-US" w:eastAsia="zh-CN"/>
              </w:rPr>
              <w:t>《国务院办公厅关于印发控制污染物排放许可制实施方案的通知》中提出：分步实现排污许可全覆盖。排污许可证管理内容主要包括大气污染物、水污染物，并依法逐步纳入其他污染物。按行业分步实现对固定污染源的全覆盖，率先对火电、造纸行业企业核发排污许可证，2020年全国基本完成排污许可证核发。</w:t>
            </w:r>
          </w:p>
          <w:p>
            <w:pPr>
              <w:pStyle w:val="54"/>
              <w:bidi w:val="0"/>
              <w:rPr>
                <w:rFonts w:hint="default"/>
                <w:color w:val="auto"/>
                <w:lang w:val="en-US" w:eastAsia="zh-CN"/>
              </w:rPr>
            </w:pPr>
            <w:r>
              <w:rPr>
                <w:rFonts w:hint="default"/>
                <w:color w:val="auto"/>
                <w:lang w:val="en-US" w:eastAsia="zh-CN"/>
              </w:rPr>
              <w:t>2018年1月17日环保部颁发了《排污许可管理办法（试行）》规定了环境保护部依法制定并公布固定污染源排污许可分类管理名录，明确纳入排污许可管理的范围和申领时限。纳入固定污染源排污许可分类管理名录的企业事业单位和其他生产经营者（以下简称排污单位）应当按照规定的时限申请并取得排污许可证。排污单位应当依法持有排污许可证，并按照排污许可证的规定排放污染物。应当取得排污许可证而未取得的，不得排放污染物。对污染物产生量大、排放量大或者环境危害程度高的排污单位实行排污许可重点管理，对其他排污单位实行排污许可简化管理。</w:t>
            </w:r>
          </w:p>
          <w:p>
            <w:pPr>
              <w:pStyle w:val="54"/>
              <w:bidi w:val="0"/>
              <w:rPr>
                <w:rFonts w:hint="default"/>
                <w:color w:val="auto"/>
                <w:lang w:val="en-US" w:eastAsia="zh-CN"/>
              </w:rPr>
            </w:pPr>
            <w:r>
              <w:rPr>
                <w:rFonts w:hint="eastAsia"/>
                <w:color w:val="auto"/>
                <w:lang w:val="en-US" w:eastAsia="zh-CN"/>
              </w:rPr>
              <w:t>根据《固定污染源排污许可分类管理名录（2019版）》中“二十一、化学原料和化学制品制造业26</w:t>
            </w:r>
            <w:r>
              <w:rPr>
                <w:rFonts w:hint="default"/>
                <w:color w:val="auto"/>
                <w:lang w:val="en-US" w:eastAsia="zh-CN"/>
              </w:rPr>
              <w:t>——</w:t>
            </w:r>
            <w:r>
              <w:rPr>
                <w:rFonts w:hint="eastAsia"/>
                <w:color w:val="auto"/>
                <w:lang w:val="en-US" w:eastAsia="zh-CN"/>
              </w:rPr>
              <w:t>46肥料制造262</w:t>
            </w:r>
            <w:r>
              <w:rPr>
                <w:rFonts w:hint="default"/>
                <w:color w:val="auto"/>
                <w:lang w:val="en-US" w:eastAsia="zh-CN"/>
              </w:rPr>
              <w:t>——</w:t>
            </w:r>
            <w:r>
              <w:rPr>
                <w:rFonts w:hint="eastAsia"/>
                <w:color w:val="auto"/>
                <w:lang w:val="en-US" w:eastAsia="zh-CN"/>
              </w:rPr>
              <w:t>其他”执行简化管理。</w:t>
            </w:r>
            <w:r>
              <w:rPr>
                <w:rFonts w:hint="default"/>
                <w:color w:val="auto"/>
                <w:lang w:val="en-US" w:eastAsia="zh-CN"/>
              </w:rPr>
              <w:t>根据《关于做好环境影响评价制度与排污许可衔接相关工作的通知》（环办环评〔2017〕84号），项目应在获得环评审批文件后，按照国家环境保护相关法律法规以及排污许可证申请与核发技术规范要求</w:t>
            </w:r>
            <w:r>
              <w:rPr>
                <w:rFonts w:hint="eastAsia"/>
                <w:color w:val="auto"/>
                <w:lang w:val="en-US" w:eastAsia="zh-CN"/>
              </w:rPr>
              <w:t>申请</w:t>
            </w:r>
            <w:r>
              <w:rPr>
                <w:rFonts w:hint="default"/>
                <w:color w:val="auto"/>
                <w:lang w:val="en-US" w:eastAsia="zh-CN"/>
              </w:rPr>
              <w:t>排污许可证。</w:t>
            </w:r>
          </w:p>
          <w:p>
            <w:pPr>
              <w:pStyle w:val="54"/>
              <w:bidi w:val="0"/>
              <w:rPr>
                <w:rFonts w:hint="default"/>
                <w:color w:val="auto"/>
                <w:lang w:val="en-US" w:eastAsia="zh-CN"/>
              </w:rPr>
            </w:pPr>
            <w:r>
              <w:rPr>
                <w:rFonts w:hint="eastAsia"/>
                <w:b/>
                <w:bCs/>
                <w:color w:val="auto"/>
                <w:lang w:val="en-US" w:eastAsia="zh-CN"/>
              </w:rPr>
              <w:t>九、</w:t>
            </w:r>
            <w:r>
              <w:rPr>
                <w:rFonts w:hint="default"/>
                <w:b/>
                <w:bCs/>
                <w:color w:val="auto"/>
                <w:lang w:val="en-US" w:eastAsia="zh-CN"/>
              </w:rPr>
              <w:t>排放口规范化</w:t>
            </w:r>
          </w:p>
          <w:p>
            <w:pPr>
              <w:pStyle w:val="54"/>
              <w:bidi w:val="0"/>
              <w:rPr>
                <w:rFonts w:hint="default"/>
                <w:color w:val="auto"/>
                <w:lang w:val="en-US" w:eastAsia="zh-CN"/>
              </w:rPr>
            </w:pPr>
            <w:r>
              <w:rPr>
                <w:rFonts w:hint="default"/>
                <w:color w:val="auto"/>
                <w:lang w:val="en-US" w:eastAsia="zh-CN"/>
              </w:rPr>
              <w:t>根据《关于开展排放口规范化整治工作的通知》《排放口规范化整治技术要求（试行）》等规定，排污单位在建设污染治理设施的同时，建设规范化排放口。</w:t>
            </w:r>
          </w:p>
          <w:p>
            <w:pPr>
              <w:pStyle w:val="54"/>
              <w:bidi w:val="0"/>
              <w:rPr>
                <w:rFonts w:hint="default"/>
                <w:color w:val="auto"/>
                <w:lang w:val="en-US" w:eastAsia="zh-CN"/>
              </w:rPr>
            </w:pPr>
            <w:r>
              <w:rPr>
                <w:rFonts w:hint="default"/>
                <w:color w:val="auto"/>
                <w:lang w:val="en-US" w:eastAsia="zh-CN"/>
              </w:rPr>
              <w:t>（1）企业污染物排放口的标志，应按国家《环境保护图形标志—排放口</w:t>
            </w:r>
            <w:r>
              <w:rPr>
                <w:rFonts w:hint="eastAsia"/>
                <w:color w:val="auto"/>
                <w:lang w:val="en-US" w:eastAsia="zh-CN"/>
              </w:rPr>
              <w:t>（</w:t>
            </w:r>
            <w:r>
              <w:rPr>
                <w:rFonts w:hint="default"/>
                <w:color w:val="auto"/>
                <w:lang w:val="en-US" w:eastAsia="zh-CN"/>
              </w:rPr>
              <w:t>源</w:t>
            </w:r>
            <w:r>
              <w:rPr>
                <w:rFonts w:hint="eastAsia"/>
                <w:color w:val="auto"/>
                <w:lang w:val="en-US" w:eastAsia="zh-CN"/>
              </w:rPr>
              <w:t>）</w:t>
            </w:r>
            <w:r>
              <w:rPr>
                <w:rFonts w:hint="default"/>
                <w:color w:val="auto"/>
                <w:lang w:val="en-US" w:eastAsia="zh-CN"/>
              </w:rPr>
              <w:t>》</w:t>
            </w:r>
            <w:r>
              <w:rPr>
                <w:rFonts w:hint="eastAsia"/>
                <w:color w:val="auto"/>
                <w:lang w:val="en-US" w:eastAsia="zh-CN"/>
              </w:rPr>
              <w:t xml:space="preserve">（GB </w:t>
            </w:r>
            <w:r>
              <w:rPr>
                <w:rFonts w:hint="default"/>
                <w:color w:val="auto"/>
                <w:lang w:val="en-US" w:eastAsia="zh-CN"/>
              </w:rPr>
              <w:t>15562.1-1995</w:t>
            </w:r>
            <w:r>
              <w:rPr>
                <w:rFonts w:hint="eastAsia"/>
                <w:color w:val="auto"/>
                <w:lang w:val="en-US" w:eastAsia="zh-CN"/>
              </w:rPr>
              <w:t>）</w:t>
            </w:r>
            <w:r>
              <w:rPr>
                <w:rFonts w:hint="default"/>
                <w:color w:val="auto"/>
                <w:lang w:val="en-US" w:eastAsia="zh-CN"/>
              </w:rPr>
              <w:t>及《环境保护图形标志—固体废物贮存（处置）场》（GB 15562.2-1995）及其修改单的规定，设置国家环保总局统一制作的环境保护图形标志牌。</w:t>
            </w:r>
          </w:p>
          <w:p>
            <w:pPr>
              <w:pStyle w:val="54"/>
              <w:bidi w:val="0"/>
              <w:rPr>
                <w:rFonts w:hint="default"/>
                <w:color w:val="auto"/>
                <w:lang w:val="en-US" w:eastAsia="zh-CN"/>
              </w:rPr>
            </w:pPr>
            <w:r>
              <w:rPr>
                <w:rFonts w:hint="default"/>
                <w:color w:val="auto"/>
                <w:lang w:val="en-US" w:eastAsia="zh-CN"/>
              </w:rPr>
              <w:t>（2）标志牌设置位置应距排污口或采样点较近且醒目处，设置高度一般为标志牌上缘距离地面约2m</w:t>
            </w:r>
            <w:r>
              <w:rPr>
                <w:rFonts w:hint="eastAsia"/>
                <w:color w:val="auto"/>
                <w:lang w:val="en-US" w:eastAsia="zh-CN"/>
              </w:rPr>
              <w:t>。</w:t>
            </w:r>
          </w:p>
          <w:p>
            <w:pPr>
              <w:pStyle w:val="54"/>
              <w:bidi w:val="0"/>
              <w:rPr>
                <w:rFonts w:hint="default"/>
                <w:color w:val="auto"/>
                <w:lang w:val="en-US" w:eastAsia="zh-CN"/>
              </w:rPr>
            </w:pPr>
            <w:r>
              <w:rPr>
                <w:rFonts w:hint="default"/>
                <w:color w:val="auto"/>
                <w:lang w:val="en-US" w:eastAsia="zh-CN"/>
              </w:rPr>
              <w:t>（3）项目应</w:t>
            </w:r>
            <w:r>
              <w:rPr>
                <w:rFonts w:hint="eastAsia"/>
                <w:color w:val="auto"/>
                <w:lang w:val="en-US" w:eastAsia="zh-CN"/>
              </w:rPr>
              <w:t>根据</w:t>
            </w:r>
            <w:r>
              <w:rPr>
                <w:rFonts w:hint="default"/>
                <w:color w:val="auto"/>
                <w:lang w:val="en-US" w:eastAsia="zh-CN"/>
              </w:rPr>
              <w:t>《中华人民共和国规范化排污口标志牌登记证》，并按要求填写有关内容。根据排污口管理档案内容要求，项目投产后，应将上述所有污染排放口名称、位置，以及排放污染物名称、数量、浓度、排放去向等内容进行统计，并登记上报所在地</w:t>
            </w:r>
            <w:r>
              <w:rPr>
                <w:rFonts w:hint="eastAsia"/>
                <w:color w:val="auto"/>
                <w:lang w:val="en-US" w:eastAsia="zh-CN"/>
              </w:rPr>
              <w:t>生态环境主管部门</w:t>
            </w:r>
            <w:r>
              <w:rPr>
                <w:rFonts w:hint="default"/>
                <w:color w:val="auto"/>
                <w:lang w:val="en-US" w:eastAsia="zh-CN"/>
              </w:rPr>
              <w:t>，以便进行验收和排放口的规范化管理，并接受社会监督。</w:t>
            </w:r>
          </w:p>
          <w:p>
            <w:pPr>
              <w:pStyle w:val="50"/>
              <w:bidi w:val="0"/>
              <w:rPr>
                <w:rFonts w:hint="default" w:ascii="Times New Roman" w:hAnsi="Times New Roman" w:eastAsia="宋体" w:cs="Times New Roman"/>
                <w:color w:val="auto"/>
                <w:szCs w:val="21"/>
                <w:lang w:val="en-US" w:eastAsia="zh-CN"/>
              </w:rPr>
            </w:pPr>
            <w:r>
              <w:rPr>
                <w:rFonts w:hint="eastAsia"/>
                <w:color w:val="auto"/>
                <w:lang w:val="en-US" w:eastAsia="zh-CN"/>
              </w:rPr>
              <w:t>表</w:t>
            </w:r>
            <w:r>
              <w:rPr>
                <w:rFonts w:hint="default"/>
                <w:color w:val="auto"/>
                <w:lang w:val="en-US" w:eastAsia="zh-CN"/>
              </w:rPr>
              <w:t>4-1</w:t>
            </w:r>
            <w:r>
              <w:rPr>
                <w:rFonts w:hint="eastAsia"/>
                <w:color w:val="auto"/>
                <w:lang w:val="en-US" w:eastAsia="zh-CN"/>
              </w:rPr>
              <w:t xml:space="preserve">1 </w:t>
            </w:r>
            <w:r>
              <w:rPr>
                <w:rFonts w:hint="default"/>
                <w:color w:val="auto"/>
                <w:lang w:val="en-US" w:eastAsia="zh-CN"/>
              </w:rPr>
              <w:t xml:space="preserve"> 环境保护图形标志形状及颜色一览表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9"/>
              <w:gridCol w:w="1979"/>
              <w:gridCol w:w="19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标志名称</w:t>
                  </w:r>
                </w:p>
              </w:tc>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形状</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背景颜色</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图形颜色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警告标志</w:t>
                  </w:r>
                </w:p>
              </w:tc>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三角形边框</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黄色</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黑色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提示标志</w:t>
                  </w:r>
                </w:p>
              </w:tc>
              <w:tc>
                <w:tcPr>
                  <w:tcW w:w="2130"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正方形边框</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绿色</w:t>
                  </w:r>
                </w:p>
              </w:tc>
              <w:tc>
                <w:tcPr>
                  <w:tcW w:w="2131" w:type="dxa"/>
                  <w:tcBorders>
                    <w:tl2br w:val="nil"/>
                    <w:tr2bl w:val="nil"/>
                  </w:tcBorders>
                  <w:vAlign w:val="center"/>
                </w:tcPr>
                <w:p>
                  <w:pPr>
                    <w:pStyle w:val="51"/>
                    <w:bidi w:val="0"/>
                    <w:rPr>
                      <w:rFonts w:hint="default"/>
                      <w:color w:val="auto"/>
                      <w:lang w:val="en-US" w:eastAsia="zh-CN"/>
                    </w:rPr>
                  </w:pPr>
                  <w:r>
                    <w:rPr>
                      <w:rFonts w:hint="default"/>
                      <w:color w:val="auto"/>
                      <w:lang w:val="en-US" w:eastAsia="zh-CN"/>
                    </w:rPr>
                    <w:t>白色</w:t>
                  </w:r>
                </w:p>
              </w:tc>
            </w:tr>
          </w:tbl>
          <w:p>
            <w:pPr>
              <w:pStyle w:val="50"/>
              <w:bidi w:val="0"/>
              <w:rPr>
                <w:rFonts w:hint="default"/>
                <w:color w:val="auto"/>
                <w:lang w:val="en-US" w:eastAsia="zh-CN"/>
              </w:rPr>
            </w:pPr>
            <w:bookmarkStart w:id="2" w:name="_Ref7057"/>
            <w:r>
              <w:rPr>
                <w:rFonts w:hint="default"/>
                <w:color w:val="auto"/>
              </w:rPr>
              <w:t>表</w:t>
            </w:r>
            <w:bookmarkEnd w:id="2"/>
            <w:r>
              <w:rPr>
                <w:rFonts w:hint="eastAsia"/>
                <w:color w:val="auto"/>
                <w:lang w:val="en-US" w:eastAsia="zh-CN"/>
              </w:rPr>
              <w:t xml:space="preserve">4-12 </w:t>
            </w:r>
            <w:r>
              <w:rPr>
                <w:rFonts w:hint="default"/>
                <w:color w:val="auto"/>
                <w:lang w:val="en-US" w:eastAsia="zh-CN"/>
              </w:rPr>
              <w:t xml:space="preserve"> 环境保护图形符号一览表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682"/>
              <w:gridCol w:w="1716"/>
              <w:gridCol w:w="1494"/>
              <w:gridCol w:w="1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提示图形符号</w:t>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警告图形符号</w:t>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867410" cy="867410"/>
                        <wp:effectExtent l="0" t="0" r="8890" b="8890"/>
                        <wp:docPr id="6" name="图片 6" descr="175203429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2034295922"/>
                                <pic:cNvPicPr>
                                  <a:picLocks noChangeAspect="1"/>
                                </pic:cNvPicPr>
                              </pic:nvPicPr>
                              <pic:blipFill>
                                <a:blip r:embed="rId10"/>
                                <a:stretch>
                                  <a:fillRect/>
                                </a:stretch>
                              </pic:blipFill>
                              <pic:spPr>
                                <a:xfrm>
                                  <a:off x="0" y="0"/>
                                  <a:ext cx="867410" cy="867410"/>
                                </a:xfrm>
                                <a:prstGeom prst="rect">
                                  <a:avLst/>
                                </a:prstGeom>
                              </pic:spPr>
                            </pic:pic>
                          </a:graphicData>
                        </a:graphic>
                      </wp:inline>
                    </w:drawing>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951865" cy="869315"/>
                        <wp:effectExtent l="0" t="0" r="635" b="6985"/>
                        <wp:docPr id="7" name="图片 7" descr="175203438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2034383543"/>
                                <pic:cNvPicPr>
                                  <a:picLocks noChangeAspect="1"/>
                                </pic:cNvPicPr>
                              </pic:nvPicPr>
                              <pic:blipFill>
                                <a:blip r:embed="rId11"/>
                                <a:stretch>
                                  <a:fillRect/>
                                </a:stretch>
                              </pic:blipFill>
                              <pic:spPr>
                                <a:xfrm>
                                  <a:off x="0" y="0"/>
                                  <a:ext cx="951865" cy="869315"/>
                                </a:xfrm>
                                <a:prstGeom prst="rect">
                                  <a:avLst/>
                                </a:prstGeom>
                              </pic:spPr>
                            </pic:pic>
                          </a:graphicData>
                        </a:graphic>
                      </wp:inline>
                    </w:drawing>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废气排放口</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2</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823595" cy="869315"/>
                        <wp:effectExtent l="0" t="0" r="14605" b="6985"/>
                        <wp:docPr id="52" name="图片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23595" cy="869315"/>
                                </a:xfrm>
                                <a:prstGeom prst="rect">
                                  <a:avLst/>
                                </a:prstGeom>
                                <a:noFill/>
                                <a:ln>
                                  <a:noFill/>
                                </a:ln>
                              </pic:spPr>
                            </pic:pic>
                          </a:graphicData>
                        </a:graphic>
                      </wp:inline>
                    </w:drawing>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823595" cy="833120"/>
                        <wp:effectExtent l="0" t="0" r="14605" b="5080"/>
                        <wp:docPr id="53" name="图片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23595" cy="833120"/>
                                </a:xfrm>
                                <a:prstGeom prst="rect">
                                  <a:avLst/>
                                </a:prstGeom>
                                <a:noFill/>
                                <a:ln>
                                  <a:noFill/>
                                </a:ln>
                              </pic:spPr>
                            </pic:pic>
                          </a:graphicData>
                        </a:graphic>
                      </wp:inline>
                    </w:drawing>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废水排放口</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表示废水向水体排放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3</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823595" cy="869315"/>
                        <wp:effectExtent l="0" t="0" r="14605" b="6985"/>
                        <wp:docPr id="55" name="图片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23595" cy="869315"/>
                                </a:xfrm>
                                <a:prstGeom prst="rect">
                                  <a:avLst/>
                                </a:prstGeom>
                                <a:noFill/>
                                <a:ln>
                                  <a:noFill/>
                                </a:ln>
                              </pic:spPr>
                            </pic:pic>
                          </a:graphicData>
                        </a:graphic>
                      </wp:inline>
                    </w:drawing>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914400" cy="878205"/>
                        <wp:effectExtent l="0" t="0" r="0" b="1714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14400" cy="878205"/>
                                </a:xfrm>
                                <a:prstGeom prst="rect">
                                  <a:avLst/>
                                </a:prstGeom>
                                <a:noFill/>
                                <a:ln>
                                  <a:noFill/>
                                </a:ln>
                              </pic:spPr>
                            </pic:pic>
                          </a:graphicData>
                        </a:graphic>
                      </wp:inline>
                    </w:drawing>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一般固体废物</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4</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942975" cy="810895"/>
                        <wp:effectExtent l="0" t="0" r="9525" b="8255"/>
                        <wp:docPr id="57" name="图片 5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图片1"/>
                                <pic:cNvPicPr>
                                  <a:picLocks noChangeAspect="1"/>
                                </pic:cNvPicPr>
                              </pic:nvPicPr>
                              <pic:blipFill>
                                <a:blip r:embed="rId16"/>
                                <a:stretch>
                                  <a:fillRect/>
                                </a:stretch>
                              </pic:blipFill>
                              <pic:spPr>
                                <a:xfrm>
                                  <a:off x="0" y="0"/>
                                  <a:ext cx="942975" cy="810895"/>
                                </a:xfrm>
                                <a:prstGeom prst="rect">
                                  <a:avLst/>
                                </a:prstGeom>
                              </pic:spPr>
                            </pic:pic>
                          </a:graphicData>
                        </a:graphic>
                      </wp:inline>
                    </w:drawing>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危险固废</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表示危险废物贮存、处置场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8"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5</w:t>
                  </w:r>
                </w:p>
              </w:tc>
              <w:tc>
                <w:tcPr>
                  <w:tcW w:w="1692"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823595" cy="823595"/>
                        <wp:effectExtent l="0" t="0" r="14605" b="14605"/>
                        <wp:docPr id="5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23595" cy="823595"/>
                                </a:xfrm>
                                <a:prstGeom prst="rect">
                                  <a:avLst/>
                                </a:prstGeom>
                                <a:noFill/>
                                <a:ln>
                                  <a:noFill/>
                                </a:ln>
                              </pic:spPr>
                            </pic:pic>
                          </a:graphicData>
                        </a:graphic>
                      </wp:inline>
                    </w:drawing>
                  </w:r>
                </w:p>
              </w:tc>
              <w:tc>
                <w:tcPr>
                  <w:tcW w:w="1716"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950595" cy="878205"/>
                        <wp:effectExtent l="0" t="0" r="1905" b="17145"/>
                        <wp:docPr id="5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0595" cy="878205"/>
                                </a:xfrm>
                                <a:prstGeom prst="rect">
                                  <a:avLst/>
                                </a:prstGeom>
                                <a:noFill/>
                                <a:ln>
                                  <a:noFill/>
                                </a:ln>
                              </pic:spPr>
                            </pic:pic>
                          </a:graphicData>
                        </a:graphic>
                      </wp:inline>
                    </w:drawing>
                  </w:r>
                </w:p>
              </w:tc>
              <w:tc>
                <w:tcPr>
                  <w:tcW w:w="1619"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噪声排放源</w:t>
                  </w:r>
                </w:p>
              </w:tc>
              <w:tc>
                <w:tcPr>
                  <w:tcW w:w="1635" w:type="dxa"/>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表示噪声向外环境排放</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napToGrid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snapToGrid w:val="0"/>
                <w:color w:val="auto"/>
                <w:sz w:val="24"/>
                <w:szCs w:val="24"/>
                <w:lang w:val="en-US" w:eastAsia="zh-CN"/>
              </w:rPr>
            </w:pP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3" w:name="_Hlk54167917"/>
      <w:r>
        <w:rPr>
          <w:rFonts w:hint="eastAsia" w:ascii="黑体" w:hAnsi="黑体" w:eastAsia="黑体"/>
          <w:snapToGrid w:val="0"/>
          <w:color w:val="auto"/>
          <w:sz w:val="30"/>
          <w:szCs w:val="30"/>
        </w:rPr>
        <w:t>环境保护措施监督检查清单</w:t>
      </w:r>
      <w:bookmarkEnd w:id="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p>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w:t>
            </w:r>
            <w:r>
              <w:rPr>
                <w:rFonts w:hint="eastAsia" w:cs="Times New Roman"/>
                <w:color w:val="auto"/>
                <w:sz w:val="21"/>
                <w:szCs w:val="21"/>
                <w:lang w:eastAsia="zh-CN"/>
              </w:rPr>
              <w:t>（</w:t>
            </w:r>
            <w:r>
              <w:rPr>
                <w:rFonts w:hint="default" w:ascii="Times New Roman" w:hAnsi="Times New Roman" w:cs="Times New Roman"/>
                <w:color w:val="auto"/>
                <w:sz w:val="21"/>
                <w:szCs w:val="21"/>
              </w:rPr>
              <w:t>编号、</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r>
              <w:rPr>
                <w:rFonts w:hint="eastAsia" w:cs="Times New Roman"/>
                <w:color w:val="auto"/>
                <w:sz w:val="21"/>
                <w:szCs w:val="21"/>
                <w:lang w:eastAsia="zh-CN"/>
              </w:rPr>
              <w:t>）</w:t>
            </w:r>
            <w:r>
              <w:rPr>
                <w:rFonts w:hint="default" w:ascii="Times New Roman" w:hAnsi="Times New Roman" w:cs="Times New Roman"/>
                <w:color w:val="auto"/>
                <w:sz w:val="21"/>
                <w:szCs w:val="21"/>
              </w:rPr>
              <w:t>/污染源</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1757"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DA001</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经集气罩进行收集（收集效率95%）后经高效脉冲袋式除尘器（处理效率99.5%）除尘后通过1根DA001高度为20m的排气筒排放</w:t>
            </w:r>
          </w:p>
        </w:tc>
        <w:tc>
          <w:tcPr>
            <w:tcW w:w="175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color w:val="auto"/>
                <w:lang w:val="en-US" w:eastAsia="zh-CN"/>
              </w:rPr>
              <w:t>《大气污染物综合排放标准》（GB 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厂界</w:t>
            </w:r>
          </w:p>
        </w:tc>
        <w:tc>
          <w:tcPr>
            <w:tcW w:w="1755" w:type="dxa"/>
            <w:noWrap w:val="0"/>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加强管理及监测</w:t>
            </w:r>
          </w:p>
        </w:tc>
        <w:tc>
          <w:tcPr>
            <w:tcW w:w="1757" w:type="dxa"/>
            <w:noWrap w:val="0"/>
            <w:vAlign w:val="center"/>
          </w:tcPr>
          <w:p>
            <w:pPr>
              <w:adjustRightInd w:val="0"/>
              <w:snapToGrid w:val="0"/>
              <w:jc w:val="center"/>
              <w:rPr>
                <w:rFonts w:hint="eastAsia"/>
                <w:color w:val="auto"/>
                <w:lang w:val="en-US" w:eastAsia="zh-CN"/>
              </w:rPr>
            </w:pPr>
            <w:r>
              <w:rPr>
                <w:rFonts w:hint="default"/>
                <w:color w:val="auto"/>
                <w:lang w:val="en-US" w:eastAsia="zh-CN"/>
              </w:rPr>
              <w:t>《大气污染物综合排放标准》（GB 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olor w:val="auto"/>
                <w:lang w:val="en-US" w:eastAsia="zh-CN"/>
              </w:rPr>
              <w:t>生活污水</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SS、BOD</w:t>
            </w:r>
            <w:r>
              <w:rPr>
                <w:rFonts w:hint="eastAsia" w:cs="Times New Roman"/>
                <w:color w:val="auto"/>
                <w:sz w:val="21"/>
                <w:szCs w:val="21"/>
                <w:vertAlign w:val="subscript"/>
                <w:lang w:val="en-US" w:eastAsia="zh-CN"/>
              </w:rPr>
              <w:t>5</w:t>
            </w:r>
            <w:r>
              <w:rPr>
                <w:rFonts w:hint="eastAsia" w:cs="Times New Roman"/>
                <w:color w:val="auto"/>
                <w:sz w:val="21"/>
                <w:szCs w:val="21"/>
                <w:lang w:val="en-US" w:eastAsia="zh-CN"/>
              </w:rPr>
              <w:t>、COD</w:t>
            </w:r>
            <w:r>
              <w:rPr>
                <w:rFonts w:hint="eastAsia" w:cs="Times New Roman"/>
                <w:color w:val="auto"/>
                <w:sz w:val="21"/>
                <w:szCs w:val="21"/>
                <w:vertAlign w:val="subscript"/>
                <w:lang w:val="en-US" w:eastAsia="zh-CN"/>
              </w:rPr>
              <w:t>Cr</w:t>
            </w:r>
            <w:r>
              <w:rPr>
                <w:rFonts w:hint="eastAsia" w:cs="Times New Roman"/>
                <w:color w:val="auto"/>
                <w:sz w:val="21"/>
                <w:szCs w:val="21"/>
                <w:lang w:val="en-US" w:eastAsia="zh-CN"/>
              </w:rPr>
              <w:t>、氨氮、总磷、总氮</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排入化粪池定期委托清运处理</w:t>
            </w:r>
          </w:p>
        </w:tc>
        <w:tc>
          <w:tcPr>
            <w:tcW w:w="175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《农村生活污水处理排放标准》（DB 65 4275-2019）表2C级标准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设备噪声</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等效连续A声级</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选取低噪声设备、基础减振及消声器等措施。</w:t>
            </w:r>
          </w:p>
        </w:tc>
        <w:tc>
          <w:tcPr>
            <w:tcW w:w="175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w:t>
            </w:r>
            <w:r>
              <w:rPr>
                <w:rFonts w:hint="eastAsia" w:cs="Times New Roman"/>
                <w:color w:val="auto"/>
                <w:sz w:val="21"/>
                <w:szCs w:val="21"/>
                <w:lang w:val="en-US" w:eastAsia="zh-CN"/>
              </w:rPr>
              <w:t>工业企业厂界环境噪声排放标准</w:t>
            </w:r>
            <w:r>
              <w:rPr>
                <w:rFonts w:hint="eastAsia" w:cs="Times New Roman"/>
                <w:color w:val="auto"/>
                <w:sz w:val="21"/>
                <w:szCs w:val="21"/>
                <w:lang w:eastAsia="zh-CN"/>
              </w:rPr>
              <w:t>》（</w:t>
            </w:r>
            <w:r>
              <w:rPr>
                <w:rFonts w:hint="eastAsia" w:cs="Times New Roman"/>
                <w:color w:val="auto"/>
                <w:sz w:val="21"/>
                <w:szCs w:val="21"/>
                <w:lang w:val="en-US" w:eastAsia="zh-CN"/>
              </w:rPr>
              <w:t>GB 12348-2008</w:t>
            </w:r>
            <w:r>
              <w:rPr>
                <w:rFonts w:hint="eastAsia" w:cs="Times New Roman"/>
                <w:color w:val="auto"/>
                <w:sz w:val="21"/>
                <w:szCs w:val="21"/>
                <w:lang w:eastAsia="zh-CN"/>
              </w:rPr>
              <w:t>）</w:t>
            </w:r>
            <w:r>
              <w:rPr>
                <w:rFonts w:hint="eastAsia" w:cs="Times New Roman"/>
                <w:color w:val="auto"/>
                <w:sz w:val="21"/>
                <w:szCs w:val="21"/>
                <w:lang w:val="en-US" w:eastAsia="zh-CN"/>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7"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vertAlign w:val="baseline"/>
                <w:lang w:val="en-US" w:eastAsia="zh-CN"/>
              </w:rPr>
              <w:t>本项目产生的各除尘器收集的粉尘暂存于除尘器收集槽中，定期回用于对应的生产工段；生活垃圾设垃圾箱，拉运至当地生活垃圾填埋场进行处理；废机油暂存于国投罗钾现有危废暂存间储存，定期委托有资质的第三方进行运输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0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8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pacing w:val="-10"/>
                <w:kern w:val="2"/>
                <w:sz w:val="21"/>
                <w:szCs w:val="21"/>
                <w:lang w:val="en-US" w:eastAsia="zh-CN" w:bidi="ar-SA"/>
              </w:rPr>
              <w:t>简单防渗区：对生产区地面采取水泥地面硬化，减少裸露地面。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vertAlign w:val="baseline"/>
                <w:lang w:val="en-US" w:eastAsia="zh-CN"/>
              </w:rPr>
              <w:t>着重以防止和减少污染，保护和改善环境为主，在节约用地的原则下，尽可能布置绿化，并适当考虑美化效果；加大绿化覆盖率。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022" w:type="dxa"/>
            <w:gridSpan w:val="4"/>
            <w:noWrap w:val="0"/>
            <w:vAlign w:val="center"/>
          </w:tcPr>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防范措施：</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（1）主要负责人及安全管理必须取得安全合格证。</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（2）应制定站内各类人员安全生产责任制和安全操作规程。</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（3）加强电气等检修作业的管理：</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①电气作业严格执行作业票制度。电工作业人员应经安全技术培训，考试合格，取得相应的资格证书后，才能从事电工作业，禁止非电工作业人员从事任何电工作业。</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（4）对从业人员进行安全培训。</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（5）建立健全各种设备管理制度、管理台帐和技术档案，尤其要完善设备的检、维修管理制度。加强对设备运行的监视、检查、定期维护保养等管理工作。</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6）冬寒、暑热、风、霜、雨、雪、雷电等，会影响操作人员作出正确的判断和操作，会间接或直接影响到人员的安全和健康。因此，作业场所的温度、采光照明、通风、噪声、空气中有毒、有害物质含量要定期进行检测，重视作业环境及条件的改善，做到清洁、文明生产。</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（7）编制事故应救援预案并组织演练，使每个职工都会使用消防器材，有效地扑救初期火灾。</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（8）根据劳动防护用品配备标准，做好防护用品的配备和发放工作。</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default" w:cs="Times New Roman"/>
                <w:color w:val="auto"/>
                <w:sz w:val="21"/>
                <w:szCs w:val="21"/>
                <w:lang w:val="en-US" w:eastAsia="zh-CN"/>
              </w:rPr>
            </w:pPr>
            <w:r>
              <w:rPr>
                <w:rFonts w:hint="default" w:cs="Times New Roman"/>
                <w:color w:val="auto"/>
                <w:sz w:val="21"/>
                <w:szCs w:val="21"/>
                <w:lang w:val="en-US" w:eastAsia="zh-CN"/>
              </w:rPr>
              <w:t>（9）危废暂存间事故风险</w:t>
            </w:r>
          </w:p>
          <w:p>
            <w:pPr>
              <w:pStyle w:val="26"/>
              <w:keepNext w:val="0"/>
              <w:keepLines w:val="0"/>
              <w:pageBreakBefore w:val="0"/>
              <w:widowControl w:val="0"/>
              <w:kinsoku/>
              <w:wordWrap/>
              <w:overflowPunct/>
              <w:topLinePunct w:val="0"/>
              <w:autoSpaceDE/>
              <w:autoSpaceDN/>
              <w:bidi w:val="0"/>
              <w:ind w:firstLine="420" w:firstLineChars="200"/>
              <w:textAlignment w:val="auto"/>
              <w:rPr>
                <w:rFonts w:hint="default" w:cs="Times New Roman"/>
                <w:color w:val="auto"/>
                <w:sz w:val="21"/>
                <w:szCs w:val="21"/>
                <w:lang w:val="en-US" w:eastAsia="zh-CN"/>
              </w:rPr>
            </w:pPr>
            <w:r>
              <w:rPr>
                <w:rFonts w:hint="default" w:cs="Times New Roman"/>
                <w:color w:val="auto"/>
                <w:sz w:val="21"/>
                <w:szCs w:val="21"/>
                <w:lang w:val="en-US" w:eastAsia="zh-CN"/>
              </w:rPr>
              <w:t>本项目废机油包装桶在存放过程中，如桶体发生腐蚀或破裂，桶内危险废物渗出，可能会对周边地下水及土壤环境产生影响。当存在火源时可能导致火灾。危废暂存间发生泄漏时地下水受到污染可能导致区域地下水水质降低或污染周边区域土壤，导致地下水无法被利用，还会导致植物不能正常生长。发生火灾时会导致有毒有害气体散发，引起大气环境污染。本项目区地域空旷，扩散条件较好，发生事故后，及时采取相应的措施，不会对周围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022" w:type="dxa"/>
            <w:gridSpan w:val="4"/>
            <w:noWrap w:val="0"/>
            <w:vAlign w:val="center"/>
          </w:tcPr>
          <w:p>
            <w:pPr>
              <w:adjustRightInd w:val="0"/>
              <w:snapToGrid w:val="0"/>
              <w:ind w:firstLine="420" w:firstLineChars="200"/>
              <w:rPr>
                <w:color w:val="auto"/>
              </w:rPr>
            </w:pPr>
            <w:r>
              <w:rPr>
                <w:rFonts w:hint="eastAsia" w:cs="Times New Roman"/>
                <w:color w:val="auto"/>
                <w:sz w:val="21"/>
                <w:szCs w:val="21"/>
                <w:lang w:val="en-US" w:eastAsia="zh-CN"/>
              </w:rPr>
              <w:t>编制</w:t>
            </w:r>
            <w:r>
              <w:rPr>
                <w:rFonts w:hint="default" w:ascii="Times New Roman" w:hAnsi="Times New Roman" w:cs="Times New Roman"/>
                <w:color w:val="auto"/>
                <w:sz w:val="21"/>
                <w:szCs w:val="21"/>
              </w:rPr>
              <w:t>突发环境事件应急预案；在全国排污许可证管理信息平台</w:t>
            </w:r>
            <w:r>
              <w:rPr>
                <w:rFonts w:hint="eastAsia" w:cs="Times New Roman"/>
                <w:color w:val="auto"/>
                <w:sz w:val="21"/>
                <w:szCs w:val="21"/>
                <w:lang w:val="en-US" w:eastAsia="zh-CN"/>
              </w:rPr>
              <w:t>申请</w:t>
            </w:r>
            <w:r>
              <w:rPr>
                <w:rFonts w:hint="default" w:ascii="Times New Roman" w:hAnsi="Times New Roman" w:cs="Times New Roman"/>
                <w:color w:val="auto"/>
                <w:sz w:val="21"/>
                <w:szCs w:val="21"/>
              </w:rPr>
              <w:t>排污</w:t>
            </w:r>
            <w:r>
              <w:rPr>
                <w:rFonts w:hint="eastAsia" w:cs="Times New Roman"/>
                <w:color w:val="auto"/>
                <w:sz w:val="21"/>
                <w:szCs w:val="21"/>
                <w:lang w:val="en-US" w:eastAsia="zh-CN"/>
              </w:rPr>
              <w:t>许可证</w:t>
            </w:r>
            <w:r>
              <w:rPr>
                <w:rFonts w:hint="default" w:ascii="Times New Roman" w:hAnsi="Times New Roman" w:cs="Times New Roman"/>
                <w:color w:val="auto"/>
                <w:sz w:val="21"/>
                <w:szCs w:val="21"/>
              </w:rPr>
              <w:t>；开展本项目的自行监测工作；项目竣工后完成竣工环境保护验收。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1、排污许可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固定污染源排污许可分类管理名录（2019版）》中“二十一、化学原料和化学制品制造业26——46肥料制造262——其他”执行简化管理。根据《关于做好环境影响评价制度与排污许可衔接相关工作的通知》（环办环评〔2017〕84号），项目应在获得环评审批文件后，按照国家环境保护相关法律法规以及排污许可证申请与核发技术规范要求申请排污许可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2、排放口、规范化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根据《关于开展排放口规范化整治工作的通知》《排放口规范化整治技术要求（试行）》等规定，排污单位在建设污染治理设施的同时，建设规范化排放口。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（1）企业污染物排放口的标志，应按国家《环境保护图形标志—排放口（源）》（GB 15562.1-1995）及《环境保护图形标志—固体废物贮存（处置）场》（GB 15562.2-1995）及其修改单的规定，设置国家环保总局统一制作的环境保护图形标志牌。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（2）标志牌设置位置应距排污口或采样点较近且醒目处，设置高度一般为标志牌上缘距离地面约2m。</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项目应根据《中华人民共和国规范化排污口标志牌登记证》，并按要求填写有关内容。根据排污口管理档案内容要求，项目投产后，应将上述所有污染排放口名称、位置，以及排放污染物名称、数量、浓度、排放去向等内容进行统计，并登记上报所在地生态环境主管部门，以便进行验收和排放口的规范化管理，并接受社会监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3、其他要求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（1）建立环境管理台账。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（2）根据监测计划定期进行例行监测。</w:t>
            </w:r>
          </w:p>
          <w:p>
            <w:pPr>
              <w:adjustRightInd w:val="0"/>
              <w:snapToGrid w:val="0"/>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（3）企业运行前，须按照《固定污染源排污许可分类管理名录（2019年版）》的要求</w:t>
            </w:r>
            <w:r>
              <w:rPr>
                <w:rFonts w:hint="eastAsia" w:cs="Times New Roman"/>
                <w:color w:val="auto"/>
                <w:sz w:val="21"/>
                <w:szCs w:val="21"/>
                <w:lang w:val="en-US" w:eastAsia="zh-CN"/>
              </w:rPr>
              <w:t>申请</w:t>
            </w:r>
            <w:r>
              <w:rPr>
                <w:rFonts w:hint="default" w:ascii="Times New Roman" w:hAnsi="Times New Roman" w:eastAsia="宋体" w:cs="Times New Roman"/>
                <w:color w:val="auto"/>
                <w:sz w:val="21"/>
                <w:szCs w:val="21"/>
              </w:rPr>
              <w:t>排污许可证。</w:t>
            </w: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rPr>
                <w:rFonts w:hint="default" w:ascii="Times New Roman" w:hAnsi="Times New Roman" w:eastAsia="宋体" w:cs="Times New Roman"/>
                <w:color w:val="auto"/>
                <w:sz w:val="21"/>
                <w:szCs w:val="21"/>
              </w:rPr>
            </w:pPr>
          </w:p>
        </w:tc>
      </w:tr>
    </w:tbl>
    <w:p>
      <w:pPr>
        <w:pStyle w:val="17"/>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综上所述，本项目符合国家产业政策</w:t>
            </w:r>
            <w:r>
              <w:rPr>
                <w:rFonts w:hint="eastAsia" w:cs="Times New Roman"/>
                <w:color w:val="auto"/>
                <w:sz w:val="24"/>
                <w:szCs w:val="24"/>
                <w:lang w:val="en-US" w:eastAsia="zh-CN"/>
              </w:rPr>
              <w:t>。</w:t>
            </w:r>
            <w:r>
              <w:rPr>
                <w:rFonts w:hint="default" w:ascii="Times New Roman" w:hAnsi="Times New Roman" w:cs="Times New Roman"/>
                <w:color w:val="auto"/>
                <w:sz w:val="24"/>
                <w:szCs w:val="24"/>
              </w:rPr>
              <w:t>项目建成后，对区域的大气、地下水、声环境、土壤环境影响</w:t>
            </w:r>
            <w:r>
              <w:rPr>
                <w:rFonts w:hint="eastAsia" w:cs="Times New Roman"/>
                <w:color w:val="auto"/>
                <w:sz w:val="24"/>
                <w:szCs w:val="24"/>
                <w:lang w:val="en-US" w:eastAsia="zh-CN"/>
              </w:rPr>
              <w:t>相对较小</w:t>
            </w:r>
            <w:r>
              <w:rPr>
                <w:rFonts w:hint="default" w:ascii="Times New Roman" w:hAnsi="Times New Roman" w:cs="Times New Roman"/>
                <w:color w:val="auto"/>
                <w:sz w:val="24"/>
                <w:szCs w:val="24"/>
              </w:rPr>
              <w:t>，不会导致评价区域环境功能明显改变，没有明显的环境制约因素。该项目应严格按照报告表提出的施工期和运营期污染防治及生态保护措施要求，加强环境管理，严格执行环保验收制度，实现污染物达标排放和生态有效保护，将项目对环境的影响降低到最低程度，从环境保护的角度看，该项目的建设是可行的。</w:t>
            </w: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bidi w:val="0"/>
        <w:rPr>
          <w:b/>
          <w:bCs/>
          <w:color w:val="auto"/>
          <w:sz w:val="44"/>
          <w:szCs w:val="44"/>
        </w:rPr>
      </w:pPr>
      <w:r>
        <w:rPr>
          <w:rFonts w:hint="eastAsia"/>
          <w:b/>
          <w:bCs/>
          <w:color w:val="auto"/>
          <w:sz w:val="44"/>
          <w:szCs w:val="44"/>
        </w:rPr>
        <w:t>附表</w:t>
      </w:r>
    </w:p>
    <w:p>
      <w:pPr>
        <w:bidi w:val="0"/>
        <w:jc w:val="center"/>
        <w:rPr>
          <w:rFonts w:hint="eastAsia" w:ascii="方正小标宋_GBK" w:hAnsi="黑体" w:eastAsia="方正小标宋_GBK"/>
          <w:snapToGrid w:val="0"/>
          <w:color w:val="auto"/>
          <w:szCs w:val="38"/>
        </w:rPr>
      </w:pPr>
      <w:r>
        <w:rPr>
          <w:rFonts w:hint="eastAsia"/>
          <w:b/>
          <w:bCs/>
          <w:color w:val="auto"/>
          <w:sz w:val="44"/>
          <w:szCs w:val="44"/>
        </w:rPr>
        <w:t>建设项目污染物排放量汇总表</w:t>
      </w:r>
    </w:p>
    <w:tbl>
      <w:tblPr>
        <w:tblStyle w:val="19"/>
        <w:tblW w:w="137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649"/>
        <w:gridCol w:w="1737"/>
        <w:gridCol w:w="1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8" w:type="dxa"/>
            <w:tcBorders>
              <w:tl2br w:val="nil"/>
              <w:tr2bl w:val="nil"/>
            </w:tcBorders>
            <w:noWrap w:val="0"/>
            <w:tcMar>
              <w:left w:w="28" w:type="dxa"/>
              <w:right w:w="28"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4"/>
              <w:spacing w:beforeLines="0" w:afterLines="0" w:line="240" w:lineRule="auto"/>
              <w:jc w:val="right"/>
              <w:rPr>
                <w:rFonts w:hint="default" w:ascii="Times New Roman" w:hAnsi="Times New Roman" w:eastAsia="宋体" w:cs="Times New Roman"/>
                <w:snapToGrid w:val="0"/>
                <w:color w:val="auto"/>
                <w:spacing w:val="-6"/>
                <w:kern w:val="21"/>
                <w:sz w:val="21"/>
                <w:szCs w:val="21"/>
              </w:rPr>
            </w:pPr>
            <w:r>
              <w:rPr>
                <w:rFonts w:hint="eastAsia" w:ascii="Times New Roman" w:hAnsi="Times New Roman" w:cs="Times New Roman"/>
                <w:snapToGrid w:val="0"/>
                <w:color w:val="auto"/>
                <w:spacing w:val="-6"/>
                <w:kern w:val="21"/>
                <w:sz w:val="21"/>
                <w:szCs w:val="21"/>
                <w:lang w:val="en-US" w:eastAsia="zh-CN"/>
              </w:rPr>
              <w:t xml:space="preserve">  </w:t>
            </w:r>
          </w:p>
          <w:p>
            <w:pPr>
              <w:pStyle w:val="24"/>
              <w:snapToGrid w:val="0"/>
              <w:spacing w:beforeLines="0" w:afterLines="0" w:line="240" w:lineRule="auto"/>
              <w:jc w:val="left"/>
              <w:rPr>
                <w:rFonts w:hint="eastAsia" w:ascii="Times New Roman" w:hAnsi="Times New Roman" w:cs="Times New Roman"/>
                <w:snapToGrid w:val="0"/>
                <w:color w:val="auto"/>
                <w:spacing w:val="-6"/>
                <w:kern w:val="21"/>
                <w:sz w:val="21"/>
                <w:szCs w:val="21"/>
                <w:lang w:val="en-US" w:eastAsia="zh-CN"/>
              </w:rPr>
            </w:pPr>
          </w:p>
          <w:p>
            <w:pPr>
              <w:pStyle w:val="24"/>
              <w:snapToGrid w:val="0"/>
              <w:spacing w:beforeLines="0" w:afterLines="0" w:line="240" w:lineRule="auto"/>
              <w:jc w:val="left"/>
              <w:rPr>
                <w:rFonts w:hint="eastAsia" w:ascii="Times New Roman" w:hAnsi="Times New Roman" w:cs="Times New Roman"/>
                <w:snapToGrid w:val="0"/>
                <w:color w:val="auto"/>
                <w:spacing w:val="-6"/>
                <w:kern w:val="21"/>
                <w:sz w:val="21"/>
                <w:szCs w:val="21"/>
                <w:lang w:val="en-US" w:eastAsia="zh-CN"/>
              </w:rPr>
            </w:pPr>
          </w:p>
          <w:p>
            <w:pPr>
              <w:pStyle w:val="24"/>
              <w:snapToGrid w:val="0"/>
              <w:spacing w:beforeLines="0" w:afterLines="0" w:line="240" w:lineRule="auto"/>
              <w:ind w:firstLine="198" w:firstLineChars="100"/>
              <w:jc w:val="left"/>
              <mc:AlternateContent>
                <mc:Choice Requires="wpsCustomData">
                  <wpsCustomData:diagonalParaType/>
                </mc:Choice>
              </mc:AlternateContent>
              <w:rPr>
                <w:rFonts w:hint="default" w:ascii="Times New Roman" w:hAnsi="Times New Roman" w:eastAsia="宋体" w:cs="Times New Roman"/>
                <w:snapToGrid w:val="0"/>
                <w:color w:val="auto"/>
                <w:spacing w:val="-6"/>
                <w:kern w:val="21"/>
                <w:sz w:val="21"/>
                <w:szCs w:val="21"/>
              </w:rPr>
            </w:pPr>
            <w:r>
              <w:rPr>
                <w:rFonts w:hint="eastAsia" w:ascii="Times New Roman" w:hAnsi="Times New Roman" w:cs="Times New Roman"/>
                <w:snapToGrid w:val="0"/>
                <w:color w:val="auto"/>
                <w:spacing w:val="-6"/>
                <w:kern w:val="21"/>
                <w:sz w:val="21"/>
                <w:szCs w:val="21"/>
                <w:lang w:val="en-US" w:eastAsia="zh-CN"/>
              </w:rPr>
              <w:t>分</w:t>
            </w:r>
            <w:r>
              <w:rPr>
                <w:rFonts w:hint="default" w:ascii="Times New Roman" w:hAnsi="Times New Roman" w:eastAsia="宋体" w:cs="Times New Roman"/>
                <w:snapToGrid w:val="0"/>
                <w:color w:val="auto"/>
                <w:spacing w:val="-6"/>
                <w:kern w:val="21"/>
                <w:sz w:val="21"/>
                <w:szCs w:val="21"/>
              </w:rPr>
              <w:t>类</w:t>
            </w:r>
          </w:p>
          <w:p>
            <w:pPr>
              <w:pStyle w:val="24"/>
              <w:spacing w:beforeLines="0" w:afterLines="0" w:line="240" w:lineRule="auto"/>
              <w:jc w:val="left"/>
              <w:rPr>
                <w:rFonts w:hint="default" w:ascii="Times New Roman" w:hAnsi="Times New Roman" w:eastAsia="宋体" w:cs="Times New Roman"/>
                <w:snapToGrid w:val="0"/>
                <w:color w:val="auto"/>
                <w:spacing w:val="-6"/>
                <w:kern w:val="21"/>
                <w:sz w:val="21"/>
                <w:szCs w:val="21"/>
              </w:rPr>
            </w:pPr>
          </w:p>
          <w:p>
            <w:pPr>
              <w:pStyle w:val="24"/>
              <w:spacing w:beforeLines="0" w:afterLines="0" w:line="240" w:lineRule="auto"/>
              <w:ind w:firstLine="198" w:firstLineChars="100"/>
              <w:jc w:val="left"/>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tc>
        <w:tc>
          <w:tcPr>
            <w:tcW w:w="1417"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701"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649"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737"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160"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141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颗粒物</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6.063</w:t>
            </w:r>
            <w:r>
              <w:rPr>
                <w:rFonts w:hint="default" w:ascii="Times New Roman" w:hAnsi="Times New Roman" w:eastAsia="宋体" w:cs="Times New Roman"/>
                <w:snapToGrid w:val="0"/>
                <w:color w:val="auto"/>
                <w:kern w:val="21"/>
                <w:sz w:val="21"/>
                <w:szCs w:val="21"/>
                <w:lang w:val="en-US" w:eastAsia="zh-CN"/>
              </w:rPr>
              <w:t>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6.063</w:t>
            </w:r>
            <w:r>
              <w:rPr>
                <w:rFonts w:hint="default" w:ascii="Times New Roman" w:hAnsi="Times New Roman" w:eastAsia="宋体" w:cs="Times New Roman"/>
                <w:snapToGrid w:val="0"/>
                <w:color w:val="auto"/>
                <w:kern w:val="21"/>
                <w:sz w:val="21"/>
                <w:szCs w:val="21"/>
                <w:lang w:val="en-US" w:eastAsia="zh-CN"/>
              </w:rPr>
              <w:t>t/a</w:t>
            </w:r>
          </w:p>
        </w:tc>
        <w:tc>
          <w:tcPr>
            <w:tcW w:w="1160"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+6.063</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snapToGrid w:val="0"/>
                <w:color w:val="auto"/>
                <w:kern w:val="21"/>
                <w:sz w:val="21"/>
                <w:szCs w:val="21"/>
                <w:lang w:eastAsia="zh-CN"/>
              </w:rPr>
            </w:pPr>
            <w:r>
              <w:rPr>
                <w:rFonts w:hint="eastAsia" w:ascii="Times New Roman" w:hAnsi="Times New Roman" w:cs="Times New Roman"/>
                <w:snapToGrid w:val="0"/>
                <w:color w:val="auto"/>
                <w:kern w:val="21"/>
                <w:sz w:val="21"/>
                <w:szCs w:val="21"/>
                <w:lang w:eastAsia="zh-CN"/>
              </w:rPr>
              <w:t>废水</w:t>
            </w:r>
          </w:p>
        </w:tc>
        <w:tc>
          <w:tcPr>
            <w:tcW w:w="141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COD</w:t>
            </w:r>
            <w:r>
              <w:rPr>
                <w:rFonts w:hint="eastAsia" w:ascii="Times New Roman" w:hAnsi="Times New Roman" w:cs="Times New Roman"/>
                <w:snapToGrid w:val="0"/>
                <w:color w:val="auto"/>
                <w:kern w:val="21"/>
                <w:sz w:val="21"/>
                <w:szCs w:val="21"/>
                <w:vertAlign w:val="subscript"/>
                <w:lang w:val="en-US" w:eastAsia="zh-CN"/>
              </w:rPr>
              <w:t>Cr</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0.0039</w:t>
            </w:r>
            <w:r>
              <w:rPr>
                <w:rFonts w:hint="default" w:ascii="Times New Roman" w:hAnsi="Times New Roman" w:eastAsia="宋体" w:cs="Times New Roman"/>
                <w:snapToGrid w:val="0"/>
                <w:color w:val="auto"/>
                <w:kern w:val="21"/>
                <w:sz w:val="21"/>
                <w:szCs w:val="21"/>
                <w:lang w:val="en-US" w:eastAsia="zh-CN"/>
              </w:rPr>
              <w:t>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0.0039</w:t>
            </w:r>
            <w:r>
              <w:rPr>
                <w:rFonts w:hint="default" w:ascii="Times New Roman" w:hAnsi="Times New Roman" w:eastAsia="宋体" w:cs="Times New Roman"/>
                <w:snapToGrid w:val="0"/>
                <w:color w:val="auto"/>
                <w:kern w:val="21"/>
                <w:sz w:val="21"/>
                <w:szCs w:val="21"/>
                <w:lang w:val="en-US" w:eastAsia="zh-CN"/>
              </w:rPr>
              <w:t>t/a</w:t>
            </w:r>
          </w:p>
        </w:tc>
        <w:tc>
          <w:tcPr>
            <w:tcW w:w="1160"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+0.0039</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NH</w:t>
            </w:r>
            <w:r>
              <w:rPr>
                <w:rFonts w:hint="eastAsia" w:ascii="Times New Roman" w:hAnsi="Times New Roman" w:cs="Times New Roman"/>
                <w:snapToGrid w:val="0"/>
                <w:color w:val="auto"/>
                <w:kern w:val="21"/>
                <w:sz w:val="21"/>
                <w:szCs w:val="21"/>
                <w:vertAlign w:val="subscript"/>
                <w:lang w:val="en-US" w:eastAsia="zh-CN"/>
              </w:rPr>
              <w:t>3</w:t>
            </w:r>
            <w:r>
              <w:rPr>
                <w:rFonts w:hint="eastAsia" w:ascii="Times New Roman" w:hAnsi="Times New Roman" w:cs="Times New Roman"/>
                <w:snapToGrid w:val="0"/>
                <w:color w:val="auto"/>
                <w:kern w:val="21"/>
                <w:sz w:val="21"/>
                <w:szCs w:val="21"/>
                <w:lang w:val="en-US" w:eastAsia="zh-CN"/>
              </w:rPr>
              <w:t>-N</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0.0020</w:t>
            </w:r>
            <w:r>
              <w:rPr>
                <w:rFonts w:hint="default" w:ascii="Times New Roman" w:hAnsi="Times New Roman" w:eastAsia="宋体" w:cs="Times New Roman"/>
                <w:snapToGrid w:val="0"/>
                <w:color w:val="auto"/>
                <w:kern w:val="21"/>
                <w:sz w:val="21"/>
                <w:szCs w:val="21"/>
                <w:lang w:val="en-US" w:eastAsia="zh-CN"/>
              </w:rPr>
              <w:t>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0.0020</w:t>
            </w:r>
            <w:r>
              <w:rPr>
                <w:rFonts w:hint="default" w:ascii="Times New Roman" w:hAnsi="Times New Roman" w:eastAsia="宋体" w:cs="Times New Roman"/>
                <w:snapToGrid w:val="0"/>
                <w:color w:val="auto"/>
                <w:kern w:val="21"/>
                <w:sz w:val="21"/>
                <w:szCs w:val="21"/>
                <w:lang w:val="en-US" w:eastAsia="zh-CN"/>
              </w:rPr>
              <w:t>t/a</w:t>
            </w:r>
          </w:p>
        </w:tc>
        <w:tc>
          <w:tcPr>
            <w:tcW w:w="1160"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+0.0020</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41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除尘器收集粉尘</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1206.612t/a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1206.612t/a</w:t>
            </w:r>
          </w:p>
        </w:tc>
        <w:tc>
          <w:tcPr>
            <w:tcW w:w="1160"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+1206.612t/a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spacing w:beforeLines="0" w:afterLines="0" w:line="240" w:lineRule="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b w:val="0"/>
                <w:bCs/>
                <w:color w:val="auto"/>
                <w:sz w:val="21"/>
                <w:szCs w:val="21"/>
                <w:vertAlign w:val="baseline"/>
                <w:lang w:val="en-US" w:eastAsia="zh-CN"/>
              </w:rPr>
              <w:t>废机油</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0.1t/a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0.1t/a</w:t>
            </w:r>
          </w:p>
        </w:tc>
        <w:tc>
          <w:tcPr>
            <w:tcW w:w="1160"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spacing w:beforeLines="0" w:afterLines="0" w:line="240" w:lineRule="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b w:val="0"/>
                <w:bCs/>
                <w:color w:val="auto"/>
                <w:sz w:val="21"/>
                <w:szCs w:val="21"/>
                <w:vertAlign w:val="baseline"/>
                <w:lang w:val="en-US" w:eastAsia="zh-CN"/>
              </w:rPr>
              <w:t>生活垃圾</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2.1t/a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2.1t/a</w:t>
            </w:r>
          </w:p>
        </w:tc>
        <w:tc>
          <w:tcPr>
            <w:tcW w:w="1160" w:type="dxa"/>
            <w:tcBorders>
              <w:tl2br w:val="nil"/>
              <w:tr2bl w:val="nil"/>
            </w:tcBorders>
            <w:noWrap w:val="0"/>
            <w:vAlign w:val="center"/>
          </w:tcPr>
          <w:p>
            <w:pPr>
              <w:pStyle w:val="48"/>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+2.1t/a</w:t>
            </w:r>
          </w:p>
        </w:tc>
      </w:tr>
    </w:tbl>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ascii="宋体" w:hAnsi="宋体" w:eastAsia="黑体"/>
          <w:color w:val="auto"/>
        </w:rPr>
      </w:pPr>
      <w:r>
        <w:rPr>
          <w:rFonts w:hint="default" w:ascii="Times New Roman" w:hAnsi="Times New Roman" w:eastAsia="宋体" w:cs="Times New Roman"/>
          <w:snapToGrid w:val="0"/>
          <w:color w:val="auto"/>
          <w:kern w:val="21"/>
          <w:sz w:val="21"/>
          <w:szCs w:val="21"/>
        </w:rPr>
        <w:t>注：</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⑦</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spacing w:val="-6"/>
          <w:kern w:val="21"/>
          <w:sz w:val="21"/>
          <w:szCs w:val="21"/>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9</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11</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CFEAE"/>
    <w:multiLevelType w:val="multilevel"/>
    <w:tmpl w:val="C7BCFEAE"/>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2E1ZmQ4YTYwOTRiNTcwNTM5OGQ3NGY3ODY1MTM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3BBC"/>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7732D9"/>
    <w:rsid w:val="02BE6FA7"/>
    <w:rsid w:val="02F96569"/>
    <w:rsid w:val="03EA7B21"/>
    <w:rsid w:val="05F83EAE"/>
    <w:rsid w:val="063E7D85"/>
    <w:rsid w:val="07293586"/>
    <w:rsid w:val="07295285"/>
    <w:rsid w:val="07636392"/>
    <w:rsid w:val="07770C56"/>
    <w:rsid w:val="08362617"/>
    <w:rsid w:val="084525DB"/>
    <w:rsid w:val="092217DD"/>
    <w:rsid w:val="093A7294"/>
    <w:rsid w:val="0A263993"/>
    <w:rsid w:val="0A2D3AC2"/>
    <w:rsid w:val="0AA755DF"/>
    <w:rsid w:val="0B120D44"/>
    <w:rsid w:val="0B884139"/>
    <w:rsid w:val="0BD27BF6"/>
    <w:rsid w:val="0C3B3C7D"/>
    <w:rsid w:val="0C78633D"/>
    <w:rsid w:val="0CAB2EAE"/>
    <w:rsid w:val="0D0522AA"/>
    <w:rsid w:val="0D621C7D"/>
    <w:rsid w:val="0D635120"/>
    <w:rsid w:val="0E1A0C43"/>
    <w:rsid w:val="0E2F3A0E"/>
    <w:rsid w:val="0E73034D"/>
    <w:rsid w:val="0F13775A"/>
    <w:rsid w:val="0F2F5E2B"/>
    <w:rsid w:val="0F4E652C"/>
    <w:rsid w:val="0F5F45FE"/>
    <w:rsid w:val="0F9A112B"/>
    <w:rsid w:val="10516E53"/>
    <w:rsid w:val="106D2F64"/>
    <w:rsid w:val="10B63710"/>
    <w:rsid w:val="10F10820"/>
    <w:rsid w:val="111C2F7A"/>
    <w:rsid w:val="11665CA1"/>
    <w:rsid w:val="121216F1"/>
    <w:rsid w:val="132B2B42"/>
    <w:rsid w:val="13951726"/>
    <w:rsid w:val="13AE22E9"/>
    <w:rsid w:val="14396509"/>
    <w:rsid w:val="14DD2C3C"/>
    <w:rsid w:val="153966AA"/>
    <w:rsid w:val="16087E1D"/>
    <w:rsid w:val="17701D14"/>
    <w:rsid w:val="17735226"/>
    <w:rsid w:val="189F624C"/>
    <w:rsid w:val="195E28BA"/>
    <w:rsid w:val="19DD1DA0"/>
    <w:rsid w:val="19F75547"/>
    <w:rsid w:val="1A0670B1"/>
    <w:rsid w:val="1A1C66C0"/>
    <w:rsid w:val="1A42393B"/>
    <w:rsid w:val="1A8567D8"/>
    <w:rsid w:val="1AAD45DE"/>
    <w:rsid w:val="1B046F80"/>
    <w:rsid w:val="1B3267B5"/>
    <w:rsid w:val="1B40161D"/>
    <w:rsid w:val="1B441859"/>
    <w:rsid w:val="1B6606B1"/>
    <w:rsid w:val="1C5E7925"/>
    <w:rsid w:val="1C7B4373"/>
    <w:rsid w:val="1CFD070F"/>
    <w:rsid w:val="1D5F6196"/>
    <w:rsid w:val="1D6132A5"/>
    <w:rsid w:val="1D8E56D5"/>
    <w:rsid w:val="1E7A43DA"/>
    <w:rsid w:val="1E8676A5"/>
    <w:rsid w:val="1EA434C0"/>
    <w:rsid w:val="1FE7539E"/>
    <w:rsid w:val="20671BE0"/>
    <w:rsid w:val="20963CB8"/>
    <w:rsid w:val="20A81A1B"/>
    <w:rsid w:val="20B07FB6"/>
    <w:rsid w:val="20B646FB"/>
    <w:rsid w:val="20D67D8D"/>
    <w:rsid w:val="213B74B1"/>
    <w:rsid w:val="215A2310"/>
    <w:rsid w:val="21DE318A"/>
    <w:rsid w:val="21EF5B80"/>
    <w:rsid w:val="22576990"/>
    <w:rsid w:val="22C205C9"/>
    <w:rsid w:val="22F47480"/>
    <w:rsid w:val="23DE1C48"/>
    <w:rsid w:val="240210CD"/>
    <w:rsid w:val="24092228"/>
    <w:rsid w:val="24BF09F7"/>
    <w:rsid w:val="24D1391E"/>
    <w:rsid w:val="252D53FE"/>
    <w:rsid w:val="25EC2D81"/>
    <w:rsid w:val="277057A2"/>
    <w:rsid w:val="27E72793"/>
    <w:rsid w:val="28D35ABE"/>
    <w:rsid w:val="29206EB8"/>
    <w:rsid w:val="29595666"/>
    <w:rsid w:val="29874881"/>
    <w:rsid w:val="29E325E0"/>
    <w:rsid w:val="2A452503"/>
    <w:rsid w:val="2BA936A8"/>
    <w:rsid w:val="2C315A5A"/>
    <w:rsid w:val="2C4B1C25"/>
    <w:rsid w:val="2C842D93"/>
    <w:rsid w:val="2D9E56F5"/>
    <w:rsid w:val="2E291E44"/>
    <w:rsid w:val="2E667F96"/>
    <w:rsid w:val="2E8226AB"/>
    <w:rsid w:val="2FD065E6"/>
    <w:rsid w:val="2FD96870"/>
    <w:rsid w:val="30580BC9"/>
    <w:rsid w:val="311E2ED7"/>
    <w:rsid w:val="315619EE"/>
    <w:rsid w:val="315C449C"/>
    <w:rsid w:val="31B82709"/>
    <w:rsid w:val="31D05482"/>
    <w:rsid w:val="31E10437"/>
    <w:rsid w:val="32400B34"/>
    <w:rsid w:val="329E6876"/>
    <w:rsid w:val="333015F2"/>
    <w:rsid w:val="334B6320"/>
    <w:rsid w:val="3362003A"/>
    <w:rsid w:val="33CF4448"/>
    <w:rsid w:val="33D934D4"/>
    <w:rsid w:val="33FE2F6A"/>
    <w:rsid w:val="340E07E5"/>
    <w:rsid w:val="34235BF7"/>
    <w:rsid w:val="352D4728"/>
    <w:rsid w:val="35302844"/>
    <w:rsid w:val="358C5FA8"/>
    <w:rsid w:val="35C15DF1"/>
    <w:rsid w:val="36074A7F"/>
    <w:rsid w:val="36923549"/>
    <w:rsid w:val="36B75FBF"/>
    <w:rsid w:val="36BD0C45"/>
    <w:rsid w:val="37E00298"/>
    <w:rsid w:val="38B302F9"/>
    <w:rsid w:val="38F12CD3"/>
    <w:rsid w:val="38F94775"/>
    <w:rsid w:val="392971ED"/>
    <w:rsid w:val="39325651"/>
    <w:rsid w:val="3A504D85"/>
    <w:rsid w:val="3A791ACB"/>
    <w:rsid w:val="3A872856"/>
    <w:rsid w:val="3AC423A7"/>
    <w:rsid w:val="3B3763D1"/>
    <w:rsid w:val="3C2F6E1E"/>
    <w:rsid w:val="3C4F64BA"/>
    <w:rsid w:val="3CDA245A"/>
    <w:rsid w:val="3CE84527"/>
    <w:rsid w:val="3D1E06B7"/>
    <w:rsid w:val="3DE666D2"/>
    <w:rsid w:val="3EDA0523"/>
    <w:rsid w:val="407A6407"/>
    <w:rsid w:val="4200449D"/>
    <w:rsid w:val="42121803"/>
    <w:rsid w:val="423A3BCC"/>
    <w:rsid w:val="424239A9"/>
    <w:rsid w:val="424E57D2"/>
    <w:rsid w:val="42B26C49"/>
    <w:rsid w:val="433A6FE6"/>
    <w:rsid w:val="43480868"/>
    <w:rsid w:val="4350713C"/>
    <w:rsid w:val="436653E0"/>
    <w:rsid w:val="43C4431A"/>
    <w:rsid w:val="44B951CC"/>
    <w:rsid w:val="44CD14E0"/>
    <w:rsid w:val="44F20B0B"/>
    <w:rsid w:val="452E5F4C"/>
    <w:rsid w:val="45612018"/>
    <w:rsid w:val="458946E9"/>
    <w:rsid w:val="45A47C0E"/>
    <w:rsid w:val="46043DCC"/>
    <w:rsid w:val="46577FD6"/>
    <w:rsid w:val="467D3178"/>
    <w:rsid w:val="46D955A7"/>
    <w:rsid w:val="47133957"/>
    <w:rsid w:val="47A07E0C"/>
    <w:rsid w:val="4870272E"/>
    <w:rsid w:val="488C0EB8"/>
    <w:rsid w:val="49DC7715"/>
    <w:rsid w:val="4A023139"/>
    <w:rsid w:val="4A7B576F"/>
    <w:rsid w:val="4AF561A9"/>
    <w:rsid w:val="4BD56EF2"/>
    <w:rsid w:val="4C4A0649"/>
    <w:rsid w:val="4C7E5ECA"/>
    <w:rsid w:val="4C876AA5"/>
    <w:rsid w:val="4D0E00FB"/>
    <w:rsid w:val="4D176606"/>
    <w:rsid w:val="4D950F2D"/>
    <w:rsid w:val="4DEC4FB0"/>
    <w:rsid w:val="4E075D8A"/>
    <w:rsid w:val="4EC00FAD"/>
    <w:rsid w:val="4EE259CC"/>
    <w:rsid w:val="4F9843DC"/>
    <w:rsid w:val="4FA41473"/>
    <w:rsid w:val="4FC62A8C"/>
    <w:rsid w:val="4FE20F0D"/>
    <w:rsid w:val="4FE51552"/>
    <w:rsid w:val="50252CA1"/>
    <w:rsid w:val="50504C4B"/>
    <w:rsid w:val="509C6E7C"/>
    <w:rsid w:val="5162104E"/>
    <w:rsid w:val="516E79EA"/>
    <w:rsid w:val="539B5E18"/>
    <w:rsid w:val="53A039CC"/>
    <w:rsid w:val="53A1505A"/>
    <w:rsid w:val="54063E08"/>
    <w:rsid w:val="543437E8"/>
    <w:rsid w:val="54F73313"/>
    <w:rsid w:val="54F80955"/>
    <w:rsid w:val="552B174F"/>
    <w:rsid w:val="555170A7"/>
    <w:rsid w:val="5587536D"/>
    <w:rsid w:val="55951937"/>
    <w:rsid w:val="559B174B"/>
    <w:rsid w:val="55CE0CF4"/>
    <w:rsid w:val="56B22A9C"/>
    <w:rsid w:val="578F21A2"/>
    <w:rsid w:val="57B72A76"/>
    <w:rsid w:val="57C3426C"/>
    <w:rsid w:val="57CE1F93"/>
    <w:rsid w:val="588743D1"/>
    <w:rsid w:val="5887701A"/>
    <w:rsid w:val="58AD0350"/>
    <w:rsid w:val="59C0439F"/>
    <w:rsid w:val="5ABE2233"/>
    <w:rsid w:val="5B505D40"/>
    <w:rsid w:val="5BDF5D95"/>
    <w:rsid w:val="5BFE7528"/>
    <w:rsid w:val="5D363649"/>
    <w:rsid w:val="5D3833FF"/>
    <w:rsid w:val="5D7E60D3"/>
    <w:rsid w:val="5E2467F1"/>
    <w:rsid w:val="5EBF76EC"/>
    <w:rsid w:val="5F1A2B43"/>
    <w:rsid w:val="5FB837BB"/>
    <w:rsid w:val="60CC405A"/>
    <w:rsid w:val="61E215D8"/>
    <w:rsid w:val="621B3775"/>
    <w:rsid w:val="62364782"/>
    <w:rsid w:val="63236596"/>
    <w:rsid w:val="632B1D2C"/>
    <w:rsid w:val="632F63F2"/>
    <w:rsid w:val="6394356A"/>
    <w:rsid w:val="63C61B2C"/>
    <w:rsid w:val="63D40BE9"/>
    <w:rsid w:val="63FD154B"/>
    <w:rsid w:val="64102431"/>
    <w:rsid w:val="64A5243A"/>
    <w:rsid w:val="64F531DE"/>
    <w:rsid w:val="65373578"/>
    <w:rsid w:val="65FC0ABD"/>
    <w:rsid w:val="671F124A"/>
    <w:rsid w:val="677A33C6"/>
    <w:rsid w:val="679D034D"/>
    <w:rsid w:val="681F6961"/>
    <w:rsid w:val="683A4C24"/>
    <w:rsid w:val="68610A2F"/>
    <w:rsid w:val="68805514"/>
    <w:rsid w:val="69316E2F"/>
    <w:rsid w:val="694E2071"/>
    <w:rsid w:val="69766163"/>
    <w:rsid w:val="697A3B33"/>
    <w:rsid w:val="69D44760"/>
    <w:rsid w:val="6A520EC7"/>
    <w:rsid w:val="6AF87E20"/>
    <w:rsid w:val="6B322639"/>
    <w:rsid w:val="6BDB3A77"/>
    <w:rsid w:val="6C636C38"/>
    <w:rsid w:val="6CC207BD"/>
    <w:rsid w:val="6D3F2003"/>
    <w:rsid w:val="6D964B30"/>
    <w:rsid w:val="6DB34098"/>
    <w:rsid w:val="6DB545B6"/>
    <w:rsid w:val="6DE02FB4"/>
    <w:rsid w:val="6E514CED"/>
    <w:rsid w:val="6EB563D5"/>
    <w:rsid w:val="6ED92677"/>
    <w:rsid w:val="6EF305D4"/>
    <w:rsid w:val="6F225983"/>
    <w:rsid w:val="6FFC5590"/>
    <w:rsid w:val="706D1DD0"/>
    <w:rsid w:val="70856B87"/>
    <w:rsid w:val="70D527EE"/>
    <w:rsid w:val="70DB74AD"/>
    <w:rsid w:val="715B5300"/>
    <w:rsid w:val="71D27F8A"/>
    <w:rsid w:val="71D540F9"/>
    <w:rsid w:val="72553024"/>
    <w:rsid w:val="73122968"/>
    <w:rsid w:val="731F5D5E"/>
    <w:rsid w:val="73992FB6"/>
    <w:rsid w:val="73C51AD5"/>
    <w:rsid w:val="741E793C"/>
    <w:rsid w:val="745E3944"/>
    <w:rsid w:val="755D4901"/>
    <w:rsid w:val="75C630A2"/>
    <w:rsid w:val="7635099D"/>
    <w:rsid w:val="76515061"/>
    <w:rsid w:val="77762421"/>
    <w:rsid w:val="77B56B1F"/>
    <w:rsid w:val="77CE1AEE"/>
    <w:rsid w:val="780F09F4"/>
    <w:rsid w:val="78605D1A"/>
    <w:rsid w:val="78A90480"/>
    <w:rsid w:val="794744F9"/>
    <w:rsid w:val="7A364017"/>
    <w:rsid w:val="7A8265E1"/>
    <w:rsid w:val="7B686D42"/>
    <w:rsid w:val="7B841746"/>
    <w:rsid w:val="7C6C5AC7"/>
    <w:rsid w:val="7CC6544B"/>
    <w:rsid w:val="7D0239FF"/>
    <w:rsid w:val="7D5E40CD"/>
    <w:rsid w:val="7DCD56F2"/>
    <w:rsid w:val="7E0230E5"/>
    <w:rsid w:val="7E4435B5"/>
    <w:rsid w:val="7F001CE7"/>
    <w:rsid w:val="7F983D01"/>
    <w:rsid w:val="7FAC29A6"/>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semiHidden/>
    <w:unhideWhenUsed/>
    <w:qFormat/>
    <w:locked/>
    <w:uiPriority w:val="0"/>
    <w:pPr>
      <w:keepNext/>
      <w:keepLines/>
      <w:numPr>
        <w:ilvl w:val="1"/>
        <w:numId w:val="1"/>
      </w:numPr>
      <w:spacing w:beforeLines="0" w:beforeAutospacing="0" w:afterLines="0" w:afterAutospacing="0" w:line="360" w:lineRule="auto"/>
      <w:ind w:left="575" w:hanging="575"/>
      <w:jc w:val="both"/>
      <w:outlineLvl w:val="1"/>
    </w:pPr>
    <w:rPr>
      <w:rFonts w:ascii="黑体" w:hAnsi="黑体" w:eastAsia="黑体" w:cstheme="minorBidi"/>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locked/>
    <w:uiPriority w:val="0"/>
    <w:pPr>
      <w:ind w:firstLine="420"/>
    </w:pPr>
    <w:rPr>
      <w:sz w:val="21"/>
      <w:szCs w:val="20"/>
    </w:rPr>
  </w:style>
  <w:style w:type="paragraph" w:styleId="5">
    <w:name w:val="Body Text First Indent 2"/>
    <w:basedOn w:val="6"/>
    <w:next w:val="7"/>
    <w:qFormat/>
    <w:locked/>
    <w:uiPriority w:val="0"/>
    <w:pPr>
      <w:ind w:firstLine="420" w:firstLineChars="200"/>
    </w:pPr>
  </w:style>
  <w:style w:type="paragraph" w:styleId="6">
    <w:name w:val="Body Text Indent"/>
    <w:basedOn w:val="1"/>
    <w:next w:val="1"/>
    <w:link w:val="27"/>
    <w:qFormat/>
    <w:uiPriority w:val="0"/>
    <w:pPr>
      <w:spacing w:after="120"/>
      <w:ind w:left="420" w:leftChars="200"/>
    </w:pPr>
    <w:rPr>
      <w:kern w:val="0"/>
      <w:sz w:val="24"/>
      <w:szCs w:val="20"/>
    </w:rPr>
  </w:style>
  <w:style w:type="paragraph" w:styleId="7">
    <w:name w:val="Body Text First Indent"/>
    <w:basedOn w:val="8"/>
    <w:next w:val="1"/>
    <w:qFormat/>
    <w:locked/>
    <w:uiPriority w:val="0"/>
    <w:pPr>
      <w:spacing w:after="120" w:line="240" w:lineRule="auto"/>
      <w:ind w:firstLine="420" w:firstLineChars="100"/>
    </w:pPr>
    <w:rPr>
      <w:sz w:val="21"/>
      <w:szCs w:val="24"/>
    </w:rPr>
  </w:style>
  <w:style w:type="paragraph" w:styleId="8">
    <w:name w:val="Body Text"/>
    <w:basedOn w:val="1"/>
    <w:next w:val="9"/>
    <w:link w:val="28"/>
    <w:qFormat/>
    <w:uiPriority w:val="0"/>
    <w:pPr>
      <w:widowControl/>
      <w:snapToGrid w:val="0"/>
      <w:spacing w:before="60" w:after="160" w:line="259" w:lineRule="auto"/>
      <w:ind w:right="113"/>
    </w:pPr>
    <w:rPr>
      <w:kern w:val="0"/>
      <w:sz w:val="18"/>
      <w:szCs w:val="20"/>
    </w:rPr>
  </w:style>
  <w:style w:type="paragraph" w:customStyle="1" w:styleId="9">
    <w:name w:val="Body Text 21"/>
    <w:basedOn w:val="1"/>
    <w:qFormat/>
    <w:uiPriority w:val="0"/>
    <w:pPr>
      <w:spacing w:after="120" w:line="480" w:lineRule="auto"/>
    </w:pPr>
  </w:style>
  <w:style w:type="paragraph" w:styleId="10">
    <w:name w:val="annotation text"/>
    <w:basedOn w:val="1"/>
    <w:link w:val="29"/>
    <w:semiHidden/>
    <w:qFormat/>
    <w:uiPriority w:val="0"/>
    <w:pPr>
      <w:jc w:val="left"/>
    </w:pPr>
    <w:rPr>
      <w:kern w:val="0"/>
      <w:sz w:val="24"/>
      <w:szCs w:val="20"/>
    </w:rPr>
  </w:style>
  <w:style w:type="paragraph" w:styleId="11">
    <w:name w:val="Plain Text"/>
    <w:basedOn w:val="1"/>
    <w:qFormat/>
    <w:locked/>
    <w:uiPriority w:val="0"/>
    <w:rPr>
      <w:rFonts w:ascii="宋体" w:hAnsi="Courier New"/>
    </w:rPr>
  </w:style>
  <w:style w:type="paragraph" w:styleId="12">
    <w:name w:val="Date"/>
    <w:basedOn w:val="1"/>
    <w:next w:val="1"/>
    <w:link w:val="30"/>
    <w:qFormat/>
    <w:uiPriority w:val="0"/>
    <w:pPr>
      <w:ind w:left="100" w:leftChars="2500"/>
    </w:pPr>
    <w:rPr>
      <w:kern w:val="0"/>
      <w:sz w:val="24"/>
      <w:szCs w:val="20"/>
    </w:rPr>
  </w:style>
  <w:style w:type="paragraph" w:styleId="13">
    <w:name w:val="Balloon Text"/>
    <w:basedOn w:val="1"/>
    <w:link w:val="31"/>
    <w:semiHidden/>
    <w:qFormat/>
    <w:uiPriority w:val="0"/>
    <w:rPr>
      <w:kern w:val="0"/>
      <w:sz w:val="18"/>
      <w:szCs w:val="20"/>
    </w:rPr>
  </w:style>
  <w:style w:type="paragraph" w:styleId="14">
    <w:name w:val="footer"/>
    <w:basedOn w:val="1"/>
    <w:link w:val="32"/>
    <w:qFormat/>
    <w:uiPriority w:val="99"/>
    <w:pPr>
      <w:tabs>
        <w:tab w:val="center" w:pos="4153"/>
        <w:tab w:val="right" w:pos="8306"/>
      </w:tabs>
      <w:snapToGrid w:val="0"/>
      <w:jc w:val="left"/>
    </w:pPr>
    <w:rPr>
      <w:kern w:val="0"/>
      <w:sz w:val="18"/>
      <w:szCs w:val="20"/>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List"/>
    <w:basedOn w:val="1"/>
    <w:next w:val="1"/>
    <w:qFormat/>
    <w:locked/>
    <w:uiPriority w:val="0"/>
    <w:pPr>
      <w:ind w:left="200" w:hanging="200" w:hangingChars="200"/>
    </w:pPr>
  </w:style>
  <w:style w:type="paragraph" w:styleId="17">
    <w:name w:val="Normal (Web)"/>
    <w:basedOn w:val="1"/>
    <w:link w:val="34"/>
    <w:qFormat/>
    <w:uiPriority w:val="0"/>
    <w:pPr>
      <w:widowControl/>
      <w:spacing w:beforeAutospacing="0" w:afterAutospacing="0"/>
      <w:jc w:val="left"/>
    </w:pPr>
    <w:rPr>
      <w:rFonts w:ascii="宋体" w:hAnsi="宋体" w:eastAsia="宋体"/>
      <w:kern w:val="0"/>
      <w:sz w:val="24"/>
      <w:szCs w:val="20"/>
    </w:rPr>
  </w:style>
  <w:style w:type="paragraph" w:styleId="18">
    <w:name w:val="annotation subject"/>
    <w:basedOn w:val="10"/>
    <w:next w:val="10"/>
    <w:link w:val="35"/>
    <w:semiHidden/>
    <w:qFormat/>
    <w:uiPriority w:val="0"/>
    <w:rPr>
      <w:b/>
      <w:sz w:val="24"/>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annotation reference"/>
    <w:semiHidden/>
    <w:qFormat/>
    <w:uiPriority w:val="0"/>
    <w:rPr>
      <w:sz w:val="21"/>
    </w:rPr>
  </w:style>
  <w:style w:type="paragraph" w:customStyle="1" w:styleId="24">
    <w:name w:val="表格"/>
    <w:basedOn w:val="16"/>
    <w:link w:val="39"/>
    <w:qFormat/>
    <w:uiPriority w:val="0"/>
    <w:pPr>
      <w:adjustRightInd w:val="0"/>
      <w:snapToGrid w:val="0"/>
      <w:spacing w:beforeLines="10" w:afterLines="10" w:line="259" w:lineRule="auto"/>
      <w:jc w:val="center"/>
    </w:pPr>
    <w:rPr>
      <w:rFonts w:ascii="宋体"/>
      <w:kern w:val="0"/>
      <w:szCs w:val="20"/>
    </w:rPr>
  </w:style>
  <w:style w:type="paragraph" w:customStyle="1" w:styleId="25">
    <w:name w:val="表头"/>
    <w:basedOn w:val="24"/>
    <w:next w:val="1"/>
    <w:qFormat/>
    <w:uiPriority w:val="0"/>
    <w:pPr>
      <w:adjustRightInd w:val="0"/>
      <w:snapToGrid w:val="0"/>
      <w:spacing w:before="60" w:beforeLines="25"/>
      <w:jc w:val="center"/>
      <w:textAlignment w:val="baseline"/>
    </w:pPr>
    <w:rPr>
      <w:rFonts w:hAnsi="宋体" w:eastAsia="仿宋_GB2312"/>
      <w:b/>
      <w:kern w:val="0"/>
      <w:szCs w:val="28"/>
    </w:rPr>
  </w:style>
  <w:style w:type="paragraph" w:customStyle="1" w:styleId="26">
    <w:name w:val="Char"/>
    <w:basedOn w:val="1"/>
    <w:qFormat/>
    <w:uiPriority w:val="0"/>
    <w:rPr>
      <w:sz w:val="24"/>
    </w:rPr>
  </w:style>
  <w:style w:type="character" w:customStyle="1" w:styleId="27">
    <w:name w:val="正文文本缩进 Char"/>
    <w:link w:val="6"/>
    <w:semiHidden/>
    <w:qFormat/>
    <w:locked/>
    <w:uiPriority w:val="0"/>
    <w:rPr>
      <w:rFonts w:ascii="Times New Roman" w:hAnsi="Times New Roman" w:eastAsia="宋体"/>
      <w:sz w:val="24"/>
    </w:rPr>
  </w:style>
  <w:style w:type="character" w:customStyle="1" w:styleId="28">
    <w:name w:val="正文文本 Char"/>
    <w:link w:val="8"/>
    <w:qFormat/>
    <w:locked/>
    <w:uiPriority w:val="0"/>
    <w:rPr>
      <w:sz w:val="18"/>
    </w:rPr>
  </w:style>
  <w:style w:type="character" w:customStyle="1" w:styleId="29">
    <w:name w:val="批注文字 Char"/>
    <w:link w:val="10"/>
    <w:qFormat/>
    <w:locked/>
    <w:uiPriority w:val="0"/>
    <w:rPr>
      <w:rFonts w:ascii="Times New Roman" w:hAnsi="Times New Roman" w:eastAsia="宋体"/>
      <w:sz w:val="24"/>
    </w:rPr>
  </w:style>
  <w:style w:type="character" w:customStyle="1" w:styleId="30">
    <w:name w:val="日期 Char"/>
    <w:link w:val="12"/>
    <w:qFormat/>
    <w:locked/>
    <w:uiPriority w:val="0"/>
    <w:rPr>
      <w:rFonts w:ascii="Times New Roman" w:hAnsi="Times New Roman" w:eastAsia="宋体"/>
      <w:sz w:val="24"/>
    </w:rPr>
  </w:style>
  <w:style w:type="character" w:customStyle="1" w:styleId="31">
    <w:name w:val="批注框文本 Char"/>
    <w:link w:val="13"/>
    <w:semiHidden/>
    <w:qFormat/>
    <w:locked/>
    <w:uiPriority w:val="0"/>
    <w:rPr>
      <w:rFonts w:ascii="Times New Roman" w:hAnsi="Times New Roman" w:eastAsia="宋体"/>
      <w:sz w:val="18"/>
    </w:rPr>
  </w:style>
  <w:style w:type="character" w:customStyle="1" w:styleId="32">
    <w:name w:val="页脚 Char"/>
    <w:link w:val="14"/>
    <w:qFormat/>
    <w:locked/>
    <w:uiPriority w:val="99"/>
    <w:rPr>
      <w:sz w:val="18"/>
    </w:rPr>
  </w:style>
  <w:style w:type="character" w:customStyle="1" w:styleId="33">
    <w:name w:val="页眉 Char"/>
    <w:link w:val="15"/>
    <w:qFormat/>
    <w:locked/>
    <w:uiPriority w:val="0"/>
    <w:rPr>
      <w:sz w:val="18"/>
    </w:rPr>
  </w:style>
  <w:style w:type="character" w:customStyle="1" w:styleId="34">
    <w:name w:val="普通(网站) Char"/>
    <w:link w:val="17"/>
    <w:qFormat/>
    <w:locked/>
    <w:uiPriority w:val="0"/>
    <w:rPr>
      <w:rFonts w:ascii="宋体" w:hAnsi="宋体" w:eastAsia="宋体"/>
      <w:sz w:val="24"/>
    </w:rPr>
  </w:style>
  <w:style w:type="character" w:customStyle="1" w:styleId="35">
    <w:name w:val="批注主题 Char"/>
    <w:link w:val="18"/>
    <w:semiHidden/>
    <w:qFormat/>
    <w:locked/>
    <w:uiPriority w:val="0"/>
    <w:rPr>
      <w:rFonts w:ascii="Times New Roman" w:hAnsi="Times New Roman" w:eastAsia="宋体"/>
      <w:b/>
      <w:kern w:val="2"/>
      <w:sz w:val="24"/>
    </w:rPr>
  </w:style>
  <w:style w:type="character" w:customStyle="1" w:styleId="36">
    <w:name w:val="批注文字 字符1"/>
    <w:semiHidden/>
    <w:qFormat/>
    <w:uiPriority w:val="0"/>
    <w:rPr>
      <w:rFonts w:ascii="Times New Roman" w:hAnsi="Times New Roman" w:eastAsia="宋体"/>
      <w:sz w:val="24"/>
    </w:rPr>
  </w:style>
  <w:style w:type="character" w:customStyle="1" w:styleId="37">
    <w:name w:val="正文文本 字符1"/>
    <w:semiHidden/>
    <w:qFormat/>
    <w:uiPriority w:val="0"/>
    <w:rPr>
      <w:rFonts w:ascii="Times New Roman" w:hAnsi="Times New Roman" w:eastAsia="宋体"/>
      <w:sz w:val="24"/>
    </w:rPr>
  </w:style>
  <w:style w:type="character" w:customStyle="1" w:styleId="38">
    <w:name w:val="日期 字符"/>
    <w:semiHidden/>
    <w:qFormat/>
    <w:uiPriority w:val="0"/>
    <w:rPr>
      <w:rFonts w:ascii="Times New Roman" w:hAnsi="Times New Roman" w:eastAsia="宋体"/>
      <w:sz w:val="24"/>
    </w:rPr>
  </w:style>
  <w:style w:type="character" w:customStyle="1" w:styleId="39">
    <w:name w:val="表格 Char"/>
    <w:link w:val="24"/>
    <w:qFormat/>
    <w:locked/>
    <w:uiPriority w:val="0"/>
    <w:rPr>
      <w:rFonts w:ascii="宋体"/>
      <w:sz w:val="21"/>
    </w:rPr>
  </w:style>
  <w:style w:type="character" w:customStyle="1" w:styleId="40">
    <w:name w:val="页脚 字符"/>
    <w:basedOn w:val="21"/>
    <w:qFormat/>
    <w:uiPriority w:val="99"/>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4">
    <w:name w:val="表格文字"/>
    <w:basedOn w:val="1"/>
    <w:next w:val="1"/>
    <w:qFormat/>
    <w:uiPriority w:val="0"/>
    <w:pPr>
      <w:jc w:val="center"/>
    </w:pPr>
    <w:rPr>
      <w:rFonts w:ascii="宋体" w:hAnsi="宋体" w:eastAsia="仿宋_GB2312"/>
      <w:kern w:val="44"/>
      <w:sz w:val="24"/>
      <w:szCs w:val="20"/>
    </w:rPr>
  </w:style>
  <w:style w:type="paragraph" w:customStyle="1" w:styleId="45">
    <w:name w:val="Default"/>
    <w:basedOn w:val="46"/>
    <w:next w:val="16"/>
    <w:qFormat/>
    <w:uiPriority w:val="0"/>
    <w:pPr>
      <w:widowControl w:val="0"/>
      <w:autoSpaceDE w:val="0"/>
      <w:autoSpaceDN w:val="0"/>
      <w:adjustRightInd w:val="0"/>
    </w:pPr>
    <w:rPr>
      <w:color w:val="000000"/>
      <w:sz w:val="24"/>
      <w:szCs w:val="24"/>
      <w:lang w:val="en-US" w:eastAsia="zh-CN" w:bidi="ar-SA"/>
    </w:rPr>
  </w:style>
  <w:style w:type="paragraph" w:customStyle="1" w:styleId="46">
    <w:name w:val="纯文本1"/>
    <w:basedOn w:val="1"/>
    <w:qFormat/>
    <w:uiPriority w:val="0"/>
    <w:pPr>
      <w:adjustRightInd w:val="0"/>
    </w:pPr>
    <w:rPr>
      <w:rFonts w:ascii="宋体" w:hAnsi="Courier New"/>
      <w:szCs w:val="20"/>
    </w:rPr>
  </w:style>
  <w:style w:type="paragraph" w:customStyle="1" w:styleId="47">
    <w:name w:val="样式 加粗 居中 行距: 固定值 25 磅"/>
    <w:basedOn w:val="1"/>
    <w:qFormat/>
    <w:uiPriority w:val="0"/>
    <w:pPr>
      <w:spacing w:line="500" w:lineRule="exact"/>
      <w:jc w:val="center"/>
    </w:pPr>
    <w:rPr>
      <w:rFonts w:cs="宋体"/>
      <w:b/>
      <w:bCs/>
      <w:szCs w:val="20"/>
    </w:rPr>
  </w:style>
  <w:style w:type="paragraph" w:customStyle="1" w:styleId="48">
    <w:name w:val="正文(首行缩进)"/>
    <w:basedOn w:val="1"/>
    <w:next w:val="1"/>
    <w:qFormat/>
    <w:uiPriority w:val="0"/>
    <w:pPr>
      <w:tabs>
        <w:tab w:val="left" w:pos="4584"/>
      </w:tabs>
      <w:snapToGrid w:val="0"/>
      <w:spacing w:line="360" w:lineRule="auto"/>
      <w:ind w:firstLine="480"/>
      <w:jc w:val="left"/>
    </w:pPr>
    <w:rPr>
      <w:rFonts w:ascii="宋体" w:hAnsi="宋体" w:eastAsia="宋体"/>
      <w:color w:val="000000"/>
      <w:sz w:val="24"/>
      <w:lang w:val="zh-CN"/>
    </w:rPr>
  </w:style>
  <w:style w:type="paragraph" w:customStyle="1" w:styleId="49">
    <w:name w:val="_Style 2"/>
    <w:basedOn w:val="1"/>
    <w:qFormat/>
    <w:uiPriority w:val="99"/>
    <w:pPr>
      <w:ind w:firstLine="420"/>
    </w:pPr>
    <w:rPr>
      <w:rFonts w:ascii="Calibri" w:hAnsi="Calibri"/>
    </w:rPr>
  </w:style>
  <w:style w:type="paragraph" w:customStyle="1" w:styleId="50">
    <w:name w:val="表格名"/>
    <w:basedOn w:val="1"/>
    <w:next w:val="1"/>
    <w:qFormat/>
    <w:uiPriority w:val="0"/>
    <w:pPr>
      <w:adjustRightInd w:val="0"/>
      <w:snapToGrid w:val="0"/>
      <w:spacing w:before="50" w:beforeLines="50"/>
      <w:jc w:val="center"/>
    </w:pPr>
    <w:rPr>
      <w:rFonts w:hint="eastAsia" w:ascii="Times New Roman" w:hAnsi="Times New Roman"/>
      <w:b/>
      <w:color w:val="000000" w:themeColor="text1"/>
      <w:szCs w:val="21"/>
      <w14:textFill>
        <w14:solidFill>
          <w14:schemeClr w14:val="tx1"/>
        </w14:solidFill>
      </w14:textFill>
    </w:rPr>
  </w:style>
  <w:style w:type="paragraph" w:customStyle="1" w:styleId="51">
    <w:name w:val="表格内容"/>
    <w:basedOn w:val="1"/>
    <w:next w:val="1"/>
    <w:qFormat/>
    <w:uiPriority w:val="0"/>
    <w:pPr>
      <w:adjustRightInd w:val="0"/>
      <w:snapToGrid w:val="0"/>
      <w:spacing w:line="240" w:lineRule="auto"/>
      <w:jc w:val="center"/>
    </w:pPr>
    <w:rPr>
      <w:rFonts w:hint="eastAsia" w:ascii="Times New Roman" w:hAnsi="Times New Roman"/>
      <w:bCs/>
      <w:color w:val="000000" w:themeColor="text1"/>
      <w:sz w:val="21"/>
      <w14:textFill>
        <w14:solidFill>
          <w14:schemeClr w14:val="tx1"/>
        </w14:solidFill>
      </w14:textFill>
    </w:rPr>
  </w:style>
  <w:style w:type="paragraph" w:customStyle="1" w:styleId="52">
    <w:name w:val="图片名"/>
    <w:basedOn w:val="1"/>
    <w:next w:val="1"/>
    <w:qFormat/>
    <w:uiPriority w:val="0"/>
    <w:pPr>
      <w:adjustRightInd w:val="0"/>
      <w:snapToGrid w:val="0"/>
      <w:spacing w:after="50" w:afterLines="50" w:line="240" w:lineRule="auto"/>
      <w:jc w:val="center"/>
    </w:pPr>
    <w:rPr>
      <w:rFonts w:hint="eastAsia" w:ascii="Times New Roman" w:hAnsi="Times New Roman"/>
      <w:b/>
      <w:color w:val="auto"/>
      <w:szCs w:val="21"/>
    </w:rPr>
  </w:style>
  <w:style w:type="paragraph" w:customStyle="1" w:styleId="53">
    <w:name w:val="表名"/>
    <w:basedOn w:val="1"/>
    <w:qFormat/>
    <w:uiPriority w:val="0"/>
    <w:pPr>
      <w:spacing w:line="240" w:lineRule="auto"/>
      <w:jc w:val="center"/>
    </w:pPr>
    <w:rPr>
      <w:b/>
      <w:sz w:val="21"/>
    </w:rPr>
  </w:style>
  <w:style w:type="paragraph" w:customStyle="1" w:styleId="54">
    <w:name w:val="A正文"/>
    <w:basedOn w:val="1"/>
    <w:link w:val="55"/>
    <w:qFormat/>
    <w:uiPriority w:val="0"/>
    <w:pPr>
      <w:adjustRightInd w:val="0"/>
      <w:snapToGrid w:val="0"/>
      <w:spacing w:line="360" w:lineRule="auto"/>
      <w:ind w:firstLine="720" w:firstLineChars="200"/>
      <w:jc w:val="both"/>
    </w:pPr>
    <w:rPr>
      <w:rFonts w:ascii="Times New Roman" w:hAnsi="Times New Roman"/>
      <w:color w:val="auto"/>
      <w:sz w:val="24"/>
    </w:rPr>
  </w:style>
  <w:style w:type="character" w:customStyle="1" w:styleId="55">
    <w:name w:val="A正文 Char"/>
    <w:link w:val="54"/>
    <w:qFormat/>
    <w:uiPriority w:val="0"/>
    <w:rPr>
      <w:rFonts w:ascii="Times New Roman" w:hAnsi="Times New Roman"/>
      <w:color w:val="auto"/>
      <w:sz w:val="24"/>
    </w:rPr>
  </w:style>
  <w:style w:type="paragraph" w:customStyle="1" w:styleId="56">
    <w:name w:val="表"/>
    <w:basedOn w:val="1"/>
    <w:qFormat/>
    <w:uiPriority w:val="0"/>
    <w:pPr>
      <w:spacing w:line="240" w:lineRule="auto"/>
      <w:ind w:firstLine="0" w:firstLineChars="0"/>
    </w:pPr>
    <w:rPr>
      <w:rFonts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extobjs>
    <extobj name="ECB019B1-382A-4266-B25C-5B523AA43C14-1">
      <extobjdata type="ECB019B1-382A-4266-B25C-5B523AA43C14" data="ewoJIkZpbGVJZCIgOiAiMjQyMjAwMzQ4NTU5IiwKCSJHcm91cElkIiA6ICI2NDUyMzI2MDEiLAoJIkltYWdlIiA6ICJpVkJPUncwS0dnb0FBQUFOU1VoRVVnQUFBbzRBQUFCMkNBWUFBQUJHVUJLOUFBQUFDWEJJV1hNQUFBc1RBQUFMRXdFQW1wd1lBQUFjSmtsRVFWUjRuTzNkZVZ4TitmOEg4RmNwU3pORlpDbjdNcktQdWZHMVZVZ29oQWJaZHpNcGxiNnlqVUdaU0tZeGZGTWlJMFFpdmpHK0xjUTM2eGl5OU9XUlRMWlFFWkkybGRROXZ6OTYzUFByZHE4bUZjbDlQUjhQRC9kOHp1ZWM4N24zZlcvM2N6L25zd0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"/>
    </extobj>
    <extobj name="ECB019B1-382A-4266-B25C-5B523AA43C14-2">
      <extobjdata type="ECB019B1-382A-4266-B25C-5B523AA43C14" data="ewoJIkZpbGVJZCIgOiAiNDE4OTA0NDU0NjM0IiwKCSJHcm91cElkIiA6ICI2NDUyMzI2MDE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XNlcklkIiA6ICI1NDMyMjM4MDIiLAoJIlZlcnNpb24iIDogIjIxIgp9Cg=="/>
    </extobj>
    <extobj name="ECB019B1-382A-4266-B25C-5B523AA43C14-3">
      <extobjdata type="ECB019B1-382A-4266-B25C-5B523AA43C14" data="ewoJIkZpbGVJZCIgOiAiNDE4OTA0NDU0NjM0IiwKCSJHcm91cElkIiA6ICI2NDUyMzI2MDE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XNlcklkIiA6ICI1NDMyMjM4MDIiLAoJIlZlcnNpb24iIDogIjI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47</Pages>
  <Words>11460</Words>
  <Characters>13427</Characters>
  <Lines>13</Lines>
  <Paragraphs>3</Paragraphs>
  <TotalTime>4</TotalTime>
  <ScaleCrop>false</ScaleCrop>
  <LinksUpToDate>false</LinksUpToDate>
  <CharactersWithSpaces>13593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2020-12-29T02:43:00Z</cp:lastPrinted>
  <dcterms:modified xsi:type="dcterms:W3CDTF">2025-07-17T04:00:54Z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FE702112F27E47629336AFFC4AD68498_13</vt:lpwstr>
  </property>
  <property fmtid="{D5CDD505-2E9C-101B-9397-08002B2CF9AE}" pid="4" name="KSOTemplateDocerSaveRecord">
    <vt:lpwstr>eyJoZGlkIjoiOTZjM2E1ZmQ4YTYwOTRiNTcwNTM5OGQ3NGY3ODY1MTMiLCJ1c2VySWQiOiI1NDMyMjM4MDIifQ==</vt:lpwstr>
  </property>
</Properties>
</file>