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0EDE1B">
      <w:pPr>
        <w:rPr>
          <w:rFonts w:hint="eastAsia" w:ascii="方正小标宋_GBK" w:eastAsia="方正小标宋_GBK"/>
          <w:bCs/>
          <w:sz w:val="72"/>
          <w:szCs w:val="72"/>
        </w:rPr>
      </w:pPr>
      <w:sdt>
        <w:sdtPr>
          <w:rPr>
            <w:rFonts w:ascii="宋体" w:hAnsi="宋体" w:eastAsia="宋体" w:cs="Times New Roman"/>
            <w:kern w:val="2"/>
            <w:sz w:val="21"/>
            <w:szCs w:val="24"/>
            <w:lang w:val="en-US" w:eastAsia="zh-CN" w:bidi="ar-SA"/>
          </w:rPr>
          <w:id w:val="147451367"/>
          <w15:color w:val="DBDBDB"/>
          <w:docPartObj>
            <w:docPartGallery w:val="Table of Contents"/>
            <w:docPartUnique/>
          </w:docPartObj>
        </w:sdtPr>
        <w:sdtEndPr>
          <w:rPr>
            <w:rFonts w:hint="eastAsia" w:ascii="仿宋_GB2312" w:hAnsi="仿宋_GB2312" w:eastAsia="仿宋_GB2312" w:cs="仿宋_GB2312"/>
            <w:kern w:val="2"/>
            <w:sz w:val="24"/>
            <w:szCs w:val="36"/>
            <w:lang w:val="en-US" w:eastAsia="zh-CN" w:bidi="ar-SA"/>
          </w:rPr>
        </w:sdtEndPr>
        <w:sdtContent/>
      </w:sdt>
      <w:bookmarkStart w:id="0" w:name="_Toc22755"/>
      <w:r>
        <w:rPr>
          <w:rFonts w:hint="eastAsia" w:ascii="方正小标宋_GBK" w:eastAsia="方正小标宋_GBK"/>
          <w:bCs/>
          <w:sz w:val="72"/>
          <w:szCs w:val="72"/>
        </w:rPr>
        <w:t>建设项目环境影响报告表</w:t>
      </w:r>
      <w:bookmarkEnd w:id="0"/>
    </w:p>
    <w:p w14:paraId="3B2B1609">
      <w:pPr>
        <w:adjustRightInd w:val="0"/>
        <w:snapToGrid w:val="0"/>
        <w:spacing w:before="192" w:beforeLines="80"/>
        <w:ind w:left="0" w:leftChars="0" w:firstLine="0" w:firstLineChars="0"/>
        <w:jc w:val="center"/>
        <w:rPr>
          <w:rFonts w:hint="eastAsia" w:ascii="楷体_GB2312" w:eastAsia="楷体_GB2312"/>
          <w:bCs/>
          <w:sz w:val="48"/>
          <w:szCs w:val="48"/>
        </w:rPr>
      </w:pPr>
      <w:r>
        <w:rPr>
          <w:rFonts w:hint="eastAsia" w:ascii="楷体_GB2312" w:eastAsia="楷体_GB2312"/>
          <w:bCs/>
          <w:sz w:val="48"/>
          <w:szCs w:val="48"/>
        </w:rPr>
        <w:t>（污染影响类）</w:t>
      </w:r>
    </w:p>
    <w:p w14:paraId="775532DD">
      <w:pPr>
        <w:bidi w:val="0"/>
      </w:pPr>
    </w:p>
    <w:p w14:paraId="526B538C">
      <w:pPr>
        <w:pStyle w:val="23"/>
      </w:pPr>
    </w:p>
    <w:p w14:paraId="491733DE">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eastAsia="仿宋"/>
          <w:sz w:val="52"/>
          <w:szCs w:val="52"/>
        </w:rPr>
      </w:pPr>
    </w:p>
    <w:p w14:paraId="545E9F56">
      <w:pPr>
        <w:ind w:firstLine="1040"/>
        <w:rPr>
          <w:rFonts w:eastAsia="仿宋"/>
          <w:sz w:val="44"/>
          <w:szCs w:val="44"/>
        </w:rPr>
      </w:pPr>
    </w:p>
    <w:p w14:paraId="66566029">
      <w:pPr>
        <w:ind w:firstLine="1040"/>
        <w:rPr>
          <w:rFonts w:eastAsia="仿宋"/>
          <w:sz w:val="44"/>
          <w:szCs w:val="44"/>
        </w:rPr>
      </w:pPr>
    </w:p>
    <w:p w14:paraId="437FA732">
      <w:pPr>
        <w:keepNext w:val="0"/>
        <w:keepLines w:val="0"/>
        <w:pageBreakBefore w:val="0"/>
        <w:widowControl w:val="0"/>
        <w:kinsoku/>
        <w:wordWrap/>
        <w:overflowPunct/>
        <w:topLinePunct w:val="0"/>
        <w:autoSpaceDE/>
        <w:autoSpaceDN/>
        <w:bidi w:val="0"/>
        <w:adjustRightInd w:val="0"/>
        <w:snapToGrid w:val="0"/>
        <w:spacing w:line="360" w:lineRule="auto"/>
        <w:ind w:firstLine="723" w:firstLineChars="200"/>
        <w:textAlignment w:val="auto"/>
        <w:rPr>
          <w:rFonts w:hint="eastAsia" w:ascii="仿宋_GB2312" w:hAnsi="Times New Roman" w:eastAsia="仿宋_GB2312" w:cs="Times New Roman"/>
          <w:b/>
          <w:bCs/>
          <w:sz w:val="36"/>
          <w:szCs w:val="36"/>
          <w:u w:val="single"/>
        </w:rPr>
      </w:pPr>
    </w:p>
    <w:p w14:paraId="0F967A9D">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left"/>
        <w:textAlignment w:val="auto"/>
        <w:rPr>
          <w:rFonts w:hint="eastAsia" w:ascii="仿宋_GB2312" w:hAnsi="Times New Roman" w:eastAsia="仿宋_GB2312" w:cs="Times New Roman"/>
          <w:b/>
          <w:bCs/>
          <w:sz w:val="32"/>
          <w:szCs w:val="32"/>
          <w:u w:val="none"/>
        </w:rPr>
      </w:pPr>
    </w:p>
    <w:p w14:paraId="52AB2EEA">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left"/>
        <w:textAlignment w:val="auto"/>
        <w:rPr>
          <w:rFonts w:hint="eastAsia" w:ascii="仿宋_GB2312" w:hAnsi="Times New Roman" w:eastAsia="仿宋_GB2312" w:cs="Times New Roman"/>
          <w:b/>
          <w:bCs/>
          <w:sz w:val="32"/>
          <w:szCs w:val="32"/>
          <w:u w:val="none"/>
        </w:rPr>
      </w:pPr>
    </w:p>
    <w:p w14:paraId="1DC105FB">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left"/>
        <w:textAlignment w:val="auto"/>
        <w:rPr>
          <w:rFonts w:hint="eastAsia" w:ascii="宋体" w:hAnsi="宋体" w:eastAsia="宋体" w:cs="宋体"/>
          <w:b/>
          <w:bCs/>
          <w:sz w:val="32"/>
          <w:szCs w:val="32"/>
          <w:u w:val="none"/>
        </w:rPr>
      </w:pPr>
    </w:p>
    <w:p w14:paraId="2D8C66B4">
      <w:pPr>
        <w:keepNext w:val="0"/>
        <w:keepLines w:val="0"/>
        <w:pageBreakBefore w:val="0"/>
        <w:widowControl w:val="0"/>
        <w:kinsoku/>
        <w:wordWrap/>
        <w:overflowPunct/>
        <w:topLinePunct w:val="0"/>
        <w:autoSpaceDE/>
        <w:autoSpaceDN/>
        <w:bidi w:val="0"/>
        <w:adjustRightInd w:val="0"/>
        <w:snapToGrid w:val="0"/>
        <w:spacing w:line="360" w:lineRule="auto"/>
        <w:ind w:left="2132" w:leftChars="267" w:hanging="1491" w:hangingChars="464"/>
        <w:jc w:val="left"/>
        <w:textAlignment w:val="auto"/>
        <w:rPr>
          <w:rFonts w:hint="eastAsia" w:ascii="宋体" w:hAnsi="宋体" w:eastAsia="宋体" w:cs="宋体"/>
          <w:b/>
          <w:bCs/>
          <w:sz w:val="32"/>
          <w:szCs w:val="32"/>
          <w:u w:val="none"/>
          <w:lang w:val="en-US"/>
        </w:rPr>
      </w:pPr>
      <w:r>
        <w:rPr>
          <w:rFonts w:hint="eastAsia" w:ascii="宋体" w:hAnsi="宋体" w:eastAsia="宋体" w:cs="宋体"/>
          <w:b/>
          <w:bCs/>
          <w:sz w:val="32"/>
          <w:szCs w:val="32"/>
          <w:u w:val="none"/>
        </w:rPr>
        <w:t>项目名称：</w:t>
      </w:r>
      <w:r>
        <w:rPr>
          <w:rFonts w:hint="eastAsia" w:ascii="宋体" w:hAnsi="宋体" w:cs="宋体"/>
          <w:b/>
          <w:bCs/>
          <w:sz w:val="32"/>
          <w:szCs w:val="32"/>
          <w:u w:val="single"/>
          <w:lang w:val="en-US" w:eastAsia="zh-CN"/>
        </w:rPr>
        <w:t xml:space="preserve">        </w:t>
      </w:r>
      <w:r>
        <w:rPr>
          <w:rFonts w:hint="eastAsia" w:ascii="宋体" w:hAnsi="宋体" w:eastAsia="宋体" w:cs="宋体"/>
          <w:b/>
          <w:bCs/>
          <w:spacing w:val="-11"/>
          <w:sz w:val="32"/>
          <w:szCs w:val="32"/>
          <w:u w:val="single"/>
          <w:lang w:val="en-US" w:eastAsia="zh-CN"/>
        </w:rPr>
        <w:t>库尔勒市康牧动物医院建设项目</w:t>
      </w:r>
      <w:r>
        <w:rPr>
          <w:rFonts w:hint="eastAsia" w:ascii="Times New Roman" w:hAnsi="Times New Roman" w:eastAsia="宋体" w:cs="Times New Roman"/>
          <w:b/>
          <w:bCs/>
          <w:kern w:val="0"/>
          <w:sz w:val="32"/>
          <w:szCs w:val="32"/>
          <w:u w:val="single"/>
          <w:lang w:val="en-US" w:eastAsia="zh-CN"/>
        </w:rPr>
        <w:t xml:space="preserve"> </w:t>
      </w:r>
      <w:r>
        <w:rPr>
          <w:rFonts w:hint="eastAsia" w:cs="Times New Roman"/>
          <w:b/>
          <w:bCs/>
          <w:kern w:val="0"/>
          <w:sz w:val="32"/>
          <w:szCs w:val="32"/>
          <w:u w:val="single"/>
          <w:lang w:val="en-US" w:eastAsia="zh-CN"/>
        </w:rPr>
        <w:t xml:space="preserve">      </w:t>
      </w:r>
    </w:p>
    <w:p w14:paraId="4C225852">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宋体" w:hAnsi="宋体" w:eastAsia="宋体" w:cs="宋体"/>
          <w:b/>
          <w:bCs/>
          <w:sz w:val="32"/>
          <w:szCs w:val="32"/>
          <w:u w:val="single"/>
          <w:lang w:val="en-US"/>
        </w:rPr>
      </w:pPr>
      <w:r>
        <w:rPr>
          <w:rFonts w:hint="eastAsia" w:ascii="宋体" w:hAnsi="宋体" w:eastAsia="宋体" w:cs="宋体"/>
          <w:b/>
          <w:bCs/>
          <w:sz w:val="32"/>
          <w:szCs w:val="32"/>
        </w:rPr>
        <w:t>建设单位（盖章）：</w:t>
      </w:r>
      <w:r>
        <w:rPr>
          <w:rFonts w:hint="eastAsia" w:ascii="宋体" w:hAnsi="宋体" w:eastAsia="宋体" w:cs="宋体"/>
          <w:b/>
          <w:bCs/>
          <w:sz w:val="32"/>
          <w:szCs w:val="32"/>
          <w:u w:val="single"/>
          <w:lang w:val="en-US" w:eastAsia="zh-CN"/>
        </w:rPr>
        <w:t xml:space="preserve">库尔勒市康牧动物医院有限责任公司 </w:t>
      </w:r>
      <w:r>
        <w:rPr>
          <w:rFonts w:hint="eastAsia" w:ascii="Times New Roman" w:hAnsi="Times New Roman" w:eastAsia="宋体" w:cs="Times New Roman"/>
          <w:b/>
          <w:bCs/>
          <w:kern w:val="0"/>
          <w:sz w:val="32"/>
          <w:szCs w:val="32"/>
          <w:u w:val="single"/>
          <w:lang w:val="en-US" w:eastAsia="zh-CN"/>
        </w:rPr>
        <w:t xml:space="preserve">   </w:t>
      </w:r>
      <w:r>
        <w:rPr>
          <w:rFonts w:hint="eastAsia" w:ascii="宋体" w:hAnsi="宋体" w:eastAsia="宋体" w:cs="宋体"/>
          <w:b/>
          <w:bCs/>
          <w:sz w:val="32"/>
          <w:szCs w:val="32"/>
          <w:u w:val="single"/>
          <w:lang w:val="en-US" w:eastAsia="zh-CN"/>
        </w:rPr>
        <w:t xml:space="preserve"> </w:t>
      </w:r>
    </w:p>
    <w:p w14:paraId="660B61FE">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宋体" w:hAnsi="宋体" w:eastAsia="宋体" w:cs="宋体"/>
          <w:b/>
          <w:bCs/>
          <w:sz w:val="32"/>
          <w:szCs w:val="32"/>
          <w:u w:val="single"/>
        </w:rPr>
      </w:pPr>
      <w:r>
        <w:rPr>
          <w:rFonts w:hint="eastAsia" w:ascii="宋体" w:hAnsi="宋体" w:eastAsia="宋体" w:cs="宋体"/>
          <w:b/>
          <w:bCs/>
          <w:sz w:val="32"/>
          <w:szCs w:val="32"/>
        </w:rPr>
        <w:t>编制日期：</w:t>
      </w:r>
      <w:r>
        <w:rPr>
          <w:rFonts w:hint="eastAsia" w:ascii="宋体" w:hAnsi="宋体" w:eastAsia="宋体" w:cs="宋体"/>
          <w:b/>
          <w:bCs/>
          <w:sz w:val="32"/>
          <w:szCs w:val="32"/>
          <w:u w:val="single"/>
        </w:rPr>
        <w:t xml:space="preserve">  </w:t>
      </w:r>
      <w:r>
        <w:rPr>
          <w:rFonts w:hint="eastAsia" w:ascii="Times New Roman" w:hAnsi="Times New Roman" w:eastAsia="宋体" w:cs="Times New Roman"/>
          <w:b/>
          <w:bCs/>
          <w:kern w:val="0"/>
          <w:sz w:val="32"/>
          <w:szCs w:val="32"/>
          <w:u w:val="single"/>
          <w:lang w:val="en-US" w:eastAsia="zh-CN"/>
        </w:rPr>
        <w:t xml:space="preserve">        </w:t>
      </w:r>
      <w:r>
        <w:rPr>
          <w:rFonts w:hint="eastAsia" w:ascii="宋体" w:hAnsi="宋体" w:eastAsia="宋体" w:cs="宋体"/>
          <w:b/>
          <w:bCs/>
          <w:sz w:val="32"/>
          <w:szCs w:val="32"/>
          <w:u w:val="single"/>
          <w:lang w:val="en-US" w:eastAsia="zh-CN"/>
        </w:rPr>
        <w:t xml:space="preserve">    2025年</w:t>
      </w:r>
      <w:r>
        <w:rPr>
          <w:rFonts w:hint="eastAsia" w:ascii="宋体" w:hAnsi="宋体" w:cs="宋体"/>
          <w:b/>
          <w:bCs/>
          <w:sz w:val="32"/>
          <w:szCs w:val="32"/>
          <w:u w:val="single"/>
          <w:lang w:val="en-US" w:eastAsia="zh-CN"/>
        </w:rPr>
        <w:t>7</w:t>
      </w:r>
      <w:r>
        <w:rPr>
          <w:rFonts w:hint="eastAsia" w:ascii="宋体" w:hAnsi="宋体" w:eastAsia="宋体" w:cs="宋体"/>
          <w:b/>
          <w:bCs/>
          <w:sz w:val="32"/>
          <w:szCs w:val="32"/>
          <w:u w:val="single"/>
          <w:lang w:val="en-US" w:eastAsia="zh-CN"/>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u w:val="single"/>
          <w:lang w:val="en-US" w:eastAsia="zh-CN"/>
        </w:rPr>
        <w:t xml:space="preserve"> </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u w:val="single"/>
          <w:lang w:val="en-US" w:eastAsia="zh-CN"/>
        </w:rPr>
        <w:t xml:space="preserve">   </w:t>
      </w:r>
      <w:r>
        <w:rPr>
          <w:rFonts w:hint="eastAsia" w:ascii="宋体" w:hAnsi="宋体" w:eastAsia="宋体" w:cs="宋体"/>
          <w:b/>
          <w:bCs/>
          <w:sz w:val="32"/>
          <w:szCs w:val="32"/>
          <w:u w:val="single"/>
        </w:rPr>
        <w:t xml:space="preserve">   </w:t>
      </w:r>
    </w:p>
    <w:p w14:paraId="2EAE9AA3">
      <w:pPr>
        <w:adjustRightInd w:val="0"/>
        <w:snapToGrid w:val="0"/>
        <w:spacing w:line="288" w:lineRule="auto"/>
        <w:ind w:left="0" w:leftChars="0" w:firstLine="0" w:firstLineChars="0"/>
        <w:jc w:val="both"/>
        <w:rPr>
          <w:rFonts w:hint="eastAsia" w:ascii="楷体_GB2312" w:eastAsia="楷体_GB2312"/>
          <w:sz w:val="36"/>
          <w:szCs w:val="36"/>
        </w:rPr>
      </w:pPr>
    </w:p>
    <w:p w14:paraId="0DBCA122">
      <w:pPr>
        <w:adjustRightInd w:val="0"/>
        <w:snapToGrid w:val="0"/>
        <w:spacing w:line="288" w:lineRule="auto"/>
        <w:ind w:left="0" w:leftChars="0" w:firstLine="0" w:firstLineChars="0"/>
        <w:jc w:val="both"/>
        <w:rPr>
          <w:rFonts w:hint="eastAsia" w:ascii="楷体_GB2312" w:eastAsia="楷体_GB2312"/>
          <w:sz w:val="36"/>
          <w:szCs w:val="36"/>
        </w:rPr>
      </w:pPr>
    </w:p>
    <w:p w14:paraId="55FDF019">
      <w:pPr>
        <w:adjustRightInd w:val="0"/>
        <w:snapToGrid w:val="0"/>
        <w:spacing w:line="288" w:lineRule="auto"/>
        <w:ind w:left="0" w:leftChars="0" w:firstLine="0" w:firstLineChars="0"/>
        <w:jc w:val="center"/>
        <w:outlineLvl w:val="9"/>
        <w:rPr>
          <w:rFonts w:hint="eastAsia" w:ascii="楷体_GB2312" w:eastAsia="楷体_GB2312"/>
          <w:sz w:val="36"/>
          <w:szCs w:val="36"/>
        </w:rPr>
      </w:pPr>
      <w:bookmarkStart w:id="1" w:name="_Toc4391"/>
      <w:r>
        <w:rPr>
          <w:rFonts w:hint="eastAsia" w:ascii="楷体_GB2312" w:eastAsia="楷体_GB2312"/>
          <w:sz w:val="36"/>
          <w:szCs w:val="36"/>
        </w:rPr>
        <w:t>中华人民共和国生态环境部制</w:t>
      </w:r>
      <w:bookmarkEnd w:id="1"/>
    </w:p>
    <w:p w14:paraId="79F16435">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center"/>
        <w:textAlignment w:val="auto"/>
        <w:outlineLvl w:val="9"/>
        <w:rPr>
          <w:rFonts w:hint="eastAsia" w:ascii="黑体" w:hAnsi="黑体" w:eastAsia="黑体"/>
          <w:snapToGrid w:val="0"/>
          <w:sz w:val="30"/>
          <w:szCs w:val="30"/>
        </w:rPr>
      </w:pPr>
    </w:p>
    <w:p w14:paraId="4DBBFFE0">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center"/>
        <w:textAlignment w:val="auto"/>
        <w:outlineLvl w:val="9"/>
        <w:rPr>
          <w:rFonts w:hint="eastAsia" w:ascii="黑体" w:hAnsi="黑体" w:eastAsia="黑体"/>
          <w:snapToGrid w:val="0"/>
          <w:sz w:val="30"/>
          <w:szCs w:val="30"/>
        </w:rPr>
      </w:pPr>
    </w:p>
    <w:p w14:paraId="237BD3D3">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center"/>
        <w:textAlignment w:val="auto"/>
        <w:outlineLvl w:val="9"/>
        <w:rPr>
          <w:rFonts w:hint="eastAsia" w:ascii="黑体" w:hAnsi="黑体" w:eastAsia="黑体"/>
          <w:snapToGrid w:val="0"/>
          <w:sz w:val="30"/>
          <w:szCs w:val="30"/>
        </w:rPr>
      </w:pPr>
    </w:p>
    <w:p w14:paraId="19CEB517">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center"/>
        <w:textAlignment w:val="auto"/>
        <w:outlineLvl w:val="0"/>
        <w:rPr>
          <w:rFonts w:hint="eastAsia" w:ascii="黑体" w:hAnsi="黑体" w:eastAsia="黑体"/>
          <w:snapToGrid w:val="0"/>
          <w:sz w:val="30"/>
          <w:szCs w:val="30"/>
        </w:rPr>
      </w:pPr>
      <w:bookmarkStart w:id="2" w:name="_Toc18477"/>
    </w:p>
    <w:p w14:paraId="6D18937C">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center"/>
        <w:textAlignment w:val="auto"/>
        <w:outlineLvl w:val="0"/>
        <w:rPr>
          <w:rFonts w:hint="eastAsia" w:ascii="黑体" w:hAnsi="黑体" w:eastAsia="黑体"/>
          <w:snapToGrid w:val="0"/>
          <w:sz w:val="30"/>
          <w:szCs w:val="30"/>
        </w:rPr>
        <w:sectPr>
          <w:headerReference r:id="rId5" w:type="default"/>
          <w:footerReference r:id="rId6"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p w14:paraId="5B65E373">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center"/>
        <w:textAlignment w:val="auto"/>
        <w:outlineLvl w:val="0"/>
        <w:rPr>
          <w:rFonts w:hint="eastAsia" w:ascii="黑体" w:hAnsi="黑体" w:eastAsia="黑体"/>
          <w:snapToGrid w:val="0"/>
          <w:sz w:val="30"/>
          <w:szCs w:val="30"/>
        </w:rPr>
      </w:pPr>
      <w:r>
        <w:rPr>
          <w:rFonts w:hint="eastAsia" w:ascii="黑体" w:hAnsi="黑体" w:eastAsia="黑体"/>
          <w:snapToGrid w:val="0"/>
          <w:sz w:val="30"/>
          <w:szCs w:val="30"/>
        </w:rPr>
        <w:t>一、建设项目基本情况</w:t>
      </w:r>
      <w:bookmarkEnd w:id="2"/>
    </w:p>
    <w:tbl>
      <w:tblPr>
        <w:tblStyle w:val="3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484"/>
        <w:gridCol w:w="2672"/>
        <w:gridCol w:w="1710"/>
        <w:gridCol w:w="3009"/>
      </w:tblGrid>
      <w:tr w14:paraId="434A5D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484" w:type="dxa"/>
            <w:tcBorders>
              <w:tl2br w:val="nil"/>
              <w:tr2bl w:val="nil"/>
            </w:tcBorders>
            <w:noWrap w:val="0"/>
            <w:tcMar>
              <w:top w:w="16" w:type="dxa"/>
              <w:left w:w="16" w:type="dxa"/>
              <w:right w:w="16" w:type="dxa"/>
            </w:tcMar>
            <w:vAlign w:val="center"/>
          </w:tcPr>
          <w:p w14:paraId="4B82773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snapToGrid w:val="0"/>
                <w:color w:val="000000"/>
                <w:spacing w:val="0"/>
                <w:kern w:val="0"/>
                <w:sz w:val="24"/>
                <w:szCs w:val="24"/>
              </w:rPr>
            </w:pPr>
            <w:r>
              <w:rPr>
                <w:rFonts w:hint="default" w:ascii="Times New Roman" w:hAnsi="Times New Roman" w:eastAsia="宋体" w:cs="Times New Roman"/>
                <w:b/>
                <w:bCs/>
                <w:snapToGrid w:val="0"/>
                <w:color w:val="000000"/>
                <w:spacing w:val="0"/>
                <w:kern w:val="0"/>
                <w:sz w:val="24"/>
                <w:szCs w:val="24"/>
              </w:rPr>
              <w:t>建设项目名称</w:t>
            </w:r>
          </w:p>
        </w:tc>
        <w:tc>
          <w:tcPr>
            <w:tcW w:w="7391" w:type="dxa"/>
            <w:gridSpan w:val="3"/>
            <w:tcBorders>
              <w:tl2br w:val="nil"/>
              <w:tr2bl w:val="nil"/>
            </w:tcBorders>
            <w:noWrap w:val="0"/>
            <w:vAlign w:val="center"/>
          </w:tcPr>
          <w:p w14:paraId="6FBFE7E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spacing w:val="0"/>
                <w:kern w:val="0"/>
                <w:sz w:val="24"/>
                <w:szCs w:val="24"/>
                <w:highlight w:val="none"/>
              </w:rPr>
            </w:pPr>
            <w:r>
              <w:rPr>
                <w:rFonts w:hint="default" w:ascii="Times New Roman" w:hAnsi="Times New Roman" w:eastAsia="宋体" w:cs="Times New Roman"/>
                <w:snapToGrid w:val="0"/>
                <w:color w:val="000000"/>
                <w:spacing w:val="0"/>
                <w:kern w:val="0"/>
                <w:sz w:val="24"/>
                <w:szCs w:val="24"/>
                <w:highlight w:val="none"/>
                <w:lang w:val="en-US" w:eastAsia="zh-CN"/>
              </w:rPr>
              <w:t>库尔勒市康牧动物医院建设项目</w:t>
            </w:r>
          </w:p>
        </w:tc>
      </w:tr>
      <w:tr w14:paraId="1B18C9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484" w:type="dxa"/>
            <w:tcBorders>
              <w:tl2br w:val="nil"/>
              <w:tr2bl w:val="nil"/>
            </w:tcBorders>
            <w:noWrap w:val="0"/>
            <w:tcMar>
              <w:top w:w="16" w:type="dxa"/>
              <w:left w:w="16" w:type="dxa"/>
              <w:right w:w="16" w:type="dxa"/>
            </w:tcMar>
            <w:vAlign w:val="center"/>
          </w:tcPr>
          <w:p w14:paraId="29E597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snapToGrid w:val="0"/>
                <w:color w:val="000000"/>
                <w:spacing w:val="0"/>
                <w:kern w:val="0"/>
                <w:sz w:val="24"/>
                <w:szCs w:val="24"/>
              </w:rPr>
            </w:pPr>
            <w:r>
              <w:rPr>
                <w:rFonts w:hint="default" w:ascii="Times New Roman" w:hAnsi="Times New Roman" w:eastAsia="宋体" w:cs="Times New Roman"/>
                <w:b/>
                <w:bCs/>
                <w:snapToGrid w:val="0"/>
                <w:color w:val="000000"/>
                <w:spacing w:val="0"/>
                <w:kern w:val="0"/>
                <w:sz w:val="24"/>
                <w:szCs w:val="24"/>
              </w:rPr>
              <w:t>项目代码</w:t>
            </w:r>
          </w:p>
        </w:tc>
        <w:tc>
          <w:tcPr>
            <w:tcW w:w="7391" w:type="dxa"/>
            <w:gridSpan w:val="3"/>
            <w:tcBorders>
              <w:tl2br w:val="nil"/>
              <w:tr2bl w:val="nil"/>
            </w:tcBorders>
            <w:noWrap w:val="0"/>
            <w:vAlign w:val="center"/>
          </w:tcPr>
          <w:p w14:paraId="42E8A6D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spacing w:val="0"/>
                <w:kern w:val="0"/>
                <w:sz w:val="24"/>
                <w:szCs w:val="24"/>
                <w:highlight w:val="none"/>
                <w:lang w:val="en-US" w:eastAsia="zh-CN"/>
              </w:rPr>
            </w:pPr>
            <w:r>
              <w:rPr>
                <w:rFonts w:hint="eastAsia" w:cs="Times New Roman"/>
                <w:snapToGrid w:val="0"/>
                <w:color w:val="000000"/>
                <w:spacing w:val="0"/>
                <w:kern w:val="0"/>
                <w:sz w:val="24"/>
                <w:szCs w:val="24"/>
                <w:highlight w:val="none"/>
                <w:lang w:val="en-US" w:eastAsia="zh-CN"/>
              </w:rPr>
              <w:t>无</w:t>
            </w:r>
          </w:p>
        </w:tc>
      </w:tr>
      <w:tr w14:paraId="6B2901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484" w:type="dxa"/>
            <w:tcBorders>
              <w:tl2br w:val="nil"/>
              <w:tr2bl w:val="nil"/>
            </w:tcBorders>
            <w:noWrap w:val="0"/>
            <w:tcMar>
              <w:top w:w="16" w:type="dxa"/>
              <w:left w:w="16" w:type="dxa"/>
              <w:right w:w="16" w:type="dxa"/>
            </w:tcMar>
            <w:vAlign w:val="center"/>
          </w:tcPr>
          <w:p w14:paraId="7D6C3F3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snapToGrid w:val="0"/>
                <w:color w:val="000000"/>
                <w:spacing w:val="0"/>
                <w:kern w:val="0"/>
                <w:sz w:val="24"/>
                <w:szCs w:val="24"/>
              </w:rPr>
            </w:pPr>
            <w:r>
              <w:rPr>
                <w:rFonts w:hint="default" w:ascii="Times New Roman" w:hAnsi="Times New Roman" w:eastAsia="宋体" w:cs="Times New Roman"/>
                <w:b/>
                <w:bCs/>
                <w:snapToGrid w:val="0"/>
                <w:color w:val="000000"/>
                <w:spacing w:val="0"/>
                <w:kern w:val="0"/>
                <w:sz w:val="24"/>
                <w:szCs w:val="24"/>
              </w:rPr>
              <w:t>建设单位联系人</w:t>
            </w:r>
          </w:p>
        </w:tc>
        <w:tc>
          <w:tcPr>
            <w:tcW w:w="2672" w:type="dxa"/>
            <w:tcBorders>
              <w:tl2br w:val="nil"/>
              <w:tr2bl w:val="nil"/>
            </w:tcBorders>
            <w:noWrap w:val="0"/>
            <w:vAlign w:val="center"/>
          </w:tcPr>
          <w:p w14:paraId="7DAB356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color w:val="000000"/>
                <w:spacing w:val="0"/>
                <w:kern w:val="0"/>
                <w:sz w:val="24"/>
                <w:szCs w:val="24"/>
                <w:lang w:val="en-US" w:eastAsia="zh-CN"/>
              </w:rPr>
            </w:pPr>
            <w:r>
              <w:rPr>
                <w:rFonts w:hint="default" w:ascii="Times New Roman" w:hAnsi="Times New Roman" w:eastAsia="宋体" w:cs="Times New Roman"/>
                <w:bCs/>
                <w:sz w:val="24"/>
                <w:szCs w:val="24"/>
                <w:lang w:val="en-US" w:eastAsia="zh-CN"/>
              </w:rPr>
              <w:t>如先古丽</w:t>
            </w:r>
          </w:p>
        </w:tc>
        <w:tc>
          <w:tcPr>
            <w:tcW w:w="1710" w:type="dxa"/>
            <w:tcBorders>
              <w:tl2br w:val="nil"/>
              <w:tr2bl w:val="nil"/>
            </w:tcBorders>
            <w:noWrap w:val="0"/>
            <w:vAlign w:val="center"/>
          </w:tcPr>
          <w:p w14:paraId="3C175CB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rPr>
            </w:pPr>
            <w:r>
              <w:rPr>
                <w:rFonts w:hint="default" w:ascii="Times New Roman" w:hAnsi="Times New Roman" w:eastAsia="宋体" w:cs="Times New Roman"/>
                <w:b/>
                <w:bCs/>
                <w:snapToGrid w:val="0"/>
                <w:color w:val="000000"/>
                <w:spacing w:val="0"/>
                <w:kern w:val="0"/>
                <w:sz w:val="24"/>
                <w:szCs w:val="24"/>
              </w:rPr>
              <w:t>联系方式</w:t>
            </w:r>
          </w:p>
        </w:tc>
        <w:tc>
          <w:tcPr>
            <w:tcW w:w="3009" w:type="dxa"/>
            <w:tcBorders>
              <w:tl2br w:val="nil"/>
              <w:tr2bl w:val="nil"/>
            </w:tcBorders>
            <w:noWrap w:val="0"/>
            <w:vAlign w:val="center"/>
          </w:tcPr>
          <w:p w14:paraId="1D74BF4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color w:val="000000"/>
                <w:spacing w:val="0"/>
                <w:kern w:val="0"/>
                <w:sz w:val="24"/>
                <w:szCs w:val="24"/>
                <w:lang w:val="en-US" w:eastAsia="zh-CN"/>
              </w:rPr>
            </w:pP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13364857644</w:t>
            </w:r>
          </w:p>
        </w:tc>
      </w:tr>
      <w:tr w14:paraId="2A9E4D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484" w:type="dxa"/>
            <w:tcBorders>
              <w:tl2br w:val="nil"/>
              <w:tr2bl w:val="nil"/>
            </w:tcBorders>
            <w:noWrap w:val="0"/>
            <w:tcMar>
              <w:top w:w="16" w:type="dxa"/>
              <w:left w:w="16" w:type="dxa"/>
              <w:right w:w="16" w:type="dxa"/>
            </w:tcMar>
            <w:vAlign w:val="center"/>
          </w:tcPr>
          <w:p w14:paraId="31028EF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snapToGrid w:val="0"/>
                <w:color w:val="000000"/>
                <w:spacing w:val="0"/>
                <w:kern w:val="0"/>
                <w:sz w:val="24"/>
                <w:szCs w:val="24"/>
              </w:rPr>
            </w:pPr>
            <w:r>
              <w:rPr>
                <w:rFonts w:hint="default" w:ascii="Times New Roman" w:hAnsi="Times New Roman" w:eastAsia="宋体" w:cs="Times New Roman"/>
                <w:b/>
                <w:bCs/>
                <w:snapToGrid w:val="0"/>
                <w:color w:val="000000"/>
                <w:spacing w:val="0"/>
                <w:kern w:val="0"/>
                <w:sz w:val="24"/>
                <w:szCs w:val="24"/>
              </w:rPr>
              <w:t>建设地点</w:t>
            </w:r>
          </w:p>
        </w:tc>
        <w:tc>
          <w:tcPr>
            <w:tcW w:w="7391" w:type="dxa"/>
            <w:gridSpan w:val="3"/>
            <w:tcBorders>
              <w:tl2br w:val="nil"/>
              <w:tr2bl w:val="nil"/>
            </w:tcBorders>
            <w:noWrap w:val="0"/>
            <w:vAlign w:val="center"/>
          </w:tcPr>
          <w:p w14:paraId="7DD7C743">
            <w:pPr>
              <w:pStyle w:val="10"/>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s="Times New Roman"/>
                <w:snapToGrid w:val="0"/>
                <w:color w:val="000000"/>
                <w:spacing w:val="0"/>
                <w:kern w:val="0"/>
                <w:sz w:val="24"/>
                <w:szCs w:val="24"/>
                <w:lang w:val="en-US" w:eastAsia="zh-CN"/>
              </w:rPr>
            </w:pPr>
            <w:r>
              <w:rPr>
                <w:rFonts w:hint="default" w:ascii="Times New Roman" w:hAnsi="Times New Roman" w:eastAsia="宋体" w:cs="Times New Roman"/>
                <w:snapToGrid w:val="0"/>
                <w:color w:val="000000"/>
                <w:spacing w:val="0"/>
                <w:kern w:val="0"/>
                <w:sz w:val="24"/>
                <w:szCs w:val="24"/>
                <w:lang w:val="en-US" w:eastAsia="zh-CN"/>
              </w:rPr>
              <w:t>新疆巴州库尔勒市铁克其乡迎宾路48号兴旺家园40栋19号</w:t>
            </w:r>
          </w:p>
        </w:tc>
      </w:tr>
      <w:tr w14:paraId="530D8F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484" w:type="dxa"/>
            <w:tcBorders>
              <w:tl2br w:val="nil"/>
              <w:tr2bl w:val="nil"/>
            </w:tcBorders>
            <w:noWrap w:val="0"/>
            <w:tcMar>
              <w:top w:w="16" w:type="dxa"/>
              <w:left w:w="16" w:type="dxa"/>
              <w:right w:w="16" w:type="dxa"/>
            </w:tcMar>
            <w:vAlign w:val="center"/>
          </w:tcPr>
          <w:p w14:paraId="2D07271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snapToGrid w:val="0"/>
                <w:color w:val="000000"/>
                <w:spacing w:val="0"/>
                <w:kern w:val="0"/>
                <w:sz w:val="24"/>
                <w:szCs w:val="24"/>
              </w:rPr>
            </w:pPr>
            <w:r>
              <w:rPr>
                <w:rFonts w:hint="default" w:ascii="Times New Roman" w:hAnsi="Times New Roman" w:eastAsia="宋体" w:cs="Times New Roman"/>
                <w:b/>
                <w:bCs/>
                <w:snapToGrid w:val="0"/>
                <w:color w:val="000000"/>
                <w:spacing w:val="0"/>
                <w:kern w:val="0"/>
                <w:sz w:val="24"/>
                <w:szCs w:val="24"/>
              </w:rPr>
              <w:t>地理坐标</w:t>
            </w:r>
          </w:p>
        </w:tc>
        <w:tc>
          <w:tcPr>
            <w:tcW w:w="7391" w:type="dxa"/>
            <w:gridSpan w:val="3"/>
            <w:tcBorders>
              <w:tl2br w:val="nil"/>
              <w:tr2bl w:val="nil"/>
            </w:tcBorders>
            <w:noWrap w:val="0"/>
            <w:vAlign w:val="center"/>
          </w:tcPr>
          <w:p w14:paraId="45C31DF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color w:val="000000"/>
                <w:spacing w:val="0"/>
                <w:kern w:val="0"/>
                <w:sz w:val="24"/>
                <w:szCs w:val="24"/>
              </w:rPr>
            </w:pPr>
            <w:r>
              <w:rPr>
                <w:rFonts w:hint="default" w:ascii="Times New Roman" w:hAnsi="Times New Roman" w:eastAsia="宋体" w:cs="Times New Roman"/>
                <w:snapToGrid w:val="0"/>
                <w:color w:val="000000"/>
                <w:spacing w:val="0"/>
                <w:kern w:val="0"/>
                <w:sz w:val="24"/>
                <w:szCs w:val="24"/>
              </w:rPr>
              <w:t>（</w:t>
            </w:r>
            <w:r>
              <w:rPr>
                <w:rFonts w:hint="default" w:ascii="Times New Roman" w:hAnsi="Times New Roman" w:eastAsia="宋体" w:cs="Times New Roman"/>
                <w:snapToGrid w:val="0"/>
                <w:color w:val="000000"/>
                <w:spacing w:val="0"/>
                <w:kern w:val="0"/>
                <w:sz w:val="24"/>
                <w:szCs w:val="24"/>
                <w:lang w:eastAsia="zh-CN"/>
              </w:rPr>
              <w:t>东经</w:t>
            </w:r>
            <w:r>
              <w:rPr>
                <w:rFonts w:hint="default" w:ascii="Times New Roman" w:hAnsi="Times New Roman" w:eastAsia="宋体" w:cs="Times New Roman"/>
                <w:snapToGrid w:val="0"/>
                <w:color w:val="000000"/>
                <w:spacing w:val="0"/>
                <w:kern w:val="0"/>
                <w:sz w:val="24"/>
                <w:szCs w:val="24"/>
                <w:u w:val="single"/>
                <w:lang w:val="en-US" w:eastAsia="zh-CN"/>
              </w:rPr>
              <w:t>8</w:t>
            </w:r>
            <w:r>
              <w:rPr>
                <w:rFonts w:hint="eastAsia" w:cs="Times New Roman"/>
                <w:snapToGrid w:val="0"/>
                <w:color w:val="000000"/>
                <w:spacing w:val="0"/>
                <w:kern w:val="0"/>
                <w:sz w:val="24"/>
                <w:szCs w:val="24"/>
                <w:u w:val="single"/>
                <w:lang w:val="en-US" w:eastAsia="zh-CN"/>
              </w:rPr>
              <w:t>6</w:t>
            </w:r>
            <w:r>
              <w:rPr>
                <w:rFonts w:hint="default" w:ascii="Times New Roman" w:hAnsi="Times New Roman" w:eastAsia="宋体" w:cs="Times New Roman"/>
                <w:snapToGrid w:val="0"/>
                <w:color w:val="000000"/>
                <w:spacing w:val="0"/>
                <w:kern w:val="0"/>
                <w:sz w:val="24"/>
                <w:szCs w:val="24"/>
              </w:rPr>
              <w:t>度</w:t>
            </w:r>
            <w:r>
              <w:rPr>
                <w:rFonts w:hint="eastAsia" w:cs="Times New Roman"/>
                <w:snapToGrid w:val="0"/>
                <w:color w:val="000000"/>
                <w:spacing w:val="0"/>
                <w:kern w:val="0"/>
                <w:sz w:val="24"/>
                <w:szCs w:val="24"/>
                <w:u w:val="single"/>
                <w:lang w:val="en-US" w:eastAsia="zh-CN"/>
              </w:rPr>
              <w:t>9</w:t>
            </w:r>
            <w:r>
              <w:rPr>
                <w:rFonts w:hint="default" w:ascii="Times New Roman" w:hAnsi="Times New Roman" w:eastAsia="宋体" w:cs="Times New Roman"/>
                <w:snapToGrid w:val="0"/>
                <w:color w:val="000000"/>
                <w:spacing w:val="0"/>
                <w:kern w:val="0"/>
                <w:sz w:val="24"/>
                <w:szCs w:val="24"/>
              </w:rPr>
              <w:t>分</w:t>
            </w:r>
            <w:r>
              <w:rPr>
                <w:rFonts w:hint="default" w:ascii="Times New Roman" w:hAnsi="Times New Roman" w:eastAsia="宋体" w:cs="Times New Roman"/>
                <w:snapToGrid w:val="0"/>
                <w:color w:val="000000"/>
                <w:spacing w:val="0"/>
                <w:kern w:val="0"/>
                <w:sz w:val="24"/>
                <w:szCs w:val="24"/>
                <w:u w:val="single"/>
                <w:lang w:eastAsia="zh-CN"/>
              </w:rPr>
              <w:t>58.460</w:t>
            </w:r>
            <w:r>
              <w:rPr>
                <w:rFonts w:hint="default" w:ascii="Times New Roman" w:hAnsi="Times New Roman" w:eastAsia="宋体" w:cs="Times New Roman"/>
                <w:snapToGrid w:val="0"/>
                <w:color w:val="000000"/>
                <w:spacing w:val="0"/>
                <w:kern w:val="0"/>
                <w:sz w:val="24"/>
                <w:szCs w:val="24"/>
              </w:rPr>
              <w:t>秒，</w:t>
            </w:r>
            <w:r>
              <w:rPr>
                <w:rFonts w:hint="default" w:ascii="Times New Roman" w:hAnsi="Times New Roman" w:eastAsia="宋体" w:cs="Times New Roman"/>
                <w:snapToGrid w:val="0"/>
                <w:color w:val="000000"/>
                <w:spacing w:val="0"/>
                <w:kern w:val="0"/>
                <w:sz w:val="24"/>
                <w:szCs w:val="24"/>
                <w:lang w:eastAsia="zh-CN"/>
              </w:rPr>
              <w:t>北纬</w:t>
            </w:r>
            <w:r>
              <w:rPr>
                <w:rFonts w:hint="default" w:ascii="Times New Roman" w:hAnsi="Times New Roman" w:eastAsia="宋体" w:cs="Times New Roman"/>
                <w:snapToGrid w:val="0"/>
                <w:color w:val="000000"/>
                <w:spacing w:val="0"/>
                <w:kern w:val="0"/>
                <w:sz w:val="24"/>
                <w:szCs w:val="24"/>
                <w:u w:val="single"/>
                <w:lang w:val="en-US" w:eastAsia="zh-CN"/>
              </w:rPr>
              <w:t>41</w:t>
            </w:r>
            <w:r>
              <w:rPr>
                <w:rFonts w:hint="default" w:ascii="Times New Roman" w:hAnsi="Times New Roman" w:eastAsia="宋体" w:cs="Times New Roman"/>
                <w:snapToGrid w:val="0"/>
                <w:color w:val="000000"/>
                <w:spacing w:val="0"/>
                <w:kern w:val="0"/>
                <w:sz w:val="24"/>
                <w:szCs w:val="24"/>
              </w:rPr>
              <w:t>度</w:t>
            </w:r>
            <w:r>
              <w:rPr>
                <w:rFonts w:hint="default" w:ascii="Times New Roman" w:hAnsi="Times New Roman" w:eastAsia="宋体" w:cs="Times New Roman"/>
                <w:snapToGrid w:val="0"/>
                <w:color w:val="000000"/>
                <w:spacing w:val="0"/>
                <w:kern w:val="0"/>
                <w:sz w:val="24"/>
                <w:szCs w:val="24"/>
                <w:u w:val="single"/>
                <w:lang w:val="en-US" w:eastAsia="zh-CN"/>
              </w:rPr>
              <w:t>4</w:t>
            </w:r>
            <w:r>
              <w:rPr>
                <w:rFonts w:hint="eastAsia" w:cs="Times New Roman"/>
                <w:snapToGrid w:val="0"/>
                <w:color w:val="000000"/>
                <w:spacing w:val="0"/>
                <w:kern w:val="0"/>
                <w:sz w:val="24"/>
                <w:szCs w:val="24"/>
                <w:u w:val="single"/>
                <w:lang w:val="en-US" w:eastAsia="zh-CN"/>
              </w:rPr>
              <w:t>3</w:t>
            </w:r>
            <w:r>
              <w:rPr>
                <w:rFonts w:hint="default" w:ascii="Times New Roman" w:hAnsi="Times New Roman" w:eastAsia="宋体" w:cs="Times New Roman"/>
                <w:snapToGrid w:val="0"/>
                <w:color w:val="000000"/>
                <w:spacing w:val="0"/>
                <w:kern w:val="0"/>
                <w:sz w:val="24"/>
                <w:szCs w:val="24"/>
              </w:rPr>
              <w:t>分</w:t>
            </w:r>
            <w:r>
              <w:rPr>
                <w:rFonts w:hint="eastAsia" w:cs="Times New Roman"/>
                <w:snapToGrid w:val="0"/>
                <w:color w:val="000000"/>
                <w:spacing w:val="0"/>
                <w:kern w:val="0"/>
                <w:sz w:val="24"/>
                <w:szCs w:val="24"/>
                <w:u w:val="single"/>
                <w:lang w:val="en-US" w:eastAsia="zh-CN"/>
              </w:rPr>
              <w:t>25.178</w:t>
            </w:r>
            <w:r>
              <w:rPr>
                <w:rFonts w:hint="default" w:ascii="Times New Roman" w:hAnsi="Times New Roman" w:eastAsia="宋体" w:cs="Times New Roman"/>
                <w:snapToGrid w:val="0"/>
                <w:color w:val="000000"/>
                <w:spacing w:val="0"/>
                <w:kern w:val="0"/>
                <w:sz w:val="24"/>
                <w:szCs w:val="24"/>
              </w:rPr>
              <w:t>秒）</w:t>
            </w:r>
          </w:p>
        </w:tc>
      </w:tr>
      <w:tr w14:paraId="0DD393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484" w:type="dxa"/>
            <w:tcBorders>
              <w:tl2br w:val="nil"/>
              <w:tr2bl w:val="nil"/>
            </w:tcBorders>
            <w:noWrap w:val="0"/>
            <w:tcMar>
              <w:top w:w="16" w:type="dxa"/>
              <w:left w:w="16" w:type="dxa"/>
              <w:right w:w="16" w:type="dxa"/>
            </w:tcMar>
            <w:vAlign w:val="center"/>
          </w:tcPr>
          <w:p w14:paraId="6CC15A0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snapToGrid w:val="0"/>
                <w:color w:val="000000"/>
                <w:spacing w:val="0"/>
                <w:kern w:val="0"/>
                <w:sz w:val="24"/>
                <w:szCs w:val="24"/>
              </w:rPr>
            </w:pPr>
            <w:r>
              <w:rPr>
                <w:rFonts w:hint="default" w:ascii="Times New Roman" w:hAnsi="Times New Roman" w:eastAsia="宋体" w:cs="Times New Roman"/>
                <w:b/>
                <w:bCs/>
                <w:snapToGrid w:val="0"/>
                <w:color w:val="000000"/>
                <w:spacing w:val="0"/>
                <w:kern w:val="0"/>
                <w:sz w:val="24"/>
                <w:szCs w:val="24"/>
              </w:rPr>
              <w:t>国民经济</w:t>
            </w:r>
          </w:p>
          <w:p w14:paraId="54A3770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snapToGrid w:val="0"/>
                <w:color w:val="000000"/>
                <w:spacing w:val="0"/>
                <w:kern w:val="0"/>
                <w:sz w:val="24"/>
                <w:szCs w:val="24"/>
              </w:rPr>
            </w:pPr>
            <w:r>
              <w:rPr>
                <w:rFonts w:hint="default" w:ascii="Times New Roman" w:hAnsi="Times New Roman" w:eastAsia="宋体" w:cs="Times New Roman"/>
                <w:b/>
                <w:bCs/>
                <w:snapToGrid w:val="0"/>
                <w:color w:val="000000"/>
                <w:spacing w:val="0"/>
                <w:kern w:val="0"/>
                <w:sz w:val="24"/>
                <w:szCs w:val="24"/>
              </w:rPr>
              <w:t>行业类别</w:t>
            </w:r>
          </w:p>
        </w:tc>
        <w:tc>
          <w:tcPr>
            <w:tcW w:w="2672" w:type="dxa"/>
            <w:tcBorders>
              <w:tl2br w:val="nil"/>
              <w:tr2bl w:val="nil"/>
            </w:tcBorders>
            <w:noWrap w:val="0"/>
            <w:vAlign w:val="center"/>
          </w:tcPr>
          <w:p w14:paraId="3B08070B">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snapToGrid w:val="0"/>
                <w:color w:val="000000"/>
                <w:spacing w:val="0"/>
                <w:kern w:val="0"/>
                <w:sz w:val="24"/>
                <w:szCs w:val="24"/>
                <w:lang w:val="en-US" w:eastAsia="zh-CN"/>
              </w:rPr>
            </w:pPr>
            <w:r>
              <w:rPr>
                <w:rFonts w:hint="default" w:ascii="Times New Roman" w:hAnsi="Times New Roman" w:eastAsia="宋体" w:cs="Times New Roman"/>
                <w:snapToGrid w:val="0"/>
                <w:color w:val="000000"/>
                <w:spacing w:val="0"/>
                <w:kern w:val="0"/>
                <w:sz w:val="24"/>
                <w:szCs w:val="24"/>
                <w:lang w:val="en-US" w:eastAsia="zh-CN"/>
              </w:rPr>
              <w:t>O8222宠物医院服务；O8223宠物美容服务；O8224宠物寄托收养服务</w:t>
            </w:r>
          </w:p>
        </w:tc>
        <w:tc>
          <w:tcPr>
            <w:tcW w:w="1710" w:type="dxa"/>
            <w:tcBorders>
              <w:tl2br w:val="nil"/>
              <w:tr2bl w:val="nil"/>
            </w:tcBorders>
            <w:noWrap w:val="0"/>
            <w:vAlign w:val="center"/>
          </w:tcPr>
          <w:p w14:paraId="3CB975C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snapToGrid w:val="0"/>
                <w:color w:val="000000"/>
                <w:spacing w:val="0"/>
                <w:kern w:val="0"/>
                <w:sz w:val="24"/>
                <w:szCs w:val="24"/>
              </w:rPr>
            </w:pPr>
            <w:bookmarkStart w:id="3" w:name="_Hlk49843745"/>
            <w:r>
              <w:rPr>
                <w:rFonts w:hint="default" w:ascii="Times New Roman" w:hAnsi="Times New Roman" w:eastAsia="宋体" w:cs="Times New Roman"/>
                <w:b/>
                <w:bCs/>
                <w:snapToGrid w:val="0"/>
                <w:color w:val="000000"/>
                <w:spacing w:val="0"/>
                <w:kern w:val="0"/>
                <w:sz w:val="24"/>
                <w:szCs w:val="24"/>
              </w:rPr>
              <w:t>建设项目</w:t>
            </w:r>
          </w:p>
          <w:p w14:paraId="1955B52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snapToGrid w:val="0"/>
                <w:color w:val="000000"/>
                <w:spacing w:val="0"/>
                <w:kern w:val="0"/>
                <w:sz w:val="24"/>
                <w:szCs w:val="24"/>
              </w:rPr>
            </w:pPr>
            <w:r>
              <w:rPr>
                <w:rFonts w:hint="default" w:ascii="Times New Roman" w:hAnsi="Times New Roman" w:eastAsia="宋体" w:cs="Times New Roman"/>
                <w:b/>
                <w:bCs/>
                <w:snapToGrid w:val="0"/>
                <w:color w:val="000000"/>
                <w:spacing w:val="0"/>
                <w:kern w:val="0"/>
                <w:sz w:val="24"/>
                <w:szCs w:val="24"/>
              </w:rPr>
              <w:t>行业类别</w:t>
            </w:r>
            <w:bookmarkEnd w:id="3"/>
          </w:p>
        </w:tc>
        <w:tc>
          <w:tcPr>
            <w:tcW w:w="3009" w:type="dxa"/>
            <w:tcBorders>
              <w:tl2br w:val="nil"/>
              <w:tr2bl w:val="nil"/>
            </w:tcBorders>
            <w:noWrap w:val="0"/>
            <w:vAlign w:val="center"/>
          </w:tcPr>
          <w:p w14:paraId="059EFA0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default" w:ascii="Times New Roman" w:hAnsi="Times New Roman" w:eastAsia="宋体" w:cs="Times New Roman"/>
                <w:snapToGrid w:val="0"/>
                <w:color w:val="000000"/>
                <w:spacing w:val="0"/>
                <w:kern w:val="0"/>
                <w:sz w:val="24"/>
                <w:szCs w:val="24"/>
                <w:lang w:val="en-US" w:eastAsia="zh-CN"/>
              </w:rPr>
            </w:pPr>
            <w:r>
              <w:rPr>
                <w:rFonts w:hint="default" w:ascii="Times New Roman" w:hAnsi="Times New Roman" w:eastAsia="宋体" w:cs="Times New Roman"/>
                <w:snapToGrid w:val="0"/>
                <w:color w:val="000000"/>
                <w:spacing w:val="0"/>
                <w:kern w:val="0"/>
                <w:sz w:val="24"/>
                <w:szCs w:val="24"/>
                <w:lang w:val="en-US" w:eastAsia="zh-CN"/>
              </w:rPr>
              <w:t>五十、社会事业与服务业，123动物医院，设有动物颅腔、胸腔或腹腔手术设施的</w:t>
            </w:r>
          </w:p>
        </w:tc>
      </w:tr>
      <w:tr w14:paraId="3DC3E4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484" w:type="dxa"/>
            <w:tcBorders>
              <w:tl2br w:val="nil"/>
              <w:tr2bl w:val="nil"/>
            </w:tcBorders>
            <w:noWrap w:val="0"/>
            <w:tcMar>
              <w:top w:w="16" w:type="dxa"/>
              <w:left w:w="16" w:type="dxa"/>
              <w:right w:w="16" w:type="dxa"/>
            </w:tcMar>
            <w:vAlign w:val="center"/>
          </w:tcPr>
          <w:p w14:paraId="0A7511A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snapToGrid w:val="0"/>
                <w:color w:val="000000"/>
                <w:spacing w:val="0"/>
                <w:kern w:val="0"/>
                <w:sz w:val="24"/>
                <w:szCs w:val="24"/>
              </w:rPr>
            </w:pPr>
            <w:r>
              <w:rPr>
                <w:rFonts w:hint="default" w:ascii="Times New Roman" w:hAnsi="Times New Roman" w:eastAsia="宋体" w:cs="Times New Roman"/>
                <w:b/>
                <w:bCs/>
                <w:snapToGrid w:val="0"/>
                <w:color w:val="000000"/>
                <w:spacing w:val="0"/>
                <w:kern w:val="0"/>
                <w:sz w:val="24"/>
                <w:szCs w:val="24"/>
              </w:rPr>
              <w:t>建设性质</w:t>
            </w:r>
          </w:p>
        </w:tc>
        <w:tc>
          <w:tcPr>
            <w:tcW w:w="2672" w:type="dxa"/>
            <w:tcBorders>
              <w:tl2br w:val="nil"/>
              <w:tr2bl w:val="nil"/>
            </w:tcBorders>
            <w:noWrap w:val="0"/>
            <w:vAlign w:val="center"/>
          </w:tcPr>
          <w:p w14:paraId="25F16E9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snapToGrid w:val="0"/>
                <w:color w:val="000000"/>
                <w:spacing w:val="0"/>
                <w:kern w:val="0"/>
                <w:sz w:val="24"/>
                <w:szCs w:val="24"/>
              </w:rPr>
            </w:pPr>
            <w:r>
              <w:rPr>
                <w:rFonts w:hint="default" w:ascii="Times New Roman" w:hAnsi="Times New Roman" w:eastAsia="宋体" w:cs="Times New Roman"/>
                <w:snapToGrid w:val="0"/>
                <w:color w:val="000000"/>
                <w:spacing w:val="0"/>
                <w:kern w:val="0"/>
                <w:sz w:val="24"/>
                <w:szCs w:val="24"/>
              </w:rPr>
              <w:sym w:font="Wingdings" w:char="00FE"/>
            </w:r>
            <w:r>
              <w:rPr>
                <w:rFonts w:hint="default" w:ascii="Times New Roman" w:hAnsi="Times New Roman" w:eastAsia="宋体" w:cs="Times New Roman"/>
                <w:snapToGrid w:val="0"/>
                <w:color w:val="000000"/>
                <w:spacing w:val="0"/>
                <w:kern w:val="0"/>
                <w:sz w:val="24"/>
                <w:szCs w:val="24"/>
              </w:rPr>
              <w:t>新建（迁建）</w:t>
            </w:r>
          </w:p>
          <w:p w14:paraId="25B66CE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snapToGrid w:val="0"/>
                <w:color w:val="000000"/>
                <w:spacing w:val="0"/>
                <w:kern w:val="0"/>
                <w:sz w:val="24"/>
                <w:szCs w:val="24"/>
              </w:rPr>
            </w:pPr>
            <w:r>
              <w:rPr>
                <w:rFonts w:hint="default" w:ascii="Times New Roman" w:hAnsi="Times New Roman" w:eastAsia="宋体" w:cs="Times New Roman"/>
                <w:snapToGrid w:val="0"/>
                <w:color w:val="000000"/>
                <w:spacing w:val="0"/>
                <w:kern w:val="0"/>
                <w:sz w:val="24"/>
                <w:szCs w:val="24"/>
              </w:rPr>
              <w:sym w:font="Wingdings" w:char="00A8"/>
            </w:r>
            <w:r>
              <w:rPr>
                <w:rFonts w:hint="default" w:ascii="Times New Roman" w:hAnsi="Times New Roman" w:eastAsia="宋体" w:cs="Times New Roman"/>
                <w:snapToGrid w:val="0"/>
                <w:color w:val="000000"/>
                <w:spacing w:val="0"/>
                <w:kern w:val="0"/>
                <w:sz w:val="24"/>
                <w:szCs w:val="24"/>
              </w:rPr>
              <w:t>改建</w:t>
            </w:r>
          </w:p>
          <w:p w14:paraId="35E3862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snapToGrid w:val="0"/>
                <w:color w:val="000000"/>
                <w:spacing w:val="0"/>
                <w:kern w:val="0"/>
                <w:sz w:val="24"/>
                <w:szCs w:val="24"/>
              </w:rPr>
            </w:pPr>
            <w:r>
              <w:rPr>
                <w:rFonts w:hint="default" w:ascii="Times New Roman" w:hAnsi="Times New Roman" w:eastAsia="宋体" w:cs="Times New Roman"/>
                <w:snapToGrid w:val="0"/>
                <w:color w:val="000000"/>
                <w:spacing w:val="0"/>
                <w:kern w:val="0"/>
                <w:sz w:val="24"/>
                <w:szCs w:val="24"/>
              </w:rPr>
              <w:sym w:font="Wingdings" w:char="00A8"/>
            </w:r>
            <w:r>
              <w:rPr>
                <w:rFonts w:hint="default" w:ascii="Times New Roman" w:hAnsi="Times New Roman" w:eastAsia="宋体" w:cs="Times New Roman"/>
                <w:snapToGrid w:val="0"/>
                <w:color w:val="000000"/>
                <w:spacing w:val="0"/>
                <w:kern w:val="0"/>
                <w:sz w:val="24"/>
                <w:szCs w:val="24"/>
              </w:rPr>
              <w:t>扩建</w:t>
            </w:r>
          </w:p>
          <w:p w14:paraId="75118A2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snapToGrid w:val="0"/>
                <w:color w:val="000000"/>
                <w:spacing w:val="0"/>
                <w:kern w:val="0"/>
                <w:sz w:val="24"/>
                <w:szCs w:val="24"/>
              </w:rPr>
            </w:pPr>
            <w:r>
              <w:rPr>
                <w:rFonts w:hint="default" w:ascii="Times New Roman" w:hAnsi="Times New Roman" w:eastAsia="宋体" w:cs="Times New Roman"/>
                <w:snapToGrid w:val="0"/>
                <w:color w:val="000000"/>
                <w:spacing w:val="0"/>
                <w:kern w:val="0"/>
                <w:sz w:val="24"/>
                <w:szCs w:val="24"/>
              </w:rPr>
              <w:sym w:font="Wingdings" w:char="00A8"/>
            </w:r>
            <w:r>
              <w:rPr>
                <w:rFonts w:hint="default" w:ascii="Times New Roman" w:hAnsi="Times New Roman" w:eastAsia="宋体" w:cs="Times New Roman"/>
                <w:snapToGrid w:val="0"/>
                <w:color w:val="000000"/>
                <w:spacing w:val="0"/>
                <w:kern w:val="0"/>
                <w:sz w:val="24"/>
                <w:szCs w:val="24"/>
              </w:rPr>
              <w:t>技术改造</w:t>
            </w:r>
          </w:p>
        </w:tc>
        <w:tc>
          <w:tcPr>
            <w:tcW w:w="1710" w:type="dxa"/>
            <w:tcBorders>
              <w:tl2br w:val="nil"/>
              <w:tr2bl w:val="nil"/>
            </w:tcBorders>
            <w:noWrap w:val="0"/>
            <w:vAlign w:val="center"/>
          </w:tcPr>
          <w:p w14:paraId="60525E0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snapToGrid w:val="0"/>
                <w:color w:val="000000"/>
                <w:spacing w:val="0"/>
                <w:kern w:val="0"/>
                <w:sz w:val="24"/>
                <w:szCs w:val="24"/>
              </w:rPr>
            </w:pPr>
            <w:r>
              <w:rPr>
                <w:rFonts w:hint="default" w:ascii="Times New Roman" w:hAnsi="Times New Roman" w:eastAsia="宋体" w:cs="Times New Roman"/>
                <w:b/>
                <w:bCs/>
                <w:snapToGrid w:val="0"/>
                <w:color w:val="000000"/>
                <w:spacing w:val="0"/>
                <w:kern w:val="0"/>
                <w:sz w:val="24"/>
                <w:szCs w:val="24"/>
              </w:rPr>
              <w:t>建设项目</w:t>
            </w:r>
          </w:p>
          <w:p w14:paraId="6B90E51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snapToGrid w:val="0"/>
                <w:color w:val="000000"/>
                <w:spacing w:val="0"/>
                <w:kern w:val="0"/>
                <w:sz w:val="24"/>
                <w:szCs w:val="24"/>
              </w:rPr>
            </w:pPr>
            <w:r>
              <w:rPr>
                <w:rFonts w:hint="default" w:ascii="Times New Roman" w:hAnsi="Times New Roman" w:eastAsia="宋体" w:cs="Times New Roman"/>
                <w:b/>
                <w:bCs/>
                <w:snapToGrid w:val="0"/>
                <w:color w:val="000000"/>
                <w:spacing w:val="0"/>
                <w:kern w:val="0"/>
                <w:sz w:val="24"/>
                <w:szCs w:val="24"/>
              </w:rPr>
              <w:t>申报情形</w:t>
            </w:r>
          </w:p>
        </w:tc>
        <w:tc>
          <w:tcPr>
            <w:tcW w:w="3009" w:type="dxa"/>
            <w:tcBorders>
              <w:tl2br w:val="nil"/>
              <w:tr2bl w:val="nil"/>
            </w:tcBorders>
            <w:noWrap w:val="0"/>
            <w:vAlign w:val="center"/>
          </w:tcPr>
          <w:p w14:paraId="71710C9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snapToGrid w:val="0"/>
                <w:color w:val="000000"/>
                <w:spacing w:val="0"/>
                <w:kern w:val="0"/>
                <w:sz w:val="24"/>
                <w:szCs w:val="24"/>
              </w:rPr>
            </w:pPr>
            <w:r>
              <w:rPr>
                <w:rFonts w:hint="default" w:ascii="Times New Roman" w:hAnsi="Times New Roman" w:eastAsia="宋体" w:cs="Times New Roman"/>
                <w:snapToGrid w:val="0"/>
                <w:color w:val="000000"/>
                <w:spacing w:val="0"/>
                <w:kern w:val="0"/>
                <w:sz w:val="24"/>
                <w:szCs w:val="24"/>
              </w:rPr>
              <w:sym w:font="Wingdings" w:char="00FE"/>
            </w:r>
            <w:r>
              <w:rPr>
                <w:rFonts w:hint="default" w:ascii="Times New Roman" w:hAnsi="Times New Roman" w:eastAsia="宋体" w:cs="Times New Roman"/>
                <w:snapToGrid w:val="0"/>
                <w:color w:val="000000"/>
                <w:spacing w:val="0"/>
                <w:kern w:val="0"/>
                <w:sz w:val="24"/>
                <w:szCs w:val="24"/>
              </w:rPr>
              <w:t>首次申报项目</w:t>
            </w:r>
          </w:p>
          <w:p w14:paraId="47D1DD0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snapToGrid w:val="0"/>
                <w:color w:val="000000"/>
                <w:spacing w:val="-20"/>
                <w:kern w:val="0"/>
                <w:sz w:val="24"/>
                <w:szCs w:val="24"/>
              </w:rPr>
            </w:pPr>
            <w:r>
              <w:rPr>
                <w:rFonts w:hint="default" w:ascii="Times New Roman" w:hAnsi="Times New Roman" w:eastAsia="宋体" w:cs="Times New Roman"/>
                <w:snapToGrid w:val="0"/>
                <w:color w:val="000000"/>
                <w:spacing w:val="-20"/>
                <w:kern w:val="0"/>
                <w:sz w:val="24"/>
                <w:szCs w:val="24"/>
              </w:rPr>
              <w:sym w:font="Wingdings" w:char="00A8"/>
            </w:r>
            <w:r>
              <w:rPr>
                <w:rFonts w:hint="default" w:ascii="Times New Roman" w:hAnsi="Times New Roman" w:eastAsia="宋体" w:cs="Times New Roman"/>
                <w:snapToGrid w:val="0"/>
                <w:color w:val="000000"/>
                <w:spacing w:val="-20"/>
                <w:kern w:val="0"/>
                <w:sz w:val="24"/>
                <w:szCs w:val="24"/>
              </w:rPr>
              <w:t>不予批准后再次申报项目</w:t>
            </w:r>
          </w:p>
          <w:p w14:paraId="640FD33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snapToGrid w:val="0"/>
                <w:color w:val="000000"/>
                <w:spacing w:val="0"/>
                <w:kern w:val="0"/>
                <w:sz w:val="24"/>
                <w:szCs w:val="24"/>
              </w:rPr>
            </w:pPr>
            <w:r>
              <w:rPr>
                <w:rFonts w:hint="default" w:ascii="Times New Roman" w:hAnsi="Times New Roman" w:eastAsia="宋体" w:cs="Times New Roman"/>
                <w:snapToGrid w:val="0"/>
                <w:color w:val="000000"/>
                <w:spacing w:val="0"/>
                <w:kern w:val="0"/>
                <w:sz w:val="24"/>
                <w:szCs w:val="24"/>
              </w:rPr>
              <w:sym w:font="Wingdings" w:char="00A8"/>
            </w:r>
            <w:r>
              <w:rPr>
                <w:rFonts w:hint="default" w:ascii="Times New Roman" w:hAnsi="Times New Roman" w:eastAsia="宋体" w:cs="Times New Roman"/>
                <w:snapToGrid w:val="0"/>
                <w:color w:val="000000"/>
                <w:spacing w:val="0"/>
                <w:kern w:val="0"/>
                <w:sz w:val="24"/>
                <w:szCs w:val="24"/>
              </w:rPr>
              <w:t>超五年重新审核项目</w:t>
            </w:r>
          </w:p>
          <w:p w14:paraId="3B9B5AD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snapToGrid w:val="0"/>
                <w:color w:val="000000"/>
                <w:spacing w:val="0"/>
                <w:kern w:val="0"/>
                <w:sz w:val="24"/>
                <w:szCs w:val="24"/>
              </w:rPr>
            </w:pPr>
            <w:r>
              <w:rPr>
                <w:rFonts w:hint="default" w:ascii="Times New Roman" w:hAnsi="Times New Roman" w:eastAsia="宋体" w:cs="Times New Roman"/>
                <w:snapToGrid w:val="0"/>
                <w:color w:val="000000"/>
                <w:spacing w:val="0"/>
                <w:kern w:val="0"/>
                <w:sz w:val="24"/>
                <w:szCs w:val="24"/>
              </w:rPr>
              <w:sym w:font="Wingdings" w:char="00A8"/>
            </w:r>
            <w:r>
              <w:rPr>
                <w:rFonts w:hint="default" w:ascii="Times New Roman" w:hAnsi="Times New Roman" w:eastAsia="宋体" w:cs="Times New Roman"/>
                <w:snapToGrid w:val="0"/>
                <w:color w:val="000000"/>
                <w:spacing w:val="0"/>
                <w:kern w:val="0"/>
                <w:sz w:val="24"/>
                <w:szCs w:val="24"/>
              </w:rPr>
              <w:t>重大变动重新报批项目</w:t>
            </w:r>
          </w:p>
        </w:tc>
      </w:tr>
      <w:tr w14:paraId="63E6A0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484" w:type="dxa"/>
            <w:tcBorders>
              <w:tl2br w:val="nil"/>
              <w:tr2bl w:val="nil"/>
            </w:tcBorders>
            <w:noWrap w:val="0"/>
            <w:tcMar>
              <w:top w:w="16" w:type="dxa"/>
              <w:left w:w="16" w:type="dxa"/>
              <w:right w:w="16" w:type="dxa"/>
            </w:tcMar>
            <w:vAlign w:val="center"/>
          </w:tcPr>
          <w:p w14:paraId="405591A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snapToGrid w:val="0"/>
                <w:color w:val="000000"/>
                <w:spacing w:val="0"/>
                <w:kern w:val="0"/>
                <w:sz w:val="24"/>
                <w:szCs w:val="24"/>
              </w:rPr>
            </w:pPr>
            <w:r>
              <w:rPr>
                <w:rFonts w:hint="default" w:ascii="Times New Roman" w:hAnsi="Times New Roman" w:eastAsia="宋体" w:cs="Times New Roman"/>
                <w:b/>
                <w:bCs/>
                <w:snapToGrid w:val="0"/>
                <w:color w:val="000000"/>
                <w:spacing w:val="0"/>
                <w:kern w:val="0"/>
                <w:sz w:val="24"/>
                <w:szCs w:val="24"/>
              </w:rPr>
              <w:t>项目审批部门</w:t>
            </w:r>
          </w:p>
        </w:tc>
        <w:tc>
          <w:tcPr>
            <w:tcW w:w="2672" w:type="dxa"/>
            <w:tcBorders>
              <w:tl2br w:val="nil"/>
              <w:tr2bl w:val="nil"/>
            </w:tcBorders>
            <w:noWrap w:val="0"/>
            <w:vAlign w:val="center"/>
          </w:tcPr>
          <w:p w14:paraId="433FF7D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color w:val="000000"/>
                <w:spacing w:val="0"/>
                <w:kern w:val="0"/>
                <w:sz w:val="24"/>
                <w:szCs w:val="24"/>
                <w:lang w:val="en-US" w:eastAsia="zh-CN"/>
              </w:rPr>
            </w:pPr>
            <w:r>
              <w:rPr>
                <w:rFonts w:hint="eastAsia" w:cs="Times New Roman"/>
                <w:snapToGrid w:val="0"/>
                <w:color w:val="000000"/>
                <w:spacing w:val="0"/>
                <w:kern w:val="0"/>
                <w:sz w:val="24"/>
                <w:szCs w:val="24"/>
                <w:highlight w:val="none"/>
                <w:lang w:val="en-US" w:eastAsia="zh-CN"/>
              </w:rPr>
              <w:t>无</w:t>
            </w:r>
          </w:p>
        </w:tc>
        <w:tc>
          <w:tcPr>
            <w:tcW w:w="1710" w:type="dxa"/>
            <w:tcBorders>
              <w:tl2br w:val="nil"/>
              <w:tr2bl w:val="nil"/>
            </w:tcBorders>
            <w:noWrap w:val="0"/>
            <w:vAlign w:val="center"/>
          </w:tcPr>
          <w:p w14:paraId="5014CB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snapToGrid w:val="0"/>
                <w:color w:val="000000"/>
                <w:spacing w:val="0"/>
                <w:kern w:val="0"/>
                <w:sz w:val="24"/>
                <w:szCs w:val="24"/>
              </w:rPr>
            </w:pPr>
            <w:r>
              <w:rPr>
                <w:rFonts w:hint="default" w:ascii="Times New Roman" w:hAnsi="Times New Roman" w:eastAsia="宋体" w:cs="Times New Roman"/>
                <w:b/>
                <w:bCs/>
                <w:snapToGrid w:val="0"/>
                <w:color w:val="000000"/>
                <w:spacing w:val="0"/>
                <w:kern w:val="0"/>
                <w:sz w:val="24"/>
                <w:szCs w:val="24"/>
              </w:rPr>
              <w:t>项目审批文号</w:t>
            </w:r>
          </w:p>
        </w:tc>
        <w:tc>
          <w:tcPr>
            <w:tcW w:w="3009" w:type="dxa"/>
            <w:tcBorders>
              <w:tl2br w:val="nil"/>
              <w:tr2bl w:val="nil"/>
            </w:tcBorders>
            <w:noWrap w:val="0"/>
            <w:vAlign w:val="center"/>
          </w:tcPr>
          <w:p w14:paraId="35834B3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color w:val="000000"/>
                <w:spacing w:val="0"/>
                <w:kern w:val="0"/>
                <w:sz w:val="24"/>
                <w:szCs w:val="24"/>
              </w:rPr>
            </w:pPr>
            <w:r>
              <w:rPr>
                <w:rFonts w:hint="eastAsia" w:cs="Times New Roman"/>
                <w:snapToGrid w:val="0"/>
                <w:color w:val="000000"/>
                <w:spacing w:val="0"/>
                <w:kern w:val="0"/>
                <w:sz w:val="24"/>
                <w:szCs w:val="24"/>
                <w:highlight w:val="none"/>
                <w:lang w:val="en-US" w:eastAsia="zh-CN"/>
              </w:rPr>
              <w:t>无</w:t>
            </w:r>
          </w:p>
        </w:tc>
      </w:tr>
      <w:tr w14:paraId="0BE1E7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484" w:type="dxa"/>
            <w:tcBorders>
              <w:tl2br w:val="nil"/>
              <w:tr2bl w:val="nil"/>
            </w:tcBorders>
            <w:noWrap w:val="0"/>
            <w:tcMar>
              <w:top w:w="16" w:type="dxa"/>
              <w:left w:w="16" w:type="dxa"/>
              <w:right w:w="16" w:type="dxa"/>
            </w:tcMar>
            <w:vAlign w:val="center"/>
          </w:tcPr>
          <w:p w14:paraId="37F418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snapToGrid w:val="0"/>
                <w:color w:val="000000"/>
                <w:spacing w:val="0"/>
                <w:kern w:val="0"/>
                <w:sz w:val="24"/>
                <w:szCs w:val="24"/>
                <w:highlight w:val="none"/>
              </w:rPr>
            </w:pPr>
            <w:r>
              <w:rPr>
                <w:rFonts w:hint="default" w:ascii="Times New Roman" w:hAnsi="Times New Roman" w:eastAsia="宋体" w:cs="Times New Roman"/>
                <w:b/>
                <w:bCs/>
                <w:snapToGrid w:val="0"/>
                <w:color w:val="000000"/>
                <w:spacing w:val="0"/>
                <w:kern w:val="0"/>
                <w:sz w:val="24"/>
                <w:szCs w:val="24"/>
                <w:highlight w:val="none"/>
              </w:rPr>
              <w:t>总投资（万元）</w:t>
            </w:r>
          </w:p>
        </w:tc>
        <w:tc>
          <w:tcPr>
            <w:tcW w:w="2672" w:type="dxa"/>
            <w:tcBorders>
              <w:tl2br w:val="nil"/>
              <w:tr2bl w:val="nil"/>
            </w:tcBorders>
            <w:noWrap w:val="0"/>
            <w:vAlign w:val="center"/>
          </w:tcPr>
          <w:p w14:paraId="39DBF68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color w:val="000000"/>
                <w:spacing w:val="0"/>
                <w:kern w:val="0"/>
                <w:sz w:val="24"/>
                <w:szCs w:val="24"/>
                <w:highlight w:val="yellow"/>
                <w:lang w:val="en-US" w:eastAsia="zh-CN"/>
              </w:rPr>
            </w:pPr>
            <w:r>
              <w:rPr>
                <w:rFonts w:hint="eastAsia" w:cs="Times New Roman"/>
                <w:snapToGrid w:val="0"/>
                <w:color w:val="000000"/>
                <w:spacing w:val="0"/>
                <w:kern w:val="0"/>
                <w:sz w:val="24"/>
                <w:szCs w:val="24"/>
                <w:highlight w:val="none"/>
                <w:lang w:val="en-US" w:eastAsia="zh-CN"/>
              </w:rPr>
              <w:t>30</w:t>
            </w:r>
          </w:p>
        </w:tc>
        <w:tc>
          <w:tcPr>
            <w:tcW w:w="1710" w:type="dxa"/>
            <w:tcBorders>
              <w:tl2br w:val="nil"/>
              <w:tr2bl w:val="nil"/>
            </w:tcBorders>
            <w:noWrap w:val="0"/>
            <w:tcMar>
              <w:top w:w="16" w:type="dxa"/>
              <w:left w:w="16" w:type="dxa"/>
              <w:right w:w="16" w:type="dxa"/>
            </w:tcMar>
            <w:vAlign w:val="center"/>
          </w:tcPr>
          <w:p w14:paraId="5217FD6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snapToGrid w:val="0"/>
                <w:color w:val="000000"/>
                <w:spacing w:val="0"/>
                <w:kern w:val="0"/>
                <w:sz w:val="24"/>
                <w:szCs w:val="24"/>
                <w:highlight w:val="yellow"/>
              </w:rPr>
            </w:pPr>
            <w:r>
              <w:rPr>
                <w:rFonts w:hint="default" w:ascii="Times New Roman" w:hAnsi="Times New Roman" w:eastAsia="宋体" w:cs="Times New Roman"/>
                <w:b/>
                <w:bCs/>
                <w:snapToGrid w:val="0"/>
                <w:color w:val="000000"/>
                <w:spacing w:val="0"/>
                <w:kern w:val="0"/>
                <w:sz w:val="24"/>
                <w:szCs w:val="24"/>
                <w:highlight w:val="none"/>
              </w:rPr>
              <w:t>环保投资（万元）</w:t>
            </w:r>
          </w:p>
        </w:tc>
        <w:tc>
          <w:tcPr>
            <w:tcW w:w="3009" w:type="dxa"/>
            <w:tcBorders>
              <w:tl2br w:val="nil"/>
              <w:tr2bl w:val="nil"/>
            </w:tcBorders>
            <w:noWrap w:val="0"/>
            <w:vAlign w:val="center"/>
          </w:tcPr>
          <w:p w14:paraId="5400770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color w:val="000000"/>
                <w:spacing w:val="0"/>
                <w:kern w:val="0"/>
                <w:sz w:val="24"/>
                <w:szCs w:val="24"/>
                <w:highlight w:val="yellow"/>
                <w:lang w:val="en-US" w:eastAsia="zh-CN"/>
              </w:rPr>
            </w:pPr>
            <w:r>
              <w:rPr>
                <w:rFonts w:hint="eastAsia" w:cs="Times New Roman"/>
                <w:snapToGrid w:val="0"/>
                <w:color w:val="000000"/>
                <w:spacing w:val="0"/>
                <w:kern w:val="0"/>
                <w:sz w:val="24"/>
                <w:szCs w:val="24"/>
                <w:highlight w:val="none"/>
                <w:lang w:val="en-US" w:eastAsia="zh-CN"/>
              </w:rPr>
              <w:t>3.5</w:t>
            </w:r>
          </w:p>
        </w:tc>
      </w:tr>
      <w:tr w14:paraId="0E4299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484" w:type="dxa"/>
            <w:tcBorders>
              <w:tl2br w:val="nil"/>
              <w:tr2bl w:val="nil"/>
            </w:tcBorders>
            <w:noWrap w:val="0"/>
            <w:tcMar>
              <w:top w:w="16" w:type="dxa"/>
              <w:left w:w="16" w:type="dxa"/>
              <w:right w:w="16" w:type="dxa"/>
            </w:tcMar>
            <w:vAlign w:val="center"/>
          </w:tcPr>
          <w:p w14:paraId="18390D0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snapToGrid w:val="0"/>
                <w:color w:val="000000"/>
                <w:spacing w:val="0"/>
                <w:kern w:val="0"/>
                <w:sz w:val="24"/>
                <w:szCs w:val="24"/>
                <w:highlight w:val="yellow"/>
              </w:rPr>
            </w:pPr>
            <w:r>
              <w:rPr>
                <w:rFonts w:hint="default" w:ascii="Times New Roman" w:hAnsi="Times New Roman" w:eastAsia="宋体" w:cs="Times New Roman"/>
                <w:b/>
                <w:bCs/>
                <w:snapToGrid w:val="0"/>
                <w:color w:val="000000"/>
                <w:spacing w:val="0"/>
                <w:kern w:val="0"/>
                <w:sz w:val="24"/>
                <w:szCs w:val="24"/>
                <w:highlight w:val="none"/>
              </w:rPr>
              <w:t>环保投资占比（%）</w:t>
            </w:r>
          </w:p>
        </w:tc>
        <w:tc>
          <w:tcPr>
            <w:tcW w:w="2672" w:type="dxa"/>
            <w:tcBorders>
              <w:tl2br w:val="nil"/>
              <w:tr2bl w:val="nil"/>
            </w:tcBorders>
            <w:noWrap w:val="0"/>
            <w:vAlign w:val="center"/>
          </w:tcPr>
          <w:p w14:paraId="1C28559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color w:val="000000"/>
                <w:spacing w:val="0"/>
                <w:kern w:val="0"/>
                <w:sz w:val="24"/>
                <w:szCs w:val="24"/>
                <w:highlight w:val="yellow"/>
                <w:lang w:val="en-US" w:eastAsia="zh-CN"/>
              </w:rPr>
            </w:pPr>
            <w:r>
              <w:rPr>
                <w:rFonts w:hint="eastAsia" w:cs="Times New Roman"/>
                <w:snapToGrid w:val="0"/>
                <w:color w:val="000000"/>
                <w:spacing w:val="0"/>
                <w:kern w:val="0"/>
                <w:sz w:val="24"/>
                <w:szCs w:val="24"/>
                <w:highlight w:val="none"/>
                <w:lang w:val="en-US" w:eastAsia="zh-CN"/>
              </w:rPr>
              <w:t>11.6</w:t>
            </w:r>
          </w:p>
        </w:tc>
        <w:tc>
          <w:tcPr>
            <w:tcW w:w="1710" w:type="dxa"/>
            <w:tcBorders>
              <w:tl2br w:val="nil"/>
              <w:tr2bl w:val="nil"/>
            </w:tcBorders>
            <w:noWrap w:val="0"/>
            <w:tcMar>
              <w:top w:w="16" w:type="dxa"/>
              <w:left w:w="16" w:type="dxa"/>
              <w:right w:w="16" w:type="dxa"/>
            </w:tcMar>
            <w:vAlign w:val="center"/>
          </w:tcPr>
          <w:p w14:paraId="6042105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snapToGrid w:val="0"/>
                <w:color w:val="000000"/>
                <w:spacing w:val="0"/>
                <w:kern w:val="0"/>
                <w:sz w:val="24"/>
                <w:szCs w:val="24"/>
                <w:highlight w:val="none"/>
              </w:rPr>
            </w:pPr>
            <w:r>
              <w:rPr>
                <w:rFonts w:hint="default" w:ascii="Times New Roman" w:hAnsi="Times New Roman" w:eastAsia="宋体" w:cs="Times New Roman"/>
                <w:b/>
                <w:bCs/>
                <w:snapToGrid w:val="0"/>
                <w:color w:val="000000"/>
                <w:spacing w:val="0"/>
                <w:kern w:val="0"/>
                <w:sz w:val="24"/>
                <w:szCs w:val="24"/>
                <w:highlight w:val="none"/>
              </w:rPr>
              <w:t>施工工期</w:t>
            </w:r>
          </w:p>
        </w:tc>
        <w:tc>
          <w:tcPr>
            <w:tcW w:w="3009" w:type="dxa"/>
            <w:tcBorders>
              <w:tl2br w:val="nil"/>
              <w:tr2bl w:val="nil"/>
            </w:tcBorders>
            <w:noWrap w:val="0"/>
            <w:vAlign w:val="center"/>
          </w:tcPr>
          <w:p w14:paraId="11C0B75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color w:val="000000"/>
                <w:spacing w:val="0"/>
                <w:kern w:val="0"/>
                <w:sz w:val="24"/>
                <w:szCs w:val="24"/>
                <w:highlight w:val="none"/>
                <w:lang w:val="en-US" w:eastAsia="zh-CN"/>
              </w:rPr>
            </w:pPr>
            <w:r>
              <w:rPr>
                <w:rFonts w:hint="eastAsia" w:cs="Times New Roman"/>
                <w:snapToGrid w:val="0"/>
                <w:color w:val="000000"/>
                <w:spacing w:val="0"/>
                <w:kern w:val="0"/>
                <w:sz w:val="24"/>
                <w:szCs w:val="24"/>
                <w:highlight w:val="none"/>
                <w:lang w:val="en-US" w:eastAsia="zh-CN"/>
              </w:rPr>
              <w:t>无</w:t>
            </w:r>
          </w:p>
        </w:tc>
      </w:tr>
      <w:tr w14:paraId="607E4C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484" w:type="dxa"/>
            <w:tcBorders>
              <w:tl2br w:val="nil"/>
              <w:tr2bl w:val="nil"/>
            </w:tcBorders>
            <w:noWrap w:val="0"/>
            <w:tcMar>
              <w:top w:w="16" w:type="dxa"/>
              <w:left w:w="16" w:type="dxa"/>
              <w:right w:w="16" w:type="dxa"/>
            </w:tcMar>
            <w:vAlign w:val="center"/>
          </w:tcPr>
          <w:p w14:paraId="46FA3F0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snapToGrid w:val="0"/>
                <w:color w:val="000000"/>
                <w:spacing w:val="0"/>
                <w:kern w:val="0"/>
                <w:sz w:val="24"/>
                <w:szCs w:val="24"/>
              </w:rPr>
            </w:pPr>
            <w:r>
              <w:rPr>
                <w:rFonts w:hint="default" w:ascii="Times New Roman" w:hAnsi="Times New Roman" w:eastAsia="宋体" w:cs="Times New Roman"/>
                <w:b/>
                <w:bCs/>
                <w:snapToGrid w:val="0"/>
                <w:color w:val="000000"/>
                <w:spacing w:val="0"/>
                <w:kern w:val="0"/>
                <w:sz w:val="24"/>
                <w:szCs w:val="24"/>
              </w:rPr>
              <w:t>是否开工建设</w:t>
            </w:r>
          </w:p>
        </w:tc>
        <w:tc>
          <w:tcPr>
            <w:tcW w:w="2672" w:type="dxa"/>
            <w:tcBorders>
              <w:tl2br w:val="nil"/>
              <w:tr2bl w:val="nil"/>
            </w:tcBorders>
            <w:noWrap w:val="0"/>
            <w:vAlign w:val="center"/>
          </w:tcPr>
          <w:p w14:paraId="6D368A4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snapToGrid w:val="0"/>
                <w:color w:val="000000"/>
                <w:spacing w:val="0"/>
                <w:kern w:val="0"/>
                <w:sz w:val="24"/>
                <w:szCs w:val="24"/>
                <w:highlight w:val="none"/>
              </w:rPr>
            </w:pPr>
            <w:r>
              <w:rPr>
                <w:rFonts w:hint="default" w:ascii="Times New Roman" w:hAnsi="Times New Roman" w:eastAsia="宋体" w:cs="Times New Roman"/>
                <w:snapToGrid w:val="0"/>
                <w:color w:val="000000"/>
                <w:spacing w:val="0"/>
                <w:kern w:val="0"/>
                <w:sz w:val="24"/>
                <w:szCs w:val="24"/>
                <w:highlight w:val="none"/>
              </w:rPr>
              <w:sym w:font="Wingdings" w:char="00A8"/>
            </w:r>
            <w:r>
              <w:rPr>
                <w:rFonts w:hint="default" w:ascii="Times New Roman" w:hAnsi="Times New Roman" w:eastAsia="宋体" w:cs="Times New Roman"/>
                <w:snapToGrid w:val="0"/>
                <w:color w:val="000000"/>
                <w:spacing w:val="0"/>
                <w:kern w:val="0"/>
                <w:sz w:val="24"/>
                <w:szCs w:val="24"/>
                <w:highlight w:val="none"/>
              </w:rPr>
              <w:t>否</w:t>
            </w:r>
          </w:p>
          <w:p w14:paraId="58B6093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both"/>
              <w:textAlignment w:val="auto"/>
              <w:rPr>
                <w:rFonts w:hint="default"/>
                <w:lang w:val="en-US" w:eastAsia="zh-CN"/>
              </w:rPr>
            </w:pPr>
            <w:r>
              <w:rPr>
                <w:rFonts w:hint="default" w:ascii="Times New Roman" w:hAnsi="Times New Roman" w:eastAsia="宋体" w:cs="Times New Roman"/>
                <w:snapToGrid w:val="0"/>
                <w:color w:val="000000"/>
                <w:spacing w:val="0"/>
                <w:kern w:val="0"/>
                <w:sz w:val="24"/>
                <w:szCs w:val="24"/>
                <w:highlight w:val="none"/>
              </w:rPr>
              <w:sym w:font="Wingdings" w:char="00FE"/>
            </w:r>
            <w:r>
              <w:rPr>
                <w:rFonts w:hint="default" w:ascii="Times New Roman" w:hAnsi="Times New Roman" w:eastAsia="宋体" w:cs="Times New Roman"/>
                <w:snapToGrid w:val="0"/>
                <w:color w:val="000000"/>
                <w:spacing w:val="0"/>
                <w:kern w:val="0"/>
                <w:sz w:val="24"/>
                <w:szCs w:val="24"/>
                <w:highlight w:val="none"/>
              </w:rPr>
              <w:t>是：</w:t>
            </w:r>
            <w:r>
              <w:rPr>
                <w:rFonts w:hint="eastAsia" w:cs="Times New Roman"/>
                <w:snapToGrid w:val="0"/>
                <w:color w:val="000000"/>
                <w:spacing w:val="0"/>
                <w:kern w:val="0"/>
                <w:sz w:val="24"/>
                <w:szCs w:val="24"/>
                <w:highlight w:val="none"/>
                <w:u w:val="single"/>
                <w:lang w:val="en-US" w:eastAsia="zh-CN"/>
              </w:rPr>
              <w:t xml:space="preserve">本项目于2020年12月开工建设，2021年2月建设完成，目前未受到处罚。                </w:t>
            </w:r>
            <w:r>
              <w:rPr>
                <w:rFonts w:hint="default" w:ascii="Times New Roman" w:hAnsi="Times New Roman" w:eastAsia="宋体" w:cs="Times New Roman"/>
                <w:snapToGrid w:val="0"/>
                <w:color w:val="000000"/>
                <w:spacing w:val="0"/>
                <w:kern w:val="0"/>
                <w:sz w:val="24"/>
                <w:szCs w:val="24"/>
                <w:highlight w:val="none"/>
                <w:u w:val="single"/>
                <w:lang w:val="en-US" w:eastAsia="zh-CN"/>
              </w:rPr>
              <w:t xml:space="preserve"> </w:t>
            </w:r>
          </w:p>
        </w:tc>
        <w:tc>
          <w:tcPr>
            <w:tcW w:w="1710" w:type="dxa"/>
            <w:tcBorders>
              <w:tl2br w:val="nil"/>
              <w:tr2bl w:val="nil"/>
            </w:tcBorders>
            <w:noWrap w:val="0"/>
            <w:tcMar>
              <w:top w:w="16" w:type="dxa"/>
              <w:left w:w="16" w:type="dxa"/>
              <w:right w:w="16" w:type="dxa"/>
            </w:tcMar>
            <w:vAlign w:val="center"/>
          </w:tcPr>
          <w:p w14:paraId="35F9ACF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snapToGrid w:val="0"/>
                <w:color w:val="000000"/>
                <w:spacing w:val="0"/>
                <w:kern w:val="0"/>
                <w:sz w:val="24"/>
                <w:szCs w:val="24"/>
                <w:highlight w:val="none"/>
              </w:rPr>
            </w:pPr>
            <w:r>
              <w:rPr>
                <w:rFonts w:hint="default" w:ascii="Times New Roman" w:hAnsi="Times New Roman" w:eastAsia="宋体" w:cs="Times New Roman"/>
                <w:b/>
                <w:bCs/>
                <w:snapToGrid w:val="0"/>
                <w:color w:val="000000"/>
                <w:spacing w:val="0"/>
                <w:kern w:val="0"/>
                <w:sz w:val="24"/>
                <w:szCs w:val="24"/>
                <w:highlight w:val="none"/>
              </w:rPr>
              <w:t>用地（用海）</w:t>
            </w:r>
          </w:p>
          <w:p w14:paraId="480619F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snapToGrid w:val="0"/>
                <w:color w:val="000000"/>
                <w:spacing w:val="0"/>
                <w:kern w:val="0"/>
                <w:sz w:val="24"/>
                <w:szCs w:val="24"/>
                <w:highlight w:val="none"/>
              </w:rPr>
            </w:pPr>
            <w:r>
              <w:rPr>
                <w:rFonts w:hint="default" w:ascii="Times New Roman" w:hAnsi="Times New Roman" w:eastAsia="宋体" w:cs="Times New Roman"/>
                <w:b/>
                <w:bCs/>
                <w:snapToGrid w:val="0"/>
                <w:color w:val="000000"/>
                <w:spacing w:val="0"/>
                <w:kern w:val="0"/>
                <w:sz w:val="24"/>
                <w:szCs w:val="24"/>
                <w:highlight w:val="none"/>
              </w:rPr>
              <w:t>面积（m</w:t>
            </w:r>
            <w:r>
              <w:rPr>
                <w:rFonts w:hint="default" w:ascii="Times New Roman" w:hAnsi="Times New Roman" w:eastAsia="宋体" w:cs="Times New Roman"/>
                <w:b/>
                <w:bCs/>
                <w:snapToGrid w:val="0"/>
                <w:color w:val="000000"/>
                <w:spacing w:val="0"/>
                <w:kern w:val="0"/>
                <w:sz w:val="24"/>
                <w:szCs w:val="24"/>
                <w:highlight w:val="none"/>
                <w:vertAlign w:val="superscript"/>
              </w:rPr>
              <w:t>2</w:t>
            </w:r>
            <w:r>
              <w:rPr>
                <w:rFonts w:hint="default" w:ascii="Times New Roman" w:hAnsi="Times New Roman" w:eastAsia="宋体" w:cs="Times New Roman"/>
                <w:b/>
                <w:bCs/>
                <w:snapToGrid w:val="0"/>
                <w:color w:val="000000"/>
                <w:spacing w:val="0"/>
                <w:kern w:val="0"/>
                <w:sz w:val="24"/>
                <w:szCs w:val="24"/>
                <w:highlight w:val="none"/>
              </w:rPr>
              <w:t>）</w:t>
            </w:r>
          </w:p>
        </w:tc>
        <w:tc>
          <w:tcPr>
            <w:tcW w:w="3009" w:type="dxa"/>
            <w:tcBorders>
              <w:tl2br w:val="nil"/>
              <w:tr2bl w:val="nil"/>
            </w:tcBorders>
            <w:noWrap w:val="0"/>
            <w:vAlign w:val="center"/>
          </w:tcPr>
          <w:p w14:paraId="2DC8C2D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color w:val="000000"/>
                <w:spacing w:val="0"/>
                <w:kern w:val="0"/>
                <w:sz w:val="24"/>
                <w:szCs w:val="24"/>
                <w:highlight w:val="none"/>
                <w:lang w:val="en-US" w:eastAsia="zh-CN"/>
              </w:rPr>
            </w:pPr>
            <w:r>
              <w:rPr>
                <w:rFonts w:hint="eastAsia" w:cs="Times New Roman"/>
                <w:snapToGrid w:val="0"/>
                <w:color w:val="000000"/>
                <w:spacing w:val="0"/>
                <w:kern w:val="0"/>
                <w:sz w:val="24"/>
                <w:szCs w:val="24"/>
                <w:highlight w:val="none"/>
                <w:lang w:val="en-US" w:eastAsia="zh-CN"/>
              </w:rPr>
              <w:t>175.54</w:t>
            </w:r>
            <w:r>
              <w:rPr>
                <w:rFonts w:hint="default" w:ascii="Times New Roman" w:hAnsi="Times New Roman" w:eastAsia="宋体" w:cs="Times New Roman"/>
                <w:b w:val="0"/>
                <w:bCs w:val="0"/>
                <w:snapToGrid w:val="0"/>
                <w:color w:val="000000"/>
                <w:spacing w:val="0"/>
                <w:kern w:val="0"/>
                <w:sz w:val="24"/>
                <w:szCs w:val="24"/>
                <w:highlight w:val="none"/>
              </w:rPr>
              <w:t>m</w:t>
            </w:r>
            <w:r>
              <w:rPr>
                <w:rFonts w:hint="default" w:ascii="Times New Roman" w:hAnsi="Times New Roman" w:eastAsia="宋体" w:cs="Times New Roman"/>
                <w:b w:val="0"/>
                <w:bCs w:val="0"/>
                <w:snapToGrid w:val="0"/>
                <w:color w:val="000000"/>
                <w:spacing w:val="0"/>
                <w:kern w:val="0"/>
                <w:sz w:val="24"/>
                <w:szCs w:val="24"/>
                <w:highlight w:val="none"/>
                <w:vertAlign w:val="superscript"/>
              </w:rPr>
              <w:t>2</w:t>
            </w:r>
          </w:p>
        </w:tc>
      </w:tr>
      <w:tr w14:paraId="0F0661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84" w:type="dxa"/>
            <w:tcBorders>
              <w:tl2br w:val="nil"/>
              <w:tr2bl w:val="nil"/>
            </w:tcBorders>
            <w:noWrap w:val="0"/>
            <w:vAlign w:val="center"/>
          </w:tcPr>
          <w:p w14:paraId="134B547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snapToGrid w:val="0"/>
                <w:color w:val="000000"/>
                <w:spacing w:val="0"/>
                <w:kern w:val="0"/>
                <w:sz w:val="24"/>
                <w:szCs w:val="24"/>
              </w:rPr>
            </w:pPr>
            <w:r>
              <w:rPr>
                <w:rFonts w:hint="eastAsia" w:ascii="宋体" w:hAnsi="宋体" w:eastAsia="宋体" w:cs="宋体"/>
                <w:b/>
                <w:bCs/>
                <w:snapToGrid w:val="0"/>
                <w:color w:val="000000"/>
                <w:spacing w:val="0"/>
                <w:kern w:val="0"/>
                <w:sz w:val="24"/>
                <w:szCs w:val="24"/>
              </w:rPr>
              <w:t>专项评价</w:t>
            </w:r>
          </w:p>
          <w:p w14:paraId="41CCD4F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snapToGrid w:val="0"/>
                <w:color w:val="000000"/>
                <w:spacing w:val="0"/>
                <w:kern w:val="0"/>
                <w:sz w:val="24"/>
                <w:szCs w:val="24"/>
              </w:rPr>
            </w:pPr>
            <w:r>
              <w:rPr>
                <w:rFonts w:hint="eastAsia" w:ascii="宋体" w:hAnsi="宋体" w:eastAsia="宋体" w:cs="宋体"/>
                <w:b/>
                <w:bCs/>
                <w:snapToGrid w:val="0"/>
                <w:color w:val="000000"/>
                <w:spacing w:val="0"/>
                <w:kern w:val="0"/>
                <w:sz w:val="24"/>
                <w:szCs w:val="24"/>
              </w:rPr>
              <w:t>设置情况</w:t>
            </w:r>
          </w:p>
        </w:tc>
        <w:tc>
          <w:tcPr>
            <w:tcW w:w="7391" w:type="dxa"/>
            <w:gridSpan w:val="3"/>
            <w:tcBorders>
              <w:tl2br w:val="nil"/>
              <w:tr2bl w:val="nil"/>
            </w:tcBorders>
            <w:noWrap w:val="0"/>
            <w:vAlign w:val="center"/>
          </w:tcPr>
          <w:p w14:paraId="13A9419C">
            <w:pPr>
              <w:keepNext w:val="0"/>
              <w:keepLines w:val="0"/>
              <w:suppressLineNumbers w:val="0"/>
              <w:autoSpaceDE w:val="0"/>
              <w:autoSpaceDN w:val="0"/>
              <w:adjustRightInd w:val="0"/>
              <w:snapToGrid w:val="0"/>
              <w:spacing w:before="0" w:beforeAutospacing="0" w:after="0" w:afterAutospacing="0"/>
              <w:ind w:left="0" w:right="0" w:firstLine="480" w:firstLineChars="200"/>
              <w:jc w:val="center"/>
              <w:rPr>
                <w:rFonts w:hint="eastAsia" w:ascii="宋体" w:hAnsi="宋体" w:eastAsia="宋体" w:cs="宋体"/>
                <w:snapToGrid w:val="0"/>
                <w:color w:val="000000"/>
                <w:spacing w:val="0"/>
                <w:kern w:val="0"/>
                <w:sz w:val="24"/>
                <w:szCs w:val="24"/>
                <w:lang w:eastAsia="zh-CN"/>
              </w:rPr>
            </w:pPr>
            <w:r>
              <w:rPr>
                <w:rFonts w:hint="default" w:ascii="Times New Roman" w:hAnsi="Times New Roman" w:eastAsia="宋体" w:cs="Times New Roman"/>
                <w:kern w:val="0"/>
                <w:sz w:val="24"/>
                <w:szCs w:val="24"/>
                <w:lang w:val="en-US" w:eastAsia="zh-CN"/>
              </w:rPr>
              <w:t>无</w:t>
            </w:r>
          </w:p>
        </w:tc>
      </w:tr>
      <w:tr w14:paraId="5DFADE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84" w:type="dxa"/>
            <w:tcBorders>
              <w:tl2br w:val="nil"/>
              <w:tr2bl w:val="nil"/>
            </w:tcBorders>
            <w:noWrap w:val="0"/>
            <w:vAlign w:val="center"/>
          </w:tcPr>
          <w:p w14:paraId="0C37DD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snapToGrid w:val="0"/>
                <w:color w:val="000000"/>
                <w:spacing w:val="0"/>
                <w:kern w:val="0"/>
                <w:sz w:val="24"/>
                <w:szCs w:val="24"/>
              </w:rPr>
            </w:pPr>
            <w:r>
              <w:rPr>
                <w:rFonts w:hint="eastAsia" w:ascii="宋体" w:hAnsi="宋体" w:eastAsia="宋体" w:cs="宋体"/>
                <w:b/>
                <w:bCs/>
                <w:snapToGrid w:val="0"/>
                <w:color w:val="000000"/>
                <w:spacing w:val="0"/>
                <w:kern w:val="0"/>
                <w:sz w:val="24"/>
                <w:szCs w:val="24"/>
              </w:rPr>
              <w:t>规划情况</w:t>
            </w:r>
          </w:p>
        </w:tc>
        <w:tc>
          <w:tcPr>
            <w:tcW w:w="7391" w:type="dxa"/>
            <w:gridSpan w:val="3"/>
            <w:tcBorders>
              <w:tl2br w:val="nil"/>
              <w:tr2bl w:val="nil"/>
            </w:tcBorders>
            <w:noWrap w:val="0"/>
            <w:vAlign w:val="center"/>
          </w:tcPr>
          <w:p w14:paraId="053AD06C">
            <w:pPr>
              <w:keepNext w:val="0"/>
              <w:keepLines w:val="0"/>
              <w:suppressLineNumbers w:val="0"/>
              <w:autoSpaceDE w:val="0"/>
              <w:autoSpaceDN w:val="0"/>
              <w:adjustRightInd w:val="0"/>
              <w:snapToGrid w:val="0"/>
              <w:spacing w:before="0" w:beforeAutospacing="0" w:after="0" w:afterAutospacing="0"/>
              <w:ind w:left="0" w:right="0" w:firstLine="480" w:firstLineChars="200"/>
              <w:jc w:val="center"/>
              <w:rPr>
                <w:rFonts w:hint="default" w:ascii="Times New Roman" w:hAnsi="Times New Roman" w:eastAsia="宋体" w:cs="Times New Roman"/>
                <w:color w:val="000000"/>
                <w:lang w:eastAsia="zh-CN"/>
              </w:rPr>
            </w:pPr>
            <w:r>
              <w:rPr>
                <w:rFonts w:hint="default" w:ascii="Times New Roman" w:hAnsi="Times New Roman" w:eastAsia="宋体" w:cs="Times New Roman"/>
                <w:kern w:val="0"/>
                <w:sz w:val="24"/>
                <w:szCs w:val="24"/>
                <w:lang w:val="en-US" w:eastAsia="zh-CN"/>
              </w:rPr>
              <w:t>无</w:t>
            </w:r>
          </w:p>
        </w:tc>
      </w:tr>
      <w:tr w14:paraId="1629D9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84" w:type="dxa"/>
            <w:tcBorders>
              <w:tl2br w:val="nil"/>
              <w:tr2bl w:val="nil"/>
            </w:tcBorders>
            <w:noWrap w:val="0"/>
            <w:vAlign w:val="center"/>
          </w:tcPr>
          <w:p w14:paraId="499D1B8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snapToGrid w:val="0"/>
                <w:color w:val="000000"/>
                <w:spacing w:val="0"/>
                <w:kern w:val="0"/>
                <w:sz w:val="24"/>
                <w:szCs w:val="24"/>
              </w:rPr>
            </w:pPr>
            <w:r>
              <w:rPr>
                <w:rFonts w:hint="eastAsia" w:ascii="宋体" w:hAnsi="宋体" w:eastAsia="宋体" w:cs="宋体"/>
                <w:b/>
                <w:bCs/>
                <w:snapToGrid w:val="0"/>
                <w:color w:val="000000"/>
                <w:spacing w:val="0"/>
                <w:kern w:val="0"/>
                <w:sz w:val="24"/>
                <w:szCs w:val="24"/>
              </w:rPr>
              <w:t>规划环境影响评价情况</w:t>
            </w:r>
          </w:p>
        </w:tc>
        <w:tc>
          <w:tcPr>
            <w:tcW w:w="7391" w:type="dxa"/>
            <w:gridSpan w:val="3"/>
            <w:tcBorders>
              <w:tl2br w:val="nil"/>
              <w:tr2bl w:val="nil"/>
            </w:tcBorders>
            <w:noWrap w:val="0"/>
            <w:vAlign w:val="center"/>
          </w:tcPr>
          <w:p w14:paraId="5DD9CFDD">
            <w:pPr>
              <w:keepNext w:val="0"/>
              <w:keepLines w:val="0"/>
              <w:suppressLineNumbers w:val="0"/>
              <w:autoSpaceDE w:val="0"/>
              <w:autoSpaceDN w:val="0"/>
              <w:adjustRightInd w:val="0"/>
              <w:snapToGrid w:val="0"/>
              <w:spacing w:before="0" w:beforeAutospacing="0" w:after="0" w:afterAutospacing="0"/>
              <w:ind w:left="0" w:right="0" w:firstLine="480" w:firstLineChars="200"/>
              <w:jc w:val="center"/>
              <w:rPr>
                <w:rFonts w:hint="default" w:ascii="Times New Roman" w:hAnsi="Times New Roman" w:eastAsia="宋体" w:cs="Times New Roman"/>
                <w:color w:val="000000"/>
                <w:kern w:val="0"/>
                <w:szCs w:val="24"/>
                <w:lang w:val="en-US" w:eastAsia="zh-CN" w:bidi="ar-SA"/>
              </w:rPr>
            </w:pPr>
            <w:r>
              <w:rPr>
                <w:rFonts w:hint="default" w:ascii="Times New Roman" w:hAnsi="Times New Roman" w:eastAsia="宋体" w:cs="Times New Roman"/>
                <w:kern w:val="0"/>
                <w:sz w:val="24"/>
                <w:szCs w:val="24"/>
                <w:lang w:val="en-US" w:eastAsia="zh-CN"/>
              </w:rPr>
              <w:t>无</w:t>
            </w:r>
          </w:p>
        </w:tc>
      </w:tr>
      <w:tr w14:paraId="2E590D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84" w:type="dxa"/>
            <w:tcBorders>
              <w:tl2br w:val="nil"/>
              <w:tr2bl w:val="nil"/>
            </w:tcBorders>
            <w:noWrap w:val="0"/>
            <w:vAlign w:val="center"/>
          </w:tcPr>
          <w:p w14:paraId="6B45D53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snapToGrid w:val="0"/>
                <w:color w:val="000000"/>
                <w:spacing w:val="0"/>
                <w:kern w:val="0"/>
                <w:sz w:val="24"/>
                <w:szCs w:val="24"/>
              </w:rPr>
            </w:pPr>
            <w:r>
              <w:rPr>
                <w:rFonts w:hint="eastAsia" w:ascii="宋体" w:hAnsi="宋体" w:eastAsia="宋体" w:cs="宋体"/>
                <w:b/>
                <w:bCs/>
                <w:snapToGrid w:val="0"/>
                <w:color w:val="000000"/>
                <w:spacing w:val="0"/>
                <w:kern w:val="0"/>
                <w:sz w:val="24"/>
                <w:szCs w:val="24"/>
              </w:rPr>
              <w:t>规划及规划环境</w:t>
            </w:r>
          </w:p>
          <w:p w14:paraId="7CD6643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snapToGrid w:val="0"/>
                <w:color w:val="000000"/>
                <w:spacing w:val="0"/>
                <w:kern w:val="0"/>
                <w:sz w:val="24"/>
                <w:szCs w:val="24"/>
              </w:rPr>
            </w:pPr>
            <w:r>
              <w:rPr>
                <w:rFonts w:hint="eastAsia" w:ascii="宋体" w:hAnsi="宋体" w:eastAsia="宋体" w:cs="宋体"/>
                <w:b/>
                <w:bCs/>
                <w:snapToGrid w:val="0"/>
                <w:color w:val="000000"/>
                <w:spacing w:val="0"/>
                <w:kern w:val="0"/>
                <w:sz w:val="24"/>
                <w:szCs w:val="24"/>
              </w:rPr>
              <w:t>影响评价符合性分析</w:t>
            </w:r>
          </w:p>
        </w:tc>
        <w:tc>
          <w:tcPr>
            <w:tcW w:w="7391" w:type="dxa"/>
            <w:gridSpan w:val="3"/>
            <w:tcBorders>
              <w:tl2br w:val="nil"/>
              <w:tr2bl w:val="nil"/>
            </w:tcBorders>
            <w:noWrap w:val="0"/>
            <w:vAlign w:val="center"/>
          </w:tcPr>
          <w:p w14:paraId="16CAFAC0">
            <w:pPr>
              <w:keepNext w:val="0"/>
              <w:keepLines w:val="0"/>
              <w:suppressLineNumbers w:val="0"/>
              <w:autoSpaceDE w:val="0"/>
              <w:autoSpaceDN w:val="0"/>
              <w:adjustRightInd w:val="0"/>
              <w:snapToGrid w:val="0"/>
              <w:spacing w:before="0" w:beforeAutospacing="0" w:after="0" w:afterAutospacing="0"/>
              <w:ind w:left="0" w:right="0" w:firstLine="480" w:firstLineChars="200"/>
              <w:jc w:val="center"/>
              <w:rPr>
                <w:rFonts w:hint="eastAsia" w:cs="Times New Roman"/>
                <w:color w:val="000000"/>
                <w:lang w:val="en-US" w:eastAsia="zh-CN"/>
              </w:rPr>
            </w:pPr>
            <w:r>
              <w:rPr>
                <w:rFonts w:hint="default" w:ascii="Times New Roman" w:hAnsi="Times New Roman" w:eastAsia="宋体" w:cs="Times New Roman"/>
                <w:kern w:val="0"/>
                <w:sz w:val="24"/>
                <w:szCs w:val="24"/>
                <w:lang w:val="en-US" w:eastAsia="zh-CN"/>
              </w:rPr>
              <w:t>无</w:t>
            </w:r>
          </w:p>
        </w:tc>
      </w:tr>
      <w:tr w14:paraId="3EC8C4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4" w:type="dxa"/>
            <w:tcBorders>
              <w:tl2br w:val="nil"/>
              <w:tr2bl w:val="nil"/>
            </w:tcBorders>
            <w:noWrap w:val="0"/>
            <w:vAlign w:val="center"/>
          </w:tcPr>
          <w:p w14:paraId="3E87DE4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snapToGrid w:val="0"/>
                <w:color w:val="000000"/>
                <w:spacing w:val="0"/>
                <w:kern w:val="0"/>
                <w:sz w:val="24"/>
                <w:szCs w:val="24"/>
              </w:rPr>
            </w:pPr>
            <w:r>
              <w:rPr>
                <w:rFonts w:hint="eastAsia" w:ascii="宋体" w:hAnsi="宋体" w:eastAsia="宋体" w:cs="宋体"/>
                <w:b/>
                <w:bCs/>
                <w:snapToGrid w:val="0"/>
                <w:color w:val="000000"/>
                <w:spacing w:val="0"/>
                <w:kern w:val="0"/>
                <w:sz w:val="24"/>
                <w:szCs w:val="24"/>
              </w:rPr>
              <w:t>其他符合性分析</w:t>
            </w:r>
          </w:p>
        </w:tc>
        <w:tc>
          <w:tcPr>
            <w:tcW w:w="7391" w:type="dxa"/>
            <w:gridSpan w:val="3"/>
            <w:tcBorders>
              <w:tl2br w:val="nil"/>
              <w:tr2bl w:val="nil"/>
            </w:tcBorders>
            <w:noWrap w:val="0"/>
            <w:vAlign w:val="center"/>
          </w:tcPr>
          <w:p w14:paraId="134A3F7A">
            <w:pPr>
              <w:pStyle w:val="5"/>
              <w:suppressLineNumbers w:val="0"/>
              <w:bidi w:val="0"/>
              <w:spacing w:before="0" w:beforeAutospacing="0" w:after="0" w:afterAutospacing="0"/>
              <w:ind w:left="0" w:right="0"/>
              <w:rPr>
                <w:rFonts w:hint="default" w:ascii="Times New Roman" w:hAnsi="Times New Roman" w:eastAsia="宋体" w:cs="Times New Roman"/>
                <w:color w:val="000000"/>
                <w:highlight w:val="none"/>
              </w:rPr>
            </w:pPr>
            <w:bookmarkStart w:id="4" w:name="_Toc28054"/>
            <w:r>
              <w:rPr>
                <w:rFonts w:hint="default" w:ascii="Times New Roman" w:hAnsi="Times New Roman" w:eastAsia="宋体" w:cs="Times New Roman"/>
                <w:color w:val="000000"/>
                <w:highlight w:val="none"/>
                <w:lang w:val="en-US" w:eastAsia="zh-CN"/>
              </w:rPr>
              <w:t>1、产业</w:t>
            </w:r>
            <w:r>
              <w:rPr>
                <w:rFonts w:hint="default" w:ascii="Times New Roman" w:hAnsi="Times New Roman" w:eastAsia="宋体" w:cs="Times New Roman"/>
                <w:color w:val="000000"/>
                <w:highlight w:val="none"/>
              </w:rPr>
              <w:t>政策符合性</w:t>
            </w:r>
            <w:bookmarkEnd w:id="4"/>
          </w:p>
          <w:p w14:paraId="665C947E">
            <w:pPr>
              <w:keepNext w:val="0"/>
              <w:keepLines w:val="0"/>
              <w:suppressLineNumbers w:val="0"/>
              <w:spacing w:before="0" w:beforeAutospacing="0" w:after="0" w:afterAutospacing="0"/>
              <w:ind w:left="0" w:right="0" w:firstLine="480" w:firstLineChars="200"/>
              <w:rPr>
                <w:rFonts w:hint="default" w:ascii="Times New Roman" w:hAnsi="Times New Roman" w:eastAsia="宋体" w:cs="Times New Roman"/>
                <w:color w:val="000000"/>
                <w:lang w:eastAsia="zh-CN"/>
              </w:rPr>
            </w:pPr>
            <w:r>
              <w:rPr>
                <w:rFonts w:hint="default" w:ascii="Times New Roman" w:hAnsi="Times New Roman" w:eastAsia="宋体" w:cs="Times New Roman"/>
                <w:color w:val="000000"/>
              </w:rPr>
              <w:t>本项目不属于《产业结构调整指导目录（20</w:t>
            </w:r>
            <w:r>
              <w:rPr>
                <w:rFonts w:hint="default" w:ascii="Times New Roman" w:hAnsi="Times New Roman" w:eastAsia="宋体" w:cs="Times New Roman"/>
                <w:color w:val="000000"/>
                <w:lang w:val="en-US" w:eastAsia="zh-CN"/>
              </w:rPr>
              <w:t>24</w:t>
            </w:r>
            <w:r>
              <w:rPr>
                <w:rFonts w:hint="default" w:ascii="Times New Roman" w:hAnsi="Times New Roman" w:eastAsia="宋体" w:cs="Times New Roman"/>
                <w:color w:val="000000"/>
              </w:rPr>
              <w:t>年本）》中的鼓励类、限制类及淘汰类项目</w:t>
            </w:r>
            <w:r>
              <w:rPr>
                <w:rFonts w:hint="default" w:ascii="Times New Roman" w:hAnsi="Times New Roman" w:eastAsia="宋体" w:cs="Times New Roman"/>
                <w:color w:val="000000"/>
                <w:lang w:eastAsia="zh-CN"/>
              </w:rPr>
              <w:t>。</w:t>
            </w:r>
            <w:r>
              <w:rPr>
                <w:rFonts w:hint="default" w:ascii="Times New Roman" w:hAnsi="Times New Roman" w:eastAsia="宋体" w:cs="Times New Roman"/>
                <w:color w:val="000000"/>
                <w:lang w:val="en-US" w:eastAsia="zh-CN"/>
              </w:rPr>
              <w:t>根据《产业结构调整指导目录（2024年本）》鼓励类、限制类和淘汰类之外的，且符合国家有关法律法规和政策规定的属于允许类。因此本项目</w:t>
            </w:r>
            <w:r>
              <w:rPr>
                <w:rFonts w:hint="default" w:ascii="Times New Roman" w:hAnsi="Times New Roman" w:eastAsia="宋体" w:cs="Times New Roman"/>
                <w:color w:val="000000"/>
              </w:rPr>
              <w:t>属于允许类</w:t>
            </w:r>
            <w:r>
              <w:rPr>
                <w:rFonts w:hint="default" w:ascii="Times New Roman" w:hAnsi="Times New Roman" w:eastAsia="宋体" w:cs="Times New Roman"/>
                <w:color w:val="000000"/>
                <w:lang w:eastAsia="zh-CN"/>
              </w:rPr>
              <w:t>。</w:t>
            </w:r>
          </w:p>
          <w:p w14:paraId="0A57FE3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leftChars="0" w:right="0" w:firstLine="0" w:firstLineChars="0"/>
              <w:textAlignment w:val="auto"/>
              <w:rPr>
                <w:rFonts w:hint="default" w:ascii="Times New Roman" w:hAnsi="Times New Roman" w:eastAsia="宋体" w:cs="Times New Roman"/>
                <w:b/>
                <w:bCs/>
                <w:color w:val="000000"/>
                <w:kern w:val="0"/>
                <w:sz w:val="24"/>
                <w:szCs w:val="32"/>
                <w:highlight w:val="none"/>
                <w:lang w:val="en-US" w:eastAsia="zh-CN"/>
              </w:rPr>
            </w:pPr>
            <w:r>
              <w:rPr>
                <w:rFonts w:hint="default" w:ascii="Times New Roman" w:hAnsi="Times New Roman" w:eastAsia="宋体" w:cs="Times New Roman"/>
                <w:b/>
                <w:bCs/>
                <w:color w:val="000000"/>
                <w:kern w:val="0"/>
                <w:sz w:val="24"/>
                <w:szCs w:val="32"/>
                <w:highlight w:val="none"/>
                <w:lang w:val="en-US" w:eastAsia="zh-CN"/>
              </w:rPr>
              <w:t>2</w:t>
            </w:r>
            <w:r>
              <w:rPr>
                <w:rFonts w:hint="default" w:ascii="Times New Roman" w:hAnsi="Times New Roman" w:eastAsia="宋体" w:cs="Times New Roman"/>
                <w:b/>
                <w:bCs/>
                <w:color w:val="000000"/>
                <w:kern w:val="0"/>
                <w:sz w:val="24"/>
                <w:szCs w:val="32"/>
                <w:highlight w:val="none"/>
              </w:rPr>
              <w:t>、</w:t>
            </w:r>
            <w:r>
              <w:rPr>
                <w:rFonts w:hint="default" w:ascii="Times New Roman" w:hAnsi="Times New Roman" w:eastAsia="宋体" w:cs="Times New Roman"/>
                <w:b/>
                <w:bCs/>
                <w:color w:val="000000"/>
                <w:kern w:val="0"/>
                <w:sz w:val="24"/>
                <w:szCs w:val="32"/>
                <w:highlight w:val="none"/>
                <w:lang w:val="en-US" w:eastAsia="zh-CN"/>
              </w:rPr>
              <w:t>生态环境分区管控</w:t>
            </w:r>
            <w:r>
              <w:rPr>
                <w:rFonts w:hint="default" w:ascii="Times New Roman" w:hAnsi="Times New Roman" w:eastAsia="宋体" w:cs="Times New Roman"/>
                <w:b/>
                <w:bCs/>
                <w:color w:val="000000"/>
                <w:kern w:val="0"/>
                <w:sz w:val="24"/>
                <w:szCs w:val="32"/>
                <w:highlight w:val="none"/>
                <w:lang w:eastAsia="zh-CN"/>
              </w:rPr>
              <w:t>的符合性分析</w:t>
            </w:r>
          </w:p>
          <w:p w14:paraId="198D5E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《关于印发&lt;新疆维吾尔自治区生态环境分区管控动态更新成果&gt;的通知》（新政发〔2024〕157号）的符合性分析。</w:t>
            </w:r>
          </w:p>
          <w:p w14:paraId="7FFA8D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2" w:firstLineChars="200"/>
              <w:textAlignment w:val="auto"/>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表1-</w:t>
            </w:r>
            <w:r>
              <w:rPr>
                <w:rFonts w:hint="eastAsia" w:cs="Times New Roman"/>
                <w:b/>
                <w:bCs/>
                <w:sz w:val="21"/>
                <w:szCs w:val="21"/>
                <w:lang w:val="en-US" w:eastAsia="zh-CN"/>
              </w:rPr>
              <w:t>1</w:t>
            </w:r>
            <w:r>
              <w:rPr>
                <w:rFonts w:hint="eastAsia" w:ascii="Times New Roman" w:hAnsi="Times New Roman" w:eastAsia="宋体" w:cs="Times New Roman"/>
                <w:b/>
                <w:bCs/>
                <w:sz w:val="21"/>
                <w:szCs w:val="21"/>
                <w:lang w:val="en-US" w:eastAsia="zh-CN"/>
              </w:rPr>
              <w:t>与《关于印发&lt;新疆维吾尔自治区生态环境分区管控动态更新成果&gt;的通知》（新政发〔2024〕157号）的符合性表</w:t>
            </w:r>
          </w:p>
          <w:tbl>
            <w:tblPr>
              <w:tblStyle w:val="89"/>
              <w:tblW w:w="4995"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374"/>
              <w:gridCol w:w="660"/>
              <w:gridCol w:w="2859"/>
              <w:gridCol w:w="3276"/>
            </w:tblGrid>
            <w:tr w14:paraId="3F9A002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034" w:type="dxa"/>
                  <w:gridSpan w:val="2"/>
                  <w:tcBorders>
                    <w:tl2br w:val="nil"/>
                    <w:tr2bl w:val="nil"/>
                  </w:tcBorders>
                  <w:vAlign w:val="center"/>
                </w:tcPr>
                <w:p w14:paraId="7C3B71C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管控维度</w:t>
                  </w:r>
                </w:p>
              </w:tc>
              <w:tc>
                <w:tcPr>
                  <w:tcW w:w="2859" w:type="dxa"/>
                  <w:tcBorders>
                    <w:tl2br w:val="nil"/>
                    <w:tr2bl w:val="nil"/>
                  </w:tcBorders>
                  <w:vAlign w:val="center"/>
                </w:tcPr>
                <w:p w14:paraId="5D7D0E4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管控要求</w:t>
                  </w:r>
                </w:p>
              </w:tc>
              <w:tc>
                <w:tcPr>
                  <w:tcW w:w="3276" w:type="dxa"/>
                  <w:tcBorders>
                    <w:tl2br w:val="nil"/>
                    <w:tr2bl w:val="nil"/>
                  </w:tcBorders>
                  <w:vAlign w:val="center"/>
                </w:tcPr>
                <w:p w14:paraId="2EC5A37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符合性分析</w:t>
                  </w:r>
                </w:p>
              </w:tc>
            </w:tr>
            <w:tr w14:paraId="7C2D33C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374" w:type="dxa"/>
                  <w:vMerge w:val="restart"/>
                  <w:tcBorders>
                    <w:tl2br w:val="nil"/>
                    <w:tr2bl w:val="nil"/>
                  </w:tcBorders>
                  <w:vAlign w:val="center"/>
                </w:tcPr>
                <w:p w14:paraId="1868D36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A1空间布局约束</w:t>
                  </w:r>
                </w:p>
              </w:tc>
              <w:tc>
                <w:tcPr>
                  <w:tcW w:w="660" w:type="dxa"/>
                  <w:tcBorders>
                    <w:tl2br w:val="nil"/>
                    <w:tr2bl w:val="nil"/>
                  </w:tcBorders>
                  <w:vAlign w:val="center"/>
                </w:tcPr>
                <w:p w14:paraId="3CF10BD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A1.1禁止开发建设的活动</w:t>
                  </w:r>
                </w:p>
              </w:tc>
              <w:tc>
                <w:tcPr>
                  <w:tcW w:w="2859" w:type="dxa"/>
                  <w:tcBorders>
                    <w:tl2br w:val="nil"/>
                    <w:tr2bl w:val="nil"/>
                  </w:tcBorders>
                  <w:vAlign w:val="center"/>
                </w:tcPr>
                <w:p w14:paraId="34E3648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〔A1.1-1〕禁止新建、扩建《产业结构调整指导目录（2024年本）》中淘汰类项目。禁止引入《市场准入负面清单（2022年版）》禁止准入类事项。</w:t>
                  </w:r>
                </w:p>
              </w:tc>
              <w:tc>
                <w:tcPr>
                  <w:tcW w:w="3276" w:type="dxa"/>
                  <w:tcBorders>
                    <w:tl2br w:val="nil"/>
                    <w:tr2bl w:val="nil"/>
                  </w:tcBorders>
                  <w:vAlign w:val="center"/>
                </w:tcPr>
                <w:p w14:paraId="48C3B38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符合，根据《产业结构调整指导目录（2024年本）》本项目属于允许类，不属于《市场准入负面清单（202</w:t>
                  </w:r>
                  <w:r>
                    <w:rPr>
                      <w:rFonts w:hint="eastAsia" w:cs="Times New Roman"/>
                      <w:sz w:val="21"/>
                      <w:szCs w:val="21"/>
                      <w:lang w:val="en-US" w:eastAsia="zh-CN"/>
                    </w:rPr>
                    <w:t>5</w:t>
                  </w:r>
                  <w:r>
                    <w:rPr>
                      <w:rFonts w:hint="default" w:ascii="Times New Roman" w:hAnsi="Times New Roman" w:eastAsia="宋体" w:cs="Times New Roman"/>
                      <w:sz w:val="21"/>
                      <w:szCs w:val="21"/>
                      <w:lang w:val="en-US" w:eastAsia="zh-CN"/>
                    </w:rPr>
                    <w:t>年版）》禁止准入事项。</w:t>
                  </w:r>
                </w:p>
              </w:tc>
            </w:tr>
            <w:tr w14:paraId="36E2EFF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374" w:type="dxa"/>
                  <w:vMerge w:val="continue"/>
                  <w:tcBorders>
                    <w:tl2br w:val="nil"/>
                    <w:tr2bl w:val="nil"/>
                  </w:tcBorders>
                  <w:vAlign w:val="center"/>
                </w:tcPr>
                <w:p w14:paraId="693A5EB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sz w:val="21"/>
                      <w:szCs w:val="21"/>
                      <w:lang w:val="en-US" w:eastAsia="zh-CN"/>
                    </w:rPr>
                  </w:pPr>
                </w:p>
              </w:tc>
              <w:tc>
                <w:tcPr>
                  <w:tcW w:w="660" w:type="dxa"/>
                  <w:vMerge w:val="restart"/>
                  <w:tcBorders>
                    <w:tl2br w:val="nil"/>
                    <w:tr2bl w:val="nil"/>
                  </w:tcBorders>
                  <w:vAlign w:val="center"/>
                </w:tcPr>
                <w:p w14:paraId="18F5F85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A1.2限制开发建设的活动</w:t>
                  </w:r>
                </w:p>
              </w:tc>
              <w:tc>
                <w:tcPr>
                  <w:tcW w:w="2859" w:type="dxa"/>
                  <w:tcBorders>
                    <w:tl2br w:val="nil"/>
                    <w:tr2bl w:val="nil"/>
                  </w:tcBorders>
                  <w:vAlign w:val="center"/>
                </w:tcPr>
                <w:p w14:paraId="7A831CD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A1.2-2〕建设项目用地原则上不得占用永久基本农田，确需占用永久基本农田的建设项目须符合《中华人民共和国基本农田保护条例》中相关要求，占用耕地、林地或草地的建设项目须按照国家、自治区相关补偿要求进行补偿。</w:t>
                  </w:r>
                </w:p>
              </w:tc>
              <w:tc>
                <w:tcPr>
                  <w:tcW w:w="3276" w:type="dxa"/>
                  <w:tcBorders>
                    <w:tl2br w:val="nil"/>
                    <w:tr2bl w:val="nil"/>
                  </w:tcBorders>
                  <w:vAlign w:val="center"/>
                </w:tcPr>
                <w:p w14:paraId="436A934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highlight w:val="none"/>
                      <w:lang w:val="en-US" w:eastAsia="zh-CN"/>
                    </w:rPr>
                    <w:t>符合，本项目</w:t>
                  </w:r>
                  <w:r>
                    <w:rPr>
                      <w:rFonts w:hint="eastAsia" w:cs="Times New Roman"/>
                      <w:sz w:val="21"/>
                      <w:szCs w:val="21"/>
                      <w:highlight w:val="none"/>
                      <w:lang w:val="en-US" w:eastAsia="zh-CN"/>
                    </w:rPr>
                    <w:t>不涉及</w:t>
                  </w:r>
                  <w:r>
                    <w:rPr>
                      <w:rFonts w:hint="default" w:ascii="Times New Roman" w:hAnsi="Times New Roman" w:eastAsia="宋体" w:cs="Times New Roman"/>
                      <w:sz w:val="21"/>
                      <w:szCs w:val="21"/>
                      <w:highlight w:val="none"/>
                      <w:lang w:val="en-US" w:eastAsia="zh-CN"/>
                    </w:rPr>
                    <w:t>。</w:t>
                  </w:r>
                </w:p>
              </w:tc>
            </w:tr>
            <w:tr w14:paraId="26F84E8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374" w:type="dxa"/>
                  <w:vMerge w:val="continue"/>
                  <w:tcBorders>
                    <w:tl2br w:val="nil"/>
                    <w:tr2bl w:val="nil"/>
                  </w:tcBorders>
                  <w:vAlign w:val="center"/>
                </w:tcPr>
                <w:p w14:paraId="4A14D7D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sz w:val="21"/>
                      <w:szCs w:val="21"/>
                      <w:lang w:val="en-US" w:eastAsia="zh-CN"/>
                    </w:rPr>
                  </w:pPr>
                </w:p>
              </w:tc>
              <w:tc>
                <w:tcPr>
                  <w:tcW w:w="660" w:type="dxa"/>
                  <w:vMerge w:val="continue"/>
                  <w:tcBorders>
                    <w:tl2br w:val="nil"/>
                    <w:tr2bl w:val="nil"/>
                  </w:tcBorders>
                  <w:vAlign w:val="center"/>
                </w:tcPr>
                <w:p w14:paraId="0C6EA1D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2859" w:type="dxa"/>
                  <w:tcBorders>
                    <w:tl2br w:val="nil"/>
                    <w:tr2bl w:val="nil"/>
                  </w:tcBorders>
                  <w:vAlign w:val="center"/>
                </w:tcPr>
                <w:p w14:paraId="0F194D5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〔A1.2-3〕以用途变更为住宅、公共管理与公共服务用地的地块为重点，严格建设用地准入管理和风险管控，未依法完成土壤污染状况调查或风险评估的地块，不得开工建设与风险管控和修复无关的项目。</w:t>
                  </w:r>
                </w:p>
              </w:tc>
              <w:tc>
                <w:tcPr>
                  <w:tcW w:w="3276" w:type="dxa"/>
                  <w:tcBorders>
                    <w:tl2br w:val="nil"/>
                    <w:tr2bl w:val="nil"/>
                  </w:tcBorders>
                  <w:vAlign w:val="center"/>
                </w:tcPr>
                <w:p w14:paraId="72610E6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highlight w:val="none"/>
                      <w:lang w:val="en-US" w:eastAsia="zh-CN"/>
                    </w:rPr>
                    <w:t>符合，本项目</w:t>
                  </w:r>
                  <w:r>
                    <w:rPr>
                      <w:rFonts w:hint="eastAsia" w:cs="Times New Roman"/>
                      <w:sz w:val="21"/>
                      <w:szCs w:val="21"/>
                      <w:highlight w:val="none"/>
                      <w:lang w:val="en-US" w:eastAsia="zh-CN"/>
                    </w:rPr>
                    <w:t>不涉及</w:t>
                  </w:r>
                  <w:r>
                    <w:rPr>
                      <w:rFonts w:hint="default" w:ascii="Times New Roman" w:hAnsi="Times New Roman" w:eastAsia="宋体" w:cs="Times New Roman"/>
                      <w:sz w:val="21"/>
                      <w:szCs w:val="21"/>
                      <w:highlight w:val="none"/>
                      <w:lang w:val="en-US" w:eastAsia="zh-CN"/>
                    </w:rPr>
                    <w:t>。</w:t>
                  </w:r>
                </w:p>
              </w:tc>
            </w:tr>
            <w:tr w14:paraId="31E9ECE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374" w:type="dxa"/>
                  <w:vMerge w:val="continue"/>
                  <w:tcBorders>
                    <w:tl2br w:val="nil"/>
                    <w:tr2bl w:val="nil"/>
                  </w:tcBorders>
                  <w:vAlign w:val="center"/>
                </w:tcPr>
                <w:p w14:paraId="1E208D0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sz w:val="21"/>
                      <w:szCs w:val="21"/>
                      <w:lang w:val="en-US" w:eastAsia="zh-CN"/>
                    </w:rPr>
                  </w:pPr>
                </w:p>
              </w:tc>
              <w:tc>
                <w:tcPr>
                  <w:tcW w:w="660" w:type="dxa"/>
                  <w:tcBorders>
                    <w:tl2br w:val="nil"/>
                    <w:tr2bl w:val="nil"/>
                  </w:tcBorders>
                  <w:vAlign w:val="center"/>
                </w:tcPr>
                <w:p w14:paraId="12FE091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A1.3不符合空间布局要求活动的退出要求</w:t>
                  </w:r>
                </w:p>
              </w:tc>
              <w:tc>
                <w:tcPr>
                  <w:tcW w:w="2859" w:type="dxa"/>
                  <w:tcBorders>
                    <w:tl2br w:val="nil"/>
                    <w:tr2bl w:val="nil"/>
                  </w:tcBorders>
                  <w:vAlign w:val="center"/>
                </w:tcPr>
                <w:p w14:paraId="2E9BFDA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〔A1.3-1〕任何单位和个人不得在水源涵养区、饮用水水源保护区内和河流、湖泊、水库周围建设重化工、涉重金属等工业污染项目；对已建成的工业污染项目，当地人民政府应当组织限期搬迁。</w:t>
                  </w:r>
                </w:p>
              </w:tc>
              <w:tc>
                <w:tcPr>
                  <w:tcW w:w="3276" w:type="dxa"/>
                  <w:tcBorders>
                    <w:tl2br w:val="nil"/>
                    <w:tr2bl w:val="nil"/>
                  </w:tcBorders>
                  <w:vAlign w:val="center"/>
                </w:tcPr>
                <w:p w14:paraId="68EEBB2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符合，本项目不属于重化工、涉重金属等工业污染项目。</w:t>
                  </w:r>
                </w:p>
              </w:tc>
            </w:tr>
            <w:tr w14:paraId="07324CF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374" w:type="dxa"/>
                  <w:vMerge w:val="restart"/>
                  <w:tcBorders>
                    <w:tl2br w:val="nil"/>
                    <w:tr2bl w:val="nil"/>
                  </w:tcBorders>
                  <w:vAlign w:val="center"/>
                </w:tcPr>
                <w:p w14:paraId="31A25A6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A2污染物排放管控</w:t>
                  </w:r>
                </w:p>
              </w:tc>
              <w:tc>
                <w:tcPr>
                  <w:tcW w:w="660" w:type="dxa"/>
                  <w:tcBorders>
                    <w:tl2br w:val="nil"/>
                    <w:tr2bl w:val="nil"/>
                  </w:tcBorders>
                  <w:vAlign w:val="center"/>
                </w:tcPr>
                <w:p w14:paraId="0702698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A2.1污染物削减/替代要求</w:t>
                  </w:r>
                </w:p>
              </w:tc>
              <w:tc>
                <w:tcPr>
                  <w:tcW w:w="2859" w:type="dxa"/>
                  <w:tcBorders>
                    <w:tl2br w:val="nil"/>
                    <w:tr2bl w:val="nil"/>
                  </w:tcBorders>
                  <w:vAlign w:val="center"/>
                </w:tcPr>
                <w:p w14:paraId="1E98613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A2.1-1〕新、改、扩建重点行业建设项目应符合“三线一单”、产业政策、区域环评、规划环评和行业环境准入管控要求。重点区域的新、改、扩建重点行业建设项目应遵循重点重金属污染物排放“减量替代”原则。</w:t>
                  </w:r>
                </w:p>
              </w:tc>
              <w:tc>
                <w:tcPr>
                  <w:tcW w:w="3276" w:type="dxa"/>
                  <w:tcBorders>
                    <w:tl2br w:val="nil"/>
                    <w:tr2bl w:val="nil"/>
                  </w:tcBorders>
                  <w:vAlign w:val="center"/>
                </w:tcPr>
                <w:p w14:paraId="039EF82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符合，本项目不排放重金属污染物。</w:t>
                  </w:r>
                </w:p>
              </w:tc>
            </w:tr>
            <w:tr w14:paraId="726324C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374" w:type="dxa"/>
                  <w:vMerge w:val="continue"/>
                  <w:tcBorders>
                    <w:tl2br w:val="nil"/>
                    <w:tr2bl w:val="nil"/>
                  </w:tcBorders>
                  <w:vAlign w:val="center"/>
                </w:tcPr>
                <w:p w14:paraId="70A5332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660" w:type="dxa"/>
                  <w:tcBorders>
                    <w:tl2br w:val="nil"/>
                    <w:tr2bl w:val="nil"/>
                  </w:tcBorders>
                  <w:vAlign w:val="center"/>
                </w:tcPr>
                <w:p w14:paraId="64E02AC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A2.2污染控制措施要求</w:t>
                  </w:r>
                </w:p>
              </w:tc>
              <w:tc>
                <w:tcPr>
                  <w:tcW w:w="2859" w:type="dxa"/>
                  <w:tcBorders>
                    <w:tl2br w:val="nil"/>
                    <w:tr2bl w:val="nil"/>
                  </w:tcBorders>
                  <w:vAlign w:val="center"/>
                </w:tcPr>
                <w:p w14:paraId="0148EC1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A2.2-1〕推动能源、钢铁、建材、有色、电力、化工等重点领域技术升级，控制工业过程温室气体排放，推动工业领域绿色低碳发展。积极鼓励发展二氧化碳捕集利用与封存等低碳技术。促进大气污染物与温室气体协同控制。实施污染物和温室气体协同控制，实现减污降碳协同效应。强化污水、垃圾等集中处置设施环境管理，协同控制氢氟碳化物、甲烷、氧化亚氮等温室气体。加强节约能源与大气污染防治协同有效衔接，促进大气污染防治协同增效。</w:t>
                  </w:r>
                </w:p>
              </w:tc>
              <w:tc>
                <w:tcPr>
                  <w:tcW w:w="3276" w:type="dxa"/>
                  <w:tcBorders>
                    <w:tl2br w:val="nil"/>
                    <w:tr2bl w:val="nil"/>
                  </w:tcBorders>
                  <w:vAlign w:val="center"/>
                </w:tcPr>
                <w:p w14:paraId="6DB00EC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符合，本项目不涉及。</w:t>
                  </w:r>
                </w:p>
              </w:tc>
            </w:tr>
            <w:tr w14:paraId="3C80CC2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374" w:type="dxa"/>
                  <w:vMerge w:val="restart"/>
                  <w:tcBorders>
                    <w:tl2br w:val="nil"/>
                    <w:tr2bl w:val="nil"/>
                  </w:tcBorders>
                  <w:vAlign w:val="center"/>
                </w:tcPr>
                <w:p w14:paraId="08D0801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A3环境风险防控</w:t>
                  </w:r>
                </w:p>
              </w:tc>
              <w:tc>
                <w:tcPr>
                  <w:tcW w:w="660" w:type="dxa"/>
                  <w:tcBorders>
                    <w:tl2br w:val="nil"/>
                    <w:tr2bl w:val="nil"/>
                  </w:tcBorders>
                  <w:vAlign w:val="center"/>
                </w:tcPr>
                <w:p w14:paraId="5816634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A3.1人居环境要求</w:t>
                  </w:r>
                </w:p>
              </w:tc>
              <w:tc>
                <w:tcPr>
                  <w:tcW w:w="2859" w:type="dxa"/>
                  <w:tcBorders>
                    <w:tl2br w:val="nil"/>
                    <w:tr2bl w:val="nil"/>
                  </w:tcBorders>
                  <w:vAlign w:val="center"/>
                </w:tcPr>
                <w:p w14:paraId="082299B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〔A3.1-1〕建立和完善重污染天气兵地联合应急预案、预报预警应急机制和会商联动机制。</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一昌一石”区域内可能影响相邻行政区域大气环境的项目，兵地间、城市间必须相互征求意见。</w:t>
                  </w:r>
                </w:p>
              </w:tc>
              <w:tc>
                <w:tcPr>
                  <w:tcW w:w="3276" w:type="dxa"/>
                  <w:tcBorders>
                    <w:tl2br w:val="nil"/>
                    <w:tr2bl w:val="nil"/>
                  </w:tcBorders>
                  <w:vAlign w:val="center"/>
                </w:tcPr>
                <w:p w14:paraId="5CCB02C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val="0"/>
                      <w:bCs/>
                      <w:color w:val="000000"/>
                      <w:spacing w:val="0"/>
                      <w:kern w:val="0"/>
                      <w:position w:val="0"/>
                      <w:sz w:val="21"/>
                      <w:szCs w:val="21"/>
                      <w:lang w:val="en-US" w:bidi="zh-CN"/>
                    </w:rPr>
                    <w:t>符合，本项目积极响应重污染天气应急预案。</w:t>
                  </w:r>
                </w:p>
              </w:tc>
            </w:tr>
            <w:tr w14:paraId="400A4A3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374" w:type="dxa"/>
                  <w:vMerge w:val="continue"/>
                  <w:tcBorders>
                    <w:tl2br w:val="nil"/>
                    <w:tr2bl w:val="nil"/>
                  </w:tcBorders>
                  <w:vAlign w:val="center"/>
                </w:tcPr>
                <w:p w14:paraId="3A19AD4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sz w:val="21"/>
                      <w:szCs w:val="21"/>
                      <w:lang w:val="en-US" w:eastAsia="zh-CN"/>
                    </w:rPr>
                  </w:pPr>
                </w:p>
              </w:tc>
              <w:tc>
                <w:tcPr>
                  <w:tcW w:w="660" w:type="dxa"/>
                  <w:vMerge w:val="restart"/>
                  <w:tcBorders>
                    <w:tl2br w:val="nil"/>
                    <w:tr2bl w:val="nil"/>
                  </w:tcBorders>
                  <w:vAlign w:val="center"/>
                </w:tcPr>
                <w:p w14:paraId="5049C9C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2859" w:type="dxa"/>
                  <w:tcBorders>
                    <w:tl2br w:val="nil"/>
                    <w:tr2bl w:val="nil"/>
                  </w:tcBorders>
                  <w:vAlign w:val="center"/>
                </w:tcPr>
                <w:p w14:paraId="2E58083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A3.2-3〕加强新污染物多环境介质协同治理。排放重点管控新污染物的企事业单位应采取污染控制措施，达到相关污染物排放标准及环境质量目标要求；按照排污许可管理有关要求，依法申领排污许可证或填写排污登记表，并在其中载明执行的污染控制标准要求及采取的污染控制措施。排放重点管控新污染物的企事业单位和其他生产经营者应按照相关法律法规要求，对排放（污）口及其周边环境定期开展环境监测，评估环境风险，排查整治环境安全隐患，依法公开新污染物信息，采取措施防范环境风险。土壤污染重点监管单位应严格控制有毒有害物质排放，建立土壤污染隐患排查制度，防止有毒有害物质渗漏、流失、扬散。</w:t>
                  </w:r>
                </w:p>
              </w:tc>
              <w:tc>
                <w:tcPr>
                  <w:tcW w:w="3276" w:type="dxa"/>
                  <w:tcBorders>
                    <w:tl2br w:val="nil"/>
                    <w:tr2bl w:val="nil"/>
                  </w:tcBorders>
                  <w:vAlign w:val="center"/>
                </w:tcPr>
                <w:p w14:paraId="2664802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符合，</w:t>
                  </w:r>
                  <w:r>
                    <w:rPr>
                      <w:rFonts w:hint="eastAsia" w:cs="Times New Roman"/>
                      <w:sz w:val="21"/>
                      <w:szCs w:val="21"/>
                      <w:lang w:val="en-US" w:eastAsia="zh-CN"/>
                    </w:rPr>
                    <w:t>根据</w:t>
                  </w:r>
                  <w:r>
                    <w:rPr>
                      <w:rFonts w:hint="default" w:ascii="Times New Roman" w:hAnsi="Times New Roman" w:eastAsia="宋体" w:cs="Times New Roman"/>
                      <w:sz w:val="21"/>
                      <w:szCs w:val="21"/>
                      <w:lang w:val="en-US" w:eastAsia="zh-CN"/>
                    </w:rPr>
                    <w:t>《固定污染源排污许可分类管理名录》（2019年版），本名录未对项目作规定，排污单位可不纳入排污许可管理要求。</w:t>
                  </w:r>
                </w:p>
              </w:tc>
            </w:tr>
            <w:tr w14:paraId="1BA4193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74" w:type="dxa"/>
                  <w:vMerge w:val="continue"/>
                  <w:tcBorders>
                    <w:tl2br w:val="nil"/>
                    <w:tr2bl w:val="nil"/>
                  </w:tcBorders>
                  <w:vAlign w:val="center"/>
                </w:tcPr>
                <w:p w14:paraId="61216CD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sz w:val="21"/>
                      <w:szCs w:val="21"/>
                      <w:lang w:val="en-US" w:eastAsia="zh-CN"/>
                    </w:rPr>
                  </w:pPr>
                </w:p>
              </w:tc>
              <w:tc>
                <w:tcPr>
                  <w:tcW w:w="660" w:type="dxa"/>
                  <w:vMerge w:val="continue"/>
                  <w:tcBorders>
                    <w:tl2br w:val="nil"/>
                    <w:tr2bl w:val="nil"/>
                  </w:tcBorders>
                  <w:vAlign w:val="center"/>
                </w:tcPr>
                <w:p w14:paraId="1D8662F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sz w:val="21"/>
                      <w:szCs w:val="21"/>
                      <w:lang w:val="en-US" w:eastAsia="zh-CN"/>
                    </w:rPr>
                  </w:pPr>
                </w:p>
              </w:tc>
              <w:tc>
                <w:tcPr>
                  <w:tcW w:w="2859" w:type="dxa"/>
                  <w:tcBorders>
                    <w:tl2br w:val="nil"/>
                    <w:tr2bl w:val="nil"/>
                  </w:tcBorders>
                  <w:vAlign w:val="center"/>
                </w:tcPr>
                <w:p w14:paraId="58F779D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A3.2-6〕强化兵地联防联控联治，落实兵地统一规划、统一政策、统一标准、统一要求、统一推进的防治管理措施，完善重大项目环境影响评价区域会商、重污染天气兵地联合应急联动机制。建立兵地生态环境联合执法和联合监测长效机制。</w:t>
                  </w:r>
                </w:p>
              </w:tc>
              <w:tc>
                <w:tcPr>
                  <w:tcW w:w="3276" w:type="dxa"/>
                  <w:tcBorders>
                    <w:tl2br w:val="nil"/>
                    <w:tr2bl w:val="nil"/>
                  </w:tcBorders>
                  <w:vAlign w:val="center"/>
                </w:tcPr>
                <w:p w14:paraId="5E046D2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highlight w:val="none"/>
                      <w:lang w:val="en-US" w:eastAsia="zh-CN"/>
                    </w:rPr>
                    <w:t>符合，</w:t>
                  </w:r>
                  <w:r>
                    <w:rPr>
                      <w:rFonts w:hint="default" w:ascii="Times New Roman" w:hAnsi="Times New Roman" w:eastAsia="宋体" w:cs="Times New Roman"/>
                      <w:b w:val="0"/>
                      <w:bCs/>
                      <w:color w:val="000000"/>
                      <w:spacing w:val="0"/>
                      <w:kern w:val="0"/>
                      <w:position w:val="0"/>
                      <w:sz w:val="21"/>
                      <w:szCs w:val="21"/>
                      <w:lang w:val="en-US" w:bidi="zh-CN"/>
                    </w:rPr>
                    <w:t>本项目积极响应重污染天气应急预案</w:t>
                  </w:r>
                  <w:r>
                    <w:rPr>
                      <w:rFonts w:hint="default" w:ascii="Times New Roman" w:hAnsi="Times New Roman" w:eastAsia="宋体" w:cs="Times New Roman"/>
                      <w:sz w:val="21"/>
                      <w:szCs w:val="21"/>
                      <w:highlight w:val="none"/>
                      <w:lang w:val="en-US" w:eastAsia="zh-CN"/>
                    </w:rPr>
                    <w:t>。</w:t>
                  </w:r>
                </w:p>
              </w:tc>
            </w:tr>
            <w:tr w14:paraId="1572073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374" w:type="dxa"/>
                  <w:vMerge w:val="restart"/>
                  <w:tcBorders>
                    <w:tl2br w:val="nil"/>
                    <w:tr2bl w:val="nil"/>
                  </w:tcBorders>
                  <w:vAlign w:val="center"/>
                </w:tcPr>
                <w:p w14:paraId="06CA5EA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A4资源利用要求</w:t>
                  </w:r>
                </w:p>
              </w:tc>
              <w:tc>
                <w:tcPr>
                  <w:tcW w:w="660" w:type="dxa"/>
                  <w:tcBorders>
                    <w:tl2br w:val="nil"/>
                    <w:tr2bl w:val="nil"/>
                  </w:tcBorders>
                  <w:vAlign w:val="center"/>
                </w:tcPr>
                <w:p w14:paraId="5F56B8B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A4.1水资源</w:t>
                  </w:r>
                </w:p>
              </w:tc>
              <w:tc>
                <w:tcPr>
                  <w:tcW w:w="2859" w:type="dxa"/>
                  <w:tcBorders>
                    <w:tl2br w:val="nil"/>
                    <w:tr2bl w:val="nil"/>
                  </w:tcBorders>
                  <w:vAlign w:val="center"/>
                </w:tcPr>
                <w:p w14:paraId="3AB4DBB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A4.1-2〕加大城镇污水再生利用工程建设力度，推进区域再生水循环利用，到2025年，城市生活污水再生利用率力争达到60%。〔A4.1-3〕加强农村水利基础设施建设，推进农村供水保障工程，农村自来水普及率、集中供水率分别达到99.3%、99.7%。</w:t>
                  </w:r>
                </w:p>
              </w:tc>
              <w:tc>
                <w:tcPr>
                  <w:tcW w:w="3276" w:type="dxa"/>
                  <w:tcBorders>
                    <w:tl2br w:val="nil"/>
                    <w:tr2bl w:val="nil"/>
                  </w:tcBorders>
                  <w:vAlign w:val="center"/>
                </w:tcPr>
                <w:p w14:paraId="31D6724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highlight w:val="none"/>
                      <w:lang w:val="en-US" w:eastAsia="zh-CN"/>
                    </w:rPr>
                    <w:t>符合，</w:t>
                  </w:r>
                  <w:r>
                    <w:rPr>
                      <w:rFonts w:hint="eastAsia" w:cs="Times New Roman"/>
                      <w:sz w:val="21"/>
                      <w:szCs w:val="21"/>
                      <w:highlight w:val="none"/>
                      <w:lang w:val="en-US" w:eastAsia="zh-CN"/>
                    </w:rPr>
                    <w:t>本项目</w:t>
                  </w:r>
                  <w:r>
                    <w:rPr>
                      <w:rFonts w:hint="default" w:ascii="Times New Roman" w:hAnsi="Times New Roman" w:eastAsia="宋体" w:cs="Times New Roman"/>
                      <w:sz w:val="21"/>
                      <w:szCs w:val="21"/>
                      <w:highlight w:val="none"/>
                      <w:lang w:val="en-US" w:eastAsia="zh-CN"/>
                    </w:rPr>
                    <w:t>动物诊疗废水经小型废水治理设施消毒处理后进入小区化粪池处理，纳入市政污水管网，最终进入库尔勒市南市区污水处理厂集中处理。宠物清洗废水和生活污水进入小区化粪池处理后，纳入市政污水管网，最终进入库尔勒市南市区污水处理厂集中处理</w:t>
                  </w:r>
                  <w:r>
                    <w:rPr>
                      <w:rFonts w:hint="eastAsia"/>
                      <w:lang w:eastAsia="zh-CN"/>
                    </w:rPr>
                    <w:t>。</w:t>
                  </w:r>
                </w:p>
              </w:tc>
            </w:tr>
            <w:tr w14:paraId="0FA87B8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374" w:type="dxa"/>
                  <w:vMerge w:val="continue"/>
                  <w:tcBorders>
                    <w:tl2br w:val="nil"/>
                    <w:tr2bl w:val="nil"/>
                  </w:tcBorders>
                  <w:vAlign w:val="center"/>
                </w:tcPr>
                <w:p w14:paraId="466AEBC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660" w:type="dxa"/>
                  <w:tcBorders>
                    <w:tl2br w:val="nil"/>
                    <w:tr2bl w:val="nil"/>
                  </w:tcBorders>
                  <w:vAlign w:val="center"/>
                </w:tcPr>
                <w:p w14:paraId="2315F69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A4.2土地资源</w:t>
                  </w:r>
                </w:p>
              </w:tc>
              <w:tc>
                <w:tcPr>
                  <w:tcW w:w="2859" w:type="dxa"/>
                  <w:tcBorders>
                    <w:tl2br w:val="nil"/>
                    <w:tr2bl w:val="nil"/>
                  </w:tcBorders>
                  <w:vAlign w:val="center"/>
                </w:tcPr>
                <w:p w14:paraId="6B34BAF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〔A4.2-1〕土地资源上线指标控制在最终批复的国土空间规划控制指标内。</w:t>
                  </w:r>
                </w:p>
              </w:tc>
              <w:tc>
                <w:tcPr>
                  <w:tcW w:w="3276" w:type="dxa"/>
                  <w:tcBorders>
                    <w:tl2br w:val="nil"/>
                    <w:tr2bl w:val="nil"/>
                  </w:tcBorders>
                  <w:vAlign w:val="center"/>
                </w:tcPr>
                <w:p w14:paraId="6377171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lang w:val="en-US" w:eastAsia="zh-CN"/>
                    </w:rPr>
                  </w:pPr>
                  <w:r>
                    <w:rPr>
                      <w:rFonts w:hint="default" w:ascii="Times New Roman" w:hAnsi="Times New Roman" w:eastAsia="宋体" w:cs="Times New Roman"/>
                      <w:sz w:val="21"/>
                      <w:szCs w:val="21"/>
                      <w:lang w:val="en-US" w:eastAsia="zh-CN"/>
                    </w:rPr>
                    <w:t>符合，本项目租用商铺</w:t>
                  </w:r>
                </w:p>
                <w:p w14:paraId="03CC8B9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已取得不动产权证。</w:t>
                  </w:r>
                </w:p>
              </w:tc>
            </w:tr>
            <w:tr w14:paraId="787C58A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374" w:type="dxa"/>
                  <w:vMerge w:val="continue"/>
                  <w:tcBorders>
                    <w:tl2br w:val="nil"/>
                    <w:tr2bl w:val="nil"/>
                  </w:tcBorders>
                  <w:vAlign w:val="center"/>
                </w:tcPr>
                <w:p w14:paraId="26BE0C1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660" w:type="dxa"/>
                  <w:tcBorders>
                    <w:tl2br w:val="nil"/>
                    <w:tr2bl w:val="nil"/>
                  </w:tcBorders>
                  <w:vAlign w:val="center"/>
                </w:tcPr>
                <w:p w14:paraId="4B64CF7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A4.4禁燃区要求</w:t>
                  </w:r>
                </w:p>
              </w:tc>
              <w:tc>
                <w:tcPr>
                  <w:tcW w:w="2859" w:type="dxa"/>
                  <w:tcBorders>
                    <w:tl2br w:val="nil"/>
                    <w:tr2bl w:val="nil"/>
                  </w:tcBorders>
                  <w:vAlign w:val="center"/>
                </w:tcPr>
                <w:p w14:paraId="2B139D2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〔A4.4-1〕在禁燃区内，禁止销售、燃用高污染燃料；禁止新建、扩建燃用高污染燃料的设施。已建成的，应当在规定期限内改用清洁能源。</w:t>
                  </w:r>
                </w:p>
              </w:tc>
              <w:tc>
                <w:tcPr>
                  <w:tcW w:w="3276" w:type="dxa"/>
                  <w:tcBorders>
                    <w:tl2br w:val="nil"/>
                    <w:tr2bl w:val="nil"/>
                  </w:tcBorders>
                  <w:vAlign w:val="center"/>
                </w:tcPr>
                <w:p w14:paraId="3E77D4C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符合，本项目不涉及。</w:t>
                  </w:r>
                </w:p>
              </w:tc>
            </w:tr>
            <w:tr w14:paraId="0369331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374" w:type="dxa"/>
                  <w:vMerge w:val="continue"/>
                  <w:tcBorders>
                    <w:tl2br w:val="nil"/>
                    <w:tr2bl w:val="nil"/>
                  </w:tcBorders>
                  <w:vAlign w:val="center"/>
                </w:tcPr>
                <w:p w14:paraId="4CC3E96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660" w:type="dxa"/>
                  <w:tcBorders>
                    <w:tl2br w:val="nil"/>
                    <w:tr2bl w:val="nil"/>
                  </w:tcBorders>
                  <w:vAlign w:val="center"/>
                </w:tcPr>
                <w:p w14:paraId="5745893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A4.5资源综合利用</w:t>
                  </w:r>
                </w:p>
              </w:tc>
              <w:tc>
                <w:tcPr>
                  <w:tcW w:w="2859" w:type="dxa"/>
                  <w:tcBorders>
                    <w:tl2br w:val="nil"/>
                    <w:tr2bl w:val="nil"/>
                  </w:tcBorders>
                  <w:vAlign w:val="center"/>
                </w:tcPr>
                <w:p w14:paraId="57DED7D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A4.5-1〕加强固体废物源头减量、资源化利用和无害化处置，最大限度减少填埋量。推进工业固体废物精细化、名录化环境管理，促进大宗工业固废综合利用、主要农业废弃物全量利用。加快构建废旧物资回收和循环利用体系，健全强制报废制度和废旧家电、消费电子等耐用消费品回收处理体系，推行生产企业“逆向回收”等模式。以尾矿和共伴生矿、煤矸石、炉渣、粉煤灰、脱硫石膏、冶炼渣、建筑垃圾等为重点，持续推进固体废物综合利用和环境整治，不断提高大宗固体废物资源化利用水平。推行生活垃圾分类，加快建设县（市）生活垃圾处理设施，到2025年，全疆城市生活垃圾无害化处理率达到99%以上。</w:t>
                  </w:r>
                </w:p>
              </w:tc>
              <w:tc>
                <w:tcPr>
                  <w:tcW w:w="3276" w:type="dxa"/>
                  <w:tcBorders>
                    <w:tl2br w:val="nil"/>
                    <w:tr2bl w:val="nil"/>
                  </w:tcBorders>
                  <w:vAlign w:val="center"/>
                </w:tcPr>
                <w:p w14:paraId="6C97052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符合，生活垃圾由环卫部门统一拉运处置，</w:t>
                  </w:r>
                  <w:r>
                    <w:rPr>
                      <w:rFonts w:hint="eastAsia" w:cs="Times New Roman"/>
                      <w:sz w:val="21"/>
                      <w:szCs w:val="21"/>
                      <w:lang w:val="en-US" w:eastAsia="zh-CN"/>
                    </w:rPr>
                    <w:t>动物诊疗废物</w:t>
                  </w:r>
                  <w:r>
                    <w:rPr>
                      <w:rFonts w:hint="default" w:ascii="Times New Roman" w:hAnsi="Times New Roman" w:eastAsia="宋体" w:cs="Times New Roman"/>
                      <w:sz w:val="21"/>
                      <w:szCs w:val="21"/>
                      <w:lang w:val="en-US" w:eastAsia="zh-CN"/>
                    </w:rPr>
                    <w:t>委托库尔勒天达环卫有限责任公司处置</w:t>
                  </w:r>
                  <w:r>
                    <w:rPr>
                      <w:rFonts w:hint="eastAsia"/>
                      <w:lang w:eastAsia="zh-CN"/>
                    </w:rPr>
                    <w:t>。</w:t>
                  </w:r>
                </w:p>
              </w:tc>
            </w:tr>
          </w:tbl>
          <w:p w14:paraId="6E7FAC30">
            <w:pPr>
              <w:keepNext w:val="0"/>
              <w:keepLines w:val="0"/>
              <w:widowControl/>
              <w:suppressLineNumbers w:val="0"/>
              <w:adjustRightInd/>
              <w:snapToGrid/>
              <w:spacing w:before="0" w:beforeAutospacing="0" w:after="0" w:afterAutospacing="0" w:line="360" w:lineRule="auto"/>
              <w:ind w:left="0" w:right="0" w:firstLine="480" w:firstLineChars="200"/>
              <w:jc w:val="left"/>
              <w:rPr>
                <w:rFonts w:hint="default" w:ascii="Times New Roman" w:hAnsi="Times New Roman" w:eastAsia="宋体" w:cs="Times New Roman"/>
                <w:b w:val="0"/>
                <w:snapToGrid w:val="0"/>
                <w:color w:val="000000"/>
                <w:kern w:val="0"/>
                <w:sz w:val="24"/>
                <w:highlight w:val="none"/>
                <w:lang w:val="en-US" w:eastAsia="zh-CN"/>
              </w:rPr>
            </w:pPr>
            <w:r>
              <w:rPr>
                <w:rFonts w:hint="default" w:ascii="Times New Roman" w:hAnsi="Times New Roman" w:eastAsia="宋体" w:cs="Times New Roman"/>
                <w:b w:val="0"/>
                <w:snapToGrid w:val="0"/>
                <w:color w:val="000000"/>
                <w:kern w:val="0"/>
                <w:sz w:val="24"/>
                <w:highlight w:val="none"/>
                <w:lang w:val="en-US" w:eastAsia="zh-CN"/>
              </w:rPr>
              <w:t>综上所述，本项目符合《关于印发&lt;新疆维吾尔自治区生态环境分区管控动态更新成果&gt;的通知》（新政发〔2024〕157号）管控要求</w:t>
            </w:r>
            <w:r>
              <w:rPr>
                <w:rFonts w:hint="default" w:ascii="Times New Roman" w:hAnsi="Times New Roman" w:eastAsia="宋体" w:cs="Times New Roman"/>
                <w:b w:val="0"/>
                <w:snapToGrid w:val="0"/>
                <w:color w:val="000000"/>
                <w:kern w:val="0"/>
                <w:sz w:val="24"/>
                <w:highlight w:val="none"/>
                <w:lang w:eastAsia="zh-CN"/>
              </w:rPr>
              <w:t>。</w:t>
            </w:r>
          </w:p>
          <w:p w14:paraId="128B966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auto"/>
              <w:ind w:left="0" w:leftChars="0" w:right="0" w:firstLine="400"/>
              <w:jc w:val="both"/>
              <w:textAlignment w:val="auto"/>
              <w:rPr>
                <w:rFonts w:hint="default" w:ascii="Times New Roman" w:hAnsi="Times New Roman" w:eastAsia="宋体" w:cs="Times New Roman"/>
                <w:b w:val="0"/>
                <w:color w:val="000000"/>
                <w:kern w:val="0"/>
                <w:sz w:val="24"/>
                <w:szCs w:val="22"/>
                <w:highlight w:val="none"/>
              </w:rPr>
            </w:pPr>
            <w:r>
              <w:rPr>
                <w:rFonts w:hint="default" w:ascii="Times New Roman" w:hAnsi="Times New Roman" w:eastAsia="宋体" w:cs="Times New Roman"/>
                <w:b w:val="0"/>
                <w:snapToGrid w:val="0"/>
                <w:color w:val="000000"/>
                <w:spacing w:val="0"/>
                <w:kern w:val="0"/>
                <w:sz w:val="24"/>
                <w:szCs w:val="24"/>
                <w:highlight w:val="none"/>
                <w:lang w:val="en-US" w:eastAsia="zh-CN"/>
              </w:rPr>
              <w:t>本项目位于</w:t>
            </w:r>
            <w:r>
              <w:rPr>
                <w:rFonts w:hint="default" w:ascii="Times New Roman" w:hAnsi="Times New Roman" w:eastAsia="宋体" w:cs="Times New Roman"/>
                <w:snapToGrid w:val="0"/>
                <w:color w:val="000000"/>
                <w:spacing w:val="0"/>
                <w:kern w:val="0"/>
                <w:sz w:val="24"/>
                <w:szCs w:val="24"/>
                <w:lang w:val="en-US" w:eastAsia="zh-CN"/>
              </w:rPr>
              <w:t>新疆巴州库尔勒市铁克其乡迎宾路48号兴旺家园40栋1-2层19号</w:t>
            </w:r>
            <w:r>
              <w:rPr>
                <w:rFonts w:hint="default" w:ascii="Times New Roman" w:hAnsi="Times New Roman" w:eastAsia="宋体" w:cs="Times New Roman"/>
                <w:b w:val="0"/>
                <w:snapToGrid w:val="0"/>
                <w:color w:val="000000"/>
                <w:spacing w:val="0"/>
                <w:kern w:val="0"/>
                <w:sz w:val="24"/>
                <w:szCs w:val="24"/>
                <w:highlight w:val="none"/>
                <w:lang w:val="en-US" w:eastAsia="zh-CN"/>
              </w:rPr>
              <w:t>，根据</w:t>
            </w:r>
            <w:r>
              <w:rPr>
                <w:rFonts w:hint="default" w:ascii="Times New Roman" w:hAnsi="Times New Roman" w:eastAsia="宋体" w:cs="Times New Roman"/>
                <w:b w:val="0"/>
                <w:bCs/>
                <w:snapToGrid w:val="0"/>
                <w:color w:val="000000"/>
                <w:kern w:val="0"/>
                <w:sz w:val="24"/>
                <w:szCs w:val="24"/>
                <w:highlight w:val="none"/>
                <w:lang w:eastAsia="zh-CN"/>
              </w:rPr>
              <w:t>《巴音郭楞蒙古自治州生态环境准入清单（</w:t>
            </w:r>
            <w:r>
              <w:rPr>
                <w:rFonts w:hint="default" w:ascii="Times New Roman" w:hAnsi="Times New Roman" w:eastAsia="宋体" w:cs="Times New Roman"/>
                <w:b w:val="0"/>
                <w:bCs/>
                <w:snapToGrid w:val="0"/>
                <w:color w:val="000000"/>
                <w:kern w:val="0"/>
                <w:sz w:val="24"/>
                <w:szCs w:val="24"/>
                <w:highlight w:val="none"/>
                <w:lang w:val="en-US" w:eastAsia="zh-CN"/>
              </w:rPr>
              <w:t>2023年</w:t>
            </w:r>
            <w:r>
              <w:rPr>
                <w:rFonts w:hint="default" w:ascii="Times New Roman" w:hAnsi="Times New Roman" w:eastAsia="宋体" w:cs="Times New Roman"/>
                <w:b w:val="0"/>
                <w:bCs/>
                <w:snapToGrid w:val="0"/>
                <w:color w:val="000000"/>
                <w:kern w:val="0"/>
                <w:sz w:val="24"/>
                <w:szCs w:val="24"/>
                <w:highlight w:val="none"/>
                <w:lang w:eastAsia="zh-CN"/>
              </w:rPr>
              <w:t>）》可知，</w:t>
            </w:r>
            <w:r>
              <w:rPr>
                <w:rFonts w:hint="eastAsia" w:ascii="Times New Roman" w:hAnsi="Times New Roman" w:eastAsia="宋体" w:cs="Times New Roman"/>
                <w:b w:val="0"/>
                <w:bCs/>
                <w:snapToGrid w:val="0"/>
                <w:color w:val="000000"/>
                <w:kern w:val="0"/>
                <w:sz w:val="24"/>
                <w:szCs w:val="24"/>
                <w:highlight w:val="none"/>
                <w:lang w:eastAsia="zh-CN"/>
              </w:rPr>
              <w:t>本项目所在区域为</w:t>
            </w:r>
            <w:r>
              <w:rPr>
                <w:rFonts w:hint="eastAsia" w:ascii="Times New Roman" w:hAnsi="Times New Roman" w:eastAsia="宋体" w:cs="Times New Roman"/>
                <w:b w:val="0"/>
                <w:color w:val="000000"/>
                <w:kern w:val="0"/>
                <w:sz w:val="24"/>
                <w:szCs w:val="24"/>
                <w:highlight w:val="none"/>
                <w:lang w:val="en-US" w:eastAsia="zh-CN"/>
              </w:rPr>
              <w:t>库尔勒市城建区</w:t>
            </w:r>
            <w:r>
              <w:rPr>
                <w:rFonts w:hint="eastAsia" w:ascii="Times New Roman" w:hAnsi="Times New Roman" w:eastAsia="宋体" w:cs="Times New Roman"/>
                <w:b w:val="0"/>
                <w:bCs/>
                <w:snapToGrid w:val="0"/>
                <w:color w:val="000000"/>
                <w:kern w:val="0"/>
                <w:sz w:val="24"/>
                <w:szCs w:val="24"/>
                <w:highlight w:val="none"/>
                <w:lang w:eastAsia="zh-CN"/>
              </w:rPr>
              <w:t>重点管控单元，</w:t>
            </w:r>
            <w:r>
              <w:rPr>
                <w:rFonts w:hint="eastAsia" w:ascii="Times New Roman" w:hAnsi="Times New Roman" w:eastAsia="宋体" w:cs="Times New Roman"/>
                <w:b w:val="0"/>
                <w:bCs/>
                <w:snapToGrid w:val="0"/>
                <w:color w:val="000000"/>
                <w:kern w:val="0"/>
                <w:sz w:val="24"/>
                <w:szCs w:val="24"/>
                <w:highlight w:val="none"/>
                <w:lang w:val="en-US" w:eastAsia="zh-CN"/>
              </w:rPr>
              <w:t>管控单元编码：ZH65280120015</w:t>
            </w:r>
            <w:r>
              <w:rPr>
                <w:rFonts w:hint="default" w:ascii="Times New Roman" w:hAnsi="Times New Roman" w:eastAsia="宋体" w:cs="Times New Roman"/>
                <w:b w:val="0"/>
                <w:bCs/>
                <w:snapToGrid w:val="0"/>
                <w:color w:val="000000"/>
                <w:kern w:val="0"/>
                <w:sz w:val="24"/>
                <w:szCs w:val="24"/>
                <w:highlight w:val="none"/>
                <w:lang w:val="en-US" w:eastAsia="zh-CN"/>
              </w:rPr>
              <w:t>，</w:t>
            </w:r>
            <w:r>
              <w:rPr>
                <w:rFonts w:hint="default" w:ascii="Times New Roman" w:hAnsi="Times New Roman" w:eastAsia="宋体" w:cs="Times New Roman"/>
                <w:b w:val="0"/>
                <w:bCs/>
                <w:snapToGrid w:val="0"/>
                <w:color w:val="000000"/>
                <w:kern w:val="0"/>
                <w:sz w:val="24"/>
                <w:szCs w:val="24"/>
                <w:highlight w:val="none"/>
                <w:lang w:eastAsia="zh-CN"/>
              </w:rPr>
              <w:t>与《巴音郭楞蒙古自治州生态环境准入清单》的符合性见下表。</w:t>
            </w:r>
          </w:p>
          <w:p w14:paraId="0D26BC7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400"/>
              <w:textAlignment w:val="auto"/>
              <w:rPr>
                <w:rFonts w:hint="default" w:ascii="Times New Roman" w:hAnsi="Times New Roman" w:eastAsia="宋体" w:cs="宋体"/>
                <w:b/>
                <w:bCs/>
                <w:color w:val="000000"/>
                <w:kern w:val="0"/>
                <w:sz w:val="21"/>
                <w:szCs w:val="21"/>
                <w:highlight w:val="none"/>
                <w:lang w:val="en-US" w:eastAsia="zh-CN"/>
              </w:rPr>
            </w:pPr>
            <w:r>
              <w:rPr>
                <w:rFonts w:hint="eastAsia" w:ascii="Times New Roman" w:hAnsi="Times New Roman" w:eastAsia="宋体" w:cs="宋体"/>
                <w:b/>
                <w:bCs/>
                <w:color w:val="000000"/>
                <w:kern w:val="0"/>
                <w:sz w:val="21"/>
                <w:szCs w:val="21"/>
                <w:highlight w:val="none"/>
                <w:lang w:eastAsia="zh-CN"/>
              </w:rPr>
              <w:t>表</w:t>
            </w:r>
            <w:r>
              <w:rPr>
                <w:rFonts w:hint="eastAsia" w:cs="宋体"/>
                <w:b/>
                <w:bCs/>
                <w:color w:val="000000"/>
                <w:kern w:val="0"/>
                <w:sz w:val="21"/>
                <w:szCs w:val="21"/>
                <w:highlight w:val="none"/>
                <w:lang w:val="en-US" w:eastAsia="zh-CN"/>
              </w:rPr>
              <w:t>1-</w:t>
            </w:r>
            <w:r>
              <w:rPr>
                <w:rFonts w:hint="eastAsia" w:ascii="Times New Roman" w:hAnsi="Times New Roman" w:eastAsia="宋体" w:cs="宋体"/>
                <w:b/>
                <w:bCs/>
                <w:color w:val="000000"/>
                <w:kern w:val="0"/>
                <w:sz w:val="21"/>
                <w:szCs w:val="21"/>
                <w:highlight w:val="none"/>
                <w:lang w:val="en-US" w:eastAsia="zh-CN"/>
              </w:rPr>
              <w:t xml:space="preserve">2     </w:t>
            </w:r>
            <w:r>
              <w:rPr>
                <w:rFonts w:hint="eastAsia" w:ascii="Times New Roman" w:hAnsi="Times New Roman" w:eastAsia="宋体" w:cs="Times New Roman"/>
                <w:b/>
                <w:bCs/>
                <w:snapToGrid w:val="0"/>
                <w:color w:val="000000"/>
                <w:kern w:val="0"/>
                <w:sz w:val="21"/>
                <w:szCs w:val="21"/>
                <w:highlight w:val="none"/>
                <w:lang w:val="en-US" w:eastAsia="zh-CN"/>
              </w:rPr>
              <w:t xml:space="preserve"> </w:t>
            </w:r>
            <w:r>
              <w:rPr>
                <w:rFonts w:hint="default" w:ascii="Times New Roman" w:hAnsi="Times New Roman" w:eastAsia="宋体" w:cs="Times New Roman"/>
                <w:b/>
                <w:bCs/>
                <w:snapToGrid w:val="0"/>
                <w:color w:val="000000"/>
                <w:kern w:val="0"/>
                <w:sz w:val="21"/>
                <w:szCs w:val="21"/>
                <w:highlight w:val="none"/>
                <w:lang w:val="en-US" w:eastAsia="zh-CN"/>
              </w:rPr>
              <w:t>《巴音郭楞蒙古自治州生态环境准入清单》的符合性分析</w:t>
            </w:r>
          </w:p>
          <w:tbl>
            <w:tblPr>
              <w:tblStyle w:val="32"/>
              <w:tblW w:w="4997" w:type="pct"/>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693"/>
              <w:gridCol w:w="703"/>
              <w:gridCol w:w="3091"/>
              <w:gridCol w:w="2684"/>
            </w:tblGrid>
            <w:tr w14:paraId="633AD14A">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483" w:type="pct"/>
                  <w:tcBorders>
                    <w:tl2br w:val="nil"/>
                    <w:tr2bl w:val="nil"/>
                  </w:tcBorders>
                  <w:noWrap w:val="0"/>
                  <w:vAlign w:val="center"/>
                </w:tcPr>
                <w:p w14:paraId="4AFBB25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highlight w:val="none"/>
                      <w:lang w:val="en-US" w:eastAsia="zh-CN" w:bidi="ar-SA"/>
                    </w:rPr>
                  </w:pPr>
                </w:p>
              </w:tc>
              <w:tc>
                <w:tcPr>
                  <w:tcW w:w="490" w:type="pct"/>
                  <w:tcBorders>
                    <w:tl2br w:val="nil"/>
                    <w:tr2bl w:val="nil"/>
                  </w:tcBorders>
                  <w:noWrap w:val="0"/>
                  <w:vAlign w:val="center"/>
                </w:tcPr>
                <w:p w14:paraId="50572EE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highlight w:val="none"/>
                      <w:lang w:val="en-US" w:eastAsia="zh-CN" w:bidi="ar-SA"/>
                    </w:rPr>
                  </w:pPr>
                  <w:r>
                    <w:rPr>
                      <w:rFonts w:hint="default" w:ascii="Times New Roman" w:hAnsi="Times New Roman" w:eastAsia="宋体" w:cs="Times New Roman"/>
                      <w:color w:val="000000"/>
                      <w:sz w:val="21"/>
                      <w:szCs w:val="21"/>
                      <w:highlight w:val="none"/>
                      <w:lang w:val="en-US" w:eastAsia="zh-CN" w:bidi="ar-SA"/>
                    </w:rPr>
                    <w:t>管控类别</w:t>
                  </w:r>
                </w:p>
              </w:tc>
              <w:tc>
                <w:tcPr>
                  <w:tcW w:w="2155" w:type="pct"/>
                  <w:tcBorders>
                    <w:tl2br w:val="nil"/>
                    <w:tr2bl w:val="nil"/>
                  </w:tcBorders>
                  <w:noWrap w:val="0"/>
                  <w:vAlign w:val="center"/>
                </w:tcPr>
                <w:p w14:paraId="4A8F00C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highlight w:val="none"/>
                      <w:lang w:val="en-US" w:eastAsia="zh-CN" w:bidi="ar-SA"/>
                    </w:rPr>
                  </w:pPr>
                  <w:r>
                    <w:rPr>
                      <w:rFonts w:hint="default" w:ascii="Times New Roman" w:hAnsi="Times New Roman" w:eastAsia="宋体" w:cs="Times New Roman"/>
                      <w:color w:val="000000"/>
                      <w:sz w:val="21"/>
                      <w:szCs w:val="21"/>
                      <w:highlight w:val="none"/>
                      <w:lang w:val="en-US" w:eastAsia="zh-CN" w:bidi="ar-SA"/>
                    </w:rPr>
                    <w:t>管控要求</w:t>
                  </w:r>
                </w:p>
              </w:tc>
              <w:tc>
                <w:tcPr>
                  <w:tcW w:w="1871" w:type="pct"/>
                  <w:tcBorders>
                    <w:tl2br w:val="nil"/>
                    <w:tr2bl w:val="nil"/>
                  </w:tcBorders>
                  <w:noWrap w:val="0"/>
                  <w:vAlign w:val="center"/>
                </w:tcPr>
                <w:p w14:paraId="4BA62E1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highlight w:val="none"/>
                      <w:lang w:val="en-US" w:eastAsia="zh-CN" w:bidi="ar-SA"/>
                    </w:rPr>
                  </w:pPr>
                  <w:r>
                    <w:rPr>
                      <w:rFonts w:hint="default" w:ascii="Times New Roman" w:hAnsi="Times New Roman" w:eastAsia="宋体" w:cs="Times New Roman"/>
                      <w:color w:val="000000"/>
                      <w:sz w:val="21"/>
                      <w:szCs w:val="21"/>
                      <w:highlight w:val="none"/>
                      <w:lang w:val="en-US" w:eastAsia="zh-CN" w:bidi="ar-SA"/>
                    </w:rPr>
                    <w:t>符合性分析</w:t>
                  </w:r>
                </w:p>
              </w:tc>
            </w:tr>
            <w:tr w14:paraId="28888A76">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483" w:type="pct"/>
                  <w:vMerge w:val="restart"/>
                  <w:tcBorders>
                    <w:tl2br w:val="nil"/>
                    <w:tr2bl w:val="nil"/>
                  </w:tcBorders>
                  <w:noWrap w:val="0"/>
                  <w:vAlign w:val="center"/>
                </w:tcPr>
                <w:p w14:paraId="4B74758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highlight w:val="none"/>
                      <w:lang w:val="en-US" w:eastAsia="zh-CN" w:bidi="ar-SA"/>
                    </w:rPr>
                  </w:pPr>
                  <w:r>
                    <w:rPr>
                      <w:rFonts w:hint="default" w:ascii="Times New Roman" w:hAnsi="Times New Roman" w:eastAsia="宋体" w:cs="Times New Roman"/>
                      <w:color w:val="000000"/>
                      <w:sz w:val="21"/>
                      <w:szCs w:val="21"/>
                      <w:highlight w:val="none"/>
                      <w:lang w:val="en-US" w:eastAsia="zh-CN" w:bidi="ar-SA"/>
                    </w:rPr>
                    <w:t>生态环境分区管控</w:t>
                  </w:r>
                </w:p>
              </w:tc>
              <w:tc>
                <w:tcPr>
                  <w:tcW w:w="490" w:type="pct"/>
                  <w:vMerge w:val="restart"/>
                  <w:tcBorders>
                    <w:tl2br w:val="nil"/>
                    <w:tr2bl w:val="nil"/>
                  </w:tcBorders>
                  <w:noWrap w:val="0"/>
                  <w:vAlign w:val="center"/>
                </w:tcPr>
                <w:p w14:paraId="6C719C5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highlight w:val="none"/>
                      <w:lang w:val="en-US" w:eastAsia="zh-CN" w:bidi="ar-SA"/>
                    </w:rPr>
                  </w:pPr>
                  <w:r>
                    <w:rPr>
                      <w:rFonts w:hint="default" w:ascii="Times New Roman" w:hAnsi="Times New Roman" w:eastAsia="宋体" w:cs="Times New Roman"/>
                      <w:color w:val="000000"/>
                      <w:sz w:val="21"/>
                      <w:szCs w:val="21"/>
                      <w:highlight w:val="none"/>
                      <w:lang w:val="en-US" w:eastAsia="zh-CN" w:bidi="ar-SA"/>
                    </w:rPr>
                    <w:t>空间布局约束</w:t>
                  </w:r>
                </w:p>
              </w:tc>
              <w:tc>
                <w:tcPr>
                  <w:tcW w:w="2155" w:type="pct"/>
                  <w:tcBorders>
                    <w:tl2br w:val="nil"/>
                    <w:tr2bl w:val="nil"/>
                  </w:tcBorders>
                  <w:noWrap w:val="0"/>
                  <w:vAlign w:val="center"/>
                </w:tcPr>
                <w:p w14:paraId="5F9A0E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highlight w:val="none"/>
                      <w:lang w:val="en-US" w:eastAsia="zh-CN" w:bidi="ar-SA"/>
                    </w:rPr>
                  </w:pPr>
                  <w:r>
                    <w:rPr>
                      <w:rFonts w:hint="default" w:ascii="Times New Roman" w:hAnsi="Times New Roman" w:eastAsia="宋体" w:cs="Times New Roman"/>
                      <w:color w:val="000000"/>
                      <w:sz w:val="21"/>
                      <w:szCs w:val="21"/>
                      <w:highlight w:val="none"/>
                      <w:lang w:val="en-US" w:eastAsia="zh-CN" w:bidi="ar-SA"/>
                    </w:rPr>
                    <w:t>1、加强生态防护体系建设。加快城市及周边绿化和防风防沙林建设。在行政区域用水指标内，积极推进用水结构调整，合理配置生活、生产和生态用水，扩大城市建成区绿化规模，继续推进道路绿化、居住区绿化、立体空间绿化。城市周边禁止开荒，降低风起扬尘。加大城市周边绿化建设力度。</w:t>
                  </w:r>
                </w:p>
              </w:tc>
              <w:tc>
                <w:tcPr>
                  <w:tcW w:w="1871" w:type="pct"/>
                  <w:tcBorders>
                    <w:tl2br w:val="nil"/>
                    <w:tr2bl w:val="nil"/>
                  </w:tcBorders>
                  <w:noWrap w:val="0"/>
                  <w:vAlign w:val="center"/>
                </w:tcPr>
                <w:p w14:paraId="5250360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highlight w:val="none"/>
                      <w:lang w:val="en-US" w:eastAsia="zh-CN" w:bidi="ar-SA"/>
                    </w:rPr>
                  </w:pPr>
                  <w:r>
                    <w:rPr>
                      <w:rFonts w:hint="default" w:ascii="Times New Roman" w:hAnsi="Times New Roman" w:eastAsia="宋体" w:cs="Times New Roman"/>
                      <w:color w:val="000000"/>
                      <w:spacing w:val="-6"/>
                      <w:sz w:val="21"/>
                      <w:szCs w:val="21"/>
                      <w:highlight w:val="none"/>
                      <w:lang w:val="en-US" w:eastAsia="zh-CN" w:bidi="ar-SA"/>
                    </w:rPr>
                    <w:t>符合，</w:t>
                  </w:r>
                  <w:r>
                    <w:rPr>
                      <w:rFonts w:hint="eastAsia" w:cs="Times New Roman"/>
                      <w:color w:val="000000"/>
                      <w:spacing w:val="-6"/>
                      <w:sz w:val="21"/>
                      <w:szCs w:val="21"/>
                      <w:highlight w:val="none"/>
                      <w:lang w:val="en-US" w:eastAsia="zh-CN" w:bidi="ar-SA"/>
                    </w:rPr>
                    <w:t>本项目</w:t>
                  </w:r>
                  <w:r>
                    <w:rPr>
                      <w:rFonts w:hint="default" w:ascii="Times New Roman" w:hAnsi="Times New Roman" w:eastAsia="宋体" w:cs="Times New Roman"/>
                      <w:color w:val="000000"/>
                      <w:spacing w:val="-6"/>
                      <w:sz w:val="21"/>
                      <w:szCs w:val="21"/>
                      <w:highlight w:val="none"/>
                      <w:lang w:val="en-US" w:eastAsia="zh-CN" w:bidi="ar-SA"/>
                    </w:rPr>
                    <w:t>位于新疆巴州库尔勒市铁克其乡迎宾路48号兴旺家园40栋1-2层19号</w:t>
                  </w:r>
                  <w:r>
                    <w:rPr>
                      <w:rFonts w:hint="eastAsia" w:cs="Times New Roman"/>
                      <w:color w:val="000000"/>
                      <w:spacing w:val="-6"/>
                      <w:sz w:val="21"/>
                      <w:szCs w:val="21"/>
                      <w:highlight w:val="none"/>
                      <w:lang w:val="en-US" w:eastAsia="zh-CN" w:bidi="ar-SA"/>
                    </w:rPr>
                    <w:t>，项目周边城区绿化已建成。</w:t>
                  </w:r>
                </w:p>
              </w:tc>
            </w:tr>
            <w:tr w14:paraId="50284631">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483" w:type="pct"/>
                  <w:vMerge w:val="continue"/>
                  <w:tcBorders>
                    <w:tl2br w:val="nil"/>
                    <w:tr2bl w:val="nil"/>
                  </w:tcBorders>
                  <w:noWrap w:val="0"/>
                  <w:vAlign w:val="center"/>
                </w:tcPr>
                <w:p w14:paraId="3FA90D6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highlight w:val="none"/>
                      <w:lang w:val="en-US" w:eastAsia="zh-CN" w:bidi="ar-SA"/>
                    </w:rPr>
                  </w:pPr>
                </w:p>
              </w:tc>
              <w:tc>
                <w:tcPr>
                  <w:tcW w:w="490" w:type="pct"/>
                  <w:vMerge w:val="continue"/>
                  <w:tcBorders>
                    <w:tl2br w:val="nil"/>
                    <w:tr2bl w:val="nil"/>
                  </w:tcBorders>
                  <w:noWrap w:val="0"/>
                  <w:vAlign w:val="center"/>
                </w:tcPr>
                <w:p w14:paraId="4B3318A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highlight w:val="none"/>
                      <w:lang w:val="en-US" w:eastAsia="zh-CN" w:bidi="ar-SA"/>
                    </w:rPr>
                  </w:pPr>
                </w:p>
              </w:tc>
              <w:tc>
                <w:tcPr>
                  <w:tcW w:w="2155" w:type="pct"/>
                  <w:tcBorders>
                    <w:tl2br w:val="nil"/>
                    <w:tr2bl w:val="nil"/>
                  </w:tcBorders>
                  <w:noWrap w:val="0"/>
                  <w:vAlign w:val="center"/>
                </w:tcPr>
                <w:p w14:paraId="5F3A8C5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highlight w:val="none"/>
                      <w:lang w:val="en-US" w:eastAsia="zh-CN" w:bidi="ar-SA"/>
                    </w:rPr>
                  </w:pPr>
                  <w:r>
                    <w:rPr>
                      <w:rFonts w:hint="eastAsia" w:ascii="Times New Roman" w:hAnsi="Times New Roman" w:eastAsia="宋体" w:cs="Times New Roman"/>
                      <w:color w:val="000000"/>
                      <w:kern w:val="0"/>
                      <w:sz w:val="21"/>
                      <w:szCs w:val="21"/>
                      <w:lang w:val="en-US" w:eastAsia="zh-CN" w:bidi="ar"/>
                    </w:rPr>
                    <w:t>2、</w:t>
                  </w:r>
                  <w:r>
                    <w:rPr>
                      <w:rFonts w:hint="default" w:ascii="Times New Roman" w:hAnsi="Times New Roman" w:eastAsia="宋体" w:cs="Times New Roman"/>
                      <w:color w:val="000000"/>
                      <w:kern w:val="0"/>
                      <w:sz w:val="21"/>
                      <w:szCs w:val="21"/>
                      <w:lang w:val="en-US" w:eastAsia="zh-CN" w:bidi="ar"/>
                    </w:rPr>
                    <w:t>建成区原则上禁止新建每小时35蒸吨以下燃煤锅炉，其他地区原则上不再新建每小时10蒸吨以下的燃煤锅炉。新建燃气锅炉氮氧化物排放浓度均应不高于50mg/m</w:t>
                  </w:r>
                  <w:r>
                    <w:rPr>
                      <w:rFonts w:hint="default" w:ascii="Times New Roman" w:hAnsi="Times New Roman" w:eastAsia="宋体" w:cs="Times New Roman"/>
                      <w:color w:val="000000"/>
                      <w:kern w:val="0"/>
                      <w:sz w:val="21"/>
                      <w:szCs w:val="21"/>
                      <w:vertAlign w:val="superscript"/>
                      <w:lang w:val="en-US" w:eastAsia="zh-CN" w:bidi="ar"/>
                    </w:rPr>
                    <w:t>3</w:t>
                  </w:r>
                  <w:r>
                    <w:rPr>
                      <w:rFonts w:hint="default" w:ascii="Times New Roman" w:hAnsi="Times New Roman" w:eastAsia="宋体" w:cs="Times New Roman"/>
                      <w:color w:val="000000"/>
                      <w:kern w:val="0"/>
                      <w:sz w:val="21"/>
                      <w:szCs w:val="21"/>
                      <w:lang w:val="en-US" w:eastAsia="zh-CN" w:bidi="ar"/>
                    </w:rPr>
                    <w:t>。</w:t>
                  </w:r>
                </w:p>
              </w:tc>
              <w:tc>
                <w:tcPr>
                  <w:tcW w:w="1871" w:type="pct"/>
                  <w:tcBorders>
                    <w:tl2br w:val="nil"/>
                    <w:tr2bl w:val="nil"/>
                  </w:tcBorders>
                  <w:noWrap w:val="0"/>
                  <w:vAlign w:val="center"/>
                </w:tcPr>
                <w:p w14:paraId="001710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pacing w:val="-6"/>
                      <w:sz w:val="21"/>
                      <w:szCs w:val="21"/>
                      <w:highlight w:val="none"/>
                      <w:lang w:val="en-US" w:eastAsia="zh-CN" w:bidi="ar-SA"/>
                    </w:rPr>
                  </w:pPr>
                  <w:r>
                    <w:rPr>
                      <w:rFonts w:hint="eastAsia" w:ascii="Times New Roman" w:hAnsi="Times New Roman" w:eastAsia="宋体" w:cs="Times New Roman"/>
                      <w:color w:val="000000"/>
                      <w:spacing w:val="0"/>
                      <w:kern w:val="0"/>
                      <w:sz w:val="21"/>
                      <w:szCs w:val="21"/>
                      <w:lang w:val="en-US" w:eastAsia="zh-CN" w:bidi="ar"/>
                    </w:rPr>
                    <w:t>符合，本项目不涉及新建</w:t>
                  </w:r>
                  <w:r>
                    <w:rPr>
                      <w:rFonts w:hint="default" w:ascii="Times New Roman" w:hAnsi="Times New Roman" w:eastAsia="宋体" w:cs="Times New Roman"/>
                      <w:color w:val="000000"/>
                      <w:kern w:val="0"/>
                      <w:sz w:val="21"/>
                      <w:szCs w:val="21"/>
                      <w:lang w:val="en-US" w:eastAsia="zh-CN" w:bidi="ar"/>
                    </w:rPr>
                    <w:t>燃煤锅炉</w:t>
                  </w:r>
                  <w:r>
                    <w:rPr>
                      <w:rFonts w:hint="eastAsia" w:cs="Times New Roman"/>
                      <w:color w:val="000000"/>
                      <w:spacing w:val="0"/>
                      <w:kern w:val="0"/>
                      <w:sz w:val="21"/>
                      <w:szCs w:val="21"/>
                      <w:lang w:val="en-US" w:eastAsia="zh-CN" w:bidi="ar"/>
                    </w:rPr>
                    <w:t>。</w:t>
                  </w:r>
                </w:p>
              </w:tc>
            </w:tr>
            <w:tr w14:paraId="6C66C657">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483" w:type="pct"/>
                  <w:vMerge w:val="continue"/>
                  <w:tcBorders>
                    <w:tl2br w:val="nil"/>
                    <w:tr2bl w:val="nil"/>
                  </w:tcBorders>
                  <w:noWrap w:val="0"/>
                  <w:vAlign w:val="center"/>
                </w:tcPr>
                <w:p w14:paraId="2F9369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highlight w:val="none"/>
                      <w:lang w:val="en-US" w:eastAsia="zh-CN" w:bidi="ar-SA"/>
                    </w:rPr>
                  </w:pPr>
                </w:p>
              </w:tc>
              <w:tc>
                <w:tcPr>
                  <w:tcW w:w="490" w:type="pct"/>
                  <w:tcBorders>
                    <w:tl2br w:val="nil"/>
                    <w:tr2bl w:val="nil"/>
                  </w:tcBorders>
                  <w:noWrap w:val="0"/>
                  <w:vAlign w:val="center"/>
                </w:tcPr>
                <w:p w14:paraId="100FECE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highlight w:val="none"/>
                      <w:lang w:val="en-US" w:eastAsia="zh-CN" w:bidi="ar-SA"/>
                    </w:rPr>
                  </w:pPr>
                  <w:r>
                    <w:rPr>
                      <w:rFonts w:hint="default" w:ascii="Times New Roman" w:hAnsi="Times New Roman" w:eastAsia="宋体" w:cs="Times New Roman"/>
                      <w:color w:val="000000"/>
                      <w:sz w:val="21"/>
                      <w:szCs w:val="21"/>
                      <w:highlight w:val="none"/>
                      <w:lang w:val="en-US" w:eastAsia="zh-CN" w:bidi="ar-SA"/>
                    </w:rPr>
                    <w:t>污染物排放管控</w:t>
                  </w:r>
                </w:p>
              </w:tc>
              <w:tc>
                <w:tcPr>
                  <w:tcW w:w="2155" w:type="pct"/>
                  <w:tcBorders>
                    <w:tl2br w:val="nil"/>
                    <w:tr2bl w:val="nil"/>
                  </w:tcBorders>
                  <w:noWrap w:val="0"/>
                  <w:vAlign w:val="center"/>
                </w:tcPr>
                <w:p w14:paraId="1667D56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highlight w:val="none"/>
                      <w:lang w:val="en-US" w:eastAsia="zh-CN" w:bidi="ar-SA"/>
                    </w:rPr>
                  </w:pPr>
                  <w:r>
                    <w:rPr>
                      <w:rFonts w:hint="default" w:ascii="Times New Roman" w:hAnsi="Times New Roman" w:eastAsia="宋体" w:cs="Times New Roman"/>
                      <w:color w:val="000000"/>
                      <w:sz w:val="21"/>
                      <w:szCs w:val="21"/>
                      <w:highlight w:val="none"/>
                      <w:lang w:val="en-US" w:eastAsia="zh-CN" w:bidi="ar-SA"/>
                    </w:rPr>
                    <w:t>1、控制扬尘污染。加大城市扬尘综合整治力度。加强施工扬尘监管，积极推进绿色施工。各类建筑施工、道路施工、市政工程等工地和构筑物拆除场地施工现场应满足全封闭设置围挡墙、湿法作业、物料覆盖、道路硬化、进出车辆冲洗、物料密闭运输等“六个百分之百”措施，施工面积大于住建部门要求的应安装扬尘和噪声监测系统并联网。渣土运输车辆采取密闭措施，逐步安装卫星定位系统；大型煤堆、料堆实行全封闭存储。提高城市道路机械化湿法清扫率，及时修复破损路面，加强道路两侧绿化。库尔勒市区道路适时开展道路 洒水抑尘。</w:t>
                  </w:r>
                </w:p>
              </w:tc>
              <w:tc>
                <w:tcPr>
                  <w:tcW w:w="1871" w:type="pct"/>
                  <w:tcBorders>
                    <w:tl2br w:val="nil"/>
                    <w:tr2bl w:val="nil"/>
                  </w:tcBorders>
                  <w:noWrap w:val="0"/>
                  <w:vAlign w:val="center"/>
                </w:tcPr>
                <w:p w14:paraId="15E69A2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highlight w:val="none"/>
                      <w:lang w:val="en-US" w:eastAsia="zh-CN" w:bidi="ar-SA"/>
                    </w:rPr>
                  </w:pPr>
                  <w:r>
                    <w:rPr>
                      <w:rFonts w:hint="default" w:ascii="Times New Roman" w:hAnsi="Times New Roman" w:eastAsia="宋体" w:cs="Times New Roman"/>
                      <w:color w:val="000000"/>
                      <w:sz w:val="21"/>
                      <w:szCs w:val="21"/>
                      <w:highlight w:val="none"/>
                      <w:lang w:val="en-US" w:eastAsia="zh-CN" w:bidi="ar-SA"/>
                    </w:rPr>
                    <w:t>符合，本项目</w:t>
                  </w:r>
                  <w:r>
                    <w:rPr>
                      <w:rFonts w:hint="eastAsia" w:ascii="Times New Roman" w:hAnsi="Times New Roman" w:eastAsia="宋体" w:cs="Times New Roman"/>
                      <w:color w:val="000000"/>
                      <w:sz w:val="21"/>
                      <w:szCs w:val="21"/>
                      <w:highlight w:val="none"/>
                      <w:lang w:val="en-US" w:eastAsia="zh-CN" w:bidi="ar-SA"/>
                    </w:rPr>
                    <w:t>不涉及</w:t>
                  </w:r>
                  <w:r>
                    <w:rPr>
                      <w:rFonts w:hint="default" w:ascii="Times New Roman" w:hAnsi="Times New Roman" w:eastAsia="宋体" w:cs="Times New Roman"/>
                      <w:sz w:val="21"/>
                      <w:szCs w:val="21"/>
                    </w:rPr>
                    <w:t>。</w:t>
                  </w:r>
                </w:p>
              </w:tc>
            </w:tr>
            <w:tr w14:paraId="3D9F2D23">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483" w:type="pct"/>
                  <w:vMerge w:val="continue"/>
                  <w:tcBorders>
                    <w:tl2br w:val="nil"/>
                    <w:tr2bl w:val="nil"/>
                  </w:tcBorders>
                  <w:noWrap w:val="0"/>
                  <w:vAlign w:val="center"/>
                </w:tcPr>
                <w:p w14:paraId="076A3EF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highlight w:val="none"/>
                      <w:lang w:val="en-US" w:eastAsia="zh-CN" w:bidi="ar-SA"/>
                    </w:rPr>
                  </w:pPr>
                </w:p>
              </w:tc>
              <w:tc>
                <w:tcPr>
                  <w:tcW w:w="490" w:type="pct"/>
                  <w:vMerge w:val="restart"/>
                  <w:tcBorders>
                    <w:tl2br w:val="nil"/>
                    <w:tr2bl w:val="nil"/>
                  </w:tcBorders>
                  <w:noWrap w:val="0"/>
                  <w:vAlign w:val="center"/>
                </w:tcPr>
                <w:p w14:paraId="1E06EB3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highlight w:val="none"/>
                      <w:lang w:val="en-US" w:eastAsia="zh-CN" w:bidi="ar-SA"/>
                    </w:rPr>
                  </w:pPr>
                  <w:r>
                    <w:rPr>
                      <w:rFonts w:hint="default" w:ascii="Times New Roman" w:hAnsi="Times New Roman" w:eastAsia="宋体" w:cs="Times New Roman"/>
                      <w:color w:val="000000"/>
                      <w:sz w:val="21"/>
                      <w:szCs w:val="21"/>
                      <w:highlight w:val="none"/>
                      <w:lang w:val="en-US" w:eastAsia="zh-CN" w:bidi="ar-SA"/>
                    </w:rPr>
                    <w:t>环境风险防控</w:t>
                  </w:r>
                </w:p>
              </w:tc>
              <w:tc>
                <w:tcPr>
                  <w:tcW w:w="2155" w:type="pct"/>
                  <w:tcBorders>
                    <w:tl2br w:val="nil"/>
                    <w:tr2bl w:val="nil"/>
                  </w:tcBorders>
                  <w:noWrap w:val="0"/>
                  <w:vAlign w:val="center"/>
                </w:tcPr>
                <w:p w14:paraId="7D354E3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000000"/>
                      <w:sz w:val="21"/>
                      <w:szCs w:val="21"/>
                      <w:highlight w:val="none"/>
                      <w:lang w:val="en-US" w:eastAsia="zh-CN" w:bidi="ar-SA"/>
                    </w:rPr>
                  </w:pPr>
                  <w:r>
                    <w:rPr>
                      <w:rFonts w:hint="default" w:ascii="Times New Roman" w:hAnsi="Times New Roman" w:eastAsia="宋体" w:cs="Times New Roman"/>
                      <w:b w:val="0"/>
                      <w:color w:val="000000"/>
                      <w:kern w:val="0"/>
                      <w:sz w:val="21"/>
                      <w:szCs w:val="21"/>
                      <w:highlight w:val="none"/>
                      <w:lang w:val="en-US" w:eastAsia="zh-CN" w:bidi="ar"/>
                    </w:rPr>
                    <w:t>1.提高监管能力。建设区域空气质量监测网络，完善监测站点，统一监测指标，统一质量管理，统一信息发布；完善重点污染源在线监控能力建设。全面加强国控、区控重点污染源SO</w:t>
                  </w:r>
                  <w:r>
                    <w:rPr>
                      <w:rFonts w:hint="default" w:ascii="Times New Roman" w:hAnsi="Times New Roman" w:eastAsia="宋体" w:cs="Times New Roman"/>
                      <w:b w:val="0"/>
                      <w:color w:val="000000"/>
                      <w:kern w:val="0"/>
                      <w:sz w:val="21"/>
                      <w:szCs w:val="21"/>
                      <w:highlight w:val="none"/>
                      <w:vertAlign w:val="subscript"/>
                      <w:lang w:val="en-US" w:eastAsia="zh-CN" w:bidi="ar"/>
                    </w:rPr>
                    <w:t>2</w:t>
                  </w:r>
                  <w:r>
                    <w:rPr>
                      <w:rFonts w:hint="default" w:ascii="Times New Roman" w:hAnsi="Times New Roman" w:eastAsia="宋体" w:cs="Times New Roman"/>
                      <w:b w:val="0"/>
                      <w:color w:val="000000"/>
                      <w:kern w:val="0"/>
                      <w:sz w:val="21"/>
                      <w:szCs w:val="21"/>
                      <w:highlight w:val="none"/>
                      <w:lang w:val="en-US" w:eastAsia="zh-CN" w:bidi="ar"/>
                    </w:rPr>
                    <w:t>、NOx、烟粉尘在线监测能力建设；推进机动车排污监控能力建设。建立和完善库尔勒区域机动车排污监控中心和污染监控平台，实现机动车环保检验机构在线联网监控，建立新车、在用车环保信息共享数据库</w:t>
                  </w:r>
                  <w:r>
                    <w:rPr>
                      <w:rFonts w:hint="eastAsia" w:cs="Times New Roman"/>
                      <w:b w:val="0"/>
                      <w:color w:val="000000"/>
                      <w:kern w:val="0"/>
                      <w:sz w:val="21"/>
                      <w:szCs w:val="21"/>
                      <w:highlight w:val="none"/>
                      <w:lang w:val="en-US" w:eastAsia="zh-CN" w:bidi="ar"/>
                    </w:rPr>
                    <w:t>。</w:t>
                  </w:r>
                </w:p>
              </w:tc>
              <w:tc>
                <w:tcPr>
                  <w:tcW w:w="1871" w:type="pct"/>
                  <w:tcBorders>
                    <w:tl2br w:val="nil"/>
                    <w:tr2bl w:val="nil"/>
                  </w:tcBorders>
                  <w:noWrap w:val="0"/>
                  <w:vAlign w:val="center"/>
                </w:tcPr>
                <w:p w14:paraId="4C11A6A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highlight w:val="none"/>
                      <w:lang w:val="en-US" w:eastAsia="zh-CN" w:bidi="ar-SA"/>
                    </w:rPr>
                  </w:pPr>
                  <w:r>
                    <w:rPr>
                      <w:rFonts w:hint="default" w:ascii="Times New Roman" w:hAnsi="Times New Roman" w:eastAsia="宋体" w:cs="Times New Roman"/>
                      <w:color w:val="000000"/>
                      <w:sz w:val="21"/>
                      <w:szCs w:val="21"/>
                      <w:highlight w:val="none"/>
                      <w:lang w:val="en-US" w:eastAsia="zh-CN" w:bidi="ar-SA"/>
                    </w:rPr>
                    <w:t>符合，本项目不涉及。</w:t>
                  </w:r>
                </w:p>
              </w:tc>
            </w:tr>
            <w:tr w14:paraId="3610DB8A">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483" w:type="pct"/>
                  <w:vMerge w:val="continue"/>
                  <w:tcBorders>
                    <w:tl2br w:val="nil"/>
                    <w:tr2bl w:val="nil"/>
                  </w:tcBorders>
                  <w:noWrap w:val="0"/>
                  <w:vAlign w:val="center"/>
                </w:tcPr>
                <w:p w14:paraId="68F7D15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highlight w:val="none"/>
                      <w:lang w:val="en-US" w:eastAsia="zh-CN" w:bidi="ar-SA"/>
                    </w:rPr>
                  </w:pPr>
                </w:p>
              </w:tc>
              <w:tc>
                <w:tcPr>
                  <w:tcW w:w="490" w:type="pct"/>
                  <w:vMerge w:val="continue"/>
                  <w:tcBorders>
                    <w:tl2br w:val="nil"/>
                    <w:tr2bl w:val="nil"/>
                  </w:tcBorders>
                  <w:noWrap w:val="0"/>
                  <w:vAlign w:val="center"/>
                </w:tcPr>
                <w:p w14:paraId="763AFA7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highlight w:val="none"/>
                      <w:lang w:val="en-US" w:eastAsia="zh-CN" w:bidi="ar-SA"/>
                    </w:rPr>
                  </w:pPr>
                </w:p>
              </w:tc>
              <w:tc>
                <w:tcPr>
                  <w:tcW w:w="2155" w:type="pct"/>
                  <w:tcBorders>
                    <w:tl2br w:val="nil"/>
                    <w:tr2bl w:val="nil"/>
                  </w:tcBorders>
                  <w:noWrap w:val="0"/>
                  <w:vAlign w:val="center"/>
                </w:tcPr>
                <w:p w14:paraId="61462B7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b w:val="0"/>
                      <w:color w:val="000000"/>
                      <w:kern w:val="0"/>
                      <w:sz w:val="21"/>
                      <w:szCs w:val="21"/>
                      <w:highlight w:val="none"/>
                      <w:lang w:val="en-US" w:eastAsia="zh-CN"/>
                    </w:rPr>
                  </w:pPr>
                  <w:r>
                    <w:rPr>
                      <w:rFonts w:hint="default" w:ascii="Times New Roman" w:hAnsi="Times New Roman" w:eastAsia="宋体" w:cs="Times New Roman"/>
                      <w:b w:val="0"/>
                      <w:color w:val="000000"/>
                      <w:kern w:val="0"/>
                      <w:sz w:val="21"/>
                      <w:szCs w:val="21"/>
                      <w:highlight w:val="none"/>
                      <w:lang w:val="en-US" w:eastAsia="zh-CN" w:bidi="ar"/>
                    </w:rPr>
                    <w:t>2.建立区域大气污染预警应急机制。加强重点控制区域极端不利气象条件下大气污染预警体系和区域大气环境质量预报系统建设，建立区域重污染事件应急预案，构建区域联动一体的应急响应体系。</w:t>
                  </w:r>
                </w:p>
              </w:tc>
              <w:tc>
                <w:tcPr>
                  <w:tcW w:w="1871" w:type="pct"/>
                  <w:tcBorders>
                    <w:tl2br w:val="nil"/>
                    <w:tr2bl w:val="nil"/>
                  </w:tcBorders>
                  <w:noWrap w:val="0"/>
                  <w:vAlign w:val="center"/>
                </w:tcPr>
                <w:p w14:paraId="7646B1D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highlight w:val="none"/>
                      <w:lang w:val="en-US" w:eastAsia="zh-CN" w:bidi="ar-SA"/>
                    </w:rPr>
                  </w:pPr>
                  <w:r>
                    <w:rPr>
                      <w:rFonts w:hint="eastAsia" w:cs="Times New Roman"/>
                      <w:color w:val="000000" w:themeColor="text1"/>
                      <w:sz w:val="21"/>
                      <w:szCs w:val="21"/>
                      <w:highlight w:val="none"/>
                      <w:lang w:val="en-US" w:eastAsia="zh-CN"/>
                      <w14:textFill>
                        <w14:solidFill>
                          <w14:schemeClr w14:val="tx1"/>
                        </w14:solidFill>
                      </w14:textFill>
                    </w:rPr>
                    <w:t>符合，本项目不涉及</w:t>
                  </w:r>
                  <w:r>
                    <w:rPr>
                      <w:rFonts w:hint="default" w:ascii="Times New Roman" w:hAnsi="Times New Roman" w:eastAsia="宋体" w:cs="Times New Roman"/>
                      <w:b w:val="0"/>
                      <w:color w:val="000000"/>
                      <w:kern w:val="0"/>
                      <w:sz w:val="21"/>
                      <w:szCs w:val="21"/>
                      <w:highlight w:val="none"/>
                      <w:lang w:val="en-US" w:eastAsia="zh-CN" w:bidi="ar"/>
                    </w:rPr>
                    <w:t>联动一体的应急响应体系</w:t>
                  </w:r>
                  <w:r>
                    <w:rPr>
                      <w:rFonts w:hint="eastAsia" w:cs="Times New Roman"/>
                      <w:color w:val="000000" w:themeColor="text1"/>
                      <w:sz w:val="21"/>
                      <w:szCs w:val="21"/>
                      <w:highlight w:val="none"/>
                      <w:lang w:val="en-US" w:eastAsia="zh-CN"/>
                      <w14:textFill>
                        <w14:solidFill>
                          <w14:schemeClr w14:val="tx1"/>
                        </w14:solidFill>
                      </w14:textFill>
                    </w:rPr>
                    <w:t>。</w:t>
                  </w:r>
                </w:p>
              </w:tc>
            </w:tr>
            <w:tr w14:paraId="24BADDE0">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483" w:type="pct"/>
                  <w:vMerge w:val="continue"/>
                  <w:tcBorders>
                    <w:tl2br w:val="nil"/>
                    <w:tr2bl w:val="nil"/>
                  </w:tcBorders>
                  <w:noWrap w:val="0"/>
                  <w:vAlign w:val="center"/>
                </w:tcPr>
                <w:p w14:paraId="636DBA3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highlight w:val="none"/>
                      <w:lang w:val="en-US" w:eastAsia="zh-CN" w:bidi="ar-SA"/>
                    </w:rPr>
                  </w:pPr>
                </w:p>
              </w:tc>
              <w:tc>
                <w:tcPr>
                  <w:tcW w:w="490" w:type="pct"/>
                  <w:vMerge w:val="continue"/>
                  <w:tcBorders>
                    <w:tl2br w:val="nil"/>
                    <w:tr2bl w:val="nil"/>
                  </w:tcBorders>
                  <w:noWrap w:val="0"/>
                  <w:vAlign w:val="center"/>
                </w:tcPr>
                <w:p w14:paraId="4F53A3B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highlight w:val="none"/>
                      <w:lang w:val="en-US" w:eastAsia="zh-CN" w:bidi="ar-SA"/>
                    </w:rPr>
                  </w:pPr>
                </w:p>
              </w:tc>
              <w:tc>
                <w:tcPr>
                  <w:tcW w:w="2155" w:type="pct"/>
                  <w:tcBorders>
                    <w:tl2br w:val="nil"/>
                    <w:tr2bl w:val="nil"/>
                  </w:tcBorders>
                  <w:noWrap w:val="0"/>
                  <w:vAlign w:val="center"/>
                </w:tcPr>
                <w:p w14:paraId="4F95AEA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b w:val="0"/>
                      <w:color w:val="000000"/>
                      <w:kern w:val="0"/>
                      <w:sz w:val="21"/>
                      <w:szCs w:val="21"/>
                      <w:highlight w:val="none"/>
                      <w:lang w:val="en-US" w:eastAsia="zh-CN"/>
                    </w:rPr>
                  </w:pPr>
                  <w:r>
                    <w:rPr>
                      <w:rFonts w:hint="default" w:ascii="Times New Roman" w:hAnsi="Times New Roman" w:eastAsia="宋体" w:cs="Times New Roman"/>
                      <w:b w:val="0"/>
                      <w:color w:val="000000"/>
                      <w:kern w:val="0"/>
                      <w:sz w:val="21"/>
                      <w:szCs w:val="21"/>
                      <w:highlight w:val="none"/>
                      <w:lang w:val="en-US" w:eastAsia="zh-CN" w:bidi="ar"/>
                    </w:rPr>
                    <w:t>3.医疗、教育、交通、应急管理等重点部门按照部门分预案开展应急管理工作，对发生或者可能发生危害人体健康和安全的重污染天气，应当启动应急方案。</w:t>
                  </w:r>
                </w:p>
              </w:tc>
              <w:tc>
                <w:tcPr>
                  <w:tcW w:w="1871" w:type="pct"/>
                  <w:tcBorders>
                    <w:tl2br w:val="nil"/>
                    <w:tr2bl w:val="nil"/>
                  </w:tcBorders>
                  <w:noWrap w:val="0"/>
                  <w:vAlign w:val="center"/>
                </w:tcPr>
                <w:p w14:paraId="73FB78C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highlight w:val="none"/>
                      <w:lang w:val="en-US" w:eastAsia="zh-CN" w:bidi="ar-SA"/>
                    </w:rPr>
                  </w:pPr>
                  <w:r>
                    <w:rPr>
                      <w:rFonts w:hint="default" w:ascii="Times New Roman" w:hAnsi="Times New Roman" w:eastAsia="宋体" w:cs="Times New Roman"/>
                      <w:color w:val="000000"/>
                      <w:sz w:val="21"/>
                      <w:szCs w:val="21"/>
                      <w:highlight w:val="none"/>
                      <w:lang w:val="en-US" w:eastAsia="zh-CN" w:bidi="ar-SA"/>
                    </w:rPr>
                    <w:t>符合，本项目</w:t>
                  </w:r>
                  <w:r>
                    <w:rPr>
                      <w:rFonts w:hint="eastAsia" w:ascii="Times New Roman" w:hAnsi="Times New Roman" w:eastAsia="宋体" w:cs="Times New Roman"/>
                      <w:color w:val="000000"/>
                      <w:sz w:val="21"/>
                      <w:szCs w:val="21"/>
                      <w:highlight w:val="none"/>
                      <w:lang w:val="en-US" w:eastAsia="zh-CN" w:bidi="ar-SA"/>
                    </w:rPr>
                    <w:t>不涉及</w:t>
                  </w:r>
                  <w:r>
                    <w:rPr>
                      <w:rFonts w:hint="default" w:ascii="Times New Roman" w:hAnsi="Times New Roman" w:eastAsia="宋体" w:cs="Times New Roman"/>
                      <w:sz w:val="21"/>
                      <w:szCs w:val="21"/>
                    </w:rPr>
                    <w:t>。</w:t>
                  </w:r>
                </w:p>
              </w:tc>
            </w:tr>
            <w:tr w14:paraId="04F1E361">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483" w:type="pct"/>
                  <w:vMerge w:val="continue"/>
                  <w:tcBorders>
                    <w:tl2br w:val="nil"/>
                    <w:tr2bl w:val="nil"/>
                  </w:tcBorders>
                  <w:noWrap w:val="0"/>
                  <w:vAlign w:val="center"/>
                </w:tcPr>
                <w:p w14:paraId="0DC8396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highlight w:val="none"/>
                      <w:lang w:val="en-US" w:eastAsia="zh-CN" w:bidi="ar-SA"/>
                    </w:rPr>
                  </w:pPr>
                </w:p>
              </w:tc>
              <w:tc>
                <w:tcPr>
                  <w:tcW w:w="490" w:type="pct"/>
                  <w:tcBorders>
                    <w:tl2br w:val="nil"/>
                    <w:tr2bl w:val="nil"/>
                  </w:tcBorders>
                  <w:noWrap w:val="0"/>
                  <w:vAlign w:val="center"/>
                </w:tcPr>
                <w:p w14:paraId="47CE50C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highlight w:val="none"/>
                      <w:lang w:val="en-US" w:eastAsia="zh-CN" w:bidi="ar-SA"/>
                    </w:rPr>
                  </w:pPr>
                  <w:r>
                    <w:rPr>
                      <w:rFonts w:hint="default" w:ascii="Times New Roman" w:hAnsi="Times New Roman" w:eastAsia="宋体" w:cs="Times New Roman"/>
                      <w:color w:val="000000"/>
                      <w:sz w:val="21"/>
                      <w:szCs w:val="21"/>
                      <w:highlight w:val="none"/>
                      <w:lang w:val="en-US" w:eastAsia="zh-CN" w:bidi="ar-SA"/>
                    </w:rPr>
                    <w:t>资源利用效率</w:t>
                  </w:r>
                </w:p>
              </w:tc>
              <w:tc>
                <w:tcPr>
                  <w:tcW w:w="2155" w:type="pct"/>
                  <w:tcBorders>
                    <w:tl2br w:val="nil"/>
                    <w:tr2bl w:val="nil"/>
                  </w:tcBorders>
                  <w:noWrap w:val="0"/>
                  <w:vAlign w:val="center"/>
                </w:tcPr>
                <w:p w14:paraId="49AE3DC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b w:val="0"/>
                      <w:color w:val="000000"/>
                      <w:kern w:val="0"/>
                      <w:sz w:val="21"/>
                      <w:szCs w:val="21"/>
                      <w:highlight w:val="none"/>
                      <w:lang w:val="en-US" w:eastAsia="zh-CN"/>
                    </w:rPr>
                  </w:pPr>
                  <w:r>
                    <w:rPr>
                      <w:rFonts w:hint="default" w:ascii="Times New Roman" w:hAnsi="Times New Roman" w:eastAsia="宋体" w:cs="Times New Roman"/>
                      <w:b w:val="0"/>
                      <w:color w:val="000000"/>
                      <w:kern w:val="0"/>
                      <w:sz w:val="21"/>
                      <w:szCs w:val="21"/>
                      <w:highlight w:val="none"/>
                      <w:lang w:val="en-US" w:eastAsia="zh-CN" w:bidi="ar"/>
                    </w:rPr>
                    <w:t>1.改善重点控制区能源结构。重点控制区实施燃煤总量控制。结合库尔勒市实际划定和扩大高污染燃煤禁燃区范围，逐步由城市建成区扩展到近郊。通过政策补偿等措施，逐步推行以天然气或电替代煤炭。</w:t>
                  </w:r>
                </w:p>
              </w:tc>
              <w:tc>
                <w:tcPr>
                  <w:tcW w:w="1871" w:type="pct"/>
                  <w:tcBorders>
                    <w:tl2br w:val="nil"/>
                    <w:tr2bl w:val="nil"/>
                  </w:tcBorders>
                  <w:noWrap w:val="0"/>
                  <w:vAlign w:val="center"/>
                </w:tcPr>
                <w:p w14:paraId="7C036CF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highlight w:val="none"/>
                      <w:lang w:val="en-US" w:eastAsia="zh-CN" w:bidi="ar-SA"/>
                    </w:rPr>
                  </w:pPr>
                  <w:r>
                    <w:rPr>
                      <w:rFonts w:hint="default" w:ascii="Times New Roman" w:hAnsi="Times New Roman" w:eastAsia="宋体" w:cs="Times New Roman"/>
                      <w:color w:val="000000"/>
                      <w:sz w:val="21"/>
                      <w:szCs w:val="21"/>
                      <w:highlight w:val="none"/>
                      <w:lang w:val="en-US" w:eastAsia="zh-CN" w:bidi="ar-SA"/>
                    </w:rPr>
                    <w:t>符合，本项目</w:t>
                  </w:r>
                  <w:r>
                    <w:rPr>
                      <w:rFonts w:hint="eastAsia" w:ascii="Times New Roman" w:hAnsi="Times New Roman" w:eastAsia="宋体" w:cs="Times New Roman"/>
                      <w:color w:val="000000"/>
                      <w:sz w:val="21"/>
                      <w:szCs w:val="21"/>
                      <w:highlight w:val="none"/>
                      <w:lang w:val="en-US" w:eastAsia="zh-CN" w:bidi="ar-SA"/>
                    </w:rPr>
                    <w:t>不涉及</w:t>
                  </w:r>
                  <w:r>
                    <w:rPr>
                      <w:rFonts w:hint="default" w:ascii="Times New Roman" w:hAnsi="Times New Roman" w:eastAsia="宋体" w:cs="Times New Roman"/>
                      <w:sz w:val="21"/>
                      <w:szCs w:val="21"/>
                    </w:rPr>
                    <w:t>。</w:t>
                  </w:r>
                </w:p>
              </w:tc>
            </w:tr>
          </w:tbl>
          <w:p w14:paraId="2C8A4B7E">
            <w:pPr>
              <w:pStyle w:val="10"/>
              <w:keepNext w:val="0"/>
              <w:keepLines w:val="0"/>
              <w:suppressLineNumbers w:val="0"/>
              <w:spacing w:before="0" w:beforeAutospacing="0" w:after="0" w:afterAutospacing="0"/>
              <w:ind w:left="0" w:right="0"/>
              <w:jc w:val="both"/>
              <w:rPr>
                <w:rFonts w:hint="default" w:ascii="Times New Roman" w:hAnsi="Times New Roman" w:eastAsia="宋体" w:cs="Times New Roman"/>
                <w:b/>
                <w:bCs/>
                <w:color w:val="auto"/>
                <w:sz w:val="24"/>
                <w:szCs w:val="32"/>
                <w:lang w:val="en-US" w:eastAsia="zh-CN"/>
              </w:rPr>
            </w:pPr>
            <w:r>
              <w:rPr>
                <w:rFonts w:hint="default" w:ascii="Times New Roman" w:hAnsi="Times New Roman" w:eastAsia="宋体" w:cs="Times New Roman"/>
                <w:color w:val="000000"/>
                <w:spacing w:val="0"/>
                <w:kern w:val="0"/>
                <w:sz w:val="24"/>
                <w:szCs w:val="24"/>
                <w:lang w:val="en-US" w:eastAsia="zh-CN" w:bidi="ar"/>
              </w:rPr>
              <w:t>综上可知，本项目建设符合《</w:t>
            </w:r>
            <w:r>
              <w:rPr>
                <w:rFonts w:hint="default" w:ascii="Times New Roman" w:hAnsi="Times New Roman" w:eastAsia="宋体" w:cs="Times New Roman"/>
                <w:bCs/>
                <w:snapToGrid w:val="0"/>
                <w:color w:val="000000"/>
                <w:spacing w:val="0"/>
                <w:kern w:val="0"/>
                <w:sz w:val="24"/>
                <w:szCs w:val="24"/>
                <w:lang w:eastAsia="zh-CN"/>
              </w:rPr>
              <w:t>巴音郭楞蒙古自治州生态环境准入清单</w:t>
            </w: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2023年</w:t>
            </w:r>
            <w:r>
              <w:rPr>
                <w:rFonts w:hint="default" w:ascii="Times New Roman" w:hAnsi="Times New Roman" w:eastAsia="宋体" w:cs="Times New Roman"/>
                <w:lang w:eastAsia="zh-CN"/>
              </w:rPr>
              <w:t>）</w:t>
            </w:r>
            <w:r>
              <w:rPr>
                <w:rFonts w:hint="default" w:ascii="Times New Roman" w:hAnsi="Times New Roman" w:eastAsia="宋体" w:cs="Times New Roman"/>
                <w:color w:val="000000"/>
                <w:spacing w:val="0"/>
                <w:kern w:val="0"/>
                <w:sz w:val="24"/>
                <w:szCs w:val="24"/>
                <w:lang w:val="en-US" w:eastAsia="zh-CN" w:bidi="ar"/>
              </w:rPr>
              <w:t>》中的“空间布局约束、污染物排放管控、环境风险防控、资源开发效率要求”相关要求。</w:t>
            </w:r>
          </w:p>
          <w:p w14:paraId="489F417D">
            <w:pPr>
              <w:keepNext w:val="0"/>
              <w:keepLines w:val="0"/>
              <w:pageBreakBefore w:val="0"/>
              <w:numPr>
                <w:ilvl w:val="0"/>
                <w:numId w:val="2"/>
              </w:numPr>
              <w:suppressLineNumbers w:val="0"/>
              <w:kinsoku/>
              <w:wordWrap/>
              <w:topLinePunct w:val="0"/>
              <w:bidi w:val="0"/>
              <w:adjustRightInd w:val="0"/>
              <w:snapToGrid w:val="0"/>
              <w:spacing w:before="0" w:beforeAutospacing="0" w:after="0" w:afterAutospacing="0" w:line="360" w:lineRule="auto"/>
              <w:ind w:left="0" w:leftChars="0" w:right="0" w:firstLine="0" w:firstLineChars="0"/>
              <w:rPr>
                <w:rFonts w:hint="default" w:ascii="Times New Roman" w:hAnsi="Times New Roman" w:eastAsia="宋体" w:cs="Times New Roman"/>
                <w:b/>
                <w:bCs/>
                <w:color w:val="auto"/>
                <w:sz w:val="24"/>
                <w:szCs w:val="32"/>
                <w:lang w:val="en-US" w:eastAsia="zh-CN"/>
              </w:rPr>
            </w:pPr>
            <w:r>
              <w:rPr>
                <w:rFonts w:hint="default" w:ascii="Times New Roman" w:hAnsi="Times New Roman" w:eastAsia="宋体" w:cs="Times New Roman"/>
                <w:b/>
                <w:bCs/>
                <w:color w:val="auto"/>
                <w:sz w:val="24"/>
                <w:szCs w:val="32"/>
                <w:lang w:val="en-US" w:eastAsia="zh-CN"/>
              </w:rPr>
              <w:t>与《自治区生态环境分区管控方案和七大片区管控要求》的符合性分析</w:t>
            </w:r>
          </w:p>
          <w:p w14:paraId="77AA8F79">
            <w:pPr>
              <w:pStyle w:val="7"/>
              <w:suppressLineNumbers w:val="0"/>
              <w:bidi w:val="0"/>
              <w:spacing w:before="0" w:beforeAutospacing="0" w:after="0" w:afterAutospacing="0"/>
              <w:ind w:left="0" w:right="0"/>
              <w:rPr>
                <w:rFonts w:hint="default"/>
                <w:b/>
                <w:bCs/>
                <w:spacing w:val="-6"/>
                <w:sz w:val="21"/>
                <w:lang w:val="en-US" w:eastAsia="zh-CN"/>
              </w:rPr>
            </w:pPr>
            <w:r>
              <w:rPr>
                <w:rFonts w:hint="eastAsia"/>
                <w:b/>
                <w:bCs/>
                <w:spacing w:val="-6"/>
                <w:sz w:val="21"/>
                <w:lang w:val="en-US" w:eastAsia="zh-CN"/>
              </w:rPr>
              <w:t>表1-3《自治区生态环境分区管控方案和七大片区管控要求》的符合性分析</w:t>
            </w:r>
          </w:p>
          <w:tbl>
            <w:tblPr>
              <w:tblStyle w:val="32"/>
              <w:tblW w:w="7047"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9"/>
              <w:gridCol w:w="4133"/>
              <w:gridCol w:w="2475"/>
            </w:tblGrid>
            <w:tr w14:paraId="2324174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439" w:type="dxa"/>
                  <w:tcBorders>
                    <w:tl2br w:val="nil"/>
                    <w:tr2bl w:val="nil"/>
                  </w:tcBorders>
                  <w:noWrap w:val="0"/>
                  <w:vAlign w:val="center"/>
                </w:tcPr>
                <w:p w14:paraId="079054A0">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textAlignment w:val="center"/>
                    <w:rPr>
                      <w:rFonts w:hint="default" w:ascii="Times New Roman" w:hAnsi="Times New Roman" w:eastAsia="宋体" w:cs="Times New Roman"/>
                      <w:b w:val="0"/>
                      <w:spacing w:val="0"/>
                      <w:lang w:val="en-US" w:eastAsia="zh-CN"/>
                    </w:rPr>
                  </w:pPr>
                  <w:r>
                    <w:rPr>
                      <w:rFonts w:hint="default" w:ascii="Times New Roman" w:hAnsi="Times New Roman" w:eastAsia="宋体" w:cs="Times New Roman"/>
                      <w:b w:val="0"/>
                      <w:spacing w:val="0"/>
                      <w:lang w:val="en-US" w:eastAsia="zh-CN"/>
                    </w:rPr>
                    <w:t>管控类别</w:t>
                  </w:r>
                </w:p>
              </w:tc>
              <w:tc>
                <w:tcPr>
                  <w:tcW w:w="4133" w:type="dxa"/>
                  <w:tcBorders>
                    <w:tl2br w:val="nil"/>
                    <w:tr2bl w:val="nil"/>
                  </w:tcBorders>
                  <w:noWrap w:val="0"/>
                  <w:vAlign w:val="center"/>
                </w:tcPr>
                <w:p w14:paraId="4B4CF2E0">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textAlignment w:val="center"/>
                    <w:rPr>
                      <w:rFonts w:hint="default" w:ascii="Times New Roman" w:hAnsi="Times New Roman" w:eastAsia="宋体" w:cs="Times New Roman"/>
                      <w:b w:val="0"/>
                      <w:spacing w:val="0"/>
                      <w:lang w:val="en-US" w:eastAsia="zh-CN"/>
                    </w:rPr>
                  </w:pPr>
                  <w:r>
                    <w:rPr>
                      <w:rFonts w:hint="default" w:ascii="Times New Roman" w:hAnsi="Times New Roman" w:eastAsia="宋体" w:cs="Times New Roman"/>
                      <w:b w:val="0"/>
                      <w:spacing w:val="0"/>
                      <w:lang w:val="en-US" w:eastAsia="zh-CN"/>
                    </w:rPr>
                    <w:t>管控要求</w:t>
                  </w:r>
                </w:p>
              </w:tc>
              <w:tc>
                <w:tcPr>
                  <w:tcW w:w="2475" w:type="dxa"/>
                  <w:tcBorders>
                    <w:tl2br w:val="nil"/>
                    <w:tr2bl w:val="nil"/>
                  </w:tcBorders>
                  <w:noWrap w:val="0"/>
                  <w:vAlign w:val="center"/>
                </w:tcPr>
                <w:p w14:paraId="1649AAD3">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textAlignment w:val="center"/>
                    <w:rPr>
                      <w:rFonts w:hint="default" w:ascii="Times New Roman" w:hAnsi="Times New Roman" w:eastAsia="宋体" w:cs="Times New Roman"/>
                      <w:b w:val="0"/>
                      <w:spacing w:val="0"/>
                      <w:lang w:val="en-US" w:eastAsia="zh-CN"/>
                    </w:rPr>
                  </w:pPr>
                  <w:r>
                    <w:rPr>
                      <w:rFonts w:hint="default" w:ascii="Times New Roman" w:hAnsi="Times New Roman" w:eastAsia="宋体" w:cs="Times New Roman"/>
                      <w:b w:val="0"/>
                      <w:spacing w:val="0"/>
                      <w:lang w:val="en-US" w:eastAsia="zh-CN"/>
                    </w:rPr>
                    <w:t>符合性分析</w:t>
                  </w:r>
                </w:p>
              </w:tc>
            </w:tr>
            <w:tr w14:paraId="1B2C23D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39" w:type="dxa"/>
                  <w:vMerge w:val="restart"/>
                  <w:tcBorders>
                    <w:tl2br w:val="nil"/>
                    <w:tr2bl w:val="nil"/>
                  </w:tcBorders>
                  <w:noWrap w:val="0"/>
                  <w:vAlign w:val="center"/>
                </w:tcPr>
                <w:p w14:paraId="6C522A49">
                  <w:pPr>
                    <w:pStyle w:val="2"/>
                    <w:keepNext w:val="0"/>
                    <w:keepLines w:val="0"/>
                    <w:pageBreakBefore w:val="0"/>
                    <w:widowControl w:val="0"/>
                    <w:kinsoku/>
                    <w:wordWrap/>
                    <w:overflowPunct/>
                    <w:topLinePunct w:val="0"/>
                    <w:autoSpaceDE w:val="0"/>
                    <w:autoSpaceDN w:val="0"/>
                    <w:bidi w:val="0"/>
                    <w:adjustRightInd w:val="0"/>
                    <w:snapToGrid w:val="0"/>
                    <w:spacing w:before="0"/>
                    <w:ind w:left="0" w:leftChars="0" w:right="0" w:rightChars="0" w:firstLine="0" w:firstLineChars="0"/>
                    <w:jc w:val="center"/>
                    <w:textAlignment w:val="auto"/>
                    <w:rPr>
                      <w:rFonts w:hint="default" w:ascii="Times New Roman" w:hAnsi="Times New Roman" w:eastAsia="宋体" w:cs="Times New Roman"/>
                      <w:b w:val="0"/>
                      <w:color w:val="auto"/>
                      <w:spacing w:val="0"/>
                      <w:lang w:val="en-US" w:eastAsia="zh-CN"/>
                    </w:rPr>
                  </w:pPr>
                  <w:r>
                    <w:rPr>
                      <w:rFonts w:hint="default" w:ascii="Times New Roman" w:hAnsi="Times New Roman" w:eastAsia="宋体" w:cs="Times New Roman"/>
                      <w:b w:val="0"/>
                      <w:bCs/>
                      <w:color w:val="auto"/>
                      <w:spacing w:val="0"/>
                      <w:sz w:val="21"/>
                      <w:szCs w:val="21"/>
                      <w:highlight w:val="none"/>
                      <w:vertAlign w:val="baseline"/>
                      <w:lang w:val="en-US" w:eastAsia="zh-CN"/>
                    </w:rPr>
                    <w:t>空间布局约束</w:t>
                  </w:r>
                </w:p>
              </w:tc>
              <w:tc>
                <w:tcPr>
                  <w:tcW w:w="4133" w:type="dxa"/>
                  <w:tcBorders>
                    <w:tl2br w:val="nil"/>
                    <w:tr2bl w:val="nil"/>
                  </w:tcBorders>
                  <w:noWrap w:val="0"/>
                  <w:vAlign w:val="center"/>
                </w:tcPr>
                <w:p w14:paraId="5BC4115D">
                  <w:pPr>
                    <w:pStyle w:val="2"/>
                    <w:keepNext w:val="0"/>
                    <w:keepLines w:val="0"/>
                    <w:pageBreakBefore w:val="0"/>
                    <w:widowControl w:val="0"/>
                    <w:kinsoku/>
                    <w:wordWrap/>
                    <w:overflowPunct/>
                    <w:topLinePunct w:val="0"/>
                    <w:autoSpaceDE w:val="0"/>
                    <w:autoSpaceDN w:val="0"/>
                    <w:bidi w:val="0"/>
                    <w:adjustRightInd w:val="0"/>
                    <w:snapToGrid w:val="0"/>
                    <w:spacing w:before="0"/>
                    <w:ind w:left="0" w:leftChars="0" w:right="0" w:rightChars="0" w:firstLine="0" w:firstLineChars="0"/>
                    <w:jc w:val="center"/>
                    <w:textAlignment w:val="auto"/>
                    <w:rPr>
                      <w:rFonts w:hint="default" w:ascii="Times New Roman" w:hAnsi="Times New Roman" w:eastAsia="宋体" w:cs="Times New Roman"/>
                      <w:b w:val="0"/>
                      <w:bCs/>
                      <w:color w:val="auto"/>
                      <w:spacing w:val="0"/>
                      <w:kern w:val="2"/>
                      <w:sz w:val="21"/>
                      <w:szCs w:val="21"/>
                      <w:highlight w:val="none"/>
                      <w:vertAlign w:val="baseline"/>
                      <w:lang w:val="en-US" w:eastAsia="zh-CN" w:bidi="ar-SA"/>
                    </w:rPr>
                  </w:pPr>
                  <w:r>
                    <w:rPr>
                      <w:rFonts w:hint="default" w:ascii="Times New Roman" w:hAnsi="Times New Roman" w:eastAsia="宋体" w:cs="Times New Roman"/>
                      <w:b w:val="0"/>
                      <w:bCs/>
                      <w:color w:val="auto"/>
                      <w:spacing w:val="0"/>
                      <w:sz w:val="21"/>
                      <w:szCs w:val="21"/>
                      <w:highlight w:val="none"/>
                      <w:vertAlign w:val="baseline"/>
                      <w:lang w:val="en-US" w:eastAsia="zh-CN"/>
                    </w:rPr>
                    <w:t>严格执行国家、自治区产业政策和环境准入要求，严禁“三高”项目进新疆，坚决遏制“两高”项目盲目发展。</w:t>
                  </w:r>
                </w:p>
              </w:tc>
              <w:tc>
                <w:tcPr>
                  <w:tcW w:w="2475" w:type="dxa"/>
                  <w:tcBorders>
                    <w:tl2br w:val="nil"/>
                    <w:tr2bl w:val="nil"/>
                  </w:tcBorders>
                  <w:noWrap w:val="0"/>
                  <w:vAlign w:val="center"/>
                </w:tcPr>
                <w:p w14:paraId="460AD1C8">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both"/>
                    <w:textAlignment w:val="center"/>
                    <w:rPr>
                      <w:rFonts w:hint="default" w:ascii="Times New Roman" w:hAnsi="Times New Roman" w:eastAsia="宋体" w:cs="Times New Roman"/>
                      <w:b w:val="0"/>
                      <w:color w:val="auto"/>
                      <w:spacing w:val="0"/>
                      <w:lang w:val="en-US" w:eastAsia="zh-CN"/>
                    </w:rPr>
                  </w:pPr>
                  <w:r>
                    <w:rPr>
                      <w:rFonts w:hint="default" w:ascii="Times New Roman" w:hAnsi="Times New Roman" w:eastAsia="宋体" w:cs="Times New Roman"/>
                      <w:b w:val="0"/>
                      <w:color w:val="auto"/>
                      <w:spacing w:val="0"/>
                      <w:lang w:val="en-US" w:eastAsia="zh-CN"/>
                    </w:rPr>
                    <w:t>符合，本项目属于《产业结构调整指导目录（2024年本）》中允许类；不属于《市场准入负面清单（202</w:t>
                  </w:r>
                  <w:r>
                    <w:rPr>
                      <w:rFonts w:hint="eastAsia" w:cs="Times New Roman"/>
                      <w:b w:val="0"/>
                      <w:color w:val="auto"/>
                      <w:spacing w:val="0"/>
                      <w:lang w:val="en-US" w:eastAsia="zh-CN"/>
                    </w:rPr>
                    <w:t>5</w:t>
                  </w:r>
                  <w:r>
                    <w:rPr>
                      <w:rFonts w:hint="default" w:ascii="Times New Roman" w:hAnsi="Times New Roman" w:eastAsia="宋体" w:cs="Times New Roman"/>
                      <w:b w:val="0"/>
                      <w:color w:val="auto"/>
                      <w:spacing w:val="0"/>
                      <w:lang w:val="en-US" w:eastAsia="zh-CN"/>
                    </w:rPr>
                    <w:t>年版）》禁止准入事项，不属于“三高”项目。</w:t>
                  </w:r>
                </w:p>
              </w:tc>
            </w:tr>
            <w:tr w14:paraId="47170ED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39" w:type="dxa"/>
                  <w:vMerge w:val="continue"/>
                  <w:tcBorders>
                    <w:tl2br w:val="nil"/>
                    <w:tr2bl w:val="nil"/>
                  </w:tcBorders>
                  <w:noWrap w:val="0"/>
                  <w:vAlign w:val="center"/>
                </w:tcPr>
                <w:p w14:paraId="43393233">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textAlignment w:val="center"/>
                    <w:rPr>
                      <w:rFonts w:hint="default" w:ascii="Times New Roman" w:hAnsi="Times New Roman" w:eastAsia="宋体" w:cs="Times New Roman"/>
                      <w:b w:val="0"/>
                      <w:color w:val="auto"/>
                      <w:spacing w:val="0"/>
                      <w:lang w:val="en-US" w:eastAsia="zh-CN"/>
                    </w:rPr>
                  </w:pPr>
                </w:p>
              </w:tc>
              <w:tc>
                <w:tcPr>
                  <w:tcW w:w="4133" w:type="dxa"/>
                  <w:tcBorders>
                    <w:tl2br w:val="nil"/>
                    <w:tr2bl w:val="nil"/>
                  </w:tcBorders>
                  <w:noWrap w:val="0"/>
                  <w:vAlign w:val="center"/>
                </w:tcPr>
                <w:p w14:paraId="68EE2A90">
                  <w:pPr>
                    <w:pStyle w:val="2"/>
                    <w:keepNext w:val="0"/>
                    <w:keepLines w:val="0"/>
                    <w:pageBreakBefore w:val="0"/>
                    <w:widowControl w:val="0"/>
                    <w:kinsoku/>
                    <w:wordWrap/>
                    <w:overflowPunct/>
                    <w:topLinePunct w:val="0"/>
                    <w:autoSpaceDE w:val="0"/>
                    <w:autoSpaceDN w:val="0"/>
                    <w:bidi w:val="0"/>
                    <w:adjustRightInd w:val="0"/>
                    <w:snapToGrid w:val="0"/>
                    <w:spacing w:before="0"/>
                    <w:ind w:left="0" w:leftChars="0" w:right="0" w:rightChars="0" w:firstLine="0" w:firstLineChars="0"/>
                    <w:jc w:val="center"/>
                    <w:textAlignment w:val="auto"/>
                    <w:rPr>
                      <w:rFonts w:hint="default" w:ascii="Times New Roman" w:hAnsi="Times New Roman" w:eastAsia="宋体" w:cs="Times New Roman"/>
                      <w:b w:val="0"/>
                      <w:bCs/>
                      <w:color w:val="auto"/>
                      <w:spacing w:val="0"/>
                      <w:kern w:val="0"/>
                      <w:sz w:val="21"/>
                      <w:szCs w:val="21"/>
                      <w:highlight w:val="none"/>
                      <w:vertAlign w:val="baseline"/>
                      <w:lang w:val="en-US" w:eastAsia="zh-CN" w:bidi="ar"/>
                    </w:rPr>
                  </w:pPr>
                  <w:r>
                    <w:rPr>
                      <w:rFonts w:hint="default" w:ascii="Times New Roman" w:hAnsi="Times New Roman" w:eastAsia="宋体" w:cs="Times New Roman"/>
                      <w:b w:val="0"/>
                      <w:bCs/>
                      <w:color w:val="auto"/>
                      <w:spacing w:val="0"/>
                      <w:sz w:val="21"/>
                      <w:szCs w:val="21"/>
                      <w:highlight w:val="none"/>
                      <w:vertAlign w:val="baseline"/>
                      <w:lang w:val="en-US" w:eastAsia="zh-CN"/>
                    </w:rPr>
                    <w:t>不得在水源涵养区、饮用水水源保护区内和河流、湖泊、水库周围建设重化工、涉重金属等工业污染项目。</w:t>
                  </w:r>
                </w:p>
              </w:tc>
              <w:tc>
                <w:tcPr>
                  <w:tcW w:w="2475" w:type="dxa"/>
                  <w:tcBorders>
                    <w:tl2br w:val="nil"/>
                    <w:tr2bl w:val="nil"/>
                  </w:tcBorders>
                  <w:noWrap w:val="0"/>
                  <w:vAlign w:val="center"/>
                </w:tcPr>
                <w:p w14:paraId="6065631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default" w:ascii="Times New Roman" w:hAnsi="Times New Roman" w:eastAsia="宋体" w:cs="Times New Roman"/>
                      <w:b w:val="0"/>
                      <w:color w:val="auto"/>
                      <w:spacing w:val="0"/>
                      <w:lang w:val="en-US" w:eastAsia="zh-CN"/>
                    </w:rPr>
                  </w:pPr>
                  <w:r>
                    <w:rPr>
                      <w:rFonts w:hint="default" w:ascii="Times New Roman" w:hAnsi="Times New Roman" w:eastAsia="宋体" w:cs="Times New Roman"/>
                      <w:spacing w:val="0"/>
                      <w:sz w:val="21"/>
                      <w:szCs w:val="21"/>
                      <w:lang w:val="en-US" w:eastAsia="zh-CN"/>
                    </w:rPr>
                    <w:t>符合，本项目不属于化工、涉重金属等工业污染项目。</w:t>
                  </w:r>
                </w:p>
              </w:tc>
            </w:tr>
            <w:tr w14:paraId="26D547C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39" w:type="dxa"/>
                  <w:vMerge w:val="continue"/>
                  <w:tcBorders>
                    <w:tl2br w:val="nil"/>
                    <w:tr2bl w:val="nil"/>
                  </w:tcBorders>
                  <w:noWrap w:val="0"/>
                  <w:vAlign w:val="center"/>
                </w:tcPr>
                <w:p w14:paraId="3C2351D1">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textAlignment w:val="center"/>
                    <w:rPr>
                      <w:rFonts w:hint="default" w:ascii="Times New Roman" w:hAnsi="Times New Roman" w:eastAsia="宋体" w:cs="Times New Roman"/>
                      <w:b w:val="0"/>
                      <w:color w:val="auto"/>
                      <w:spacing w:val="0"/>
                      <w:lang w:val="en-US" w:eastAsia="zh-CN"/>
                    </w:rPr>
                  </w:pPr>
                </w:p>
              </w:tc>
              <w:tc>
                <w:tcPr>
                  <w:tcW w:w="4133" w:type="dxa"/>
                  <w:tcBorders>
                    <w:tl2br w:val="nil"/>
                    <w:tr2bl w:val="nil"/>
                  </w:tcBorders>
                  <w:noWrap w:val="0"/>
                  <w:vAlign w:val="center"/>
                </w:tcPr>
                <w:p w14:paraId="29AD7A86">
                  <w:pPr>
                    <w:pStyle w:val="2"/>
                    <w:keepNext w:val="0"/>
                    <w:keepLines w:val="0"/>
                    <w:pageBreakBefore w:val="0"/>
                    <w:widowControl w:val="0"/>
                    <w:kinsoku/>
                    <w:wordWrap/>
                    <w:overflowPunct/>
                    <w:topLinePunct w:val="0"/>
                    <w:autoSpaceDE w:val="0"/>
                    <w:autoSpaceDN w:val="0"/>
                    <w:bidi w:val="0"/>
                    <w:adjustRightInd w:val="0"/>
                    <w:snapToGrid w:val="0"/>
                    <w:spacing w:before="0"/>
                    <w:ind w:left="0" w:leftChars="0" w:right="0" w:rightChars="0" w:firstLine="0" w:firstLineChars="0"/>
                    <w:jc w:val="center"/>
                    <w:textAlignment w:val="auto"/>
                    <w:rPr>
                      <w:rFonts w:hint="default" w:ascii="Times New Roman" w:hAnsi="Times New Roman" w:eastAsia="宋体" w:cs="Times New Roman"/>
                      <w:b w:val="0"/>
                      <w:bCs/>
                      <w:color w:val="auto"/>
                      <w:spacing w:val="0"/>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推动项目集聚发展，新建、改建、扩建工业项目原则上应布置由县级及以上人民政府批准建立、环境保护基础设施完善的产业园区、工业聚集区或规划矿区，并且符合相关规划和规划环评要求。</w:t>
                  </w:r>
                </w:p>
              </w:tc>
              <w:tc>
                <w:tcPr>
                  <w:tcW w:w="2475" w:type="dxa"/>
                  <w:tcBorders>
                    <w:tl2br w:val="nil"/>
                    <w:tr2bl w:val="nil"/>
                  </w:tcBorders>
                  <w:noWrap w:val="0"/>
                  <w:vAlign w:val="center"/>
                </w:tcPr>
                <w:p w14:paraId="74E9C356">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leftChars="0" w:right="0" w:rightChars="0" w:firstLine="0" w:firstLineChars="0"/>
                    <w:jc w:val="center"/>
                    <w:textAlignment w:val="center"/>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b w:val="0"/>
                      <w:color w:val="auto"/>
                      <w:lang w:val="en-US" w:eastAsia="zh-CN"/>
                    </w:rPr>
                    <w:t>符合，本项目</w:t>
                  </w:r>
                  <w:r>
                    <w:rPr>
                      <w:rFonts w:hint="eastAsia" w:cs="Times New Roman"/>
                      <w:b w:val="0"/>
                      <w:color w:val="auto"/>
                      <w:lang w:val="en-US" w:eastAsia="zh-CN"/>
                    </w:rPr>
                    <w:t>不涉及</w:t>
                  </w:r>
                  <w:r>
                    <w:rPr>
                      <w:rFonts w:hint="default" w:ascii="Times New Roman" w:hAnsi="Times New Roman" w:eastAsia="宋体" w:cs="Times New Roman"/>
                      <w:b w:val="0"/>
                      <w:color w:val="auto"/>
                      <w:lang w:val="en-US" w:eastAsia="zh-CN"/>
                    </w:rPr>
                    <w:t>。</w:t>
                  </w:r>
                </w:p>
              </w:tc>
            </w:tr>
            <w:tr w14:paraId="1BE3B69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39" w:type="dxa"/>
                  <w:vMerge w:val="restart"/>
                  <w:tcBorders>
                    <w:tl2br w:val="nil"/>
                    <w:tr2bl w:val="nil"/>
                  </w:tcBorders>
                  <w:noWrap w:val="0"/>
                  <w:vAlign w:val="center"/>
                </w:tcPr>
                <w:p w14:paraId="691CB89D">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textAlignment w:val="center"/>
                    <w:rPr>
                      <w:rFonts w:hint="default" w:ascii="Times New Roman" w:hAnsi="Times New Roman" w:eastAsia="宋体" w:cs="Times New Roman"/>
                      <w:b w:val="0"/>
                      <w:color w:val="auto"/>
                      <w:spacing w:val="0"/>
                      <w:lang w:val="en-US" w:eastAsia="zh-CN"/>
                    </w:rPr>
                  </w:pPr>
                  <w:r>
                    <w:rPr>
                      <w:rFonts w:hint="default" w:ascii="Times New Roman" w:hAnsi="Times New Roman" w:eastAsia="宋体" w:cs="Times New Roman"/>
                      <w:b w:val="0"/>
                      <w:bCs/>
                      <w:color w:val="auto"/>
                      <w:spacing w:val="0"/>
                      <w:sz w:val="21"/>
                      <w:szCs w:val="21"/>
                      <w:highlight w:val="none"/>
                      <w:vertAlign w:val="baseline"/>
                      <w:lang w:val="en-US" w:eastAsia="zh-CN"/>
                    </w:rPr>
                    <w:t>污染物排放管控</w:t>
                  </w:r>
                </w:p>
              </w:tc>
              <w:tc>
                <w:tcPr>
                  <w:tcW w:w="4133" w:type="dxa"/>
                  <w:tcBorders>
                    <w:tl2br w:val="nil"/>
                    <w:tr2bl w:val="nil"/>
                  </w:tcBorders>
                  <w:noWrap w:val="0"/>
                  <w:vAlign w:val="center"/>
                </w:tcPr>
                <w:p w14:paraId="11E675C7">
                  <w:pPr>
                    <w:pStyle w:val="2"/>
                    <w:keepNext w:val="0"/>
                    <w:keepLines w:val="0"/>
                    <w:pageBreakBefore w:val="0"/>
                    <w:widowControl w:val="0"/>
                    <w:kinsoku/>
                    <w:wordWrap/>
                    <w:overflowPunct/>
                    <w:topLinePunct w:val="0"/>
                    <w:autoSpaceDE w:val="0"/>
                    <w:autoSpaceDN w:val="0"/>
                    <w:bidi w:val="0"/>
                    <w:adjustRightInd w:val="0"/>
                    <w:snapToGrid w:val="0"/>
                    <w:spacing w:before="0"/>
                    <w:ind w:left="0" w:leftChars="0" w:right="0" w:rightChars="0" w:firstLine="0" w:firstLineChars="0"/>
                    <w:jc w:val="both"/>
                    <w:textAlignment w:val="auto"/>
                    <w:rPr>
                      <w:rFonts w:hint="default" w:ascii="Times New Roman" w:hAnsi="Times New Roman" w:eastAsia="宋体" w:cs="Times New Roman"/>
                      <w:b w:val="0"/>
                      <w:bCs/>
                      <w:color w:val="auto"/>
                      <w:spacing w:val="0"/>
                      <w:kern w:val="0"/>
                      <w:sz w:val="21"/>
                      <w:szCs w:val="21"/>
                      <w:highlight w:val="none"/>
                      <w:vertAlign w:val="baseline"/>
                      <w:lang w:val="en-US" w:eastAsia="zh-CN" w:bidi="ar"/>
                    </w:rPr>
                  </w:pPr>
                  <w:r>
                    <w:rPr>
                      <w:rFonts w:hint="default" w:ascii="Times New Roman" w:hAnsi="Times New Roman" w:eastAsia="宋体" w:cs="Times New Roman"/>
                      <w:b w:val="0"/>
                      <w:bCs/>
                      <w:color w:val="auto"/>
                      <w:spacing w:val="0"/>
                      <w:sz w:val="21"/>
                      <w:szCs w:val="21"/>
                      <w:highlight w:val="none"/>
                      <w:vertAlign w:val="baseline"/>
                      <w:lang w:val="en-US" w:eastAsia="zh-CN"/>
                    </w:rPr>
                    <w:t>深化行业污染源头治理，深入开展火电行业减排，全力推进钢铁行业超低排放改造，有序推进石化行业“泄漏检测与修复”技术改造。强化煤化工、石化、有机化工、表面涂装、包装印刷等重点行业挥发性有机物控制。深入开展燃煤锅炉污染综合整治，深化工业炉窑综合治理。加强“散乱污”企业综合整治。优化区域交通运输结构，加快货物运输绿色转型，做好车油联合管控。</w:t>
                  </w:r>
                </w:p>
              </w:tc>
              <w:tc>
                <w:tcPr>
                  <w:tcW w:w="2475" w:type="dxa"/>
                  <w:tcBorders>
                    <w:tl2br w:val="nil"/>
                    <w:tr2bl w:val="nil"/>
                  </w:tcBorders>
                  <w:noWrap w:val="0"/>
                  <w:vAlign w:val="center"/>
                </w:tcPr>
                <w:p w14:paraId="297E4DB1">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both"/>
                    <w:textAlignment w:val="center"/>
                    <w:rPr>
                      <w:rFonts w:hint="eastAsia" w:ascii="Times New Roman" w:hAnsi="Times New Roman" w:eastAsia="宋体" w:cs="Times New Roman"/>
                      <w:b w:val="0"/>
                      <w:color w:val="auto"/>
                      <w:spacing w:val="0"/>
                      <w:lang w:val="en-US" w:eastAsia="zh-CN"/>
                    </w:rPr>
                  </w:pPr>
                  <w:r>
                    <w:rPr>
                      <w:rFonts w:hint="default" w:ascii="Times New Roman" w:hAnsi="Times New Roman" w:eastAsia="宋体" w:cs="Times New Roman"/>
                      <w:b w:val="0"/>
                      <w:color w:val="auto"/>
                      <w:spacing w:val="0"/>
                      <w:highlight w:val="none"/>
                      <w:lang w:val="en-US" w:eastAsia="zh-CN"/>
                    </w:rPr>
                    <w:t>符合，</w:t>
                  </w:r>
                  <w:r>
                    <w:rPr>
                      <w:rFonts w:hint="eastAsia" w:cs="Times New Roman"/>
                      <w:snapToGrid w:val="0"/>
                      <w:kern w:val="0"/>
                      <w:highlight w:val="none"/>
                      <w:lang w:val="en-US" w:eastAsia="zh-CN"/>
                    </w:rPr>
                    <w:t>本项目不涉及。</w:t>
                  </w:r>
                </w:p>
              </w:tc>
            </w:tr>
            <w:tr w14:paraId="7866439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39" w:type="dxa"/>
                  <w:vMerge w:val="continue"/>
                  <w:tcBorders>
                    <w:tl2br w:val="nil"/>
                    <w:tr2bl w:val="nil"/>
                  </w:tcBorders>
                  <w:noWrap w:val="0"/>
                  <w:vAlign w:val="center"/>
                </w:tcPr>
                <w:p w14:paraId="56CC65AF">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textAlignment w:val="center"/>
                    <w:rPr>
                      <w:rFonts w:hint="default" w:ascii="Times New Roman" w:hAnsi="Times New Roman" w:eastAsia="宋体" w:cs="Times New Roman"/>
                      <w:b w:val="0"/>
                      <w:color w:val="auto"/>
                      <w:spacing w:val="0"/>
                      <w:lang w:val="en-US" w:eastAsia="zh-CN"/>
                    </w:rPr>
                  </w:pPr>
                </w:p>
              </w:tc>
              <w:tc>
                <w:tcPr>
                  <w:tcW w:w="4133" w:type="dxa"/>
                  <w:tcBorders>
                    <w:tl2br w:val="nil"/>
                    <w:tr2bl w:val="nil"/>
                  </w:tcBorders>
                  <w:noWrap w:val="0"/>
                  <w:vAlign w:val="center"/>
                </w:tcPr>
                <w:p w14:paraId="6540ECDB">
                  <w:pPr>
                    <w:pStyle w:val="2"/>
                    <w:keepNext w:val="0"/>
                    <w:keepLines w:val="0"/>
                    <w:pageBreakBefore w:val="0"/>
                    <w:widowControl w:val="0"/>
                    <w:kinsoku/>
                    <w:wordWrap/>
                    <w:overflowPunct/>
                    <w:topLinePunct w:val="0"/>
                    <w:autoSpaceDE w:val="0"/>
                    <w:autoSpaceDN w:val="0"/>
                    <w:bidi w:val="0"/>
                    <w:adjustRightInd w:val="0"/>
                    <w:snapToGrid w:val="0"/>
                    <w:spacing w:before="0"/>
                    <w:ind w:left="0" w:leftChars="0" w:right="0" w:rightChars="0" w:firstLine="0" w:firstLineChars="0"/>
                    <w:jc w:val="center"/>
                    <w:textAlignment w:val="auto"/>
                    <w:rPr>
                      <w:rFonts w:hint="default" w:ascii="Times New Roman" w:hAnsi="Times New Roman" w:eastAsia="宋体" w:cs="Times New Roman"/>
                      <w:b w:val="0"/>
                      <w:bCs/>
                      <w:color w:val="auto"/>
                      <w:spacing w:val="0"/>
                      <w:kern w:val="0"/>
                      <w:sz w:val="21"/>
                      <w:szCs w:val="21"/>
                      <w:highlight w:val="none"/>
                      <w:vertAlign w:val="baseline"/>
                      <w:lang w:val="en-US" w:eastAsia="zh-CN" w:bidi="ar"/>
                    </w:rPr>
                  </w:pPr>
                  <w:r>
                    <w:rPr>
                      <w:rFonts w:hint="default" w:ascii="Times New Roman" w:hAnsi="Times New Roman" w:eastAsia="宋体" w:cs="Times New Roman"/>
                      <w:b w:val="0"/>
                      <w:bCs/>
                      <w:color w:val="auto"/>
                      <w:spacing w:val="0"/>
                      <w:sz w:val="21"/>
                      <w:szCs w:val="21"/>
                      <w:highlight w:val="none"/>
                      <w:vertAlign w:val="baseline"/>
                      <w:lang w:val="en-US" w:eastAsia="zh-CN"/>
                    </w:rPr>
                    <w:t>以改善流域水环境质量为核心，强化源头控制，“一河（湖）一策”精准施治，减少水污染物排放，持续改善水环境质量。强化园区（工业集聚区）水污染防治，不断提高工业用水重复利用率。加快实施城镇污水处理设施提质增效，补齐生活污水收集和处理设施短板，提高再生水回用比例。持续推进农业农村污染防治。</w:t>
                  </w:r>
                </w:p>
              </w:tc>
              <w:tc>
                <w:tcPr>
                  <w:tcW w:w="2475" w:type="dxa"/>
                  <w:tcBorders>
                    <w:tl2br w:val="nil"/>
                    <w:tr2bl w:val="nil"/>
                  </w:tcBorders>
                  <w:noWrap w:val="0"/>
                  <w:vAlign w:val="center"/>
                </w:tcPr>
                <w:p w14:paraId="23FF587D">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both"/>
                    <w:textAlignment w:val="center"/>
                    <w:rPr>
                      <w:rFonts w:hint="default" w:ascii="Times New Roman" w:hAnsi="Times New Roman" w:eastAsia="宋体" w:cs="Times New Roman"/>
                      <w:b w:val="0"/>
                      <w:color w:val="auto"/>
                      <w:spacing w:val="0"/>
                      <w:lang w:val="en-US" w:eastAsia="zh-CN"/>
                    </w:rPr>
                  </w:pPr>
                  <w:r>
                    <w:rPr>
                      <w:rFonts w:hint="default" w:ascii="Times New Roman" w:hAnsi="Times New Roman" w:eastAsia="宋体" w:cs="Times New Roman"/>
                      <w:b w:val="0"/>
                      <w:color w:val="auto"/>
                      <w:spacing w:val="0"/>
                      <w:highlight w:val="none"/>
                      <w:lang w:val="en-US" w:eastAsia="zh-CN"/>
                    </w:rPr>
                    <w:t>符合，本</w:t>
                  </w:r>
                  <w:r>
                    <w:rPr>
                      <w:rFonts w:hint="default" w:ascii="Times New Roman" w:hAnsi="Times New Roman" w:eastAsia="宋体" w:cs="Times New Roman"/>
                      <w:spacing w:val="0"/>
                      <w:sz w:val="21"/>
                      <w:szCs w:val="21"/>
                      <w:highlight w:val="none"/>
                      <w:lang w:val="en-US" w:eastAsia="zh-CN"/>
                    </w:rPr>
                    <w:t>项目不涉及饮用水源等环境敏感区域，</w:t>
                  </w:r>
                  <w:r>
                    <w:rPr>
                      <w:rFonts w:hint="eastAsia" w:cs="Times New Roman"/>
                      <w:sz w:val="21"/>
                      <w:szCs w:val="21"/>
                      <w:highlight w:val="none"/>
                      <w:lang w:val="en-US" w:eastAsia="zh-CN"/>
                    </w:rPr>
                    <w:t>本项目</w:t>
                  </w:r>
                  <w:r>
                    <w:rPr>
                      <w:rFonts w:hint="default" w:ascii="Times New Roman" w:hAnsi="Times New Roman" w:eastAsia="宋体" w:cs="Times New Roman"/>
                      <w:sz w:val="21"/>
                      <w:szCs w:val="21"/>
                      <w:highlight w:val="none"/>
                      <w:lang w:val="en-US" w:eastAsia="zh-CN"/>
                    </w:rPr>
                    <w:t>动物诊疗废水经小型废水治理设施消毒处理后进入小区化粪池处理，纳入市政污水管网，最终进入库尔勒市南市区污水处理厂集中处理</w:t>
                  </w:r>
                  <w:r>
                    <w:rPr>
                      <w:rFonts w:hint="eastAsia"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宠物清洗废水和生活污水进入小区化粪池处理后，纳入市政污水管网，最终进入库尔勒市南市区污水处理厂集中处理。</w:t>
                  </w:r>
                </w:p>
              </w:tc>
            </w:tr>
            <w:tr w14:paraId="3C4D592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39" w:type="dxa"/>
                  <w:vMerge w:val="restart"/>
                  <w:tcBorders>
                    <w:tl2br w:val="nil"/>
                    <w:tr2bl w:val="nil"/>
                  </w:tcBorders>
                  <w:noWrap w:val="0"/>
                  <w:vAlign w:val="center"/>
                </w:tcPr>
                <w:p w14:paraId="6CBBBC63">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textAlignment w:val="center"/>
                    <w:rPr>
                      <w:rFonts w:hint="default" w:ascii="Times New Roman" w:hAnsi="Times New Roman" w:eastAsia="宋体" w:cs="Times New Roman"/>
                      <w:b w:val="0"/>
                      <w:color w:val="auto"/>
                      <w:spacing w:val="0"/>
                      <w:lang w:val="en-US" w:eastAsia="zh-CN"/>
                    </w:rPr>
                  </w:pPr>
                  <w:r>
                    <w:rPr>
                      <w:rFonts w:hint="default" w:ascii="Times New Roman" w:hAnsi="Times New Roman" w:eastAsia="宋体" w:cs="Times New Roman"/>
                      <w:b w:val="0"/>
                      <w:bCs/>
                      <w:color w:val="auto"/>
                      <w:spacing w:val="0"/>
                      <w:sz w:val="21"/>
                      <w:szCs w:val="21"/>
                      <w:highlight w:val="none"/>
                      <w:vertAlign w:val="baseline"/>
                      <w:lang w:val="en-US" w:eastAsia="zh-CN"/>
                    </w:rPr>
                    <w:t>环境风险防控</w:t>
                  </w:r>
                </w:p>
              </w:tc>
              <w:tc>
                <w:tcPr>
                  <w:tcW w:w="4133" w:type="dxa"/>
                  <w:tcBorders>
                    <w:tl2br w:val="nil"/>
                    <w:tr2bl w:val="nil"/>
                  </w:tcBorders>
                  <w:noWrap w:val="0"/>
                  <w:vAlign w:val="center"/>
                </w:tcPr>
                <w:p w14:paraId="1BF04120">
                  <w:pPr>
                    <w:pStyle w:val="2"/>
                    <w:keepNext w:val="0"/>
                    <w:keepLines w:val="0"/>
                    <w:pageBreakBefore w:val="0"/>
                    <w:widowControl w:val="0"/>
                    <w:kinsoku/>
                    <w:wordWrap/>
                    <w:overflowPunct/>
                    <w:topLinePunct w:val="0"/>
                    <w:autoSpaceDE w:val="0"/>
                    <w:autoSpaceDN w:val="0"/>
                    <w:bidi w:val="0"/>
                    <w:adjustRightInd w:val="0"/>
                    <w:snapToGrid w:val="0"/>
                    <w:spacing w:before="0"/>
                    <w:ind w:left="0" w:leftChars="0" w:right="0" w:rightChars="0" w:firstLine="0" w:firstLineChars="0"/>
                    <w:jc w:val="both"/>
                    <w:textAlignment w:val="auto"/>
                    <w:rPr>
                      <w:rFonts w:hint="default" w:ascii="Times New Roman" w:hAnsi="Times New Roman" w:eastAsia="宋体" w:cs="Times New Roman"/>
                      <w:b w:val="0"/>
                      <w:bCs/>
                      <w:color w:val="auto"/>
                      <w:spacing w:val="0"/>
                      <w:kern w:val="0"/>
                      <w:sz w:val="21"/>
                      <w:szCs w:val="21"/>
                      <w:highlight w:val="none"/>
                      <w:vertAlign w:val="baseline"/>
                      <w:lang w:val="en-US" w:eastAsia="zh-CN" w:bidi="ar"/>
                    </w:rPr>
                  </w:pPr>
                  <w:r>
                    <w:rPr>
                      <w:rFonts w:hint="default" w:ascii="Times New Roman" w:hAnsi="Times New Roman" w:eastAsia="宋体" w:cs="Times New Roman"/>
                      <w:b w:val="0"/>
                      <w:bCs/>
                      <w:color w:val="auto"/>
                      <w:spacing w:val="0"/>
                      <w:sz w:val="21"/>
                      <w:szCs w:val="21"/>
                      <w:highlight w:val="none"/>
                      <w:vertAlign w:val="baseline"/>
                      <w:lang w:val="en-US" w:eastAsia="zh-CN"/>
                    </w:rPr>
                    <w:t>提升土壤环境监管能力，加强污染地块安全利用监管。强化工矿用地管理，严格建设用地土壤环境风险管控。加强农用地土壤污染源头控制，科学施用化肥农药，提高农膜回收率。</w:t>
                  </w:r>
                </w:p>
              </w:tc>
              <w:tc>
                <w:tcPr>
                  <w:tcW w:w="2475" w:type="dxa"/>
                  <w:tcBorders>
                    <w:tl2br w:val="nil"/>
                    <w:tr2bl w:val="nil"/>
                  </w:tcBorders>
                  <w:noWrap w:val="0"/>
                  <w:vAlign w:val="center"/>
                </w:tcPr>
                <w:p w14:paraId="25D3F47A">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right="0" w:rightChars="0" w:firstLine="0" w:firstLineChars="0"/>
                    <w:jc w:val="both"/>
                    <w:textAlignment w:val="center"/>
                    <w:rPr>
                      <w:rFonts w:hint="default" w:ascii="Times New Roman" w:hAnsi="Times New Roman" w:eastAsia="宋体" w:cs="Times New Roman"/>
                      <w:b w:val="0"/>
                      <w:color w:val="auto"/>
                      <w:spacing w:val="0"/>
                      <w:kern w:val="0"/>
                      <w:sz w:val="21"/>
                      <w:szCs w:val="18"/>
                      <w:lang w:val="en-US" w:eastAsia="zh-CN" w:bidi="ar-SA"/>
                    </w:rPr>
                  </w:pPr>
                  <w:r>
                    <w:rPr>
                      <w:rFonts w:hint="default" w:ascii="Times New Roman" w:hAnsi="Times New Roman" w:eastAsia="宋体" w:cs="Times New Roman"/>
                      <w:b w:val="0"/>
                      <w:color w:val="auto"/>
                      <w:spacing w:val="0"/>
                      <w:highlight w:val="none"/>
                      <w:lang w:val="en-US" w:eastAsia="zh-CN"/>
                    </w:rPr>
                    <w:t>符合，本项目不涉及</w:t>
                  </w:r>
                  <w:r>
                    <w:rPr>
                      <w:rFonts w:hint="default" w:ascii="Times New Roman" w:hAnsi="Times New Roman" w:eastAsia="宋体" w:cs="Times New Roman"/>
                      <w:lang w:eastAsia="zh-CN"/>
                    </w:rPr>
                    <w:t>。</w:t>
                  </w:r>
                </w:p>
              </w:tc>
            </w:tr>
            <w:tr w14:paraId="7B77E2A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39" w:type="dxa"/>
                  <w:vMerge w:val="continue"/>
                  <w:tcBorders>
                    <w:tl2br w:val="nil"/>
                    <w:tr2bl w:val="nil"/>
                  </w:tcBorders>
                  <w:noWrap w:val="0"/>
                  <w:vAlign w:val="center"/>
                </w:tcPr>
                <w:p w14:paraId="2E2E7C2C">
                  <w:pPr>
                    <w:pStyle w:val="2"/>
                    <w:keepNext w:val="0"/>
                    <w:keepLines w:val="0"/>
                    <w:pageBreakBefore w:val="0"/>
                    <w:widowControl w:val="0"/>
                    <w:kinsoku/>
                    <w:wordWrap/>
                    <w:overflowPunct/>
                    <w:topLinePunct w:val="0"/>
                    <w:autoSpaceDE w:val="0"/>
                    <w:autoSpaceDN w:val="0"/>
                    <w:bidi w:val="0"/>
                    <w:adjustRightInd w:val="0"/>
                    <w:snapToGrid w:val="0"/>
                    <w:spacing w:before="0"/>
                    <w:ind w:left="0" w:leftChars="0" w:right="0" w:rightChars="0" w:firstLine="0" w:firstLineChars="0"/>
                    <w:jc w:val="center"/>
                    <w:textAlignment w:val="auto"/>
                    <w:rPr>
                      <w:rFonts w:hint="default" w:ascii="Times New Roman" w:hAnsi="Times New Roman" w:eastAsia="宋体" w:cs="Times New Roman"/>
                      <w:b w:val="0"/>
                      <w:bCs/>
                      <w:color w:val="auto"/>
                      <w:spacing w:val="0"/>
                      <w:kern w:val="0"/>
                      <w:sz w:val="21"/>
                      <w:szCs w:val="21"/>
                      <w:highlight w:val="none"/>
                      <w:vertAlign w:val="baseline"/>
                      <w:lang w:val="en-US" w:eastAsia="zh-CN" w:bidi="ar"/>
                    </w:rPr>
                  </w:pPr>
                </w:p>
              </w:tc>
              <w:tc>
                <w:tcPr>
                  <w:tcW w:w="4133" w:type="dxa"/>
                  <w:tcBorders>
                    <w:tl2br w:val="nil"/>
                    <w:tr2bl w:val="nil"/>
                  </w:tcBorders>
                  <w:noWrap w:val="0"/>
                  <w:vAlign w:val="center"/>
                </w:tcPr>
                <w:p w14:paraId="1E87D798">
                  <w:pPr>
                    <w:pStyle w:val="2"/>
                    <w:keepNext w:val="0"/>
                    <w:keepLines w:val="0"/>
                    <w:pageBreakBefore w:val="0"/>
                    <w:widowControl w:val="0"/>
                    <w:kinsoku/>
                    <w:wordWrap/>
                    <w:overflowPunct/>
                    <w:topLinePunct w:val="0"/>
                    <w:autoSpaceDE w:val="0"/>
                    <w:autoSpaceDN w:val="0"/>
                    <w:bidi w:val="0"/>
                    <w:adjustRightInd w:val="0"/>
                    <w:snapToGrid w:val="0"/>
                    <w:spacing w:before="0"/>
                    <w:ind w:left="0" w:leftChars="0" w:right="0" w:rightChars="0" w:firstLine="0" w:firstLineChars="0"/>
                    <w:jc w:val="center"/>
                    <w:textAlignment w:val="auto"/>
                    <w:rPr>
                      <w:rFonts w:hint="default" w:ascii="Times New Roman" w:hAnsi="Times New Roman" w:eastAsia="宋体" w:cs="Times New Roman"/>
                      <w:b w:val="0"/>
                      <w:bCs/>
                      <w:color w:val="auto"/>
                      <w:spacing w:val="0"/>
                      <w:kern w:val="0"/>
                      <w:sz w:val="21"/>
                      <w:szCs w:val="21"/>
                      <w:highlight w:val="none"/>
                      <w:vertAlign w:val="baseline"/>
                      <w:lang w:val="en-US" w:eastAsia="zh-CN" w:bidi="ar"/>
                    </w:rPr>
                  </w:pPr>
                  <w:r>
                    <w:rPr>
                      <w:rFonts w:hint="default" w:ascii="Times New Roman" w:hAnsi="Times New Roman" w:eastAsia="宋体" w:cs="Times New Roman"/>
                      <w:b w:val="0"/>
                      <w:bCs/>
                      <w:color w:val="auto"/>
                      <w:spacing w:val="0"/>
                      <w:sz w:val="21"/>
                      <w:szCs w:val="21"/>
                      <w:highlight w:val="none"/>
                      <w:vertAlign w:val="baseline"/>
                      <w:lang w:val="en-US" w:eastAsia="zh-CN"/>
                    </w:rPr>
                    <w:t>禁止在化工园区外新建、扩建危险化学品生产项目。严格落实危险废物处置相关要求。加强重点流域水环境风险管控，保障水环境安全。</w:t>
                  </w:r>
                </w:p>
              </w:tc>
              <w:tc>
                <w:tcPr>
                  <w:tcW w:w="2475" w:type="dxa"/>
                  <w:tcBorders>
                    <w:tl2br w:val="nil"/>
                    <w:tr2bl w:val="nil"/>
                  </w:tcBorders>
                  <w:noWrap w:val="0"/>
                  <w:vAlign w:val="center"/>
                </w:tcPr>
                <w:p w14:paraId="14489F5B">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both"/>
                    <w:textAlignment w:val="center"/>
                    <w:rPr>
                      <w:rFonts w:hint="default" w:ascii="Times New Roman" w:hAnsi="Times New Roman" w:eastAsia="宋体" w:cs="Times New Roman"/>
                      <w:b w:val="0"/>
                      <w:color w:val="auto"/>
                      <w:spacing w:val="0"/>
                      <w:lang w:val="en-US" w:eastAsia="zh-CN"/>
                    </w:rPr>
                  </w:pPr>
                  <w:r>
                    <w:rPr>
                      <w:rFonts w:hint="default" w:ascii="Times New Roman" w:hAnsi="Times New Roman" w:eastAsia="宋体" w:cs="Times New Roman"/>
                      <w:b w:val="0"/>
                      <w:color w:val="auto"/>
                      <w:spacing w:val="0"/>
                      <w:lang w:val="en-US" w:eastAsia="zh-CN"/>
                    </w:rPr>
                    <w:t>符合，</w:t>
                  </w:r>
                  <w:r>
                    <w:rPr>
                      <w:rFonts w:hint="default" w:ascii="Times New Roman" w:hAnsi="Times New Roman" w:eastAsia="宋体" w:cs="Times New Roman"/>
                      <w:spacing w:val="0"/>
                      <w:sz w:val="21"/>
                      <w:szCs w:val="21"/>
                      <w:lang w:val="en-US" w:eastAsia="zh-CN"/>
                    </w:rPr>
                    <w:t>本项目不属于危险化学品生产项目。</w:t>
                  </w:r>
                </w:p>
              </w:tc>
            </w:tr>
            <w:tr w14:paraId="3BF8F4D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39" w:type="dxa"/>
                  <w:tcBorders>
                    <w:tl2br w:val="nil"/>
                    <w:tr2bl w:val="nil"/>
                  </w:tcBorders>
                  <w:noWrap w:val="0"/>
                  <w:vAlign w:val="center"/>
                </w:tcPr>
                <w:p w14:paraId="7D9C1AC6">
                  <w:pPr>
                    <w:pStyle w:val="2"/>
                    <w:keepNext w:val="0"/>
                    <w:keepLines w:val="0"/>
                    <w:pageBreakBefore w:val="0"/>
                    <w:widowControl w:val="0"/>
                    <w:kinsoku/>
                    <w:wordWrap/>
                    <w:overflowPunct/>
                    <w:topLinePunct w:val="0"/>
                    <w:autoSpaceDE w:val="0"/>
                    <w:autoSpaceDN w:val="0"/>
                    <w:bidi w:val="0"/>
                    <w:adjustRightInd w:val="0"/>
                    <w:snapToGrid w:val="0"/>
                    <w:spacing w:before="0"/>
                    <w:ind w:left="0" w:leftChars="0" w:right="0" w:rightChars="0" w:firstLine="0" w:firstLineChars="0"/>
                    <w:jc w:val="center"/>
                    <w:textAlignment w:val="auto"/>
                    <w:rPr>
                      <w:rFonts w:hint="default" w:ascii="Times New Roman" w:hAnsi="Times New Roman" w:eastAsia="宋体" w:cs="Times New Roman"/>
                      <w:b w:val="0"/>
                      <w:bCs/>
                      <w:color w:val="auto"/>
                      <w:spacing w:val="0"/>
                      <w:kern w:val="0"/>
                      <w:sz w:val="21"/>
                      <w:szCs w:val="21"/>
                      <w:highlight w:val="none"/>
                      <w:vertAlign w:val="baseline"/>
                      <w:lang w:val="en-US" w:eastAsia="zh-CN" w:bidi="ar"/>
                    </w:rPr>
                  </w:pPr>
                  <w:r>
                    <w:rPr>
                      <w:rFonts w:hint="default" w:ascii="Times New Roman" w:hAnsi="Times New Roman" w:eastAsia="宋体" w:cs="Times New Roman"/>
                      <w:b w:val="0"/>
                      <w:bCs/>
                      <w:color w:val="auto"/>
                      <w:spacing w:val="0"/>
                      <w:sz w:val="21"/>
                      <w:szCs w:val="21"/>
                      <w:highlight w:val="none"/>
                      <w:vertAlign w:val="baseline"/>
                      <w:lang w:val="en-US" w:eastAsia="zh-CN"/>
                    </w:rPr>
                    <w:t>资源利用效率</w:t>
                  </w:r>
                </w:p>
              </w:tc>
              <w:tc>
                <w:tcPr>
                  <w:tcW w:w="4133" w:type="dxa"/>
                  <w:tcBorders>
                    <w:tl2br w:val="nil"/>
                    <w:tr2bl w:val="nil"/>
                  </w:tcBorders>
                  <w:noWrap w:val="0"/>
                  <w:vAlign w:val="center"/>
                </w:tcPr>
                <w:p w14:paraId="4AA5B73B">
                  <w:pPr>
                    <w:pStyle w:val="2"/>
                    <w:keepNext w:val="0"/>
                    <w:keepLines w:val="0"/>
                    <w:pageBreakBefore w:val="0"/>
                    <w:widowControl w:val="0"/>
                    <w:kinsoku/>
                    <w:wordWrap/>
                    <w:overflowPunct/>
                    <w:topLinePunct w:val="0"/>
                    <w:autoSpaceDE w:val="0"/>
                    <w:autoSpaceDN w:val="0"/>
                    <w:bidi w:val="0"/>
                    <w:adjustRightInd w:val="0"/>
                    <w:snapToGrid w:val="0"/>
                    <w:spacing w:before="0"/>
                    <w:ind w:left="0" w:leftChars="0" w:right="0" w:rightChars="0" w:firstLine="0" w:firstLineChars="0"/>
                    <w:jc w:val="center"/>
                    <w:textAlignment w:val="auto"/>
                    <w:rPr>
                      <w:rFonts w:hint="default" w:ascii="Times New Roman" w:hAnsi="Times New Roman" w:eastAsia="宋体" w:cs="Times New Roman"/>
                      <w:b w:val="0"/>
                      <w:bCs/>
                      <w:color w:val="auto"/>
                      <w:spacing w:val="0"/>
                      <w:kern w:val="0"/>
                      <w:sz w:val="21"/>
                      <w:szCs w:val="21"/>
                      <w:highlight w:val="none"/>
                      <w:vertAlign w:val="baseline"/>
                      <w:lang w:val="en-US" w:eastAsia="zh-CN" w:bidi="ar"/>
                    </w:rPr>
                  </w:pPr>
                  <w:r>
                    <w:rPr>
                      <w:rFonts w:hint="default" w:ascii="Times New Roman" w:hAnsi="Times New Roman" w:eastAsia="宋体" w:cs="Times New Roman"/>
                      <w:b w:val="0"/>
                      <w:bCs/>
                      <w:color w:val="auto"/>
                      <w:spacing w:val="0"/>
                      <w:sz w:val="21"/>
                      <w:szCs w:val="21"/>
                      <w:highlight w:val="none"/>
                      <w:vertAlign w:val="baseline"/>
                      <w:lang w:val="en-US" w:eastAsia="zh-CN"/>
                    </w:rPr>
                    <w:t>优化能源结构，控制煤炭等化石能源使用量，鼓励使用清洁能源，协同推进减污降碳。全面实施节水工程，合理开发利用水资源，提升水资源利用效率，保障生态用水，严防地下水超采。</w:t>
                  </w:r>
                </w:p>
              </w:tc>
              <w:tc>
                <w:tcPr>
                  <w:tcW w:w="2475" w:type="dxa"/>
                  <w:tcBorders>
                    <w:tl2br w:val="nil"/>
                    <w:tr2bl w:val="nil"/>
                  </w:tcBorders>
                  <w:noWrap w:val="0"/>
                  <w:vAlign w:val="center"/>
                </w:tcPr>
                <w:p w14:paraId="582BDF18">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right="0" w:rightChars="0" w:firstLine="0" w:firstLineChars="0"/>
                    <w:jc w:val="both"/>
                    <w:textAlignment w:val="center"/>
                    <w:rPr>
                      <w:rFonts w:hint="default" w:ascii="Times New Roman" w:hAnsi="Times New Roman" w:eastAsia="宋体" w:cs="Times New Roman"/>
                      <w:b w:val="0"/>
                      <w:color w:val="auto"/>
                      <w:spacing w:val="0"/>
                      <w:kern w:val="0"/>
                      <w:sz w:val="21"/>
                      <w:szCs w:val="18"/>
                      <w:lang w:val="en-US" w:eastAsia="zh-CN" w:bidi="ar-SA"/>
                    </w:rPr>
                  </w:pPr>
                  <w:r>
                    <w:rPr>
                      <w:rFonts w:hint="default" w:ascii="Times New Roman" w:hAnsi="Times New Roman" w:eastAsia="宋体" w:cs="Times New Roman"/>
                      <w:b w:val="0"/>
                      <w:color w:val="auto"/>
                      <w:spacing w:val="0"/>
                      <w:kern w:val="0"/>
                      <w:sz w:val="21"/>
                      <w:szCs w:val="18"/>
                      <w:lang w:val="en-US" w:eastAsia="zh-CN" w:bidi="ar-SA"/>
                    </w:rPr>
                    <w:t>符合，本项目用水采取城镇供水管网，不开采地下水。</w:t>
                  </w:r>
                </w:p>
              </w:tc>
            </w:tr>
            <w:tr w14:paraId="784BB21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39" w:type="dxa"/>
                  <w:vMerge w:val="restart"/>
                  <w:tcBorders>
                    <w:tl2br w:val="nil"/>
                    <w:tr2bl w:val="nil"/>
                  </w:tcBorders>
                  <w:noWrap w:val="0"/>
                  <w:vAlign w:val="center"/>
                </w:tcPr>
                <w:p w14:paraId="7622CFD3">
                  <w:pPr>
                    <w:pStyle w:val="2"/>
                    <w:keepNext w:val="0"/>
                    <w:keepLines w:val="0"/>
                    <w:pageBreakBefore w:val="0"/>
                    <w:widowControl w:val="0"/>
                    <w:kinsoku/>
                    <w:wordWrap/>
                    <w:overflowPunct/>
                    <w:topLinePunct w:val="0"/>
                    <w:autoSpaceDE w:val="0"/>
                    <w:autoSpaceDN w:val="0"/>
                    <w:bidi w:val="0"/>
                    <w:adjustRightInd w:val="0"/>
                    <w:snapToGrid w:val="0"/>
                    <w:spacing w:before="0"/>
                    <w:ind w:left="0" w:leftChars="0" w:right="0" w:rightChars="0" w:firstLine="0" w:firstLineChars="0"/>
                    <w:jc w:val="center"/>
                    <w:textAlignment w:val="auto"/>
                    <w:rPr>
                      <w:rFonts w:hint="default" w:ascii="Times New Roman" w:hAnsi="Times New Roman" w:eastAsia="宋体" w:cs="Times New Roman"/>
                      <w:b w:val="0"/>
                      <w:bCs/>
                      <w:color w:val="auto"/>
                      <w:spacing w:val="0"/>
                      <w:kern w:val="0"/>
                      <w:sz w:val="21"/>
                      <w:szCs w:val="21"/>
                      <w:highlight w:val="none"/>
                      <w:vertAlign w:val="baseline"/>
                      <w:lang w:val="en-US" w:eastAsia="zh-CN" w:bidi="ar"/>
                    </w:rPr>
                  </w:pPr>
                  <w:r>
                    <w:rPr>
                      <w:rFonts w:hint="default" w:ascii="Times New Roman" w:hAnsi="Times New Roman" w:eastAsia="宋体" w:cs="Times New Roman"/>
                      <w:b w:val="0"/>
                      <w:bCs/>
                      <w:color w:val="auto"/>
                      <w:spacing w:val="0"/>
                      <w:sz w:val="21"/>
                      <w:szCs w:val="21"/>
                      <w:highlight w:val="none"/>
                      <w:vertAlign w:val="baseline"/>
                      <w:lang w:val="en-US" w:eastAsia="zh-CN"/>
                    </w:rPr>
                    <w:t>天山南坡片区</w:t>
                  </w:r>
                </w:p>
              </w:tc>
              <w:tc>
                <w:tcPr>
                  <w:tcW w:w="4133" w:type="dxa"/>
                  <w:tcBorders>
                    <w:tl2br w:val="nil"/>
                    <w:tr2bl w:val="nil"/>
                  </w:tcBorders>
                  <w:noWrap w:val="0"/>
                  <w:vAlign w:val="center"/>
                </w:tcPr>
                <w:p w14:paraId="11C203BE">
                  <w:pPr>
                    <w:pStyle w:val="2"/>
                    <w:keepNext w:val="0"/>
                    <w:keepLines w:val="0"/>
                    <w:pageBreakBefore w:val="0"/>
                    <w:widowControl w:val="0"/>
                    <w:kinsoku/>
                    <w:wordWrap/>
                    <w:overflowPunct/>
                    <w:topLinePunct w:val="0"/>
                    <w:autoSpaceDE w:val="0"/>
                    <w:autoSpaceDN w:val="0"/>
                    <w:bidi w:val="0"/>
                    <w:adjustRightInd w:val="0"/>
                    <w:snapToGrid w:val="0"/>
                    <w:spacing w:before="0"/>
                    <w:ind w:left="0" w:leftChars="0" w:right="0" w:rightChars="0" w:firstLine="0" w:firstLineChars="0"/>
                    <w:jc w:val="center"/>
                    <w:textAlignment w:val="auto"/>
                    <w:rPr>
                      <w:rFonts w:hint="default" w:ascii="Times New Roman" w:hAnsi="Times New Roman" w:eastAsia="宋体" w:cs="Times New Roman"/>
                      <w:b w:val="0"/>
                      <w:bCs/>
                      <w:color w:val="auto"/>
                      <w:spacing w:val="0"/>
                      <w:kern w:val="0"/>
                      <w:sz w:val="21"/>
                      <w:szCs w:val="21"/>
                      <w:highlight w:val="none"/>
                      <w:vertAlign w:val="baseline"/>
                      <w:lang w:val="en-US" w:eastAsia="zh-CN" w:bidi="ar"/>
                    </w:rPr>
                  </w:pPr>
                  <w:r>
                    <w:rPr>
                      <w:rFonts w:hint="default" w:ascii="Times New Roman" w:hAnsi="Times New Roman" w:eastAsia="宋体" w:cs="Times New Roman"/>
                      <w:b w:val="0"/>
                      <w:bCs/>
                      <w:color w:val="auto"/>
                      <w:spacing w:val="0"/>
                      <w:sz w:val="21"/>
                      <w:szCs w:val="21"/>
                      <w:highlight w:val="none"/>
                      <w:vertAlign w:val="baseline"/>
                      <w:lang w:val="en-US" w:eastAsia="zh-CN"/>
                    </w:rPr>
                    <w:t>切实保护托木尔峰和天山南坡中段冰雪水源及生物多样性保护生态功能区内的托木尔峰自然景观、高山冰川、野生动物、森林和草原，合理利用天然草地，稳步推进草原减牧，加强保护区管理，维护自然景观和生物多样性。</w:t>
                  </w:r>
                </w:p>
              </w:tc>
              <w:tc>
                <w:tcPr>
                  <w:tcW w:w="2475" w:type="dxa"/>
                  <w:tcBorders>
                    <w:tl2br w:val="nil"/>
                    <w:tr2bl w:val="nil"/>
                  </w:tcBorders>
                  <w:noWrap w:val="0"/>
                  <w:vAlign w:val="center"/>
                </w:tcPr>
                <w:p w14:paraId="68654DD5">
                  <w:pPr>
                    <w:pStyle w:val="2"/>
                    <w:keepNext w:val="0"/>
                    <w:keepLines w:val="0"/>
                    <w:pageBreakBefore w:val="0"/>
                    <w:widowControl w:val="0"/>
                    <w:kinsoku/>
                    <w:wordWrap/>
                    <w:overflowPunct/>
                    <w:topLinePunct w:val="0"/>
                    <w:autoSpaceDE w:val="0"/>
                    <w:autoSpaceDN w:val="0"/>
                    <w:bidi w:val="0"/>
                    <w:adjustRightInd w:val="0"/>
                    <w:snapToGrid w:val="0"/>
                    <w:spacing w:before="0"/>
                    <w:ind w:left="0" w:leftChars="0" w:right="0" w:rightChars="0" w:firstLine="0" w:firstLineChars="0"/>
                    <w:jc w:val="center"/>
                    <w:textAlignment w:val="auto"/>
                    <w:rPr>
                      <w:rFonts w:hint="default" w:ascii="Times New Roman" w:hAnsi="Times New Roman" w:eastAsia="宋体" w:cs="Times New Roman"/>
                      <w:b w:val="0"/>
                      <w:bCs/>
                      <w:color w:val="auto"/>
                      <w:spacing w:val="0"/>
                      <w:kern w:val="0"/>
                      <w:sz w:val="21"/>
                      <w:szCs w:val="21"/>
                      <w:highlight w:val="none"/>
                      <w:vertAlign w:val="baseline"/>
                      <w:lang w:val="en-US" w:eastAsia="zh-CN" w:bidi="ar"/>
                    </w:rPr>
                  </w:pPr>
                  <w:r>
                    <w:rPr>
                      <w:rFonts w:hint="default" w:ascii="Times New Roman" w:hAnsi="Times New Roman" w:eastAsia="宋体" w:cs="Times New Roman"/>
                      <w:b w:val="0"/>
                      <w:bCs/>
                      <w:color w:val="auto"/>
                      <w:spacing w:val="0"/>
                      <w:sz w:val="21"/>
                      <w:szCs w:val="21"/>
                      <w:highlight w:val="none"/>
                      <w:vertAlign w:val="baseline"/>
                      <w:lang w:val="en-US" w:eastAsia="zh-CN"/>
                    </w:rPr>
                    <w:t>符合，不涉及生态保护区、天然草地。</w:t>
                  </w:r>
                </w:p>
              </w:tc>
            </w:tr>
            <w:tr w14:paraId="3C13275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39" w:type="dxa"/>
                  <w:vMerge w:val="continue"/>
                  <w:tcBorders>
                    <w:tl2br w:val="nil"/>
                    <w:tr2bl w:val="nil"/>
                  </w:tcBorders>
                  <w:noWrap w:val="0"/>
                  <w:vAlign w:val="center"/>
                </w:tcPr>
                <w:p w14:paraId="5B72F635">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textAlignment w:val="center"/>
                    <w:rPr>
                      <w:rFonts w:hint="default" w:ascii="Times New Roman" w:hAnsi="Times New Roman" w:eastAsia="宋体" w:cs="Times New Roman"/>
                      <w:b w:val="0"/>
                      <w:color w:val="auto"/>
                      <w:spacing w:val="0"/>
                      <w:lang w:val="en-US" w:eastAsia="zh-CN"/>
                    </w:rPr>
                  </w:pPr>
                </w:p>
              </w:tc>
              <w:tc>
                <w:tcPr>
                  <w:tcW w:w="4133" w:type="dxa"/>
                  <w:tcBorders>
                    <w:tl2br w:val="nil"/>
                    <w:tr2bl w:val="nil"/>
                  </w:tcBorders>
                  <w:noWrap w:val="0"/>
                  <w:vAlign w:val="center"/>
                </w:tcPr>
                <w:p w14:paraId="03EC6599">
                  <w:pPr>
                    <w:pStyle w:val="2"/>
                    <w:keepNext w:val="0"/>
                    <w:keepLines w:val="0"/>
                    <w:pageBreakBefore w:val="0"/>
                    <w:widowControl w:val="0"/>
                    <w:kinsoku/>
                    <w:wordWrap/>
                    <w:overflowPunct/>
                    <w:topLinePunct w:val="0"/>
                    <w:autoSpaceDE w:val="0"/>
                    <w:autoSpaceDN w:val="0"/>
                    <w:bidi w:val="0"/>
                    <w:adjustRightInd w:val="0"/>
                    <w:snapToGrid w:val="0"/>
                    <w:spacing w:before="0"/>
                    <w:ind w:left="0" w:leftChars="0" w:right="0" w:rightChars="0" w:firstLine="0" w:firstLineChars="0"/>
                    <w:jc w:val="center"/>
                    <w:textAlignment w:val="auto"/>
                    <w:rPr>
                      <w:rFonts w:hint="default" w:ascii="Times New Roman" w:hAnsi="Times New Roman" w:eastAsia="宋体" w:cs="Times New Roman"/>
                      <w:b w:val="0"/>
                      <w:bCs/>
                      <w:color w:val="auto"/>
                      <w:spacing w:val="0"/>
                      <w:kern w:val="0"/>
                      <w:sz w:val="21"/>
                      <w:szCs w:val="21"/>
                      <w:highlight w:val="none"/>
                      <w:vertAlign w:val="baseline"/>
                      <w:lang w:val="en-US" w:eastAsia="zh-CN" w:bidi="ar"/>
                    </w:rPr>
                  </w:pPr>
                  <w:r>
                    <w:rPr>
                      <w:rFonts w:hint="default" w:ascii="Times New Roman" w:hAnsi="Times New Roman" w:eastAsia="宋体" w:cs="Times New Roman"/>
                      <w:b w:val="0"/>
                      <w:bCs/>
                      <w:color w:val="auto"/>
                      <w:spacing w:val="0"/>
                      <w:sz w:val="21"/>
                      <w:szCs w:val="21"/>
                      <w:highlight w:val="none"/>
                      <w:vertAlign w:val="baseline"/>
                      <w:lang w:val="en-US" w:eastAsia="zh-CN"/>
                    </w:rPr>
                    <w:t>重点做好塔里木盆地北缘荒漠化防治。加强荒漠植被及河岸荒漠林保护，规范油气勘探开发作业，建立油田和公路扰动区域工程与生物相结合的防风固沙体系，逐步形成生态屏障。</w:t>
                  </w:r>
                </w:p>
              </w:tc>
              <w:tc>
                <w:tcPr>
                  <w:tcW w:w="2475" w:type="dxa"/>
                  <w:tcBorders>
                    <w:tl2br w:val="nil"/>
                    <w:tr2bl w:val="nil"/>
                  </w:tcBorders>
                  <w:noWrap w:val="0"/>
                  <w:vAlign w:val="center"/>
                </w:tcPr>
                <w:p w14:paraId="45078457">
                  <w:pPr>
                    <w:pStyle w:val="2"/>
                    <w:keepNext w:val="0"/>
                    <w:keepLines w:val="0"/>
                    <w:pageBreakBefore w:val="0"/>
                    <w:widowControl w:val="0"/>
                    <w:kinsoku/>
                    <w:wordWrap/>
                    <w:overflowPunct/>
                    <w:topLinePunct w:val="0"/>
                    <w:autoSpaceDE w:val="0"/>
                    <w:autoSpaceDN w:val="0"/>
                    <w:bidi w:val="0"/>
                    <w:adjustRightInd w:val="0"/>
                    <w:snapToGrid w:val="0"/>
                    <w:spacing w:before="0"/>
                    <w:ind w:left="0" w:leftChars="0" w:right="0" w:rightChars="0" w:firstLine="0" w:firstLineChars="0"/>
                    <w:jc w:val="center"/>
                    <w:textAlignment w:val="auto"/>
                    <w:rPr>
                      <w:rFonts w:hint="default" w:ascii="Times New Roman" w:hAnsi="Times New Roman" w:eastAsia="宋体" w:cs="Times New Roman"/>
                      <w:b w:val="0"/>
                      <w:bCs/>
                      <w:color w:val="auto"/>
                      <w:spacing w:val="0"/>
                      <w:kern w:val="0"/>
                      <w:sz w:val="21"/>
                      <w:szCs w:val="21"/>
                      <w:highlight w:val="none"/>
                      <w:vertAlign w:val="baseline"/>
                      <w:lang w:val="en-US" w:eastAsia="zh-CN" w:bidi="ar"/>
                    </w:rPr>
                  </w:pPr>
                  <w:r>
                    <w:rPr>
                      <w:rFonts w:hint="default" w:ascii="Times New Roman" w:hAnsi="Times New Roman" w:eastAsia="宋体" w:cs="Times New Roman"/>
                      <w:b w:val="0"/>
                      <w:bCs/>
                      <w:color w:val="auto"/>
                      <w:spacing w:val="0"/>
                      <w:sz w:val="21"/>
                      <w:szCs w:val="21"/>
                      <w:highlight w:val="none"/>
                      <w:vertAlign w:val="baseline"/>
                      <w:lang w:val="en-US" w:eastAsia="zh-CN"/>
                    </w:rPr>
                    <w:t>符合，</w:t>
                  </w:r>
                  <w:r>
                    <w:rPr>
                      <w:rFonts w:hint="eastAsia" w:ascii="Times New Roman" w:cs="Times New Roman"/>
                      <w:b w:val="0"/>
                      <w:bCs/>
                      <w:color w:val="auto"/>
                      <w:spacing w:val="0"/>
                      <w:sz w:val="21"/>
                      <w:szCs w:val="21"/>
                      <w:highlight w:val="none"/>
                      <w:vertAlign w:val="baseline"/>
                      <w:lang w:val="en-US" w:eastAsia="zh-CN"/>
                    </w:rPr>
                    <w:t>本项目不涉及</w:t>
                  </w:r>
                  <w:r>
                    <w:rPr>
                      <w:rFonts w:hint="default" w:ascii="Times New Roman" w:hAnsi="Times New Roman" w:eastAsia="宋体" w:cs="Times New Roman"/>
                      <w:b w:val="0"/>
                      <w:bCs/>
                      <w:color w:val="auto"/>
                      <w:spacing w:val="0"/>
                      <w:kern w:val="0"/>
                      <w:sz w:val="21"/>
                      <w:szCs w:val="21"/>
                      <w:highlight w:val="none"/>
                      <w:lang w:val="en-US" w:eastAsia="zh-CN" w:bidi="ar"/>
                    </w:rPr>
                    <w:t>。</w:t>
                  </w:r>
                </w:p>
              </w:tc>
            </w:tr>
            <w:tr w14:paraId="1123D2C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39" w:type="dxa"/>
                  <w:vMerge w:val="continue"/>
                  <w:noWrap w:val="0"/>
                  <w:vAlign w:val="top"/>
                </w:tcPr>
                <w:p w14:paraId="24EC4117">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textAlignment w:val="center"/>
                    <w:rPr>
                      <w:rFonts w:hint="default" w:ascii="Times New Roman" w:hAnsi="Times New Roman" w:eastAsia="宋体" w:cs="Times New Roman"/>
                      <w:b w:val="0"/>
                      <w:color w:val="auto"/>
                      <w:spacing w:val="0"/>
                      <w:lang w:val="en-US" w:eastAsia="zh-CN"/>
                    </w:rPr>
                  </w:pPr>
                </w:p>
              </w:tc>
              <w:tc>
                <w:tcPr>
                  <w:tcW w:w="4133" w:type="dxa"/>
                  <w:noWrap w:val="0"/>
                  <w:vAlign w:val="center"/>
                </w:tcPr>
                <w:p w14:paraId="66814493">
                  <w:pPr>
                    <w:pStyle w:val="2"/>
                    <w:keepNext w:val="0"/>
                    <w:keepLines w:val="0"/>
                    <w:pageBreakBefore w:val="0"/>
                    <w:widowControl w:val="0"/>
                    <w:kinsoku/>
                    <w:wordWrap/>
                    <w:overflowPunct/>
                    <w:topLinePunct w:val="0"/>
                    <w:autoSpaceDE w:val="0"/>
                    <w:autoSpaceDN w:val="0"/>
                    <w:bidi w:val="0"/>
                    <w:adjustRightInd w:val="0"/>
                    <w:snapToGrid w:val="0"/>
                    <w:spacing w:before="0"/>
                    <w:ind w:left="0" w:leftChars="0" w:right="0" w:rightChars="0" w:firstLine="0" w:firstLineChars="0"/>
                    <w:jc w:val="center"/>
                    <w:textAlignment w:val="auto"/>
                    <w:rPr>
                      <w:rFonts w:hint="default" w:ascii="Times New Roman" w:hAnsi="Times New Roman" w:eastAsia="宋体" w:cs="Times New Roman"/>
                      <w:b w:val="0"/>
                      <w:bCs/>
                      <w:color w:val="auto"/>
                      <w:spacing w:val="0"/>
                      <w:kern w:val="0"/>
                      <w:sz w:val="21"/>
                      <w:szCs w:val="21"/>
                      <w:highlight w:val="none"/>
                      <w:vertAlign w:val="baseline"/>
                      <w:lang w:val="en-US" w:eastAsia="zh-CN" w:bidi="ar"/>
                    </w:rPr>
                  </w:pPr>
                  <w:r>
                    <w:rPr>
                      <w:rFonts w:hint="default" w:ascii="Times New Roman" w:hAnsi="Times New Roman" w:eastAsia="宋体" w:cs="Times New Roman"/>
                      <w:b w:val="0"/>
                      <w:bCs/>
                      <w:color w:val="auto"/>
                      <w:spacing w:val="0"/>
                      <w:sz w:val="21"/>
                      <w:szCs w:val="21"/>
                      <w:highlight w:val="none"/>
                      <w:vertAlign w:val="baseline"/>
                      <w:lang w:val="en-US" w:eastAsia="zh-CN"/>
                    </w:rPr>
                    <w:t>推进塔里木河流域用水结构调整，维护塔里木河、博斯腾湖基本生态用水。加强塔里木河流域水环境风险管控。加大博斯腾湖污染源头达标排放治理和监督力度，实施博斯腾湖综合治理。</w:t>
                  </w:r>
                </w:p>
              </w:tc>
              <w:tc>
                <w:tcPr>
                  <w:tcW w:w="2475" w:type="dxa"/>
                  <w:noWrap w:val="0"/>
                  <w:vAlign w:val="center"/>
                </w:tcPr>
                <w:p w14:paraId="4C7205C3">
                  <w:pPr>
                    <w:pStyle w:val="2"/>
                    <w:keepNext w:val="0"/>
                    <w:keepLines w:val="0"/>
                    <w:pageBreakBefore w:val="0"/>
                    <w:widowControl w:val="0"/>
                    <w:kinsoku/>
                    <w:wordWrap/>
                    <w:overflowPunct/>
                    <w:topLinePunct w:val="0"/>
                    <w:autoSpaceDE w:val="0"/>
                    <w:autoSpaceDN w:val="0"/>
                    <w:bidi w:val="0"/>
                    <w:adjustRightInd w:val="0"/>
                    <w:snapToGrid w:val="0"/>
                    <w:spacing w:before="0"/>
                    <w:ind w:left="0" w:leftChars="0" w:right="0" w:rightChars="0" w:firstLine="0" w:firstLineChars="0"/>
                    <w:jc w:val="center"/>
                    <w:textAlignment w:val="auto"/>
                    <w:rPr>
                      <w:rFonts w:hint="default" w:ascii="Times New Roman" w:hAnsi="Times New Roman" w:eastAsia="宋体" w:cs="Times New Roman"/>
                      <w:b w:val="0"/>
                      <w:bCs/>
                      <w:color w:val="auto"/>
                      <w:spacing w:val="0"/>
                      <w:kern w:val="0"/>
                      <w:sz w:val="21"/>
                      <w:szCs w:val="21"/>
                      <w:highlight w:val="none"/>
                      <w:vertAlign w:val="baseline"/>
                      <w:lang w:val="en-US" w:eastAsia="zh-CN" w:bidi="ar"/>
                    </w:rPr>
                  </w:pPr>
                  <w:r>
                    <w:rPr>
                      <w:rFonts w:hint="default" w:ascii="Times New Roman" w:hAnsi="Times New Roman" w:eastAsia="宋体" w:cs="Times New Roman"/>
                      <w:b w:val="0"/>
                      <w:bCs/>
                      <w:color w:val="auto"/>
                      <w:spacing w:val="0"/>
                      <w:sz w:val="21"/>
                      <w:szCs w:val="21"/>
                      <w:highlight w:val="none"/>
                      <w:vertAlign w:val="baseline"/>
                      <w:lang w:val="en-US" w:eastAsia="zh-CN"/>
                    </w:rPr>
                    <w:t>符合，本项目不涉及地表水环境污染。</w:t>
                  </w:r>
                </w:p>
              </w:tc>
            </w:tr>
            <w:tr w14:paraId="4FB2163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439" w:type="dxa"/>
                  <w:vMerge w:val="continue"/>
                  <w:noWrap w:val="0"/>
                  <w:vAlign w:val="top"/>
                </w:tcPr>
                <w:p w14:paraId="517079C1">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textAlignment w:val="center"/>
                    <w:rPr>
                      <w:rFonts w:hint="default" w:ascii="Times New Roman" w:hAnsi="Times New Roman" w:eastAsia="宋体" w:cs="Times New Roman"/>
                      <w:b w:val="0"/>
                      <w:color w:val="auto"/>
                      <w:spacing w:val="0"/>
                      <w:lang w:val="en-US" w:eastAsia="zh-CN"/>
                    </w:rPr>
                  </w:pPr>
                </w:p>
              </w:tc>
              <w:tc>
                <w:tcPr>
                  <w:tcW w:w="4133" w:type="dxa"/>
                  <w:noWrap w:val="0"/>
                  <w:vAlign w:val="center"/>
                </w:tcPr>
                <w:p w14:paraId="0E0103EB">
                  <w:pPr>
                    <w:pStyle w:val="2"/>
                    <w:keepNext w:val="0"/>
                    <w:keepLines w:val="0"/>
                    <w:pageBreakBefore w:val="0"/>
                    <w:widowControl w:val="0"/>
                    <w:kinsoku/>
                    <w:wordWrap/>
                    <w:overflowPunct/>
                    <w:topLinePunct w:val="0"/>
                    <w:autoSpaceDE w:val="0"/>
                    <w:autoSpaceDN w:val="0"/>
                    <w:bidi w:val="0"/>
                    <w:adjustRightInd w:val="0"/>
                    <w:snapToGrid w:val="0"/>
                    <w:spacing w:before="0"/>
                    <w:ind w:left="0" w:leftChars="0" w:right="0" w:rightChars="0" w:firstLine="0" w:firstLineChars="0"/>
                    <w:jc w:val="center"/>
                    <w:textAlignment w:val="auto"/>
                    <w:rPr>
                      <w:rFonts w:hint="default" w:ascii="Times New Roman" w:hAnsi="Times New Roman" w:eastAsia="宋体" w:cs="Times New Roman"/>
                      <w:b w:val="0"/>
                      <w:bCs/>
                      <w:color w:val="auto"/>
                      <w:spacing w:val="0"/>
                      <w:kern w:val="0"/>
                      <w:sz w:val="21"/>
                      <w:szCs w:val="21"/>
                      <w:highlight w:val="none"/>
                      <w:vertAlign w:val="baseline"/>
                      <w:lang w:val="en-US" w:eastAsia="zh-CN" w:bidi="ar"/>
                    </w:rPr>
                  </w:pPr>
                  <w:r>
                    <w:rPr>
                      <w:rFonts w:hint="default" w:ascii="Times New Roman" w:hAnsi="Times New Roman" w:eastAsia="宋体" w:cs="Times New Roman"/>
                      <w:b w:val="0"/>
                      <w:bCs/>
                      <w:color w:val="auto"/>
                      <w:spacing w:val="0"/>
                      <w:sz w:val="21"/>
                      <w:szCs w:val="21"/>
                      <w:highlight w:val="none"/>
                      <w:vertAlign w:val="baseline"/>
                      <w:lang w:val="en-US" w:eastAsia="zh-CN"/>
                    </w:rPr>
                    <w:t>加强油（气）资源开发区土壤环境污染综合整治。强化涉重金属行业污染防控与工业废物处理处置。</w:t>
                  </w:r>
                </w:p>
              </w:tc>
              <w:tc>
                <w:tcPr>
                  <w:tcW w:w="2475" w:type="dxa"/>
                  <w:noWrap w:val="0"/>
                  <w:vAlign w:val="center"/>
                </w:tcPr>
                <w:p w14:paraId="60E43FD8">
                  <w:pPr>
                    <w:pStyle w:val="2"/>
                    <w:keepNext w:val="0"/>
                    <w:keepLines w:val="0"/>
                    <w:pageBreakBefore w:val="0"/>
                    <w:widowControl w:val="0"/>
                    <w:kinsoku/>
                    <w:wordWrap/>
                    <w:overflowPunct/>
                    <w:topLinePunct w:val="0"/>
                    <w:autoSpaceDE w:val="0"/>
                    <w:autoSpaceDN w:val="0"/>
                    <w:bidi w:val="0"/>
                    <w:adjustRightInd w:val="0"/>
                    <w:snapToGrid w:val="0"/>
                    <w:spacing w:before="0"/>
                    <w:ind w:left="0" w:leftChars="0" w:right="0" w:rightChars="0" w:firstLine="0" w:firstLineChars="0"/>
                    <w:jc w:val="center"/>
                    <w:textAlignment w:val="auto"/>
                    <w:rPr>
                      <w:rFonts w:hint="default" w:ascii="Times New Roman" w:hAnsi="Times New Roman" w:eastAsia="宋体" w:cs="Times New Roman"/>
                      <w:b w:val="0"/>
                      <w:bCs/>
                      <w:color w:val="auto"/>
                      <w:spacing w:val="0"/>
                      <w:kern w:val="0"/>
                      <w:sz w:val="21"/>
                      <w:szCs w:val="21"/>
                      <w:highlight w:val="none"/>
                      <w:vertAlign w:val="baseline"/>
                      <w:lang w:val="en-US" w:eastAsia="zh-CN" w:bidi="ar"/>
                    </w:rPr>
                  </w:pPr>
                  <w:r>
                    <w:rPr>
                      <w:rFonts w:hint="default" w:ascii="Times New Roman" w:hAnsi="Times New Roman" w:eastAsia="宋体" w:cs="Times New Roman"/>
                      <w:b w:val="0"/>
                      <w:bCs/>
                      <w:color w:val="auto"/>
                      <w:spacing w:val="0"/>
                      <w:sz w:val="21"/>
                      <w:szCs w:val="21"/>
                      <w:highlight w:val="none"/>
                      <w:vertAlign w:val="baseline"/>
                      <w:lang w:val="en-US" w:eastAsia="zh-CN"/>
                    </w:rPr>
                    <w:t>符合，本项目不涉及。</w:t>
                  </w:r>
                </w:p>
              </w:tc>
            </w:tr>
          </w:tbl>
          <w:p w14:paraId="4399EC59">
            <w:pPr>
              <w:pStyle w:val="9"/>
              <w:keepNext w:val="0"/>
              <w:keepLines w:val="0"/>
              <w:suppressLineNumbers w:val="0"/>
              <w:spacing w:before="0" w:beforeAutospacing="0" w:after="0" w:afterAutospacing="0" w:line="360" w:lineRule="auto"/>
              <w:ind w:left="0" w:leftChars="0" w:right="0" w:firstLine="0" w:firstLineChars="0"/>
              <w:rPr>
                <w:rFonts w:hint="default" w:ascii="Times New Roman" w:hAnsi="Times New Roman" w:eastAsia="宋体" w:cs="Times New Roman"/>
                <w:b/>
                <w:bCs/>
                <w:color w:val="000000"/>
                <w:highlight w:val="none"/>
                <w:lang w:val="en-US" w:eastAsia="zh-CN"/>
              </w:rPr>
            </w:pPr>
            <w:r>
              <w:rPr>
                <w:rFonts w:hint="eastAsia" w:cs="Times New Roman"/>
                <w:b/>
                <w:bCs/>
                <w:color w:val="000000"/>
                <w:highlight w:val="none"/>
                <w:lang w:val="en-US" w:eastAsia="zh-CN"/>
              </w:rPr>
              <w:t>4</w:t>
            </w:r>
            <w:r>
              <w:rPr>
                <w:rFonts w:hint="default" w:ascii="Times New Roman" w:hAnsi="Times New Roman" w:eastAsia="宋体" w:cs="Times New Roman"/>
                <w:b/>
                <w:bCs/>
                <w:color w:val="000000"/>
                <w:highlight w:val="none"/>
                <w:lang w:val="en-US" w:eastAsia="zh-CN"/>
              </w:rPr>
              <w:t>、与《新疆生态环境保护“十四五”规划》符合性分析</w:t>
            </w:r>
          </w:p>
          <w:p w14:paraId="04C8BB49">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eastAsia="宋体" w:cs="Times New Roman"/>
                <w:snapToGrid w:val="0"/>
                <w:kern w:val="0"/>
                <w:highlight w:val="none"/>
                <w:lang w:val="en-US" w:eastAsia="zh-CN"/>
              </w:rPr>
            </w:pPr>
            <w:r>
              <w:rPr>
                <w:rFonts w:hint="default" w:ascii="Times New Roman" w:hAnsi="Times New Roman" w:eastAsia="宋体" w:cs="Times New Roman"/>
                <w:snapToGrid w:val="0"/>
                <w:kern w:val="0"/>
                <w:highlight w:val="none"/>
                <w:lang w:val="en-US" w:eastAsia="zh-CN"/>
              </w:rPr>
              <w:t>《新疆生态环境保护“十四五”规划》第十章第一节加强危险废物医疗废物收集处理：“补齐医疗废物处置与应急能力短板。协调推动各地州市（师市）医疗废物收集转运体系和集中处置设施项目建设，补齐处置类型和处置能力不足的短板，实现各地州市（师市）医疗废物收集转运和处置能力本辖区内自足。统筹新建、在建和现有危险废物焚烧设施、协同处置固体废物的水泥窑、生活垃圾焚烧设施以及其他工业窑炉等协同处置设施资源，建立各地医疗废物协同应急处置设施清单，完善处置物资储备体系，完善各地州市医疗废物处置应急预案（方案），保障重大疫情医疗废物应急处置能力。各县（市、区）完善医疗废物收集转运处置体系并覆盖农村地区，补齐偏远地区及乡村医疗废物收集运输体系覆盖不足的短板。加强医疗废物分类管理，做好源头分类和收集转运处置全过程监管，确保医疗废物及时规范收集转运和安全处置。”</w:t>
            </w:r>
          </w:p>
          <w:p w14:paraId="774A61B6">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highlight w:val="none"/>
                <w:lang w:val="en-US" w:eastAsia="zh-CN"/>
              </w:rPr>
            </w:pPr>
            <w:r>
              <w:rPr>
                <w:rFonts w:hint="eastAsia" w:cs="Times New Roman"/>
                <w:snapToGrid w:val="0"/>
                <w:kern w:val="0"/>
                <w:highlight w:val="none"/>
                <w:lang w:val="en-US" w:eastAsia="zh-CN"/>
              </w:rPr>
              <w:t>本项目为宠物医院建设项目，本项目产生的动物诊疗废物按照医疗废物进行管理，分类装入专用垃圾包装袋、利器盒内。保证废物包装完好及封口紧密，防止所盛装的废物泄漏污染环境，需如实填写动物诊疗废物转运台账，保证委托处理的动物诊疗废物与填写的内容保持一致。项目产生的动物诊疗废物</w:t>
            </w:r>
            <w:r>
              <w:rPr>
                <w:rFonts w:hint="default" w:ascii="Times New Roman" w:hAnsi="Times New Roman" w:eastAsia="宋体" w:cs="Times New Roman"/>
                <w:snapToGrid w:val="0"/>
                <w:kern w:val="0"/>
                <w:highlight w:val="none"/>
                <w:lang w:val="en-US" w:eastAsia="zh-CN"/>
              </w:rPr>
              <w:t>收集至</w:t>
            </w:r>
            <w:r>
              <w:rPr>
                <w:rFonts w:hint="eastAsia" w:cs="Times New Roman"/>
                <w:snapToGrid w:val="0"/>
                <w:kern w:val="0"/>
                <w:highlight w:val="none"/>
                <w:lang w:val="en-US" w:eastAsia="zh-CN"/>
              </w:rPr>
              <w:t>医疗</w:t>
            </w:r>
            <w:r>
              <w:rPr>
                <w:rFonts w:hint="default" w:ascii="Times New Roman" w:hAnsi="Times New Roman" w:eastAsia="宋体" w:cs="Times New Roman"/>
                <w:snapToGrid w:val="0"/>
                <w:kern w:val="0"/>
                <w:highlight w:val="none"/>
                <w:lang w:val="en-US" w:eastAsia="zh-CN"/>
              </w:rPr>
              <w:t>废物暂时贮存柜（箱），委托库尔勒天达环卫有限责任公司集中处置，</w:t>
            </w:r>
            <w:r>
              <w:rPr>
                <w:rFonts w:hint="default" w:ascii="Times New Roman" w:hAnsi="Times New Roman" w:eastAsia="宋体" w:cs="Times New Roman"/>
                <w:snapToGrid w:val="0"/>
                <w:kern w:val="0"/>
                <w:highlight w:val="none"/>
              </w:rPr>
              <w:t>故本项目符合《新疆生态环境保护“十四五”规划》中的要求。</w:t>
            </w:r>
          </w:p>
          <w:p w14:paraId="468AE63A">
            <w:pPr>
              <w:pStyle w:val="9"/>
              <w:keepNext w:val="0"/>
              <w:keepLines w:val="0"/>
              <w:suppressLineNumbers w:val="0"/>
              <w:spacing w:before="0" w:beforeAutospacing="0" w:after="0" w:afterAutospacing="0"/>
              <w:ind w:left="0" w:leftChars="0" w:right="0" w:firstLine="0" w:firstLineChars="0"/>
              <w:rPr>
                <w:rFonts w:hint="default" w:ascii="Times New Roman" w:hAnsi="Times New Roman" w:eastAsia="宋体" w:cs="Times New Roman"/>
                <w:b/>
                <w:bCs/>
                <w:color w:val="000000"/>
                <w:highlight w:val="none"/>
                <w:lang w:val="en-US" w:eastAsia="zh-CN"/>
              </w:rPr>
            </w:pPr>
            <w:r>
              <w:rPr>
                <w:rFonts w:hint="default" w:ascii="Times New Roman" w:hAnsi="Times New Roman" w:eastAsia="宋体" w:cs="Times New Roman"/>
                <w:b/>
                <w:bCs/>
                <w:color w:val="000000"/>
                <w:highlight w:val="none"/>
                <w:lang w:val="en-US" w:eastAsia="zh-CN"/>
              </w:rPr>
              <w:t>5、与《巴州生态环境保护“十四五”规划》符合性分析</w:t>
            </w:r>
          </w:p>
          <w:p w14:paraId="04F1C66C">
            <w:pPr>
              <w:keepNext w:val="0"/>
              <w:keepLines w:val="0"/>
              <w:widowControl/>
              <w:suppressLineNumbers w:val="0"/>
              <w:adjustRightInd w:val="0"/>
              <w:snapToGrid w:val="0"/>
              <w:spacing w:before="0" w:beforeAutospacing="0" w:after="0" w:afterAutospacing="0"/>
              <w:ind w:left="0" w:right="0" w:firstLine="480" w:firstLineChars="200"/>
              <w:jc w:val="left"/>
              <w:rPr>
                <w:rFonts w:hint="default" w:ascii="Times New Roman" w:hAnsi="Times New Roman" w:eastAsia="宋体" w:cs="Times New Roman"/>
                <w:snapToGrid w:val="0"/>
                <w:kern w:val="0"/>
              </w:rPr>
            </w:pPr>
            <w:r>
              <w:rPr>
                <w:rFonts w:hint="default" w:ascii="Times New Roman" w:hAnsi="Times New Roman" w:eastAsia="宋体" w:cs="Times New Roman"/>
                <w:snapToGrid w:val="0"/>
                <w:kern w:val="0"/>
              </w:rPr>
              <w:t>第十章 强化风险防控，严守环境安全底线</w:t>
            </w:r>
            <w:r>
              <w:rPr>
                <w:rFonts w:hint="eastAsia" w:ascii="Times New Roman" w:hAnsi="Times New Roman" w:eastAsia="宋体" w:cs="Times New Roman"/>
                <w:snapToGrid w:val="0"/>
                <w:kern w:val="0"/>
                <w:lang w:eastAsia="zh-CN"/>
              </w:rPr>
              <w:t>－</w:t>
            </w:r>
            <w:r>
              <w:rPr>
                <w:rFonts w:hint="default" w:ascii="Times New Roman" w:hAnsi="Times New Roman" w:eastAsia="宋体" w:cs="Times New Roman"/>
                <w:snapToGrid w:val="0"/>
                <w:kern w:val="0"/>
              </w:rPr>
              <w:t>第三节 加强危险废物医疗废物收集处理</w:t>
            </w:r>
          </w:p>
          <w:p w14:paraId="21B549C8">
            <w:pPr>
              <w:keepNext w:val="0"/>
              <w:keepLines w:val="0"/>
              <w:widowControl/>
              <w:suppressLineNumbers w:val="0"/>
              <w:adjustRightInd w:val="0"/>
              <w:snapToGrid w:val="0"/>
              <w:spacing w:before="0" w:beforeAutospacing="0" w:after="0" w:afterAutospacing="0"/>
              <w:ind w:left="0" w:right="0" w:firstLine="480" w:firstLineChars="200"/>
              <w:jc w:val="left"/>
              <w:rPr>
                <w:rFonts w:hint="default" w:ascii="Times New Roman" w:hAnsi="Times New Roman" w:eastAsia="宋体" w:cs="Times New Roman"/>
                <w:snapToGrid w:val="0"/>
                <w:kern w:val="0"/>
              </w:rPr>
            </w:pPr>
            <w:r>
              <w:rPr>
                <w:rFonts w:hint="default" w:ascii="Times New Roman" w:hAnsi="Times New Roman" w:eastAsia="宋体" w:cs="Times New Roman"/>
                <w:snapToGrid w:val="0"/>
                <w:kern w:val="0"/>
              </w:rPr>
              <w:t>强化危险废物环境监管能力。建立完善危险废物环境重点监管单位清单，开展危险废物规范化环境管理排查整治，强化重点行业企业事中事后监管，严厉打击危险废物环境违法行为，强化部门之间联动。加强危废经营许可审批，严格新建项目准入，持续推进危险废物规范化环境管理。继续加强危险废物管理督查考核和环境执法检查监督企业落实相关法律制度和标准规范要求。</w:t>
            </w:r>
          </w:p>
          <w:p w14:paraId="342316B6">
            <w:pPr>
              <w:keepNext w:val="0"/>
              <w:keepLines w:val="0"/>
              <w:widowControl/>
              <w:suppressLineNumbers w:val="0"/>
              <w:adjustRightInd w:val="0"/>
              <w:snapToGrid w:val="0"/>
              <w:spacing w:before="0" w:beforeAutospacing="0" w:after="0" w:afterAutospacing="0"/>
              <w:ind w:left="0" w:right="0" w:firstLine="480" w:firstLineChars="200"/>
              <w:jc w:val="both"/>
              <w:rPr>
                <w:rFonts w:hint="default"/>
                <w:highlight w:val="none"/>
              </w:rPr>
            </w:pPr>
            <w:r>
              <w:rPr>
                <w:rFonts w:hint="eastAsia" w:cs="Times New Roman"/>
                <w:snapToGrid w:val="0"/>
                <w:kern w:val="0"/>
                <w:highlight w:val="none"/>
                <w:lang w:val="en-US" w:eastAsia="zh-CN"/>
              </w:rPr>
              <w:t>项目为宠物医院建设项目，本项目产生的动物诊疗废物按照医疗废物进行管理，分类装入专用垃圾包装袋、利器盒内。保证废物包装完好及封口紧密，防止所盛装的废物泄漏污染环境，需如实填写动物诊疗废物转运台账，保证委托处理的动物诊疗废物与填写的内容保持一致。项目产生的动物诊疗废物</w:t>
            </w:r>
            <w:r>
              <w:rPr>
                <w:rFonts w:hint="default" w:ascii="Times New Roman" w:hAnsi="Times New Roman" w:eastAsia="宋体" w:cs="Times New Roman"/>
                <w:snapToGrid w:val="0"/>
                <w:kern w:val="0"/>
                <w:highlight w:val="none"/>
                <w:lang w:val="en-US" w:eastAsia="zh-CN"/>
              </w:rPr>
              <w:t>收集至</w:t>
            </w:r>
            <w:r>
              <w:rPr>
                <w:rFonts w:hint="eastAsia" w:cs="Times New Roman"/>
                <w:snapToGrid w:val="0"/>
                <w:kern w:val="0"/>
                <w:highlight w:val="none"/>
                <w:lang w:val="en-US" w:eastAsia="zh-CN"/>
              </w:rPr>
              <w:t>医疗</w:t>
            </w:r>
            <w:r>
              <w:rPr>
                <w:rFonts w:hint="default" w:ascii="Times New Roman" w:hAnsi="Times New Roman" w:eastAsia="宋体" w:cs="Times New Roman"/>
                <w:snapToGrid w:val="0"/>
                <w:kern w:val="0"/>
                <w:highlight w:val="none"/>
                <w:lang w:val="en-US" w:eastAsia="zh-CN"/>
              </w:rPr>
              <w:t>废物暂时贮存柜（箱），委托库尔勒天达环卫有限责任公司集中处置，</w:t>
            </w:r>
            <w:r>
              <w:rPr>
                <w:rFonts w:hint="default" w:ascii="Times New Roman" w:hAnsi="Times New Roman" w:eastAsia="宋体" w:cs="Times New Roman"/>
                <w:snapToGrid w:val="0"/>
                <w:kern w:val="0"/>
                <w:highlight w:val="none"/>
              </w:rPr>
              <w:t>故本项目符合《巴音郭楞蒙古自治州生态环境“十四五”规划》（巴党发〔2022〕4号）中的要求。</w:t>
            </w:r>
          </w:p>
          <w:p w14:paraId="28D7E9B8">
            <w:pPr>
              <w:keepNext w:val="0"/>
              <w:keepLines w:val="0"/>
              <w:widowControl/>
              <w:suppressLineNumbers w:val="0"/>
              <w:adjustRightInd w:val="0"/>
              <w:snapToGrid w:val="0"/>
              <w:spacing w:before="0" w:beforeAutospacing="0" w:after="0" w:afterAutospacing="0"/>
              <w:ind w:left="0" w:leftChars="0" w:right="0" w:firstLine="0" w:firstLineChars="0"/>
              <w:jc w:val="left"/>
              <w:rPr>
                <w:rFonts w:hint="default" w:ascii="Times New Roman" w:hAnsi="Times New Roman" w:eastAsia="宋体" w:cs="Times New Roman"/>
                <w:highlight w:val="none"/>
                <w:lang w:val="en-US" w:eastAsia="zh-CN"/>
              </w:rPr>
            </w:pPr>
            <w:r>
              <w:rPr>
                <w:rFonts w:hint="eastAsia" w:cs="Times New Roman"/>
                <w:b/>
                <w:bCs/>
                <w:color w:val="000000"/>
                <w:highlight w:val="none"/>
                <w:lang w:val="en-US" w:eastAsia="zh-CN"/>
              </w:rPr>
              <w:t>6</w:t>
            </w:r>
            <w:r>
              <w:rPr>
                <w:rFonts w:hint="default" w:ascii="Times New Roman" w:hAnsi="Times New Roman" w:eastAsia="宋体" w:cs="Times New Roman"/>
                <w:b/>
                <w:bCs/>
                <w:color w:val="000000"/>
                <w:highlight w:val="none"/>
                <w:lang w:val="en-US" w:eastAsia="zh-CN"/>
              </w:rPr>
              <w:t>、项目选址合理性分析</w:t>
            </w:r>
          </w:p>
          <w:p w14:paraId="74C9A72D">
            <w:pPr>
              <w:pStyle w:val="10"/>
              <w:keepNext w:val="0"/>
              <w:keepLines w:val="0"/>
              <w:suppressLineNumbers w:val="0"/>
              <w:spacing w:before="0" w:beforeAutospacing="0" w:after="0" w:afterAutospacing="0"/>
              <w:ind w:left="0" w:right="0"/>
              <w:rPr>
                <w:rFonts w:hint="eastAsia" w:ascii="宋体" w:hAnsi="宋体" w:cs="Times New Roman"/>
                <w:bCs/>
                <w:sz w:val="24"/>
                <w:szCs w:val="24"/>
                <w:lang w:val="en-US" w:eastAsia="zh-CN"/>
              </w:rPr>
            </w:pPr>
            <w:r>
              <w:rPr>
                <w:rFonts w:hint="eastAsia" w:ascii="宋体" w:hAnsi="宋体" w:eastAsia="宋体" w:cs="Times New Roman"/>
                <w:bCs/>
                <w:sz w:val="24"/>
                <w:szCs w:val="24"/>
                <w:lang w:val="en-US" w:eastAsia="zh-CN"/>
              </w:rPr>
              <w:t>本项目位于</w:t>
            </w:r>
            <w:r>
              <w:rPr>
                <w:rFonts w:hint="default" w:ascii="Times New Roman" w:hAnsi="Times New Roman" w:eastAsia="宋体" w:cs="Times New Roman"/>
                <w:snapToGrid w:val="0"/>
                <w:color w:val="000000"/>
                <w:spacing w:val="0"/>
                <w:kern w:val="0"/>
                <w:sz w:val="24"/>
                <w:szCs w:val="24"/>
                <w:lang w:val="en-US" w:eastAsia="zh-CN"/>
              </w:rPr>
              <w:t>新疆巴州库尔勒市铁克其乡迎宾路48号兴旺家园40栋1-2层19号</w:t>
            </w:r>
            <w:r>
              <w:rPr>
                <w:rFonts w:hint="eastAsia" w:ascii="Times New Roman" w:hAnsi="Times New Roman" w:eastAsia="宋体" w:cs="Times New Roman"/>
                <w:snapToGrid w:val="0"/>
                <w:color w:val="000000"/>
                <w:spacing w:val="0"/>
                <w:kern w:val="0"/>
                <w:sz w:val="24"/>
                <w:szCs w:val="24"/>
                <w:lang w:val="en-US" w:eastAsia="zh-CN"/>
              </w:rPr>
              <w:t>，</w:t>
            </w:r>
            <w:r>
              <w:rPr>
                <w:rFonts w:hint="eastAsia" w:ascii="宋体" w:hAnsi="宋体" w:eastAsia="宋体" w:cs="Times New Roman"/>
                <w:bCs/>
                <w:sz w:val="24"/>
                <w:szCs w:val="24"/>
                <w:lang w:val="en-US" w:eastAsia="zh-CN"/>
              </w:rPr>
              <w:t>交通方便，紧邻</w:t>
            </w:r>
            <w:r>
              <w:rPr>
                <w:rFonts w:hint="eastAsia" w:ascii="宋体" w:hAnsi="宋体" w:cs="Times New Roman"/>
                <w:bCs/>
                <w:sz w:val="24"/>
                <w:szCs w:val="24"/>
                <w:lang w:val="en-US" w:eastAsia="zh-CN"/>
              </w:rPr>
              <w:t>迎宾路</w:t>
            </w:r>
            <w:r>
              <w:rPr>
                <w:rFonts w:hint="eastAsia" w:ascii="宋体" w:hAnsi="宋体" w:eastAsia="宋体" w:cs="Times New Roman"/>
                <w:bCs/>
                <w:sz w:val="24"/>
                <w:szCs w:val="24"/>
                <w:lang w:val="en-US" w:eastAsia="zh-CN"/>
              </w:rPr>
              <w:t>，利用城市基础设施，远离污染源，运营产生的各类污染物在采取相应的环保措施后均可达标排放、不会影响城市的其他区域</w:t>
            </w:r>
            <w:r>
              <w:rPr>
                <w:rFonts w:hint="eastAsia" w:ascii="宋体" w:hAnsi="宋体" w:cs="Times New Roman"/>
                <w:bCs/>
                <w:sz w:val="24"/>
                <w:szCs w:val="24"/>
                <w:lang w:val="en-US" w:eastAsia="zh-CN"/>
              </w:rPr>
              <w:t>。本项目选址符</w:t>
            </w:r>
            <w:r>
              <w:rPr>
                <w:rFonts w:hint="default" w:ascii="Times New Roman" w:hAnsi="Times New Roman" w:eastAsia="宋体" w:cs="Times New Roman"/>
                <w:bCs/>
                <w:sz w:val="24"/>
                <w:szCs w:val="24"/>
                <w:lang w:val="en-US" w:eastAsia="zh-CN"/>
              </w:rPr>
              <w:t>合</w:t>
            </w:r>
            <w:r>
              <w:rPr>
                <w:rFonts w:hint="eastAsia" w:ascii="Times New Roman" w:hAnsi="Times New Roman" w:eastAsia="宋体" w:cs="Times New Roman"/>
                <w:bCs/>
                <w:sz w:val="24"/>
                <w:szCs w:val="24"/>
                <w:lang w:val="en-US" w:eastAsia="zh-CN"/>
              </w:rPr>
              <w:t>“</w:t>
            </w:r>
            <w:r>
              <w:rPr>
                <w:rFonts w:hint="default" w:ascii="Times New Roman" w:hAnsi="Times New Roman" w:eastAsia="宋体" w:cs="Times New Roman"/>
                <w:b w:val="0"/>
                <w:bCs/>
                <w:color w:val="000000"/>
                <w:kern w:val="0"/>
                <w:sz w:val="24"/>
                <w:szCs w:val="32"/>
                <w:highlight w:val="none"/>
                <w:lang w:val="en-US" w:eastAsia="zh-CN"/>
              </w:rPr>
              <w:t>生态环境分区管控</w:t>
            </w:r>
            <w:r>
              <w:rPr>
                <w:rFonts w:hint="eastAsia" w:ascii="Times New Roman" w:hAnsi="Times New Roman" w:eastAsia="宋体" w:cs="Times New Roman"/>
                <w:bCs/>
                <w:sz w:val="24"/>
                <w:szCs w:val="24"/>
                <w:lang w:val="en-US" w:eastAsia="zh-CN"/>
              </w:rPr>
              <w:t>”</w:t>
            </w:r>
            <w:r>
              <w:rPr>
                <w:rFonts w:hint="eastAsia" w:ascii="宋体" w:hAnsi="宋体" w:cs="Times New Roman"/>
                <w:bCs/>
                <w:sz w:val="24"/>
                <w:szCs w:val="24"/>
                <w:lang w:val="en-US" w:eastAsia="zh-CN"/>
              </w:rPr>
              <w:t>的要求，本项目建设交通、能源方面均有保障，项目内部、外部条件均能满足建设要求。综上所述，从环境保护角度考虑，本项目选址较合理。</w:t>
            </w:r>
          </w:p>
          <w:p w14:paraId="57C70121">
            <w:pPr>
              <w:pStyle w:val="9"/>
              <w:keepNext w:val="0"/>
              <w:keepLines w:val="0"/>
              <w:suppressLineNumbers w:val="0"/>
              <w:spacing w:before="0" w:beforeAutospacing="0" w:after="0" w:afterAutospacing="0"/>
              <w:ind w:left="0" w:leftChars="0" w:right="0" w:firstLine="0" w:firstLineChars="0"/>
              <w:rPr>
                <w:rFonts w:hint="eastAsia"/>
                <w:lang w:val="en-US" w:eastAsia="zh-CN"/>
              </w:rPr>
            </w:pPr>
          </w:p>
          <w:p w14:paraId="1FF8FB6D">
            <w:pPr>
              <w:keepNext w:val="0"/>
              <w:keepLines w:val="0"/>
              <w:suppressLineNumbers w:val="0"/>
              <w:spacing w:before="0" w:beforeAutospacing="0" w:after="0" w:afterAutospacing="0"/>
              <w:ind w:left="0" w:right="0"/>
              <w:rPr>
                <w:rFonts w:hint="eastAsia"/>
                <w:lang w:val="en-US" w:eastAsia="zh-CN"/>
              </w:rPr>
            </w:pPr>
          </w:p>
          <w:p w14:paraId="5231FE6F">
            <w:pPr>
              <w:keepNext w:val="0"/>
              <w:keepLines w:val="0"/>
              <w:suppressLineNumbers w:val="0"/>
              <w:spacing w:before="0" w:beforeAutospacing="0" w:after="0" w:afterAutospacing="0"/>
              <w:ind w:left="0" w:right="0"/>
              <w:rPr>
                <w:rFonts w:hint="eastAsia"/>
                <w:lang w:val="en-US" w:eastAsia="zh-CN"/>
              </w:rPr>
            </w:pPr>
          </w:p>
          <w:p w14:paraId="4DE32866">
            <w:pPr>
              <w:keepNext w:val="0"/>
              <w:keepLines w:val="0"/>
              <w:suppressLineNumbers w:val="0"/>
              <w:spacing w:before="0" w:beforeAutospacing="0" w:after="0" w:afterAutospacing="0"/>
              <w:ind w:left="0" w:right="0"/>
              <w:rPr>
                <w:rFonts w:hint="eastAsia"/>
                <w:lang w:val="en-US" w:eastAsia="zh-CN"/>
              </w:rPr>
            </w:pPr>
          </w:p>
          <w:p w14:paraId="36A69422">
            <w:pPr>
              <w:keepNext w:val="0"/>
              <w:keepLines w:val="0"/>
              <w:suppressLineNumbers w:val="0"/>
              <w:spacing w:before="0" w:beforeAutospacing="0" w:after="0" w:afterAutospacing="0"/>
              <w:ind w:left="0" w:leftChars="0" w:right="0" w:firstLine="0" w:firstLineChars="0"/>
              <w:rPr>
                <w:rFonts w:hint="eastAsia"/>
                <w:lang w:val="en-US" w:eastAsia="zh-CN"/>
              </w:rPr>
            </w:pPr>
          </w:p>
        </w:tc>
      </w:tr>
    </w:tbl>
    <w:p w14:paraId="067A5A5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黑体" w:hAnsi="黑体" w:eastAsia="黑体"/>
          <w:snapToGrid w:val="0"/>
          <w:sz w:val="30"/>
          <w:szCs w:val="30"/>
        </w:rPr>
      </w:pPr>
      <w:r>
        <w:rPr>
          <w:rFonts w:hint="eastAsia" w:ascii="黑体" w:hAnsi="黑体" w:eastAsia="黑体"/>
          <w:snapToGrid w:val="0"/>
          <w:sz w:val="30"/>
          <w:szCs w:val="30"/>
        </w:rPr>
        <w:br w:type="page"/>
      </w:r>
      <w:bookmarkStart w:id="5" w:name="_Toc22975"/>
    </w:p>
    <w:p w14:paraId="12E0115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黑体" w:hAnsi="黑体" w:eastAsia="黑体"/>
          <w:snapToGrid w:val="0"/>
          <w:sz w:val="30"/>
          <w:szCs w:val="30"/>
        </w:rPr>
      </w:pPr>
      <w:r>
        <w:rPr>
          <w:rFonts w:hint="eastAsia" w:ascii="黑体" w:hAnsi="黑体" w:eastAsia="黑体"/>
          <w:snapToGrid w:val="0"/>
          <w:sz w:val="30"/>
          <w:szCs w:val="30"/>
        </w:rPr>
        <w:t>二、建设项目工程分析</w:t>
      </w:r>
      <w:bookmarkEnd w:id="5"/>
    </w:p>
    <w:tbl>
      <w:tblPr>
        <w:tblStyle w:val="3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8436"/>
      </w:tblGrid>
      <w:tr w14:paraId="5BC21D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4" w:type="dxa"/>
            <w:tcBorders>
              <w:tl2br w:val="nil"/>
              <w:tr2bl w:val="nil"/>
            </w:tcBorders>
            <w:noWrap w:val="0"/>
            <w:vAlign w:val="center"/>
          </w:tcPr>
          <w:p w14:paraId="676CB8ED">
            <w:pPr>
              <w:pStyle w:val="2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outlineLvl w:val="0"/>
              <w:rPr>
                <w:rFonts w:hint="default" w:ascii="Times New Roman" w:hAnsi="Times New Roman" w:eastAsia="宋体" w:cs="Times New Roman"/>
                <w:color w:val="000000"/>
                <w:sz w:val="24"/>
                <w:szCs w:val="24"/>
              </w:rPr>
            </w:pPr>
            <w:bookmarkStart w:id="6" w:name="_Toc19695"/>
            <w:r>
              <w:rPr>
                <w:rFonts w:hint="default" w:ascii="Times New Roman" w:hAnsi="Times New Roman" w:eastAsia="宋体" w:cs="Times New Roman"/>
                <w:b/>
                <w:bCs/>
                <w:color w:val="000000"/>
                <w:sz w:val="24"/>
                <w:szCs w:val="24"/>
              </w:rPr>
              <w:t>建设内容</w:t>
            </w:r>
            <w:bookmarkEnd w:id="6"/>
          </w:p>
        </w:tc>
        <w:tc>
          <w:tcPr>
            <w:tcW w:w="8373" w:type="dxa"/>
            <w:tcBorders>
              <w:tl2br w:val="nil"/>
              <w:tr2bl w:val="nil"/>
            </w:tcBorders>
            <w:noWrap w:val="0"/>
            <w:vAlign w:val="top"/>
          </w:tcPr>
          <w:p w14:paraId="5A5CF149">
            <w:pPr>
              <w:pStyle w:val="5"/>
              <w:suppressLineNumbers w:val="0"/>
              <w:bidi w:val="0"/>
              <w:spacing w:before="0" w:beforeAutospacing="0" w:after="0" w:afterAutospacing="0"/>
              <w:ind w:left="0" w:right="0"/>
              <w:rPr>
                <w:rFonts w:hint="eastAsia" w:ascii="Times New Roman" w:hAnsi="Times New Roman" w:eastAsia="宋体" w:cs="Times New Roman"/>
                <w:b w:val="0"/>
                <w:bCs w:val="0"/>
                <w:color w:val="000000"/>
                <w:kern w:val="0"/>
                <w:sz w:val="24"/>
                <w:szCs w:val="24"/>
                <w:highlight w:val="none"/>
                <w:lang w:val="en-US" w:eastAsia="zh-CN" w:bidi="ar-SA"/>
              </w:rPr>
            </w:pPr>
            <w:bookmarkStart w:id="7" w:name="_Toc6136"/>
            <w:r>
              <w:rPr>
                <w:rFonts w:hint="eastAsia" w:cs="Times New Roman"/>
                <w:b/>
                <w:bCs/>
                <w:color w:val="000000"/>
                <w:sz w:val="24"/>
                <w:szCs w:val="24"/>
                <w:highlight w:val="none"/>
                <w:lang w:val="en-US" w:eastAsia="zh-CN"/>
              </w:rPr>
              <w:t>1</w:t>
            </w:r>
            <w:r>
              <w:rPr>
                <w:rFonts w:hint="default" w:ascii="Times New Roman" w:hAnsi="Times New Roman" w:eastAsia="宋体" w:cs="Times New Roman"/>
                <w:b/>
                <w:bCs/>
                <w:color w:val="000000"/>
                <w:sz w:val="24"/>
                <w:szCs w:val="24"/>
                <w:highlight w:val="none"/>
                <w:lang w:val="en-US" w:eastAsia="zh-CN"/>
              </w:rPr>
              <w:t>、</w:t>
            </w:r>
            <w:bookmarkEnd w:id="7"/>
            <w:r>
              <w:rPr>
                <w:rFonts w:hint="eastAsia"/>
                <w:lang w:val="en-US" w:eastAsia="zh-CN"/>
              </w:rPr>
              <w:t>建设内容</w:t>
            </w:r>
          </w:p>
          <w:p w14:paraId="4536756B">
            <w:pPr>
              <w:keepNext w:val="0"/>
              <w:keepLines w:val="0"/>
              <w:suppressLineNumbers w:val="0"/>
              <w:bidi w:val="0"/>
              <w:spacing w:before="0" w:beforeAutospacing="0" w:after="0" w:afterAutospacing="0"/>
              <w:ind w:left="0" w:right="0"/>
              <w:jc w:val="both"/>
              <w:rPr>
                <w:rFonts w:hint="default" w:ascii="Times New Roman" w:hAnsi="Times New Roman" w:eastAsia="宋体" w:cs="Times New Roman"/>
                <w:color w:val="auto"/>
                <w:sz w:val="24"/>
                <w:szCs w:val="24"/>
              </w:rPr>
            </w:pPr>
            <w:r>
              <w:rPr>
                <w:rFonts w:hint="default" w:ascii="Times New Roman" w:hAnsi="Times New Roman" w:eastAsia="宋体" w:cs="Times New Roman"/>
                <w:snapToGrid w:val="0"/>
                <w:spacing w:val="0"/>
                <w:kern w:val="0"/>
                <w:sz w:val="24"/>
                <w:szCs w:val="24"/>
                <w:highlight w:val="none"/>
                <w:u w:val="none"/>
                <w:lang w:val="en-US" w:eastAsia="zh-CN"/>
              </w:rPr>
              <w:t>本</w:t>
            </w:r>
            <w:r>
              <w:rPr>
                <w:rFonts w:hint="default" w:ascii="Times New Roman" w:hAnsi="Times New Roman" w:eastAsia="宋体" w:cs="Times New Roman"/>
                <w:snapToGrid w:val="0"/>
                <w:spacing w:val="0"/>
                <w:kern w:val="0"/>
                <w:sz w:val="24"/>
                <w:szCs w:val="24"/>
                <w:highlight w:val="none"/>
                <w:u w:val="none"/>
                <w:lang w:eastAsia="zh-CN"/>
              </w:rPr>
              <w:t>项目</w:t>
            </w:r>
            <w:r>
              <w:rPr>
                <w:rFonts w:hint="default" w:ascii="Times New Roman" w:hAnsi="Times New Roman" w:eastAsia="宋体" w:cs="Times New Roman"/>
                <w:color w:val="000000"/>
                <w:kern w:val="0"/>
                <w:sz w:val="24"/>
                <w:szCs w:val="24"/>
                <w:highlight w:val="none"/>
                <w:lang w:val="en-US" w:eastAsia="zh-CN" w:bidi="ar"/>
              </w:rPr>
              <w:t>位于</w:t>
            </w:r>
            <w:r>
              <w:rPr>
                <w:rFonts w:hint="default" w:ascii="Times New Roman" w:hAnsi="Times New Roman" w:eastAsia="宋体" w:cs="Times New Roman"/>
                <w:snapToGrid w:val="0"/>
                <w:color w:val="000000"/>
                <w:spacing w:val="0"/>
                <w:kern w:val="0"/>
                <w:sz w:val="24"/>
                <w:szCs w:val="24"/>
                <w:lang w:val="en-US" w:eastAsia="zh-CN"/>
              </w:rPr>
              <w:t>新疆巴州库尔勒市铁克其乡迎宾路48号兴旺家园40栋19号</w:t>
            </w:r>
            <w:r>
              <w:rPr>
                <w:rFonts w:hint="default" w:ascii="Times New Roman" w:hAnsi="Times New Roman" w:eastAsia="宋体" w:cs="Times New Roman"/>
                <w:color w:val="auto"/>
                <w:sz w:val="24"/>
                <w:szCs w:val="24"/>
              </w:rPr>
              <w:t>。中心地理坐标为</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highlight w:val="none"/>
              </w:rPr>
              <w:t>东经8</w:t>
            </w:r>
            <w:r>
              <w:rPr>
                <w:rFonts w:hint="eastAsia"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rPr>
              <w:t>°</w:t>
            </w:r>
            <w:r>
              <w:rPr>
                <w:rFonts w:hint="eastAsia" w:cs="Times New Roman"/>
                <w:color w:val="auto"/>
                <w:sz w:val="24"/>
                <w:szCs w:val="24"/>
                <w:highlight w:val="none"/>
                <w:lang w:val="en-US" w:eastAsia="zh-CN"/>
              </w:rPr>
              <w:t>9</w:t>
            </w:r>
            <w:r>
              <w:rPr>
                <w:rFonts w:hint="default" w:ascii="Times New Roman" w:hAnsi="Times New Roman" w:eastAsia="宋体" w:cs="Times New Roman"/>
                <w:color w:val="auto"/>
                <w:sz w:val="24"/>
                <w:szCs w:val="24"/>
                <w:highlight w:val="none"/>
              </w:rPr>
              <w:t>′</w:t>
            </w:r>
            <w:r>
              <w:rPr>
                <w:rFonts w:hint="eastAsia" w:cs="Times New Roman"/>
                <w:color w:val="auto"/>
                <w:sz w:val="24"/>
                <w:szCs w:val="24"/>
                <w:highlight w:val="none"/>
                <w:lang w:val="en-US" w:eastAsia="zh-CN"/>
              </w:rPr>
              <w:t>58.460</w:t>
            </w:r>
            <w:r>
              <w:rPr>
                <w:rFonts w:hint="default" w:ascii="Times New Roman" w:hAnsi="Times New Roman" w:eastAsia="宋体" w:cs="Times New Roman"/>
                <w:color w:val="auto"/>
                <w:sz w:val="24"/>
                <w:szCs w:val="24"/>
                <w:highlight w:val="none"/>
              </w:rPr>
              <w:t>″，北纬4</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4</w:t>
            </w:r>
            <w:r>
              <w:rPr>
                <w:rFonts w:hint="eastAsia"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w:t>
            </w:r>
            <w:r>
              <w:rPr>
                <w:rFonts w:hint="eastAsia" w:cs="Times New Roman"/>
                <w:color w:val="auto"/>
                <w:sz w:val="24"/>
                <w:szCs w:val="24"/>
                <w:highlight w:val="none"/>
                <w:lang w:val="en-US" w:eastAsia="zh-CN"/>
              </w:rPr>
              <w:t>25.178</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bCs/>
                <w:color w:val="auto"/>
                <w:highlight w:val="none"/>
                <w:lang w:val="en-US" w:eastAsia="zh-CN"/>
              </w:rPr>
              <w:t>项目区</w:t>
            </w:r>
            <w:r>
              <w:rPr>
                <w:rFonts w:hint="eastAsia" w:cs="Times New Roman"/>
                <w:bCs/>
                <w:color w:val="auto"/>
                <w:highlight w:val="none"/>
                <w:lang w:val="en-US" w:eastAsia="zh-CN"/>
              </w:rPr>
              <w:t>东</w:t>
            </w:r>
            <w:r>
              <w:rPr>
                <w:rFonts w:hint="default" w:ascii="Times New Roman" w:hAnsi="Times New Roman" w:eastAsia="宋体" w:cs="Times New Roman"/>
                <w:bCs/>
                <w:color w:val="auto"/>
                <w:highlight w:val="none"/>
                <w:lang w:val="en-US" w:eastAsia="zh-CN"/>
              </w:rPr>
              <w:t>侧为</w:t>
            </w:r>
            <w:r>
              <w:rPr>
                <w:rFonts w:hint="eastAsia" w:cs="Times New Roman"/>
                <w:bCs/>
                <w:color w:val="auto"/>
                <w:highlight w:val="none"/>
                <w:lang w:val="en-US" w:eastAsia="zh-CN"/>
              </w:rPr>
              <w:t>迎宾路</w:t>
            </w:r>
            <w:r>
              <w:rPr>
                <w:rFonts w:hint="default" w:ascii="Times New Roman" w:hAnsi="Times New Roman" w:eastAsia="宋体" w:cs="Times New Roman"/>
                <w:bCs/>
                <w:color w:val="auto"/>
                <w:highlight w:val="none"/>
                <w:lang w:val="en-US" w:eastAsia="zh-CN"/>
              </w:rPr>
              <w:t>；</w:t>
            </w:r>
            <w:r>
              <w:rPr>
                <w:rFonts w:hint="eastAsia" w:cs="Times New Roman"/>
                <w:bCs/>
                <w:color w:val="auto"/>
                <w:highlight w:val="none"/>
                <w:lang w:val="en-US" w:eastAsia="zh-CN"/>
              </w:rPr>
              <w:t>南</w:t>
            </w:r>
            <w:r>
              <w:rPr>
                <w:rFonts w:hint="default" w:ascii="Times New Roman" w:hAnsi="Times New Roman" w:eastAsia="宋体" w:cs="Times New Roman"/>
                <w:bCs/>
                <w:color w:val="auto"/>
                <w:highlight w:val="none"/>
                <w:lang w:val="en-US" w:eastAsia="zh-CN"/>
              </w:rPr>
              <w:t>侧为</w:t>
            </w:r>
            <w:r>
              <w:rPr>
                <w:rFonts w:hint="eastAsia" w:cs="Times New Roman"/>
                <w:bCs/>
                <w:color w:val="auto"/>
                <w:highlight w:val="none"/>
                <w:lang w:val="en-US" w:eastAsia="zh-CN"/>
              </w:rPr>
              <w:t>外滩一号音乐餐吧</w:t>
            </w:r>
            <w:r>
              <w:rPr>
                <w:rFonts w:hint="default" w:ascii="Times New Roman" w:hAnsi="Times New Roman" w:eastAsia="宋体" w:cs="Times New Roman"/>
                <w:bCs/>
                <w:color w:val="auto"/>
                <w:highlight w:val="none"/>
                <w:lang w:val="en-US" w:eastAsia="zh-CN"/>
              </w:rPr>
              <w:t>；北侧为</w:t>
            </w:r>
            <w:r>
              <w:rPr>
                <w:rFonts w:hint="eastAsia" w:cs="Times New Roman"/>
                <w:bCs/>
                <w:color w:val="auto"/>
                <w:highlight w:val="none"/>
                <w:lang w:val="en-US" w:eastAsia="zh-CN"/>
              </w:rPr>
              <w:t>佰领建筑装饰</w:t>
            </w:r>
            <w:r>
              <w:rPr>
                <w:rFonts w:hint="default" w:ascii="Times New Roman" w:hAnsi="Times New Roman" w:eastAsia="宋体" w:cs="Times New Roman"/>
                <w:bCs/>
                <w:color w:val="auto"/>
                <w:highlight w:val="none"/>
                <w:lang w:val="en-US" w:eastAsia="zh-CN"/>
              </w:rPr>
              <w:t>；西侧为</w:t>
            </w:r>
            <w:r>
              <w:rPr>
                <w:rFonts w:hint="default" w:ascii="Times New Roman" w:hAnsi="Times New Roman" w:eastAsia="宋体" w:cs="Times New Roman"/>
                <w:snapToGrid w:val="0"/>
                <w:color w:val="000000"/>
                <w:spacing w:val="0"/>
                <w:kern w:val="0"/>
                <w:sz w:val="24"/>
                <w:szCs w:val="24"/>
                <w:highlight w:val="none"/>
                <w:lang w:val="en-US" w:eastAsia="zh-CN"/>
              </w:rPr>
              <w:t>兴旺家园</w:t>
            </w:r>
            <w:r>
              <w:rPr>
                <w:rFonts w:hint="eastAsia" w:ascii="Times New Roman" w:hAnsi="Times New Roman" w:eastAsia="宋体" w:cs="Times New Roman"/>
                <w:snapToGrid w:val="0"/>
                <w:color w:val="000000"/>
                <w:spacing w:val="0"/>
                <w:kern w:val="0"/>
                <w:sz w:val="24"/>
                <w:szCs w:val="24"/>
                <w:highlight w:val="none"/>
                <w:lang w:val="en-US" w:eastAsia="zh-CN"/>
              </w:rPr>
              <w:t>小区</w:t>
            </w:r>
            <w:r>
              <w:rPr>
                <w:rFonts w:hint="eastAsia" w:cs="Times New Roman"/>
                <w:snapToGrid w:val="0"/>
                <w:color w:val="000000"/>
                <w:spacing w:val="0"/>
                <w:kern w:val="0"/>
                <w:sz w:val="24"/>
                <w:szCs w:val="24"/>
                <w:highlight w:val="none"/>
                <w:lang w:val="en-US" w:eastAsia="zh-CN"/>
              </w:rPr>
              <w:t>住宅区</w:t>
            </w:r>
            <w:r>
              <w:rPr>
                <w:rFonts w:hint="default" w:ascii="Times New Roman" w:hAnsi="Times New Roman" w:eastAsia="宋体" w:cs="Times New Roman"/>
                <w:bCs/>
                <w:color w:val="auto"/>
                <w:highlight w:val="none"/>
                <w:lang w:val="en-US" w:eastAsia="zh-CN"/>
              </w:rPr>
              <w:t>。项目建设地点及周边关系详见附图1，附图</w:t>
            </w:r>
            <w:r>
              <w:rPr>
                <w:rFonts w:hint="eastAsia" w:cs="Times New Roman"/>
                <w:bCs/>
                <w:color w:val="auto"/>
                <w:highlight w:val="none"/>
                <w:lang w:val="en-US" w:eastAsia="zh-CN"/>
              </w:rPr>
              <w:t>2</w:t>
            </w:r>
            <w:r>
              <w:rPr>
                <w:rFonts w:hint="default" w:ascii="Times New Roman" w:hAnsi="Times New Roman" w:eastAsia="宋体" w:cs="Times New Roman"/>
                <w:bCs/>
                <w:color w:val="auto"/>
                <w:highlight w:val="none"/>
                <w:lang w:val="en-US" w:eastAsia="zh-CN"/>
              </w:rPr>
              <w:t>。</w:t>
            </w:r>
          </w:p>
          <w:p w14:paraId="2CA3B043">
            <w:pPr>
              <w:pStyle w:val="10"/>
              <w:keepNext w:val="0"/>
              <w:keepLines w:val="0"/>
              <w:suppressLineNumbers w:val="0"/>
              <w:spacing w:before="0" w:beforeAutospacing="0" w:after="0" w:afterAutospacing="0"/>
              <w:ind w:left="0" w:right="0"/>
              <w:jc w:val="both"/>
              <w:rPr>
                <w:rFonts w:hint="eastAsia"/>
                <w:lang w:val="en-US" w:eastAsia="zh-CN"/>
              </w:rPr>
            </w:pPr>
            <w:r>
              <w:rPr>
                <w:rFonts w:hint="eastAsia"/>
                <w:lang w:val="en-US" w:eastAsia="zh-CN"/>
              </w:rPr>
              <w:t>本项目租赁</w:t>
            </w:r>
            <w:r>
              <w:rPr>
                <w:rFonts w:hint="default" w:ascii="Times New Roman" w:hAnsi="Times New Roman" w:eastAsia="宋体" w:cs="Times New Roman"/>
                <w:snapToGrid w:val="0"/>
                <w:color w:val="000000"/>
                <w:spacing w:val="0"/>
                <w:kern w:val="0"/>
                <w:sz w:val="24"/>
                <w:szCs w:val="24"/>
                <w:lang w:val="en-US" w:eastAsia="zh-CN"/>
              </w:rPr>
              <w:t>新疆巴州库尔勒市铁克其乡迎宾路48号兴旺家园40栋19号</w:t>
            </w:r>
            <w:r>
              <w:rPr>
                <w:rFonts w:hint="eastAsia" w:ascii="Times New Roman" w:hAnsi="Times New Roman" w:eastAsia="宋体" w:cs="Times New Roman"/>
                <w:snapToGrid w:val="0"/>
                <w:color w:val="000000"/>
                <w:spacing w:val="0"/>
                <w:kern w:val="0"/>
                <w:sz w:val="24"/>
                <w:szCs w:val="24"/>
                <w:lang w:val="en-US" w:eastAsia="zh-CN"/>
              </w:rPr>
              <w:t>商铺</w:t>
            </w:r>
            <w:r>
              <w:rPr>
                <w:rFonts w:hint="eastAsia" w:cs="Times New Roman"/>
                <w:snapToGrid w:val="0"/>
                <w:color w:val="000000"/>
                <w:spacing w:val="0"/>
                <w:kern w:val="0"/>
                <w:sz w:val="24"/>
                <w:szCs w:val="24"/>
                <w:lang w:val="en-US" w:eastAsia="zh-CN"/>
              </w:rPr>
              <w:t>负</w:t>
            </w:r>
            <w:r>
              <w:rPr>
                <w:rFonts w:hint="default" w:ascii="Times New Roman" w:hAnsi="Times New Roman" w:eastAsia="宋体" w:cs="Times New Roman"/>
                <w:snapToGrid w:val="0"/>
                <w:color w:val="000000"/>
                <w:spacing w:val="0"/>
                <w:kern w:val="0"/>
                <w:sz w:val="24"/>
                <w:szCs w:val="24"/>
                <w:lang w:val="en-US" w:eastAsia="zh-CN"/>
              </w:rPr>
              <w:t>1</w:t>
            </w:r>
            <w:r>
              <w:rPr>
                <w:rFonts w:hint="eastAsia" w:cs="Times New Roman"/>
                <w:snapToGrid w:val="0"/>
                <w:color w:val="000000"/>
                <w:spacing w:val="0"/>
                <w:kern w:val="0"/>
                <w:sz w:val="24"/>
                <w:szCs w:val="24"/>
                <w:lang w:val="en-US" w:eastAsia="zh-CN"/>
              </w:rPr>
              <w:t>层、1层及</w:t>
            </w:r>
            <w:r>
              <w:rPr>
                <w:rFonts w:hint="default" w:ascii="Times New Roman" w:hAnsi="Times New Roman" w:eastAsia="宋体" w:cs="Times New Roman"/>
                <w:snapToGrid w:val="0"/>
                <w:color w:val="000000"/>
                <w:spacing w:val="0"/>
                <w:kern w:val="0"/>
                <w:sz w:val="24"/>
                <w:szCs w:val="24"/>
                <w:lang w:val="en-US" w:eastAsia="zh-CN"/>
              </w:rPr>
              <w:t>2层</w:t>
            </w:r>
            <w:r>
              <w:rPr>
                <w:rFonts w:hint="eastAsia"/>
                <w:lang w:val="en-US" w:eastAsia="zh-CN"/>
              </w:rPr>
              <w:t>，每层建筑面积相同为58.513m</w:t>
            </w:r>
            <w:r>
              <w:rPr>
                <w:rFonts w:hint="eastAsia"/>
                <w:vertAlign w:val="superscript"/>
                <w:lang w:val="en-US" w:eastAsia="zh-CN"/>
              </w:rPr>
              <w:t>3</w:t>
            </w:r>
            <w:r>
              <w:rPr>
                <w:rFonts w:hint="eastAsia"/>
                <w:lang w:val="en-US" w:eastAsia="zh-CN"/>
              </w:rPr>
              <w:t>，总建筑面积为</w:t>
            </w:r>
            <w:r>
              <w:rPr>
                <w:rFonts w:hint="eastAsia"/>
                <w:highlight w:val="none"/>
                <w:lang w:val="en-US" w:eastAsia="zh-CN"/>
              </w:rPr>
              <w:t>175.54</w:t>
            </w:r>
            <w:r>
              <w:rPr>
                <w:rFonts w:hint="eastAsia"/>
                <w:lang w:val="en-US" w:eastAsia="zh-CN"/>
              </w:rPr>
              <w:t>m</w:t>
            </w:r>
            <w:r>
              <w:rPr>
                <w:rFonts w:hint="eastAsia"/>
                <w:vertAlign w:val="superscript"/>
                <w:lang w:val="en-US" w:eastAsia="zh-CN"/>
              </w:rPr>
              <w:t>2</w:t>
            </w:r>
            <w:r>
              <w:rPr>
                <w:rFonts w:hint="eastAsia"/>
                <w:lang w:val="en-US" w:eastAsia="zh-CN"/>
              </w:rPr>
              <w:t>，主要从事动物疫苗接种（含犬证办理服务）、诊疗（含颅腔手术、胸腔手术、腹腔手术、绝育手术等）、寄养及美容服务，</w:t>
            </w:r>
            <w:r>
              <w:rPr>
                <w:rFonts w:hint="default" w:ascii="Times New Roman" w:hAnsi="Times New Roman" w:eastAsia="宋体" w:cs="Times New Roman"/>
                <w:color w:val="auto"/>
                <w:highlight w:val="none"/>
                <w:lang w:val="en-US" w:eastAsia="zh-CN"/>
              </w:rPr>
              <w:t>项目</w:t>
            </w:r>
            <w:r>
              <w:rPr>
                <w:rFonts w:hint="eastAsia"/>
                <w:lang w:val="en-US" w:eastAsia="zh-CN"/>
              </w:rPr>
              <w:t>年接待宠物5600例，其中疾病疫苗接种4000例/年、宠物美容700例/年、宠物寄养服务200例/年、宠物诊疗700例/年，其中包含手术（含颅腔、胸腔、腹腔手术）200例/年、门诊（门诊、注射、医疗样本化验）500例/年。</w:t>
            </w:r>
          </w:p>
          <w:p w14:paraId="6F691CA2">
            <w:pPr>
              <w:pStyle w:val="10"/>
              <w:keepNext w:val="0"/>
              <w:keepLines w:val="0"/>
              <w:suppressLineNumbers w:val="0"/>
              <w:spacing w:before="0" w:beforeAutospacing="0" w:after="0" w:afterAutospacing="0"/>
              <w:ind w:left="0" w:right="0"/>
              <w:jc w:val="both"/>
              <w:rPr>
                <w:rFonts w:hint="default"/>
                <w:lang w:val="en-US" w:eastAsia="zh-CN"/>
              </w:rPr>
            </w:pPr>
            <w:r>
              <w:rPr>
                <w:rFonts w:hint="default"/>
                <w:lang w:val="en-US" w:eastAsia="zh-CN"/>
              </w:rPr>
              <w:t>本项目DR室配备一台</w:t>
            </w:r>
            <w:r>
              <w:rPr>
                <w:rFonts w:hint="eastAsia"/>
                <w:lang w:val="en-US" w:eastAsia="zh-CN"/>
              </w:rPr>
              <w:t>X射线装置</w:t>
            </w:r>
            <w:r>
              <w:rPr>
                <w:rFonts w:hint="default"/>
                <w:lang w:val="en-US" w:eastAsia="zh-CN"/>
              </w:rPr>
              <w:t>，属于Ш类射线装置，根据《放射性同位素与射线装置安全许可管理办法》</w:t>
            </w:r>
            <w:r>
              <w:rPr>
                <w:rFonts w:hint="eastAsia"/>
                <w:lang w:val="en-US" w:eastAsia="zh-CN"/>
              </w:rPr>
              <w:t>（</w:t>
            </w:r>
            <w:r>
              <w:rPr>
                <w:rFonts w:hint="default"/>
                <w:lang w:val="en-US" w:eastAsia="zh-CN"/>
              </w:rPr>
              <w:t>环保总局令第31号</w:t>
            </w:r>
            <w:r>
              <w:rPr>
                <w:rFonts w:hint="eastAsia"/>
                <w:lang w:val="en-US" w:eastAsia="zh-CN"/>
              </w:rPr>
              <w:t>）</w:t>
            </w:r>
            <w:r>
              <w:rPr>
                <w:rFonts w:hint="default"/>
                <w:lang w:val="en-US" w:eastAsia="zh-CN"/>
              </w:rPr>
              <w:t>，该设备已按要求填报建设项目环境影响登记表</w:t>
            </w:r>
            <w:r>
              <w:rPr>
                <w:rFonts w:hint="eastAsia"/>
                <w:lang w:val="en-US" w:eastAsia="zh-CN"/>
              </w:rPr>
              <w:t>（</w:t>
            </w:r>
            <w:r>
              <w:rPr>
                <w:rFonts w:hint="default"/>
                <w:lang w:val="en-US" w:eastAsia="zh-CN"/>
              </w:rPr>
              <w:t>备案号</w:t>
            </w:r>
            <w:r>
              <w:rPr>
                <w:rFonts w:hint="eastAsia"/>
                <w:lang w:val="en-US" w:eastAsia="zh-CN"/>
              </w:rPr>
              <w:t>：</w:t>
            </w:r>
            <w:r>
              <w:rPr>
                <w:rFonts w:hint="default"/>
                <w:lang w:val="en-US" w:eastAsia="zh-CN"/>
              </w:rPr>
              <w:t>202</w:t>
            </w:r>
            <w:r>
              <w:rPr>
                <w:rFonts w:hint="eastAsia"/>
                <w:lang w:val="en-US" w:eastAsia="zh-CN"/>
              </w:rPr>
              <w:t>565280100000051）</w:t>
            </w:r>
            <w:r>
              <w:rPr>
                <w:rFonts w:hint="default"/>
                <w:lang w:val="en-US" w:eastAsia="zh-CN"/>
              </w:rPr>
              <w:t>，本次评价不包含辐射内容。</w:t>
            </w:r>
          </w:p>
          <w:p w14:paraId="5CEDAD30">
            <w:pPr>
              <w:pStyle w:val="10"/>
              <w:keepNext w:val="0"/>
              <w:keepLines w:val="0"/>
              <w:suppressLineNumbers w:val="0"/>
              <w:spacing w:before="0" w:beforeAutospacing="0" w:after="0" w:afterAutospacing="0"/>
              <w:ind w:left="0" w:right="0"/>
              <w:rPr>
                <w:rFonts w:hint="eastAsia" w:ascii="Times New Roman" w:hAnsi="Times New Roman" w:eastAsia="宋体" w:cs="Times New Roman"/>
                <w:bCs/>
                <w:color w:val="auto"/>
                <w:highlight w:val="none"/>
                <w:lang w:val="en-US" w:eastAsia="zh-CN"/>
              </w:rPr>
            </w:pPr>
            <w:r>
              <w:rPr>
                <w:rFonts w:hint="default" w:ascii="Times New Roman" w:hAnsi="Times New Roman" w:eastAsia="宋体" w:cs="Times New Roman"/>
                <w:bCs/>
                <w:color w:val="auto"/>
                <w:highlight w:val="none"/>
                <w:lang w:val="en-US" w:eastAsia="zh-CN"/>
              </w:rPr>
              <w:t>本项目主要建设内容见下表2-1</w:t>
            </w:r>
            <w:r>
              <w:rPr>
                <w:rFonts w:hint="eastAsia"/>
                <w:lang w:eastAsia="zh-CN"/>
              </w:rPr>
              <w:t>。</w:t>
            </w:r>
          </w:p>
          <w:p w14:paraId="21D7B996">
            <w:pPr>
              <w:pStyle w:val="7"/>
              <w:suppressLineNumbers w:val="0"/>
              <w:bidi w:val="0"/>
              <w:spacing w:before="0" w:beforeAutospacing="0" w:after="0" w:afterAutospacing="0"/>
              <w:ind w:left="0" w:right="0"/>
              <w:rPr>
                <w:rFonts w:hint="default"/>
                <w:color w:val="000000"/>
                <w:highlight w:val="none"/>
              </w:rPr>
            </w:pPr>
            <w:r>
              <w:rPr>
                <w:rFonts w:hint="default"/>
                <w:color w:val="000000"/>
                <w:highlight w:val="none"/>
              </w:rPr>
              <w:t>表</w:t>
            </w:r>
            <w:r>
              <w:rPr>
                <w:rFonts w:hint="eastAsia"/>
                <w:color w:val="000000"/>
                <w:highlight w:val="none"/>
                <w:lang w:val="en-US" w:eastAsia="zh-CN"/>
              </w:rPr>
              <w:t xml:space="preserve">2-1                     </w:t>
            </w:r>
            <w:r>
              <w:rPr>
                <w:rFonts w:hint="default"/>
                <w:color w:val="000000"/>
                <w:highlight w:val="none"/>
              </w:rPr>
              <w:t>主要工程建设内容</w:t>
            </w:r>
          </w:p>
          <w:tbl>
            <w:tblPr>
              <w:tblStyle w:val="31"/>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267"/>
              <w:gridCol w:w="497"/>
              <w:gridCol w:w="500"/>
              <w:gridCol w:w="4300"/>
              <w:gridCol w:w="1228"/>
            </w:tblGrid>
            <w:tr w14:paraId="02277D7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1" w:type="pct"/>
                  <w:tcBorders>
                    <w:tl2br w:val="nil"/>
                    <w:tr2bl w:val="nil"/>
                  </w:tcBorders>
                  <w:noWrap w:val="0"/>
                  <w:vAlign w:val="center"/>
                </w:tcPr>
                <w:p w14:paraId="5F411DC3">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center"/>
                    <w:textAlignment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序号</w:t>
                  </w:r>
                </w:p>
              </w:tc>
              <w:tc>
                <w:tcPr>
                  <w:tcW w:w="774" w:type="pct"/>
                  <w:tcBorders>
                    <w:tl2br w:val="nil"/>
                    <w:tr2bl w:val="nil"/>
                  </w:tcBorders>
                  <w:noWrap w:val="0"/>
                  <w:vAlign w:val="center"/>
                </w:tcPr>
                <w:p w14:paraId="78A5C008">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center"/>
                    <w:textAlignment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工程名称</w:t>
                  </w:r>
                </w:p>
              </w:tc>
              <w:tc>
                <w:tcPr>
                  <w:tcW w:w="3233" w:type="pct"/>
                  <w:gridSpan w:val="3"/>
                  <w:tcBorders>
                    <w:tl2br w:val="nil"/>
                    <w:tr2bl w:val="nil"/>
                  </w:tcBorders>
                  <w:noWrap w:val="0"/>
                  <w:vAlign w:val="center"/>
                </w:tcPr>
                <w:p w14:paraId="5E27A528">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center"/>
                    <w:textAlignment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内  容</w:t>
                  </w:r>
                </w:p>
              </w:tc>
              <w:tc>
                <w:tcPr>
                  <w:tcW w:w="750" w:type="pct"/>
                  <w:tcBorders>
                    <w:tl2br w:val="nil"/>
                    <w:tr2bl w:val="nil"/>
                  </w:tcBorders>
                  <w:noWrap w:val="0"/>
                  <w:vAlign w:val="center"/>
                </w:tcPr>
                <w:p w14:paraId="70DAC12D">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备注</w:t>
                  </w:r>
                </w:p>
              </w:tc>
            </w:tr>
            <w:tr w14:paraId="449E6F6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1" w:type="pct"/>
                  <w:vMerge w:val="restart"/>
                  <w:tcBorders>
                    <w:tl2br w:val="nil"/>
                    <w:tr2bl w:val="nil"/>
                  </w:tcBorders>
                  <w:noWrap w:val="0"/>
                  <w:vAlign w:val="center"/>
                </w:tcPr>
                <w:p w14:paraId="4B69EB59">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1</w:t>
                  </w:r>
                </w:p>
              </w:tc>
              <w:tc>
                <w:tcPr>
                  <w:tcW w:w="774" w:type="pct"/>
                  <w:vMerge w:val="restart"/>
                  <w:tcBorders>
                    <w:tl2br w:val="nil"/>
                    <w:tr2bl w:val="nil"/>
                  </w:tcBorders>
                  <w:noWrap w:val="0"/>
                  <w:vAlign w:val="center"/>
                </w:tcPr>
                <w:p w14:paraId="337817B0">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center"/>
                    <w:textAlignment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主体工程</w:t>
                  </w:r>
                </w:p>
              </w:tc>
              <w:tc>
                <w:tcPr>
                  <w:tcW w:w="614" w:type="pct"/>
                  <w:gridSpan w:val="2"/>
                  <w:tcBorders>
                    <w:tl2br w:val="nil"/>
                    <w:tr2bl w:val="nil"/>
                  </w:tcBorders>
                  <w:noWrap w:val="0"/>
                  <w:vAlign w:val="center"/>
                </w:tcPr>
                <w:p w14:paraId="3D42AC68">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center"/>
                    <w:textAlignment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负一楼</w:t>
                  </w:r>
                </w:p>
              </w:tc>
              <w:tc>
                <w:tcPr>
                  <w:tcW w:w="2618" w:type="pct"/>
                  <w:tcBorders>
                    <w:tl2br w:val="nil"/>
                    <w:tr2bl w:val="nil"/>
                  </w:tcBorders>
                  <w:noWrap w:val="0"/>
                  <w:vAlign w:val="center"/>
                </w:tcPr>
                <w:p w14:paraId="7337370F">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center"/>
                    <w:textAlignment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eastAsia="zh-CN"/>
                    </w:rPr>
                    <w:t>建筑面积</w:t>
                  </w:r>
                  <w:r>
                    <w:rPr>
                      <w:rFonts w:hint="eastAsia" w:cs="Times New Roman"/>
                      <w:color w:val="000000"/>
                      <w:sz w:val="21"/>
                      <w:szCs w:val="21"/>
                      <w:highlight w:val="none"/>
                      <w:lang w:val="en-US" w:eastAsia="zh-CN"/>
                    </w:rPr>
                    <w:t>58.513</w:t>
                  </w:r>
                  <w:r>
                    <w:rPr>
                      <w:rFonts w:hint="default" w:ascii="Times New Roman" w:hAnsi="Times New Roman" w:eastAsia="宋体" w:cs="Times New Roman"/>
                      <w:color w:val="000000"/>
                      <w:sz w:val="21"/>
                      <w:szCs w:val="21"/>
                      <w:highlight w:val="none"/>
                      <w:lang w:val="en-US" w:eastAsia="zh-CN"/>
                    </w:rPr>
                    <w:t>m</w:t>
                  </w:r>
                  <w:r>
                    <w:rPr>
                      <w:rFonts w:hint="eastAsia" w:ascii="Times New Roman" w:hAnsi="Times New Roman" w:eastAsia="宋体" w:cs="Times New Roman"/>
                      <w:color w:val="000000"/>
                      <w:sz w:val="21"/>
                      <w:szCs w:val="21"/>
                      <w:highlight w:val="none"/>
                      <w:vertAlign w:val="superscript"/>
                      <w:lang w:val="en-US" w:eastAsia="zh-CN"/>
                    </w:rPr>
                    <w:t>2</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设有DR室、</w:t>
                  </w:r>
                  <w:r>
                    <w:rPr>
                      <w:rFonts w:hint="eastAsia" w:ascii="Times New Roman" w:hAnsi="Times New Roman" w:eastAsia="宋体" w:cs="Times New Roman"/>
                      <w:color w:val="auto"/>
                      <w:sz w:val="21"/>
                      <w:szCs w:val="21"/>
                      <w:highlight w:val="none"/>
                      <w:lang w:val="en-US" w:eastAsia="zh-CN"/>
                    </w:rPr>
                    <w:t>手术室</w:t>
                  </w:r>
                  <w:r>
                    <w:rPr>
                      <w:rFonts w:hint="eastAsia" w:cs="Times New Roman"/>
                      <w:color w:val="auto"/>
                      <w:sz w:val="21"/>
                      <w:szCs w:val="21"/>
                      <w:highlight w:val="none"/>
                      <w:lang w:val="en-US" w:eastAsia="zh-CN"/>
                    </w:rPr>
                    <w:t>、库房</w:t>
                  </w:r>
                  <w:bookmarkStart w:id="52" w:name="_GoBack"/>
                  <w:bookmarkEnd w:id="52"/>
                </w:p>
              </w:tc>
              <w:tc>
                <w:tcPr>
                  <w:tcW w:w="750" w:type="pct"/>
                  <w:tcBorders>
                    <w:tl2br w:val="nil"/>
                    <w:tr2bl w:val="nil"/>
                  </w:tcBorders>
                  <w:noWrap w:val="0"/>
                  <w:vAlign w:val="center"/>
                </w:tcPr>
                <w:p w14:paraId="5A6464D5">
                  <w:pPr>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已建</w:t>
                  </w:r>
                </w:p>
              </w:tc>
            </w:tr>
            <w:tr w14:paraId="3314B4B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1" w:type="pct"/>
                  <w:vMerge w:val="continue"/>
                  <w:tcBorders>
                    <w:tl2br w:val="nil"/>
                    <w:tr2bl w:val="nil"/>
                  </w:tcBorders>
                  <w:noWrap w:val="0"/>
                  <w:vAlign w:val="center"/>
                </w:tcPr>
                <w:p w14:paraId="77A41915">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center"/>
                    <w:textAlignment w:val="center"/>
                    <w:rPr>
                      <w:rFonts w:hint="default" w:ascii="Times New Roman" w:hAnsi="Times New Roman" w:eastAsia="宋体" w:cs="Times New Roman"/>
                      <w:color w:val="000000"/>
                      <w:sz w:val="21"/>
                      <w:szCs w:val="21"/>
                      <w:lang w:val="en-US" w:eastAsia="zh-CN"/>
                    </w:rPr>
                  </w:pPr>
                </w:p>
              </w:tc>
              <w:tc>
                <w:tcPr>
                  <w:tcW w:w="774" w:type="pct"/>
                  <w:vMerge w:val="continue"/>
                  <w:tcBorders>
                    <w:tl2br w:val="nil"/>
                    <w:tr2bl w:val="nil"/>
                  </w:tcBorders>
                  <w:noWrap w:val="0"/>
                  <w:vAlign w:val="center"/>
                </w:tcPr>
                <w:p w14:paraId="3171776A">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center"/>
                    <w:textAlignment w:val="center"/>
                    <w:rPr>
                      <w:rFonts w:hint="default" w:ascii="Times New Roman" w:hAnsi="Times New Roman" w:eastAsia="宋体" w:cs="Times New Roman"/>
                      <w:color w:val="000000"/>
                      <w:sz w:val="21"/>
                      <w:szCs w:val="21"/>
                      <w:lang w:eastAsia="zh-CN"/>
                    </w:rPr>
                  </w:pPr>
                </w:p>
              </w:tc>
              <w:tc>
                <w:tcPr>
                  <w:tcW w:w="614" w:type="pct"/>
                  <w:gridSpan w:val="2"/>
                  <w:tcBorders>
                    <w:tl2br w:val="nil"/>
                    <w:tr2bl w:val="nil"/>
                  </w:tcBorders>
                  <w:noWrap w:val="0"/>
                  <w:vAlign w:val="center"/>
                </w:tcPr>
                <w:p w14:paraId="04C55155">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center"/>
                    <w:textAlignment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一楼</w:t>
                  </w:r>
                </w:p>
              </w:tc>
              <w:tc>
                <w:tcPr>
                  <w:tcW w:w="2618" w:type="pct"/>
                  <w:tcBorders>
                    <w:tl2br w:val="nil"/>
                    <w:tr2bl w:val="nil"/>
                  </w:tcBorders>
                  <w:noWrap w:val="0"/>
                  <w:vAlign w:val="center"/>
                </w:tcPr>
                <w:p w14:paraId="05BA2A86">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center"/>
                    <w:textAlignment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eastAsia="zh-CN"/>
                    </w:rPr>
                    <w:t>建筑面积</w:t>
                  </w:r>
                  <w:r>
                    <w:rPr>
                      <w:rFonts w:hint="eastAsia" w:cs="Times New Roman"/>
                      <w:color w:val="000000"/>
                      <w:sz w:val="21"/>
                      <w:szCs w:val="21"/>
                      <w:highlight w:val="none"/>
                      <w:lang w:val="en-US" w:eastAsia="zh-CN"/>
                    </w:rPr>
                    <w:t>58.513</w:t>
                  </w:r>
                  <w:r>
                    <w:rPr>
                      <w:rFonts w:hint="default" w:ascii="Times New Roman" w:hAnsi="Times New Roman" w:eastAsia="宋体" w:cs="Times New Roman"/>
                      <w:color w:val="000000"/>
                      <w:sz w:val="21"/>
                      <w:szCs w:val="21"/>
                      <w:highlight w:val="none"/>
                      <w:lang w:val="en-US" w:eastAsia="zh-CN"/>
                    </w:rPr>
                    <w:t>m</w:t>
                  </w:r>
                  <w:r>
                    <w:rPr>
                      <w:rFonts w:hint="default" w:ascii="Times New Roman" w:hAnsi="Times New Roman" w:eastAsia="宋体" w:cs="Times New Roman"/>
                      <w:color w:val="000000"/>
                      <w:sz w:val="21"/>
                      <w:szCs w:val="21"/>
                      <w:highlight w:val="none"/>
                      <w:vertAlign w:val="superscript"/>
                      <w:lang w:val="en-US" w:eastAsia="zh-CN"/>
                    </w:rPr>
                    <w:t>2</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设有前台、</w:t>
                  </w:r>
                  <w:r>
                    <w:rPr>
                      <w:rFonts w:hint="eastAsia" w:cs="Times New Roman"/>
                      <w:color w:val="auto"/>
                      <w:sz w:val="21"/>
                      <w:szCs w:val="21"/>
                      <w:highlight w:val="none"/>
                      <w:lang w:val="en-US" w:eastAsia="zh-CN"/>
                    </w:rPr>
                    <w:t>1#诊疗室</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货架、</w:t>
                  </w:r>
                  <w:r>
                    <w:rPr>
                      <w:rFonts w:hint="eastAsia" w:cs="Times New Roman"/>
                      <w:color w:val="auto"/>
                      <w:sz w:val="21"/>
                      <w:szCs w:val="21"/>
                      <w:highlight w:val="none"/>
                      <w:lang w:val="en-US" w:eastAsia="zh-CN"/>
                    </w:rPr>
                    <w:t>2#诊疗室</w:t>
                  </w:r>
                  <w:r>
                    <w:rPr>
                      <w:rFonts w:hint="default" w:ascii="Times New Roman" w:hAnsi="Times New Roman" w:eastAsia="宋体" w:cs="Times New Roman"/>
                      <w:color w:val="auto"/>
                      <w:sz w:val="21"/>
                      <w:szCs w:val="21"/>
                      <w:highlight w:val="none"/>
                      <w:lang w:val="en-US" w:eastAsia="zh-CN"/>
                    </w:rPr>
                    <w:t>、卫生间、</w:t>
                  </w:r>
                  <w:r>
                    <w:rPr>
                      <w:rFonts w:hint="eastAsia" w:cs="Times New Roman"/>
                      <w:color w:val="auto"/>
                      <w:sz w:val="21"/>
                      <w:szCs w:val="21"/>
                      <w:highlight w:val="none"/>
                      <w:lang w:val="en-US" w:eastAsia="zh-CN"/>
                    </w:rPr>
                    <w:t>化验室</w:t>
                  </w:r>
                </w:p>
              </w:tc>
              <w:tc>
                <w:tcPr>
                  <w:tcW w:w="750" w:type="pct"/>
                  <w:tcBorders>
                    <w:tl2br w:val="nil"/>
                    <w:tr2bl w:val="nil"/>
                  </w:tcBorders>
                  <w:noWrap w:val="0"/>
                  <w:vAlign w:val="center"/>
                </w:tcPr>
                <w:p w14:paraId="7FD2FC89">
                  <w:pPr>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已建</w:t>
                  </w:r>
                </w:p>
              </w:tc>
            </w:tr>
            <w:tr w14:paraId="129D9C1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1" w:type="pct"/>
                  <w:vMerge w:val="continue"/>
                  <w:tcBorders>
                    <w:tl2br w:val="nil"/>
                    <w:tr2bl w:val="nil"/>
                  </w:tcBorders>
                  <w:noWrap w:val="0"/>
                  <w:vAlign w:val="center"/>
                </w:tcPr>
                <w:p w14:paraId="633032D5">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center"/>
                    <w:textAlignment w:val="center"/>
                    <w:rPr>
                      <w:rFonts w:hint="default" w:ascii="Times New Roman" w:hAnsi="Times New Roman" w:eastAsia="宋体" w:cs="Times New Roman"/>
                      <w:color w:val="000000"/>
                      <w:sz w:val="21"/>
                      <w:szCs w:val="21"/>
                      <w:lang w:val="en-US" w:eastAsia="zh-CN"/>
                    </w:rPr>
                  </w:pPr>
                </w:p>
              </w:tc>
              <w:tc>
                <w:tcPr>
                  <w:tcW w:w="774" w:type="pct"/>
                  <w:vMerge w:val="continue"/>
                  <w:tcBorders>
                    <w:tl2br w:val="nil"/>
                    <w:tr2bl w:val="nil"/>
                  </w:tcBorders>
                  <w:noWrap w:val="0"/>
                  <w:vAlign w:val="center"/>
                </w:tcPr>
                <w:p w14:paraId="26DB4045">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center"/>
                    <w:textAlignment w:val="center"/>
                    <w:rPr>
                      <w:rFonts w:hint="default" w:ascii="Times New Roman" w:hAnsi="Times New Roman" w:eastAsia="宋体" w:cs="Times New Roman"/>
                      <w:color w:val="000000"/>
                      <w:sz w:val="21"/>
                      <w:szCs w:val="21"/>
                      <w:lang w:eastAsia="zh-CN"/>
                    </w:rPr>
                  </w:pPr>
                </w:p>
              </w:tc>
              <w:tc>
                <w:tcPr>
                  <w:tcW w:w="614" w:type="pct"/>
                  <w:gridSpan w:val="2"/>
                  <w:tcBorders>
                    <w:tl2br w:val="nil"/>
                    <w:tr2bl w:val="nil"/>
                  </w:tcBorders>
                  <w:noWrap w:val="0"/>
                  <w:vAlign w:val="center"/>
                </w:tcPr>
                <w:p w14:paraId="7DA94B7C">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center"/>
                    <w:textAlignment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二楼</w:t>
                  </w:r>
                </w:p>
              </w:tc>
              <w:tc>
                <w:tcPr>
                  <w:tcW w:w="2618" w:type="pct"/>
                  <w:tcBorders>
                    <w:tl2br w:val="nil"/>
                    <w:tr2bl w:val="nil"/>
                  </w:tcBorders>
                  <w:noWrap w:val="0"/>
                  <w:vAlign w:val="center"/>
                </w:tcPr>
                <w:p w14:paraId="12DC5BEA">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center"/>
                    <w:textAlignment w:val="center"/>
                    <w:rPr>
                      <w:rFonts w:hint="eastAsia"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eastAsia="zh-CN"/>
                    </w:rPr>
                    <w:t>建筑面积</w:t>
                  </w:r>
                  <w:r>
                    <w:rPr>
                      <w:rFonts w:hint="eastAsia" w:cs="Times New Roman"/>
                      <w:color w:val="000000"/>
                      <w:sz w:val="21"/>
                      <w:szCs w:val="21"/>
                      <w:highlight w:val="none"/>
                      <w:lang w:val="en-US" w:eastAsia="zh-CN"/>
                    </w:rPr>
                    <w:t>58.513</w:t>
                  </w:r>
                  <w:r>
                    <w:rPr>
                      <w:rFonts w:hint="default" w:ascii="Times New Roman" w:hAnsi="Times New Roman" w:eastAsia="宋体" w:cs="Times New Roman"/>
                      <w:color w:val="000000"/>
                      <w:sz w:val="21"/>
                      <w:szCs w:val="21"/>
                      <w:highlight w:val="none"/>
                      <w:lang w:val="en-US" w:eastAsia="zh-CN"/>
                    </w:rPr>
                    <w:t>m</w:t>
                  </w:r>
                  <w:r>
                    <w:rPr>
                      <w:rFonts w:hint="default" w:ascii="Times New Roman" w:hAnsi="Times New Roman" w:eastAsia="宋体" w:cs="Times New Roman"/>
                      <w:color w:val="000000"/>
                      <w:sz w:val="21"/>
                      <w:szCs w:val="21"/>
                      <w:highlight w:val="none"/>
                      <w:vertAlign w:val="superscript"/>
                      <w:lang w:val="en-US" w:eastAsia="zh-CN"/>
                    </w:rPr>
                    <w:t>2</w:t>
                  </w:r>
                  <w:r>
                    <w:rPr>
                      <w:rFonts w:hint="eastAsia" w:cs="Times New Roman"/>
                      <w:color w:val="auto"/>
                      <w:sz w:val="21"/>
                      <w:szCs w:val="21"/>
                      <w:highlight w:val="none"/>
                      <w:lang w:val="en-US" w:eastAsia="zh-CN"/>
                    </w:rPr>
                    <w:t>，</w:t>
                  </w:r>
                  <w:r>
                    <w:rPr>
                      <w:rFonts w:hint="eastAsia" w:cs="Times New Roman"/>
                      <w:color w:val="000000"/>
                      <w:sz w:val="21"/>
                      <w:szCs w:val="21"/>
                      <w:highlight w:val="none"/>
                      <w:lang w:val="en-US" w:eastAsia="zh-CN"/>
                    </w:rPr>
                    <w:t>洗护区、寄养部、养犬办</w:t>
                  </w:r>
                </w:p>
              </w:tc>
              <w:tc>
                <w:tcPr>
                  <w:tcW w:w="750" w:type="pct"/>
                  <w:tcBorders>
                    <w:tl2br w:val="nil"/>
                    <w:tr2bl w:val="nil"/>
                  </w:tcBorders>
                  <w:noWrap w:val="0"/>
                  <w:vAlign w:val="center"/>
                </w:tcPr>
                <w:p w14:paraId="26E5DEEB">
                  <w:pPr>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center"/>
                    <w:rPr>
                      <w:rFonts w:hint="eastAsia"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已建</w:t>
                  </w:r>
                </w:p>
              </w:tc>
            </w:tr>
            <w:tr w14:paraId="0FB6D6A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41" w:type="pct"/>
                  <w:vMerge w:val="restart"/>
                  <w:tcBorders>
                    <w:tl2br w:val="nil"/>
                    <w:tr2bl w:val="nil"/>
                  </w:tcBorders>
                  <w:noWrap w:val="0"/>
                  <w:vAlign w:val="center"/>
                </w:tcPr>
                <w:p w14:paraId="1FB6F716">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2</w:t>
                  </w:r>
                </w:p>
              </w:tc>
              <w:tc>
                <w:tcPr>
                  <w:tcW w:w="774" w:type="pct"/>
                  <w:vMerge w:val="restart"/>
                  <w:tcBorders>
                    <w:tl2br w:val="nil"/>
                    <w:tr2bl w:val="nil"/>
                  </w:tcBorders>
                  <w:noWrap w:val="0"/>
                  <w:vAlign w:val="center"/>
                </w:tcPr>
                <w:p w14:paraId="22BAA3AB">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储运工程</w:t>
                  </w:r>
                </w:p>
              </w:tc>
              <w:tc>
                <w:tcPr>
                  <w:tcW w:w="614" w:type="pct"/>
                  <w:gridSpan w:val="2"/>
                  <w:tcBorders>
                    <w:tl2br w:val="nil"/>
                    <w:tr2bl w:val="nil"/>
                  </w:tcBorders>
                  <w:shd w:val="clear" w:color="auto" w:fill="auto"/>
                  <w:noWrap w:val="0"/>
                  <w:vAlign w:val="center"/>
                </w:tcPr>
                <w:p w14:paraId="76F081C3">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leftChars="0" w:right="0" w:rightChars="0" w:firstLine="0" w:firstLineChars="0"/>
                    <w:jc w:val="center"/>
                    <w:textAlignment w:val="center"/>
                    <w:rPr>
                      <w:rFonts w:hint="default" w:ascii="Times New Roman" w:hAnsi="Times New Roman" w:eastAsia="宋体" w:cs="Times New Roman"/>
                      <w:color w:val="000000"/>
                      <w:kern w:val="0"/>
                      <w:sz w:val="21"/>
                      <w:szCs w:val="21"/>
                      <w:highlight w:val="yellow"/>
                      <w:lang w:val="en-US" w:eastAsia="zh-CN" w:bidi="ar-SA"/>
                    </w:rPr>
                  </w:pPr>
                  <w:r>
                    <w:rPr>
                      <w:rFonts w:hint="default" w:ascii="Times New Roman" w:hAnsi="Times New Roman" w:eastAsia="宋体" w:cs="Times New Roman"/>
                      <w:color w:val="000000"/>
                      <w:sz w:val="21"/>
                      <w:szCs w:val="21"/>
                      <w:highlight w:val="none"/>
                      <w:lang w:val="en-US" w:eastAsia="zh-CN"/>
                    </w:rPr>
                    <w:t>库房</w:t>
                  </w:r>
                </w:p>
              </w:tc>
              <w:tc>
                <w:tcPr>
                  <w:tcW w:w="2618" w:type="pct"/>
                  <w:tcBorders>
                    <w:tl2br w:val="nil"/>
                    <w:tr2bl w:val="nil"/>
                  </w:tcBorders>
                  <w:shd w:val="clear" w:color="auto" w:fill="auto"/>
                  <w:noWrap w:val="0"/>
                  <w:vAlign w:val="center"/>
                </w:tcPr>
                <w:p w14:paraId="2FBBE267">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leftChars="0" w:right="0" w:rightChars="0" w:firstLine="0" w:firstLineChars="0"/>
                    <w:jc w:val="center"/>
                    <w:textAlignment w:val="center"/>
                    <w:rPr>
                      <w:rFonts w:hint="default" w:ascii="Times New Roman" w:hAnsi="Times New Roman" w:eastAsia="宋体" w:cs="Times New Roman"/>
                      <w:color w:val="000000"/>
                      <w:kern w:val="0"/>
                      <w:sz w:val="21"/>
                      <w:szCs w:val="21"/>
                      <w:highlight w:val="yellow"/>
                      <w:lang w:val="en-US" w:eastAsia="zh-CN" w:bidi="ar-SA"/>
                    </w:rPr>
                  </w:pPr>
                  <w:r>
                    <w:rPr>
                      <w:rFonts w:hint="eastAsia" w:cs="Times New Roman"/>
                      <w:color w:val="000000"/>
                      <w:sz w:val="21"/>
                      <w:szCs w:val="21"/>
                      <w:highlight w:val="none"/>
                      <w:lang w:val="en-US" w:eastAsia="zh-CN"/>
                    </w:rPr>
                    <w:t>位于负一楼，占地</w:t>
                  </w:r>
                  <w:r>
                    <w:rPr>
                      <w:rFonts w:hint="default" w:ascii="Times New Roman" w:hAnsi="Times New Roman" w:eastAsia="宋体" w:cs="Times New Roman"/>
                      <w:color w:val="000000"/>
                      <w:sz w:val="21"/>
                      <w:szCs w:val="21"/>
                      <w:highlight w:val="none"/>
                      <w:lang w:val="en-US" w:eastAsia="zh-CN"/>
                    </w:rPr>
                    <w:t>面积</w:t>
                  </w:r>
                  <w:r>
                    <w:rPr>
                      <w:rFonts w:hint="eastAsia" w:cs="Times New Roman"/>
                      <w:color w:val="000000"/>
                      <w:sz w:val="21"/>
                      <w:szCs w:val="21"/>
                      <w:highlight w:val="none"/>
                      <w:lang w:val="en-US" w:eastAsia="zh-CN"/>
                    </w:rPr>
                    <w:t>约10</w:t>
                  </w:r>
                  <w:r>
                    <w:rPr>
                      <w:rFonts w:hint="default" w:ascii="Times New Roman" w:hAnsi="Times New Roman" w:eastAsia="宋体" w:cs="Times New Roman"/>
                      <w:color w:val="000000"/>
                      <w:sz w:val="21"/>
                      <w:szCs w:val="21"/>
                      <w:highlight w:val="none"/>
                      <w:lang w:val="en-US" w:eastAsia="zh-CN"/>
                    </w:rPr>
                    <w:t>m</w:t>
                  </w:r>
                  <w:r>
                    <w:rPr>
                      <w:rFonts w:hint="default" w:ascii="Times New Roman" w:hAnsi="Times New Roman" w:eastAsia="宋体" w:cs="Times New Roman"/>
                      <w:color w:val="000000"/>
                      <w:sz w:val="21"/>
                      <w:szCs w:val="21"/>
                      <w:highlight w:val="none"/>
                      <w:vertAlign w:val="superscript"/>
                      <w:lang w:val="en-US" w:eastAsia="zh-CN"/>
                    </w:rPr>
                    <w:t>2</w:t>
                  </w:r>
                  <w:r>
                    <w:rPr>
                      <w:rFonts w:hint="eastAsia" w:cs="Times New Roman"/>
                      <w:color w:val="000000"/>
                      <w:sz w:val="21"/>
                      <w:szCs w:val="21"/>
                      <w:highlight w:val="none"/>
                      <w:lang w:val="en-US" w:eastAsia="zh-CN"/>
                    </w:rPr>
                    <w:t>，</w:t>
                  </w:r>
                  <w:r>
                    <w:rPr>
                      <w:rFonts w:hint="default" w:ascii="Times New Roman" w:hAnsi="Times New Roman" w:eastAsia="宋体" w:cs="Times New Roman"/>
                      <w:color w:val="000000"/>
                      <w:sz w:val="21"/>
                      <w:szCs w:val="21"/>
                      <w:highlight w:val="none"/>
                      <w:lang w:val="en-US" w:eastAsia="zh-CN"/>
                    </w:rPr>
                    <w:t>用于</w:t>
                  </w:r>
                  <w:r>
                    <w:rPr>
                      <w:rFonts w:hint="eastAsia" w:cs="Times New Roman"/>
                      <w:color w:val="000000"/>
                      <w:sz w:val="21"/>
                      <w:szCs w:val="21"/>
                      <w:highlight w:val="none"/>
                      <w:lang w:val="en-US" w:eastAsia="zh-CN"/>
                    </w:rPr>
                    <w:t>宠物用品</w:t>
                  </w:r>
                  <w:r>
                    <w:rPr>
                      <w:rFonts w:hint="default" w:ascii="Times New Roman" w:hAnsi="Times New Roman" w:eastAsia="宋体" w:cs="Times New Roman"/>
                      <w:color w:val="000000"/>
                      <w:sz w:val="21"/>
                      <w:szCs w:val="21"/>
                      <w:highlight w:val="none"/>
                      <w:lang w:val="en-US" w:eastAsia="zh-CN"/>
                    </w:rPr>
                    <w:t>存储</w:t>
                  </w:r>
                  <w:r>
                    <w:rPr>
                      <w:rFonts w:hint="eastAsia" w:cs="Times New Roman"/>
                      <w:color w:val="000000"/>
                      <w:sz w:val="21"/>
                      <w:szCs w:val="21"/>
                      <w:highlight w:val="none"/>
                      <w:lang w:val="en-US" w:eastAsia="zh-CN"/>
                    </w:rPr>
                    <w:t>。</w:t>
                  </w:r>
                </w:p>
              </w:tc>
              <w:tc>
                <w:tcPr>
                  <w:tcW w:w="750" w:type="pct"/>
                  <w:tcBorders>
                    <w:tl2br w:val="nil"/>
                    <w:tr2bl w:val="nil"/>
                  </w:tcBorders>
                  <w:shd w:val="clear" w:color="auto" w:fill="auto"/>
                  <w:noWrap w:val="0"/>
                  <w:vAlign w:val="center"/>
                </w:tcPr>
                <w:p w14:paraId="24AF34CE">
                  <w:pPr>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Times New Roman"/>
                      <w:color w:val="000000"/>
                      <w:kern w:val="2"/>
                      <w:sz w:val="21"/>
                      <w:szCs w:val="21"/>
                      <w:lang w:val="en-US" w:eastAsia="zh-CN" w:bidi="ar-SA"/>
                    </w:rPr>
                  </w:pPr>
                  <w:r>
                    <w:rPr>
                      <w:rFonts w:hint="eastAsia" w:cs="Times New Roman"/>
                      <w:color w:val="000000"/>
                      <w:sz w:val="21"/>
                      <w:szCs w:val="21"/>
                      <w:lang w:val="en-US" w:eastAsia="zh-CN"/>
                    </w:rPr>
                    <w:t>已建</w:t>
                  </w:r>
                </w:p>
              </w:tc>
            </w:tr>
            <w:tr w14:paraId="6DD85F9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41" w:type="pct"/>
                  <w:vMerge w:val="continue"/>
                  <w:tcBorders>
                    <w:tl2br w:val="nil"/>
                    <w:tr2bl w:val="nil"/>
                  </w:tcBorders>
                  <w:noWrap w:val="0"/>
                  <w:vAlign w:val="center"/>
                </w:tcPr>
                <w:p w14:paraId="5D3B9B7A">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center"/>
                    <w:textAlignment w:val="center"/>
                    <w:rPr>
                      <w:rFonts w:hint="eastAsia" w:cs="Times New Roman"/>
                      <w:color w:val="000000"/>
                      <w:sz w:val="21"/>
                      <w:szCs w:val="21"/>
                      <w:lang w:val="en-US" w:eastAsia="zh-CN"/>
                    </w:rPr>
                  </w:pPr>
                </w:p>
              </w:tc>
              <w:tc>
                <w:tcPr>
                  <w:tcW w:w="774" w:type="pct"/>
                  <w:vMerge w:val="continue"/>
                  <w:tcBorders>
                    <w:tl2br w:val="nil"/>
                    <w:tr2bl w:val="nil"/>
                  </w:tcBorders>
                  <w:noWrap w:val="0"/>
                  <w:vAlign w:val="center"/>
                </w:tcPr>
                <w:p w14:paraId="58A6112A">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center"/>
                    <w:textAlignment w:val="center"/>
                    <w:rPr>
                      <w:rFonts w:hint="eastAsia" w:cs="Times New Roman"/>
                      <w:color w:val="000000"/>
                      <w:sz w:val="21"/>
                      <w:szCs w:val="21"/>
                      <w:lang w:val="en-US" w:eastAsia="zh-CN"/>
                    </w:rPr>
                  </w:pPr>
                </w:p>
              </w:tc>
              <w:tc>
                <w:tcPr>
                  <w:tcW w:w="614" w:type="pct"/>
                  <w:gridSpan w:val="2"/>
                  <w:tcBorders>
                    <w:tl2br w:val="nil"/>
                    <w:tr2bl w:val="nil"/>
                  </w:tcBorders>
                  <w:shd w:val="clear" w:color="auto" w:fill="auto"/>
                  <w:noWrap w:val="0"/>
                  <w:vAlign w:val="center"/>
                </w:tcPr>
                <w:p w14:paraId="12295AC0">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leftChars="0" w:right="0" w:rightChars="0" w:firstLine="0" w:firstLineChars="0"/>
                    <w:jc w:val="center"/>
                    <w:textAlignment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医疗废物暂时贮存柜</w:t>
                  </w:r>
                </w:p>
              </w:tc>
              <w:tc>
                <w:tcPr>
                  <w:tcW w:w="2618" w:type="pct"/>
                  <w:tcBorders>
                    <w:tl2br w:val="nil"/>
                    <w:tr2bl w:val="nil"/>
                  </w:tcBorders>
                  <w:shd w:val="clear" w:color="auto" w:fill="auto"/>
                  <w:noWrap w:val="0"/>
                  <w:vAlign w:val="center"/>
                </w:tcPr>
                <w:p w14:paraId="3564B613">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leftChars="0" w:right="0" w:rightChars="0" w:firstLine="0" w:firstLineChars="0"/>
                    <w:jc w:val="center"/>
                    <w:textAlignment w:val="center"/>
                    <w:rPr>
                      <w:rFonts w:hint="default" w:cs="Times New Roman"/>
                      <w:color w:val="000000"/>
                      <w:sz w:val="21"/>
                      <w:szCs w:val="21"/>
                      <w:highlight w:val="none"/>
                      <w:lang w:val="en-US" w:eastAsia="zh-CN"/>
                    </w:rPr>
                  </w:pPr>
                  <w:r>
                    <w:rPr>
                      <w:rFonts w:hint="eastAsia" w:cs="Times New Roman"/>
                      <w:color w:val="000000"/>
                      <w:sz w:val="21"/>
                      <w:szCs w:val="21"/>
                      <w:highlight w:val="none"/>
                      <w:lang w:val="en-US" w:eastAsia="zh-CN"/>
                    </w:rPr>
                    <w:t>位于</w:t>
                  </w:r>
                  <w:r>
                    <w:rPr>
                      <w:rFonts w:hint="eastAsia" w:cs="Times New Roman"/>
                      <w:color w:val="auto"/>
                      <w:sz w:val="21"/>
                      <w:szCs w:val="21"/>
                      <w:highlight w:val="none"/>
                      <w:lang w:val="en-US" w:eastAsia="zh-CN"/>
                    </w:rPr>
                    <w:t>化验室，</w:t>
                  </w:r>
                  <w:r>
                    <w:rPr>
                      <w:rFonts w:hint="eastAsia" w:cs="Times New Roman"/>
                      <w:color w:val="000000"/>
                      <w:sz w:val="21"/>
                      <w:szCs w:val="21"/>
                      <w:highlight w:val="none"/>
                      <w:lang w:val="en-US" w:eastAsia="zh-CN"/>
                    </w:rPr>
                    <w:t>占地</w:t>
                  </w:r>
                  <w:r>
                    <w:rPr>
                      <w:rFonts w:hint="default" w:ascii="Times New Roman" w:hAnsi="Times New Roman" w:eastAsia="宋体" w:cs="Times New Roman"/>
                      <w:color w:val="000000"/>
                      <w:sz w:val="21"/>
                      <w:szCs w:val="21"/>
                      <w:highlight w:val="none"/>
                      <w:lang w:val="en-US" w:eastAsia="zh-CN"/>
                    </w:rPr>
                    <w:t>面积</w:t>
                  </w:r>
                  <w:r>
                    <w:rPr>
                      <w:rFonts w:hint="eastAsia" w:cs="Times New Roman"/>
                      <w:color w:val="000000"/>
                      <w:sz w:val="21"/>
                      <w:szCs w:val="21"/>
                      <w:highlight w:val="none"/>
                      <w:lang w:val="en-US" w:eastAsia="zh-CN"/>
                    </w:rPr>
                    <w:t>约2</w:t>
                  </w:r>
                  <w:r>
                    <w:rPr>
                      <w:rFonts w:hint="default" w:ascii="Times New Roman" w:hAnsi="Times New Roman" w:eastAsia="宋体" w:cs="Times New Roman"/>
                      <w:color w:val="000000"/>
                      <w:sz w:val="21"/>
                      <w:szCs w:val="21"/>
                      <w:highlight w:val="none"/>
                      <w:lang w:val="en-US" w:eastAsia="zh-CN"/>
                    </w:rPr>
                    <w:t>m</w:t>
                  </w:r>
                  <w:r>
                    <w:rPr>
                      <w:rFonts w:hint="default" w:ascii="Times New Roman" w:hAnsi="Times New Roman" w:eastAsia="宋体" w:cs="Times New Roman"/>
                      <w:color w:val="000000"/>
                      <w:sz w:val="21"/>
                      <w:szCs w:val="21"/>
                      <w:highlight w:val="none"/>
                      <w:vertAlign w:val="superscript"/>
                      <w:lang w:val="en-US" w:eastAsia="zh-CN"/>
                    </w:rPr>
                    <w:t>2</w:t>
                  </w:r>
                  <w:r>
                    <w:rPr>
                      <w:rFonts w:hint="eastAsia" w:cs="Times New Roman"/>
                      <w:sz w:val="21"/>
                      <w:szCs w:val="21"/>
                      <w:lang w:eastAsia="zh-CN"/>
                    </w:rPr>
                    <w:t>，</w:t>
                  </w:r>
                  <w:r>
                    <w:rPr>
                      <w:rFonts w:hint="default" w:ascii="Times New Roman" w:hAnsi="Times New Roman" w:eastAsia="宋体" w:cs="Times New Roman"/>
                      <w:color w:val="000000"/>
                      <w:sz w:val="21"/>
                      <w:szCs w:val="21"/>
                      <w:highlight w:val="none"/>
                      <w:lang w:val="en-US" w:eastAsia="zh-CN"/>
                    </w:rPr>
                    <w:t>用于</w:t>
                  </w:r>
                  <w:r>
                    <w:rPr>
                      <w:rFonts w:hint="eastAsia" w:ascii="Times New Roman" w:hAnsi="Times New Roman" w:eastAsia="宋体" w:cs="Times New Roman"/>
                      <w:color w:val="000000"/>
                      <w:sz w:val="21"/>
                      <w:szCs w:val="21"/>
                      <w:highlight w:val="none"/>
                      <w:lang w:val="en-US" w:eastAsia="zh-CN"/>
                    </w:rPr>
                    <w:t>动物诊疗废物暂时贮存。</w:t>
                  </w:r>
                </w:p>
              </w:tc>
              <w:tc>
                <w:tcPr>
                  <w:tcW w:w="750" w:type="pct"/>
                  <w:tcBorders>
                    <w:tl2br w:val="nil"/>
                    <w:tr2bl w:val="nil"/>
                  </w:tcBorders>
                  <w:shd w:val="clear" w:color="auto" w:fill="auto"/>
                  <w:noWrap w:val="0"/>
                  <w:vAlign w:val="center"/>
                </w:tcPr>
                <w:p w14:paraId="07DF84E0">
                  <w:pPr>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cs="Times New Roman"/>
                      <w:color w:val="000000"/>
                      <w:sz w:val="21"/>
                      <w:szCs w:val="21"/>
                      <w:lang w:val="en-US" w:eastAsia="zh-CN"/>
                    </w:rPr>
                  </w:pPr>
                  <w:r>
                    <w:rPr>
                      <w:rFonts w:hint="eastAsia" w:cs="Times New Roman"/>
                      <w:color w:val="000000"/>
                      <w:sz w:val="21"/>
                      <w:szCs w:val="21"/>
                      <w:lang w:val="en-US" w:eastAsia="zh-CN"/>
                    </w:rPr>
                    <w:t>新建</w:t>
                  </w:r>
                </w:p>
              </w:tc>
            </w:tr>
            <w:tr w14:paraId="09FAFAE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 w:type="pct"/>
                  <w:vMerge w:val="restart"/>
                  <w:tcBorders>
                    <w:tl2br w:val="nil"/>
                    <w:tr2bl w:val="nil"/>
                  </w:tcBorders>
                  <w:noWrap w:val="0"/>
                  <w:vAlign w:val="center"/>
                </w:tcPr>
                <w:p w14:paraId="5A009BE3">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center"/>
                    <w:textAlignment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val="en-US" w:eastAsia="zh-CN"/>
                    </w:rPr>
                    <w:t>3</w:t>
                  </w:r>
                </w:p>
              </w:tc>
              <w:tc>
                <w:tcPr>
                  <w:tcW w:w="774" w:type="pct"/>
                  <w:vMerge w:val="restart"/>
                  <w:tcBorders>
                    <w:tl2br w:val="nil"/>
                    <w:tr2bl w:val="nil"/>
                  </w:tcBorders>
                  <w:noWrap w:val="0"/>
                  <w:vAlign w:val="center"/>
                </w:tcPr>
                <w:p w14:paraId="576B84A1">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center"/>
                    <w:textAlignment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公</w:t>
                  </w:r>
                </w:p>
                <w:p w14:paraId="2F9B7CF1">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center"/>
                    <w:textAlignment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用</w:t>
                  </w:r>
                </w:p>
                <w:p w14:paraId="732E10C4">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center"/>
                    <w:textAlignment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工</w:t>
                  </w:r>
                </w:p>
                <w:p w14:paraId="595A3AED">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center"/>
                    <w:textAlignment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程</w:t>
                  </w:r>
                </w:p>
              </w:tc>
              <w:tc>
                <w:tcPr>
                  <w:tcW w:w="614" w:type="pct"/>
                  <w:gridSpan w:val="2"/>
                  <w:tcBorders>
                    <w:tl2br w:val="nil"/>
                    <w:tr2bl w:val="nil"/>
                  </w:tcBorders>
                  <w:noWrap w:val="0"/>
                  <w:vAlign w:val="center"/>
                </w:tcPr>
                <w:p w14:paraId="2B0629A7">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center"/>
                    <w:textAlignment w:val="center"/>
                    <w:rPr>
                      <w:rFonts w:hint="default" w:ascii="Times New Roman" w:hAnsi="Times New Roman" w:eastAsia="宋体" w:cs="Times New Roman"/>
                      <w:color w:val="000000"/>
                      <w:sz w:val="21"/>
                      <w:szCs w:val="21"/>
                      <w:highlight w:val="yellow"/>
                      <w:lang w:val="en-US" w:eastAsia="zh-CN"/>
                    </w:rPr>
                  </w:pPr>
                  <w:r>
                    <w:rPr>
                      <w:rFonts w:hint="default" w:ascii="Times New Roman" w:hAnsi="Times New Roman" w:eastAsia="宋体" w:cs="Times New Roman"/>
                      <w:color w:val="000000"/>
                      <w:sz w:val="21"/>
                      <w:szCs w:val="21"/>
                      <w:highlight w:val="none"/>
                      <w:lang w:val="en-US" w:eastAsia="zh-CN"/>
                    </w:rPr>
                    <w:t>给水</w:t>
                  </w:r>
                </w:p>
              </w:tc>
              <w:tc>
                <w:tcPr>
                  <w:tcW w:w="2618" w:type="pct"/>
                  <w:tcBorders>
                    <w:tl2br w:val="nil"/>
                    <w:tr2bl w:val="nil"/>
                  </w:tcBorders>
                  <w:noWrap w:val="0"/>
                  <w:vAlign w:val="center"/>
                </w:tcPr>
                <w:p w14:paraId="2C711DD8">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center"/>
                    <w:textAlignment w:val="center"/>
                    <w:rPr>
                      <w:rFonts w:hint="default" w:ascii="Times New Roman" w:hAnsi="Times New Roman" w:eastAsia="宋体" w:cs="Times New Roman"/>
                      <w:color w:val="000000"/>
                      <w:sz w:val="21"/>
                      <w:szCs w:val="21"/>
                      <w:lang w:eastAsia="zh-CN"/>
                    </w:rPr>
                  </w:pPr>
                  <w:r>
                    <w:rPr>
                      <w:rFonts w:hint="eastAsia" w:cs="Times New Roman"/>
                      <w:sz w:val="21"/>
                      <w:szCs w:val="21"/>
                      <w:lang w:eastAsia="zh-CN"/>
                    </w:rPr>
                    <w:t>市政</w:t>
                  </w:r>
                  <w:r>
                    <w:rPr>
                      <w:rFonts w:hint="eastAsia" w:ascii="Times New Roman" w:hAnsi="Times New Roman" w:eastAsia="宋体" w:cs="Times New Roman"/>
                      <w:sz w:val="21"/>
                      <w:szCs w:val="21"/>
                      <w:lang w:eastAsia="zh-CN"/>
                    </w:rPr>
                    <w:t>供水管网供水。</w:t>
                  </w:r>
                </w:p>
              </w:tc>
              <w:tc>
                <w:tcPr>
                  <w:tcW w:w="750" w:type="pct"/>
                  <w:tcBorders>
                    <w:tl2br w:val="nil"/>
                    <w:tr2bl w:val="nil"/>
                  </w:tcBorders>
                  <w:noWrap w:val="0"/>
                  <w:vAlign w:val="center"/>
                </w:tcPr>
                <w:p w14:paraId="39778F4E">
                  <w:pPr>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000000"/>
                      <w:sz w:val="21"/>
                      <w:szCs w:val="21"/>
                      <w:lang w:eastAsia="zh-CN"/>
                    </w:rPr>
                  </w:pPr>
                  <w:r>
                    <w:rPr>
                      <w:rFonts w:hint="eastAsia" w:cs="Times New Roman"/>
                      <w:color w:val="000000"/>
                      <w:sz w:val="21"/>
                      <w:szCs w:val="21"/>
                      <w:lang w:val="en-US" w:eastAsia="zh-CN"/>
                    </w:rPr>
                    <w:t>已建</w:t>
                  </w:r>
                </w:p>
              </w:tc>
            </w:tr>
            <w:tr w14:paraId="33EC625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1" w:type="pct"/>
                  <w:vMerge w:val="continue"/>
                  <w:tcBorders>
                    <w:tl2br w:val="nil"/>
                    <w:tr2bl w:val="nil"/>
                  </w:tcBorders>
                  <w:noWrap w:val="0"/>
                  <w:vAlign w:val="center"/>
                </w:tcPr>
                <w:p w14:paraId="2200E75F">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center"/>
                    <w:textAlignment w:val="center"/>
                    <w:rPr>
                      <w:rFonts w:hint="default" w:ascii="Times New Roman" w:hAnsi="Times New Roman" w:eastAsia="宋体" w:cs="Times New Roman"/>
                      <w:color w:val="000000"/>
                      <w:sz w:val="21"/>
                      <w:szCs w:val="21"/>
                      <w:lang w:eastAsia="zh-CN"/>
                    </w:rPr>
                  </w:pPr>
                </w:p>
              </w:tc>
              <w:tc>
                <w:tcPr>
                  <w:tcW w:w="774" w:type="pct"/>
                  <w:vMerge w:val="continue"/>
                  <w:tcBorders>
                    <w:tl2br w:val="nil"/>
                    <w:tr2bl w:val="nil"/>
                  </w:tcBorders>
                  <w:noWrap w:val="0"/>
                  <w:vAlign w:val="center"/>
                </w:tcPr>
                <w:p w14:paraId="20E2CE85">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center"/>
                    <w:textAlignment w:val="center"/>
                    <w:rPr>
                      <w:rFonts w:hint="default" w:ascii="Times New Roman" w:hAnsi="Times New Roman" w:eastAsia="宋体" w:cs="Times New Roman"/>
                      <w:color w:val="000000"/>
                      <w:sz w:val="21"/>
                      <w:szCs w:val="21"/>
                      <w:lang w:eastAsia="zh-CN"/>
                    </w:rPr>
                  </w:pPr>
                </w:p>
              </w:tc>
              <w:tc>
                <w:tcPr>
                  <w:tcW w:w="614" w:type="pct"/>
                  <w:gridSpan w:val="2"/>
                  <w:tcBorders>
                    <w:tl2br w:val="nil"/>
                    <w:tr2bl w:val="nil"/>
                  </w:tcBorders>
                  <w:noWrap w:val="0"/>
                  <w:vAlign w:val="center"/>
                </w:tcPr>
                <w:p w14:paraId="298CB632">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center"/>
                    <w:textAlignment w:val="center"/>
                    <w:rPr>
                      <w:rFonts w:hint="default" w:ascii="Times New Roman" w:hAnsi="Times New Roman" w:eastAsia="宋体" w:cs="Times New Roman"/>
                      <w:color w:val="000000"/>
                      <w:sz w:val="21"/>
                      <w:szCs w:val="21"/>
                      <w:highlight w:val="yellow"/>
                      <w:lang w:val="en-US" w:eastAsia="zh-CN"/>
                    </w:rPr>
                  </w:pPr>
                  <w:r>
                    <w:rPr>
                      <w:rFonts w:hint="default" w:ascii="Times New Roman" w:hAnsi="Times New Roman" w:eastAsia="宋体" w:cs="Times New Roman"/>
                      <w:color w:val="000000"/>
                      <w:sz w:val="21"/>
                      <w:szCs w:val="21"/>
                      <w:highlight w:val="none"/>
                      <w:lang w:val="en-US" w:eastAsia="zh-CN"/>
                    </w:rPr>
                    <w:t>排水</w:t>
                  </w:r>
                </w:p>
              </w:tc>
              <w:tc>
                <w:tcPr>
                  <w:tcW w:w="2618" w:type="pct"/>
                  <w:tcBorders>
                    <w:tl2br w:val="nil"/>
                    <w:tr2bl w:val="nil"/>
                  </w:tcBorders>
                  <w:noWrap w:val="0"/>
                  <w:vAlign w:val="center"/>
                </w:tcPr>
                <w:p w14:paraId="035847BF">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center"/>
                    <w:textAlignment w:val="center"/>
                    <w:rPr>
                      <w:rFonts w:hint="default" w:ascii="Times New Roman" w:hAnsi="Times New Roman" w:eastAsia="宋体" w:cs="Times New Roman"/>
                      <w:color w:val="000000"/>
                      <w:sz w:val="21"/>
                      <w:szCs w:val="21"/>
                      <w:lang w:eastAsia="zh-CN"/>
                    </w:rPr>
                  </w:pPr>
                  <w:r>
                    <w:rPr>
                      <w:rFonts w:hint="eastAsia" w:cs="Times New Roman"/>
                      <w:sz w:val="21"/>
                      <w:szCs w:val="21"/>
                      <w:highlight w:val="none"/>
                      <w:lang w:val="en-US" w:eastAsia="zh-CN"/>
                    </w:rPr>
                    <w:t>诊疗室及手术室洗手池下方分别安装3台小型废水治理设施，动物诊疗废水经小型废水治理设施消毒处理后进入小区化粪池处理，纳入市政污水管网，最终进入库尔勒市南市区污水处理厂集中处理。宠物清洗废水和生活污水进入小区化粪池处理后，纳入市政污水管网，最终进入库尔勒市南市区污水处理厂集中处理。</w:t>
                  </w:r>
                </w:p>
              </w:tc>
              <w:tc>
                <w:tcPr>
                  <w:tcW w:w="750" w:type="pct"/>
                  <w:tcBorders>
                    <w:tl2br w:val="nil"/>
                    <w:tr2bl w:val="nil"/>
                  </w:tcBorders>
                  <w:noWrap w:val="0"/>
                  <w:vAlign w:val="center"/>
                </w:tcPr>
                <w:p w14:paraId="07F9B228">
                  <w:pPr>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000000"/>
                      <w:kern w:val="0"/>
                      <w:sz w:val="21"/>
                      <w:szCs w:val="21"/>
                      <w:lang w:val="en-US" w:eastAsia="zh-CN"/>
                    </w:rPr>
                  </w:pPr>
                  <w:r>
                    <w:rPr>
                      <w:rFonts w:hint="eastAsia" w:cs="Times New Roman"/>
                      <w:color w:val="000000"/>
                      <w:sz w:val="21"/>
                      <w:szCs w:val="21"/>
                      <w:lang w:val="en-US" w:eastAsia="zh-CN"/>
                    </w:rPr>
                    <w:t>新建</w:t>
                  </w:r>
                </w:p>
              </w:tc>
            </w:tr>
            <w:tr w14:paraId="37EC3C7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1" w:type="pct"/>
                  <w:vMerge w:val="continue"/>
                  <w:tcBorders>
                    <w:tl2br w:val="nil"/>
                    <w:tr2bl w:val="nil"/>
                  </w:tcBorders>
                  <w:noWrap w:val="0"/>
                  <w:vAlign w:val="center"/>
                </w:tcPr>
                <w:p w14:paraId="67BAA73E">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center"/>
                    <w:textAlignment w:val="center"/>
                    <w:rPr>
                      <w:rFonts w:hint="default" w:ascii="Times New Roman" w:hAnsi="Times New Roman" w:eastAsia="宋体" w:cs="Times New Roman"/>
                      <w:color w:val="000000"/>
                      <w:sz w:val="21"/>
                      <w:szCs w:val="21"/>
                      <w:lang w:eastAsia="zh-CN"/>
                    </w:rPr>
                  </w:pPr>
                </w:p>
              </w:tc>
              <w:tc>
                <w:tcPr>
                  <w:tcW w:w="774" w:type="pct"/>
                  <w:vMerge w:val="continue"/>
                  <w:tcBorders>
                    <w:tl2br w:val="nil"/>
                    <w:tr2bl w:val="nil"/>
                  </w:tcBorders>
                  <w:noWrap w:val="0"/>
                  <w:vAlign w:val="center"/>
                </w:tcPr>
                <w:p w14:paraId="76EA5592">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center"/>
                    <w:textAlignment w:val="center"/>
                    <w:rPr>
                      <w:rFonts w:hint="default" w:ascii="Times New Roman" w:hAnsi="Times New Roman" w:eastAsia="宋体" w:cs="Times New Roman"/>
                      <w:color w:val="000000"/>
                      <w:sz w:val="21"/>
                      <w:szCs w:val="21"/>
                      <w:lang w:eastAsia="zh-CN"/>
                    </w:rPr>
                  </w:pPr>
                </w:p>
              </w:tc>
              <w:tc>
                <w:tcPr>
                  <w:tcW w:w="614" w:type="pct"/>
                  <w:gridSpan w:val="2"/>
                  <w:tcBorders>
                    <w:tl2br w:val="nil"/>
                    <w:tr2bl w:val="nil"/>
                  </w:tcBorders>
                  <w:noWrap w:val="0"/>
                  <w:vAlign w:val="center"/>
                </w:tcPr>
                <w:p w14:paraId="5CDE08DB">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供电</w:t>
                  </w:r>
                </w:p>
              </w:tc>
              <w:tc>
                <w:tcPr>
                  <w:tcW w:w="2618" w:type="pct"/>
                  <w:tcBorders>
                    <w:tl2br w:val="nil"/>
                    <w:tr2bl w:val="nil"/>
                  </w:tcBorders>
                  <w:noWrap w:val="0"/>
                  <w:vAlign w:val="center"/>
                </w:tcPr>
                <w:p w14:paraId="0A8CBF1D">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center"/>
                    <w:textAlignment w:val="center"/>
                    <w:rPr>
                      <w:rFonts w:hint="default" w:ascii="Times New Roman" w:hAnsi="Times New Roman" w:eastAsia="宋体" w:cs="Times New Roman"/>
                      <w:color w:val="000000"/>
                      <w:sz w:val="21"/>
                      <w:szCs w:val="21"/>
                      <w:lang w:eastAsia="zh-CN"/>
                    </w:rPr>
                  </w:pPr>
                  <w:r>
                    <w:rPr>
                      <w:rFonts w:hint="eastAsia" w:cs="Times New Roman"/>
                      <w:sz w:val="21"/>
                      <w:szCs w:val="21"/>
                      <w:lang w:val="en-US" w:eastAsia="zh-CN"/>
                    </w:rPr>
                    <w:t>接国家</w:t>
                  </w:r>
                  <w:r>
                    <w:rPr>
                      <w:rFonts w:hint="eastAsia" w:ascii="Times New Roman" w:hAnsi="Times New Roman" w:eastAsia="宋体" w:cs="Times New Roman"/>
                      <w:sz w:val="21"/>
                      <w:szCs w:val="21"/>
                      <w:lang w:eastAsia="zh-CN"/>
                    </w:rPr>
                    <w:t>电网</w:t>
                  </w:r>
                </w:p>
              </w:tc>
              <w:tc>
                <w:tcPr>
                  <w:tcW w:w="750" w:type="pct"/>
                  <w:tcBorders>
                    <w:tl2br w:val="nil"/>
                    <w:tr2bl w:val="nil"/>
                  </w:tcBorders>
                  <w:noWrap w:val="0"/>
                  <w:vAlign w:val="center"/>
                </w:tcPr>
                <w:p w14:paraId="2806D266">
                  <w:pPr>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000000"/>
                      <w:sz w:val="21"/>
                      <w:szCs w:val="21"/>
                      <w:lang w:eastAsia="zh-CN"/>
                    </w:rPr>
                  </w:pPr>
                  <w:r>
                    <w:rPr>
                      <w:rFonts w:hint="eastAsia" w:cs="Times New Roman"/>
                      <w:color w:val="000000"/>
                      <w:sz w:val="21"/>
                      <w:szCs w:val="21"/>
                      <w:lang w:val="en-US" w:eastAsia="zh-CN"/>
                    </w:rPr>
                    <w:t>已建</w:t>
                  </w:r>
                </w:p>
              </w:tc>
            </w:tr>
            <w:tr w14:paraId="2C55615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1" w:type="pct"/>
                  <w:vMerge w:val="continue"/>
                  <w:tcBorders>
                    <w:tl2br w:val="nil"/>
                    <w:tr2bl w:val="nil"/>
                  </w:tcBorders>
                  <w:noWrap w:val="0"/>
                  <w:vAlign w:val="center"/>
                </w:tcPr>
                <w:p w14:paraId="5293655C">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center"/>
                    <w:textAlignment w:val="center"/>
                    <w:rPr>
                      <w:rFonts w:hint="default" w:ascii="Times New Roman" w:hAnsi="Times New Roman" w:eastAsia="宋体" w:cs="Times New Roman"/>
                      <w:color w:val="000000"/>
                      <w:sz w:val="21"/>
                      <w:szCs w:val="21"/>
                      <w:lang w:eastAsia="zh-CN"/>
                    </w:rPr>
                  </w:pPr>
                </w:p>
              </w:tc>
              <w:tc>
                <w:tcPr>
                  <w:tcW w:w="774" w:type="pct"/>
                  <w:vMerge w:val="continue"/>
                  <w:tcBorders>
                    <w:tl2br w:val="nil"/>
                    <w:tr2bl w:val="nil"/>
                  </w:tcBorders>
                  <w:noWrap w:val="0"/>
                  <w:vAlign w:val="center"/>
                </w:tcPr>
                <w:p w14:paraId="43F0D414">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center"/>
                    <w:textAlignment w:val="center"/>
                    <w:rPr>
                      <w:rFonts w:hint="default" w:ascii="Times New Roman" w:hAnsi="Times New Roman" w:eastAsia="宋体" w:cs="Times New Roman"/>
                      <w:color w:val="000000"/>
                      <w:sz w:val="21"/>
                      <w:szCs w:val="21"/>
                      <w:lang w:eastAsia="zh-CN"/>
                    </w:rPr>
                  </w:pPr>
                </w:p>
              </w:tc>
              <w:tc>
                <w:tcPr>
                  <w:tcW w:w="614" w:type="pct"/>
                  <w:gridSpan w:val="2"/>
                  <w:tcBorders>
                    <w:tl2br w:val="nil"/>
                    <w:tr2bl w:val="nil"/>
                  </w:tcBorders>
                  <w:noWrap w:val="0"/>
                  <w:vAlign w:val="center"/>
                </w:tcPr>
                <w:p w14:paraId="75F200A1">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highlight w:val="none"/>
                      <w:lang w:val="en-US" w:eastAsia="zh-CN"/>
                    </w:rPr>
                    <w:t>供热</w:t>
                  </w:r>
                </w:p>
              </w:tc>
              <w:tc>
                <w:tcPr>
                  <w:tcW w:w="2618" w:type="pct"/>
                  <w:tcBorders>
                    <w:tl2br w:val="nil"/>
                    <w:tr2bl w:val="nil"/>
                  </w:tcBorders>
                  <w:noWrap w:val="0"/>
                  <w:vAlign w:val="center"/>
                </w:tcPr>
                <w:p w14:paraId="1F7D1EBF">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auto"/>
                      <w:sz w:val="21"/>
                      <w:szCs w:val="21"/>
                      <w:lang w:val="en-US" w:eastAsia="zh-CN"/>
                    </w:rPr>
                    <w:t>冬季采暖</w:t>
                  </w:r>
                  <w:r>
                    <w:rPr>
                      <w:rFonts w:hint="eastAsia" w:cs="Times New Roman"/>
                      <w:color w:val="auto"/>
                      <w:sz w:val="21"/>
                      <w:szCs w:val="21"/>
                      <w:lang w:val="en-US" w:eastAsia="zh-CN"/>
                    </w:rPr>
                    <w:t>采用壁挂炉供暖</w:t>
                  </w:r>
                </w:p>
              </w:tc>
              <w:tc>
                <w:tcPr>
                  <w:tcW w:w="750" w:type="pct"/>
                  <w:tcBorders>
                    <w:tl2br w:val="nil"/>
                    <w:tr2bl w:val="nil"/>
                  </w:tcBorders>
                  <w:noWrap w:val="0"/>
                  <w:vAlign w:val="center"/>
                </w:tcPr>
                <w:p w14:paraId="6AA1274E">
                  <w:pPr>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color w:val="auto"/>
                      <w:lang w:val="en-US" w:eastAsia="zh-CN"/>
                    </w:rPr>
                  </w:pPr>
                  <w:r>
                    <w:rPr>
                      <w:rFonts w:hint="eastAsia" w:cs="Times New Roman"/>
                      <w:color w:val="000000"/>
                      <w:sz w:val="21"/>
                      <w:szCs w:val="21"/>
                      <w:lang w:val="en-US" w:eastAsia="zh-CN"/>
                    </w:rPr>
                    <w:t>已建</w:t>
                  </w:r>
                </w:p>
              </w:tc>
            </w:tr>
            <w:tr w14:paraId="0153609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1" w:type="pct"/>
                  <w:vMerge w:val="restart"/>
                  <w:tcBorders>
                    <w:tl2br w:val="nil"/>
                    <w:tr2bl w:val="nil"/>
                  </w:tcBorders>
                  <w:noWrap w:val="0"/>
                  <w:vAlign w:val="center"/>
                </w:tcPr>
                <w:p w14:paraId="74B1B3F3">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4</w:t>
                  </w:r>
                </w:p>
              </w:tc>
              <w:tc>
                <w:tcPr>
                  <w:tcW w:w="774" w:type="pct"/>
                  <w:vMerge w:val="restart"/>
                  <w:tcBorders>
                    <w:tl2br w:val="nil"/>
                    <w:tr2bl w:val="nil"/>
                  </w:tcBorders>
                  <w:noWrap w:val="0"/>
                  <w:vAlign w:val="center"/>
                </w:tcPr>
                <w:p w14:paraId="1D35E803">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环保工程</w:t>
                  </w:r>
                </w:p>
              </w:tc>
              <w:tc>
                <w:tcPr>
                  <w:tcW w:w="614" w:type="pct"/>
                  <w:gridSpan w:val="2"/>
                  <w:tcBorders>
                    <w:tl2br w:val="nil"/>
                    <w:tr2bl w:val="nil"/>
                  </w:tcBorders>
                  <w:noWrap w:val="0"/>
                  <w:vAlign w:val="center"/>
                </w:tcPr>
                <w:p w14:paraId="79E53BE9">
                  <w:pPr>
                    <w:pStyle w:val="93"/>
                    <w:keepNext w:val="0"/>
                    <w:keepLines w:val="0"/>
                    <w:suppressLineNumbers w:val="0"/>
                    <w:adjustRightInd w:val="0"/>
                    <w:snapToGrid w:val="0"/>
                    <w:spacing w:before="0" w:beforeAutospacing="0" w:after="0" w:afterAutospacing="0"/>
                    <w:ind w:left="0" w:right="0" w:firstLine="0" w:firstLineChars="0"/>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kern w:val="0"/>
                      <w:sz w:val="21"/>
                      <w:szCs w:val="21"/>
                    </w:rPr>
                    <w:t>废气</w:t>
                  </w:r>
                </w:p>
              </w:tc>
              <w:tc>
                <w:tcPr>
                  <w:tcW w:w="2618" w:type="pct"/>
                  <w:tcBorders>
                    <w:tl2br w:val="nil"/>
                    <w:tr2bl w:val="nil"/>
                  </w:tcBorders>
                  <w:noWrap w:val="0"/>
                  <w:vAlign w:val="center"/>
                </w:tcPr>
                <w:p w14:paraId="7FA1C14C">
                  <w:pPr>
                    <w:pStyle w:val="93"/>
                    <w:keepNext w:val="0"/>
                    <w:keepLines w:val="0"/>
                    <w:suppressLineNumbers w:val="0"/>
                    <w:adjustRightInd w:val="0"/>
                    <w:snapToGrid w:val="0"/>
                    <w:spacing w:before="0" w:beforeAutospacing="0" w:after="0" w:afterAutospacing="0"/>
                    <w:ind w:left="0" w:right="0" w:firstLine="0" w:firstLineChars="0"/>
                    <w:jc w:val="center"/>
                    <w:rPr>
                      <w:rFonts w:hint="default" w:ascii="Times New Roman" w:hAnsi="Times New Roman" w:eastAsia="宋体" w:cs="Times New Roman"/>
                      <w:color w:val="000000"/>
                      <w:sz w:val="21"/>
                      <w:szCs w:val="21"/>
                      <w:highlight w:val="yellow"/>
                      <w:lang w:val="en-US" w:eastAsia="zh-CN"/>
                    </w:rPr>
                  </w:pPr>
                  <w:r>
                    <w:rPr>
                      <w:rFonts w:hint="default"/>
                      <w:lang w:val="en-US" w:eastAsia="zh-CN"/>
                    </w:rPr>
                    <w:t>及时更换清理猫砂和狗笼内的排便排尿盒，废水在</w:t>
                  </w:r>
                  <w:r>
                    <w:rPr>
                      <w:rFonts w:hint="eastAsia"/>
                      <w:lang w:val="en-US" w:eastAsia="zh-CN"/>
                    </w:rPr>
                    <w:t>小型废水</w:t>
                  </w:r>
                  <w:r>
                    <w:rPr>
                      <w:rFonts w:hint="default"/>
                      <w:lang w:val="en-US" w:eastAsia="zh-CN"/>
                    </w:rPr>
                    <w:t>处理设施内停留时间极短且废水处理设施密闭，</w:t>
                  </w:r>
                  <w:r>
                    <w:rPr>
                      <w:rFonts w:hint="eastAsia"/>
                      <w:lang w:val="en-US" w:eastAsia="zh-CN"/>
                    </w:rPr>
                    <w:t>并定期</w:t>
                  </w:r>
                  <w:r>
                    <w:rPr>
                      <w:rFonts w:hint="default"/>
                      <w:lang w:val="en-US" w:eastAsia="zh-CN"/>
                    </w:rPr>
                    <w:t>使用</w:t>
                  </w:r>
                  <w:r>
                    <w:rPr>
                      <w:rFonts w:hint="eastAsia"/>
                      <w:lang w:val="en-US" w:eastAsia="zh-CN"/>
                    </w:rPr>
                    <w:t>除臭</w:t>
                  </w:r>
                  <w:r>
                    <w:rPr>
                      <w:rFonts w:hint="default"/>
                      <w:lang w:val="en-US" w:eastAsia="zh-CN"/>
                    </w:rPr>
                    <w:t>剂和紫外线</w:t>
                  </w:r>
                  <w:r>
                    <w:rPr>
                      <w:rFonts w:hint="eastAsia"/>
                      <w:lang w:val="en-US" w:eastAsia="zh-CN"/>
                    </w:rPr>
                    <w:t>消毒车对室内空气及污水处理设施</w:t>
                  </w:r>
                  <w:r>
                    <w:rPr>
                      <w:rFonts w:hint="default"/>
                      <w:lang w:val="en-US" w:eastAsia="zh-CN"/>
                    </w:rPr>
                    <w:t>进行消毒</w:t>
                  </w:r>
                </w:p>
              </w:tc>
              <w:tc>
                <w:tcPr>
                  <w:tcW w:w="750" w:type="pct"/>
                  <w:tcBorders>
                    <w:tl2br w:val="nil"/>
                    <w:tr2bl w:val="nil"/>
                  </w:tcBorders>
                  <w:noWrap w:val="0"/>
                  <w:vAlign w:val="center"/>
                </w:tcPr>
                <w:p w14:paraId="3D29C828">
                  <w:pPr>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已建</w:t>
                  </w:r>
                </w:p>
              </w:tc>
            </w:tr>
            <w:tr w14:paraId="4D3837B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 w:type="pct"/>
                  <w:vMerge w:val="continue"/>
                  <w:tcBorders>
                    <w:tl2br w:val="nil"/>
                    <w:tr2bl w:val="nil"/>
                  </w:tcBorders>
                  <w:noWrap w:val="0"/>
                  <w:vAlign w:val="center"/>
                </w:tcPr>
                <w:p w14:paraId="08403DB9">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center"/>
                    <w:textAlignment w:val="center"/>
                    <w:rPr>
                      <w:rFonts w:hint="default" w:ascii="Times New Roman" w:hAnsi="Times New Roman" w:eastAsia="宋体" w:cs="Times New Roman"/>
                      <w:color w:val="000000"/>
                      <w:sz w:val="21"/>
                      <w:szCs w:val="21"/>
                      <w:lang w:val="en-US" w:eastAsia="zh-CN"/>
                    </w:rPr>
                  </w:pPr>
                </w:p>
              </w:tc>
              <w:tc>
                <w:tcPr>
                  <w:tcW w:w="774" w:type="pct"/>
                  <w:vMerge w:val="continue"/>
                  <w:tcBorders>
                    <w:tl2br w:val="nil"/>
                    <w:tr2bl w:val="nil"/>
                  </w:tcBorders>
                  <w:noWrap w:val="0"/>
                  <w:vAlign w:val="center"/>
                </w:tcPr>
                <w:p w14:paraId="2D06DE46">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center"/>
                    <w:textAlignment w:val="center"/>
                    <w:rPr>
                      <w:rFonts w:hint="default" w:ascii="Times New Roman" w:hAnsi="Times New Roman" w:eastAsia="宋体" w:cs="Times New Roman"/>
                      <w:color w:val="000000"/>
                      <w:sz w:val="21"/>
                      <w:szCs w:val="21"/>
                      <w:lang w:val="en-US" w:eastAsia="zh-CN"/>
                    </w:rPr>
                  </w:pPr>
                </w:p>
              </w:tc>
              <w:tc>
                <w:tcPr>
                  <w:tcW w:w="306" w:type="pct"/>
                  <w:vMerge w:val="restart"/>
                  <w:tcBorders>
                    <w:tl2br w:val="nil"/>
                    <w:tr2bl w:val="nil"/>
                  </w:tcBorders>
                  <w:noWrap w:val="0"/>
                  <w:vAlign w:val="center"/>
                </w:tcPr>
                <w:p w14:paraId="03EC84CE">
                  <w:pPr>
                    <w:pStyle w:val="93"/>
                    <w:keepNext w:val="0"/>
                    <w:keepLines w:val="0"/>
                    <w:suppressLineNumbers w:val="0"/>
                    <w:adjustRightInd w:val="0"/>
                    <w:snapToGrid w:val="0"/>
                    <w:spacing w:before="0" w:beforeAutospacing="0" w:after="0" w:afterAutospacing="0"/>
                    <w:ind w:left="0" w:right="0" w:firstLine="0" w:firstLineChars="0"/>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kern w:val="0"/>
                      <w:sz w:val="21"/>
                      <w:szCs w:val="21"/>
                      <w:highlight w:val="none"/>
                    </w:rPr>
                    <w:t>废水</w:t>
                  </w:r>
                </w:p>
              </w:tc>
              <w:tc>
                <w:tcPr>
                  <w:tcW w:w="307" w:type="pct"/>
                  <w:tcBorders>
                    <w:tl2br w:val="nil"/>
                    <w:tr2bl w:val="nil"/>
                  </w:tcBorders>
                  <w:noWrap w:val="0"/>
                  <w:vAlign w:val="center"/>
                </w:tcPr>
                <w:p w14:paraId="694A0CD3">
                  <w:pPr>
                    <w:pStyle w:val="93"/>
                    <w:keepNext w:val="0"/>
                    <w:keepLines w:val="0"/>
                    <w:suppressLineNumbers w:val="0"/>
                    <w:adjustRightInd w:val="0"/>
                    <w:snapToGrid w:val="0"/>
                    <w:spacing w:before="0" w:beforeAutospacing="0" w:after="0" w:afterAutospacing="0"/>
                    <w:ind w:left="0" w:right="0" w:firstLine="0" w:firstLineChars="0"/>
                    <w:rPr>
                      <w:rFonts w:hint="eastAsia" w:ascii="Times New Roman" w:hAnsi="Times New Roman" w:eastAsia="宋体" w:cs="Times New Roman"/>
                      <w:color w:val="000000"/>
                      <w:kern w:val="0"/>
                      <w:sz w:val="21"/>
                      <w:szCs w:val="21"/>
                      <w:highlight w:val="none"/>
                      <w:lang w:val="en-US" w:eastAsia="zh-CN"/>
                    </w:rPr>
                  </w:pPr>
                  <w:r>
                    <w:rPr>
                      <w:rFonts w:hint="eastAsia" w:cs="Times New Roman"/>
                      <w:color w:val="000000"/>
                      <w:kern w:val="0"/>
                      <w:sz w:val="21"/>
                      <w:szCs w:val="21"/>
                      <w:highlight w:val="none"/>
                      <w:lang w:val="en-US" w:eastAsia="zh-CN"/>
                    </w:rPr>
                    <w:t>生活污水</w:t>
                  </w:r>
                </w:p>
              </w:tc>
              <w:tc>
                <w:tcPr>
                  <w:tcW w:w="2618" w:type="pct"/>
                  <w:tcBorders>
                    <w:tl2br w:val="nil"/>
                    <w:tr2bl w:val="nil"/>
                  </w:tcBorders>
                  <w:noWrap w:val="0"/>
                  <w:vAlign w:val="center"/>
                </w:tcPr>
                <w:p w14:paraId="08BA4466">
                  <w:pPr>
                    <w:pStyle w:val="93"/>
                    <w:keepNext w:val="0"/>
                    <w:keepLines w:val="0"/>
                    <w:suppressLineNumbers w:val="0"/>
                    <w:adjustRightInd w:val="0"/>
                    <w:snapToGrid w:val="0"/>
                    <w:spacing w:before="0" w:beforeAutospacing="0" w:after="0" w:afterAutospacing="0"/>
                    <w:ind w:left="0" w:right="0" w:firstLine="0" w:firstLineChars="0"/>
                    <w:rPr>
                      <w:rFonts w:hint="default" w:ascii="Times New Roman" w:hAnsi="Times New Roman" w:eastAsia="宋体" w:cs="Times New Roman"/>
                      <w:color w:val="000000"/>
                      <w:sz w:val="21"/>
                      <w:szCs w:val="21"/>
                      <w:highlight w:val="yellow"/>
                      <w:lang w:val="en-US" w:eastAsia="zh-CN"/>
                    </w:rPr>
                  </w:pPr>
                  <w:r>
                    <w:rPr>
                      <w:rFonts w:hint="default" w:ascii="Times New Roman" w:hAnsi="Times New Roman" w:eastAsia="宋体" w:cs="Times New Roman"/>
                      <w:sz w:val="21"/>
                      <w:szCs w:val="21"/>
                      <w:highlight w:val="none"/>
                      <w:lang w:val="en-US" w:eastAsia="zh-CN"/>
                    </w:rPr>
                    <w:t>生活污水进入</w:t>
                  </w:r>
                  <w:r>
                    <w:rPr>
                      <w:rFonts w:hint="eastAsia" w:ascii="Times New Roman" w:hAnsi="Times New Roman" w:eastAsia="宋体" w:cs="Times New Roman"/>
                      <w:sz w:val="21"/>
                      <w:szCs w:val="21"/>
                      <w:highlight w:val="none"/>
                      <w:lang w:val="en-US" w:eastAsia="zh-CN"/>
                    </w:rPr>
                    <w:t>小区</w:t>
                  </w:r>
                  <w:r>
                    <w:rPr>
                      <w:rFonts w:hint="default" w:ascii="Times New Roman" w:hAnsi="Times New Roman" w:eastAsia="宋体" w:cs="Times New Roman"/>
                      <w:sz w:val="21"/>
                      <w:szCs w:val="21"/>
                      <w:highlight w:val="none"/>
                      <w:lang w:val="en-US" w:eastAsia="zh-CN"/>
                    </w:rPr>
                    <w:t>化粪池处理后，</w:t>
                  </w:r>
                  <w:r>
                    <w:rPr>
                      <w:rFonts w:hint="eastAsia" w:cs="Times New Roman"/>
                      <w:sz w:val="21"/>
                      <w:szCs w:val="21"/>
                      <w:highlight w:val="none"/>
                      <w:lang w:val="en-US" w:eastAsia="zh-CN"/>
                    </w:rPr>
                    <w:t>排入</w:t>
                  </w:r>
                  <w:r>
                    <w:rPr>
                      <w:rFonts w:hint="default" w:ascii="Times New Roman" w:hAnsi="Times New Roman" w:eastAsia="宋体" w:cs="Times New Roman"/>
                      <w:sz w:val="21"/>
                      <w:szCs w:val="21"/>
                      <w:highlight w:val="none"/>
                      <w:lang w:val="en-US" w:eastAsia="zh-CN"/>
                    </w:rPr>
                    <w:t>市政污水管网，最终进入库尔勒市南市区污水处理厂集中处理</w:t>
                  </w:r>
                  <w:r>
                    <w:rPr>
                      <w:rFonts w:hint="eastAsia" w:ascii="Times New Roman" w:hAnsi="Times New Roman" w:eastAsia="宋体" w:cs="Times New Roman"/>
                      <w:sz w:val="21"/>
                      <w:szCs w:val="21"/>
                      <w:highlight w:val="none"/>
                      <w:lang w:val="en-US" w:eastAsia="zh-CN"/>
                    </w:rPr>
                    <w:t>。</w:t>
                  </w:r>
                </w:p>
              </w:tc>
              <w:tc>
                <w:tcPr>
                  <w:tcW w:w="750" w:type="pct"/>
                  <w:tcBorders>
                    <w:tl2br w:val="nil"/>
                    <w:tr2bl w:val="nil"/>
                  </w:tcBorders>
                  <w:noWrap w:val="0"/>
                  <w:vAlign w:val="center"/>
                </w:tcPr>
                <w:p w14:paraId="77891FA8">
                  <w:pPr>
                    <w:keepNext w:val="0"/>
                    <w:keepLines w:val="0"/>
                    <w:pageBreakBefore w:val="0"/>
                    <w:suppressLineNumbers w:val="0"/>
                    <w:kinsoku/>
                    <w:wordWrap/>
                    <w:topLinePunct w:val="0"/>
                    <w:bidi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sz w:val="21"/>
                      <w:szCs w:val="21"/>
                      <w:lang w:val="en-US" w:eastAsia="zh-CN"/>
                    </w:rPr>
                    <w:t>已建</w:t>
                  </w:r>
                </w:p>
              </w:tc>
            </w:tr>
            <w:tr w14:paraId="615BDD0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241" w:type="pct"/>
                  <w:vMerge w:val="continue"/>
                  <w:tcBorders>
                    <w:tl2br w:val="nil"/>
                    <w:tr2bl w:val="nil"/>
                  </w:tcBorders>
                  <w:noWrap w:val="0"/>
                  <w:vAlign w:val="center"/>
                </w:tcPr>
                <w:p w14:paraId="56659624">
                  <w:pPr>
                    <w:pStyle w:val="93"/>
                    <w:keepNext w:val="0"/>
                    <w:keepLines w:val="0"/>
                    <w:suppressLineNumbers w:val="0"/>
                    <w:adjustRightInd w:val="0"/>
                    <w:snapToGrid w:val="0"/>
                    <w:spacing w:before="0" w:beforeAutospacing="0" w:after="0" w:afterAutospacing="0"/>
                    <w:ind w:left="0" w:right="0" w:firstLine="0" w:firstLineChars="0"/>
                    <w:rPr>
                      <w:rFonts w:hint="default"/>
                    </w:rPr>
                  </w:pPr>
                </w:p>
              </w:tc>
              <w:tc>
                <w:tcPr>
                  <w:tcW w:w="774" w:type="pct"/>
                  <w:vMerge w:val="continue"/>
                  <w:tcBorders>
                    <w:tl2br w:val="nil"/>
                    <w:tr2bl w:val="nil"/>
                  </w:tcBorders>
                  <w:noWrap w:val="0"/>
                  <w:vAlign w:val="center"/>
                </w:tcPr>
                <w:p w14:paraId="6E504538">
                  <w:pPr>
                    <w:pStyle w:val="93"/>
                    <w:keepNext w:val="0"/>
                    <w:keepLines w:val="0"/>
                    <w:suppressLineNumbers w:val="0"/>
                    <w:adjustRightInd w:val="0"/>
                    <w:snapToGrid w:val="0"/>
                    <w:spacing w:before="0" w:beforeAutospacing="0" w:after="0" w:afterAutospacing="0"/>
                    <w:ind w:left="0" w:right="0" w:firstLine="0" w:firstLineChars="0"/>
                    <w:rPr>
                      <w:rFonts w:hint="default"/>
                    </w:rPr>
                  </w:pPr>
                </w:p>
              </w:tc>
              <w:tc>
                <w:tcPr>
                  <w:tcW w:w="306" w:type="pct"/>
                  <w:vMerge w:val="continue"/>
                  <w:tcBorders>
                    <w:tl2br w:val="nil"/>
                    <w:tr2bl w:val="nil"/>
                  </w:tcBorders>
                  <w:noWrap w:val="0"/>
                  <w:vAlign w:val="center"/>
                </w:tcPr>
                <w:p w14:paraId="3EA19979">
                  <w:pPr>
                    <w:pStyle w:val="93"/>
                    <w:keepNext w:val="0"/>
                    <w:keepLines w:val="0"/>
                    <w:suppressLineNumbers w:val="0"/>
                    <w:adjustRightInd w:val="0"/>
                    <w:snapToGrid w:val="0"/>
                    <w:spacing w:before="0" w:beforeAutospacing="0" w:after="0" w:afterAutospacing="0"/>
                    <w:ind w:left="0" w:right="0" w:firstLine="0" w:firstLineChars="0"/>
                    <w:rPr>
                      <w:rFonts w:hint="default"/>
                    </w:rPr>
                  </w:pPr>
                </w:p>
              </w:tc>
              <w:tc>
                <w:tcPr>
                  <w:tcW w:w="307" w:type="pct"/>
                  <w:tcBorders>
                    <w:tl2br w:val="nil"/>
                    <w:tr2bl w:val="nil"/>
                  </w:tcBorders>
                  <w:noWrap w:val="0"/>
                  <w:vAlign w:val="center"/>
                </w:tcPr>
                <w:p w14:paraId="2FC58A5D">
                  <w:pPr>
                    <w:pStyle w:val="93"/>
                    <w:keepNext w:val="0"/>
                    <w:keepLines w:val="0"/>
                    <w:suppressLineNumbers w:val="0"/>
                    <w:adjustRightInd w:val="0"/>
                    <w:snapToGrid w:val="0"/>
                    <w:spacing w:before="0" w:beforeAutospacing="0" w:after="0" w:afterAutospacing="0"/>
                    <w:ind w:left="0" w:right="0" w:firstLine="0" w:firstLineChars="0"/>
                    <w:rPr>
                      <w:rFonts w:hint="default" w:ascii="Times New Roman" w:hAnsi="Times New Roman" w:eastAsia="宋体" w:cs="Times New Roman"/>
                      <w:color w:val="000000"/>
                      <w:kern w:val="0"/>
                      <w:sz w:val="21"/>
                      <w:szCs w:val="21"/>
                      <w:highlight w:val="none"/>
                      <w:lang w:val="en-US" w:eastAsia="zh-CN"/>
                    </w:rPr>
                  </w:pPr>
                  <w:r>
                    <w:rPr>
                      <w:rFonts w:hint="eastAsia" w:cs="Times New Roman"/>
                      <w:color w:val="000000"/>
                      <w:kern w:val="0"/>
                      <w:sz w:val="21"/>
                      <w:szCs w:val="21"/>
                      <w:highlight w:val="none"/>
                      <w:lang w:val="en-US" w:eastAsia="zh-CN"/>
                    </w:rPr>
                    <w:t>生产废水</w:t>
                  </w:r>
                </w:p>
              </w:tc>
              <w:tc>
                <w:tcPr>
                  <w:tcW w:w="2618" w:type="pct"/>
                  <w:tcBorders>
                    <w:tl2br w:val="nil"/>
                    <w:tr2bl w:val="nil"/>
                  </w:tcBorders>
                  <w:noWrap w:val="0"/>
                  <w:vAlign w:val="center"/>
                </w:tcPr>
                <w:p w14:paraId="289747AE">
                  <w:pPr>
                    <w:pStyle w:val="93"/>
                    <w:keepNext w:val="0"/>
                    <w:keepLines w:val="0"/>
                    <w:suppressLineNumbers w:val="0"/>
                    <w:adjustRightInd w:val="0"/>
                    <w:snapToGrid w:val="0"/>
                    <w:spacing w:before="0" w:beforeAutospacing="0" w:after="0" w:afterAutospacing="0"/>
                    <w:ind w:left="0" w:right="0" w:firstLine="0" w:firstLineChars="0"/>
                    <w:rPr>
                      <w:rFonts w:hint="default"/>
                    </w:rPr>
                  </w:pPr>
                  <w:r>
                    <w:rPr>
                      <w:rFonts w:hint="eastAsia" w:cs="Times New Roman"/>
                      <w:sz w:val="21"/>
                      <w:szCs w:val="21"/>
                      <w:highlight w:val="none"/>
                      <w:lang w:val="en-US" w:eastAsia="zh-CN"/>
                    </w:rPr>
                    <w:t>诊疗室及手术室洗手池下方分别安装3台处理量为0.2t/h的小型废水治理设施（采取过滤+消毒工艺，污水消毒采用二氧化氯泡腾片消毒），动物诊疗废水经小型废水治理设施消毒处理后</w:t>
                  </w:r>
                  <w:r>
                    <w:rPr>
                      <w:rFonts w:hint="default" w:ascii="Times New Roman" w:hAnsi="Times New Roman" w:eastAsia="宋体" w:cs="Times New Roman"/>
                      <w:sz w:val="21"/>
                      <w:szCs w:val="21"/>
                      <w:highlight w:val="none"/>
                      <w:lang w:val="en-US" w:eastAsia="zh-CN"/>
                    </w:rPr>
                    <w:t>进入</w:t>
                  </w:r>
                  <w:r>
                    <w:rPr>
                      <w:rFonts w:hint="eastAsia" w:ascii="Times New Roman" w:hAnsi="Times New Roman" w:eastAsia="宋体" w:cs="Times New Roman"/>
                      <w:sz w:val="21"/>
                      <w:szCs w:val="21"/>
                      <w:highlight w:val="none"/>
                      <w:lang w:val="en-US" w:eastAsia="zh-CN"/>
                    </w:rPr>
                    <w:t>小区</w:t>
                  </w:r>
                  <w:r>
                    <w:rPr>
                      <w:rFonts w:hint="default" w:ascii="Times New Roman" w:hAnsi="Times New Roman" w:eastAsia="宋体" w:cs="Times New Roman"/>
                      <w:sz w:val="21"/>
                      <w:szCs w:val="21"/>
                      <w:highlight w:val="none"/>
                      <w:lang w:val="en-US" w:eastAsia="zh-CN"/>
                    </w:rPr>
                    <w:t>化粪池处理，纳入市政污水管网，最终进入库尔勒市南市区污水处理厂集中处理</w:t>
                  </w:r>
                  <w:r>
                    <w:rPr>
                      <w:rFonts w:hint="eastAsia" w:ascii="Times New Roman" w:hAnsi="Times New Roman" w:eastAsia="宋体" w:cs="Times New Roman"/>
                      <w:sz w:val="21"/>
                      <w:szCs w:val="21"/>
                      <w:highlight w:val="none"/>
                      <w:lang w:val="en-US" w:eastAsia="zh-CN"/>
                    </w:rPr>
                    <w:t>。</w:t>
                  </w:r>
                  <w:r>
                    <w:rPr>
                      <w:rFonts w:hint="default"/>
                      <w:sz w:val="21"/>
                      <w:szCs w:val="21"/>
                      <w:lang w:val="en-US" w:eastAsia="zh-CN"/>
                    </w:rPr>
                    <w:t>宠物清洗废水和生活污水进入小区化粪池处理后，纳入市政污水管网，最终进入库尔勒市南市区污水处理厂集中处理。</w:t>
                  </w:r>
                </w:p>
              </w:tc>
              <w:tc>
                <w:tcPr>
                  <w:tcW w:w="750" w:type="pct"/>
                  <w:tcBorders>
                    <w:tl2br w:val="nil"/>
                    <w:tr2bl w:val="nil"/>
                  </w:tcBorders>
                  <w:noWrap w:val="0"/>
                  <w:vAlign w:val="center"/>
                </w:tcPr>
                <w:p w14:paraId="225B1F53">
                  <w:pPr>
                    <w:pStyle w:val="93"/>
                    <w:keepNext w:val="0"/>
                    <w:keepLines w:val="0"/>
                    <w:pageBreakBefore w:val="0"/>
                    <w:suppressLineNumbers w:val="0"/>
                    <w:kinsoku/>
                    <w:wordWrap/>
                    <w:topLinePunct w:val="0"/>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000000"/>
                      <w:kern w:val="0"/>
                      <w:sz w:val="21"/>
                      <w:szCs w:val="21"/>
                      <w:highlight w:val="none"/>
                    </w:rPr>
                  </w:pPr>
                  <w:r>
                    <w:rPr>
                      <w:rFonts w:hint="eastAsia" w:cs="Times New Roman"/>
                      <w:color w:val="000000"/>
                      <w:sz w:val="21"/>
                      <w:szCs w:val="21"/>
                      <w:lang w:val="en-US" w:eastAsia="zh-CN"/>
                    </w:rPr>
                    <w:t>新建</w:t>
                  </w:r>
                </w:p>
              </w:tc>
            </w:tr>
            <w:tr w14:paraId="27D8F50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1" w:type="pct"/>
                  <w:vMerge w:val="continue"/>
                  <w:tcBorders>
                    <w:tl2br w:val="nil"/>
                    <w:tr2bl w:val="nil"/>
                  </w:tcBorders>
                  <w:noWrap w:val="0"/>
                  <w:vAlign w:val="center"/>
                </w:tcPr>
                <w:p w14:paraId="331FC4D8">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center"/>
                    <w:textAlignment w:val="center"/>
                    <w:rPr>
                      <w:rFonts w:hint="default" w:ascii="Times New Roman" w:hAnsi="Times New Roman" w:eastAsia="宋体" w:cs="Times New Roman"/>
                      <w:color w:val="000000"/>
                      <w:sz w:val="21"/>
                      <w:szCs w:val="21"/>
                      <w:lang w:val="en-US" w:eastAsia="zh-CN"/>
                    </w:rPr>
                  </w:pPr>
                </w:p>
              </w:tc>
              <w:tc>
                <w:tcPr>
                  <w:tcW w:w="774" w:type="pct"/>
                  <w:vMerge w:val="continue"/>
                  <w:tcBorders>
                    <w:tl2br w:val="nil"/>
                    <w:tr2bl w:val="nil"/>
                  </w:tcBorders>
                  <w:noWrap w:val="0"/>
                  <w:vAlign w:val="center"/>
                </w:tcPr>
                <w:p w14:paraId="68A42B1C">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center"/>
                    <w:textAlignment w:val="center"/>
                    <w:rPr>
                      <w:rFonts w:hint="default" w:ascii="Times New Roman" w:hAnsi="Times New Roman" w:eastAsia="宋体" w:cs="Times New Roman"/>
                      <w:color w:val="000000"/>
                      <w:sz w:val="21"/>
                      <w:szCs w:val="21"/>
                      <w:lang w:val="en-US" w:eastAsia="zh-CN"/>
                    </w:rPr>
                  </w:pPr>
                </w:p>
              </w:tc>
              <w:tc>
                <w:tcPr>
                  <w:tcW w:w="614" w:type="pct"/>
                  <w:gridSpan w:val="2"/>
                  <w:tcBorders>
                    <w:tl2br w:val="nil"/>
                    <w:tr2bl w:val="nil"/>
                  </w:tcBorders>
                  <w:noWrap w:val="0"/>
                  <w:vAlign w:val="center"/>
                </w:tcPr>
                <w:p w14:paraId="7101E8AC">
                  <w:pPr>
                    <w:pStyle w:val="93"/>
                    <w:keepNext w:val="0"/>
                    <w:keepLines w:val="0"/>
                    <w:suppressLineNumbers w:val="0"/>
                    <w:adjustRightInd w:val="0"/>
                    <w:snapToGrid w:val="0"/>
                    <w:spacing w:before="0" w:beforeAutospacing="0" w:after="0" w:afterAutospacing="0"/>
                    <w:ind w:left="0" w:right="0" w:firstLine="0" w:firstLineChars="0"/>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kern w:val="0"/>
                      <w:sz w:val="21"/>
                      <w:szCs w:val="21"/>
                    </w:rPr>
                    <w:t>噪声</w:t>
                  </w:r>
                </w:p>
              </w:tc>
              <w:tc>
                <w:tcPr>
                  <w:tcW w:w="2618" w:type="pct"/>
                  <w:tcBorders>
                    <w:tl2br w:val="nil"/>
                    <w:tr2bl w:val="nil"/>
                  </w:tcBorders>
                  <w:noWrap w:val="0"/>
                  <w:vAlign w:val="center"/>
                </w:tcPr>
                <w:p w14:paraId="27BA8098">
                  <w:pPr>
                    <w:pStyle w:val="93"/>
                    <w:keepNext w:val="0"/>
                    <w:keepLines w:val="0"/>
                    <w:suppressLineNumbers w:val="0"/>
                    <w:adjustRightInd w:val="0"/>
                    <w:snapToGrid w:val="0"/>
                    <w:spacing w:before="0" w:beforeAutospacing="0" w:after="0" w:afterAutospacing="0"/>
                    <w:ind w:left="0" w:right="0" w:firstLine="0" w:firstLineChars="0"/>
                    <w:jc w:val="both"/>
                    <w:rPr>
                      <w:rFonts w:hint="default" w:ascii="Times New Roman" w:hAnsi="Times New Roman" w:eastAsia="宋体" w:cs="Times New Roman"/>
                      <w:color w:val="000000"/>
                      <w:sz w:val="21"/>
                      <w:szCs w:val="21"/>
                      <w:highlight w:val="yellow"/>
                      <w:lang w:val="en-US" w:eastAsia="zh-CN"/>
                    </w:rPr>
                  </w:pPr>
                  <w:r>
                    <w:rPr>
                      <w:rFonts w:hint="default" w:ascii="Times New Roman" w:hAnsi="Times New Roman" w:eastAsia="宋体" w:cs="Times New Roman"/>
                      <w:color w:val="000000"/>
                      <w:sz w:val="21"/>
                      <w:szCs w:val="21"/>
                      <w:highlight w:val="none"/>
                      <w:lang w:val="en-US" w:eastAsia="zh-CN"/>
                    </w:rPr>
                    <w:t>采用低噪设备、加强对宠物的管理，避免宠物处于饥饿状态，医院合理布局，采用墙体建筑</w:t>
                  </w:r>
                  <w:r>
                    <w:rPr>
                      <w:rFonts w:hint="eastAsia" w:cs="Times New Roman"/>
                      <w:color w:val="000000"/>
                      <w:sz w:val="21"/>
                      <w:szCs w:val="21"/>
                      <w:highlight w:val="none"/>
                      <w:lang w:val="en-US" w:eastAsia="zh-CN"/>
                    </w:rPr>
                    <w:t>降噪</w:t>
                  </w:r>
                  <w:r>
                    <w:rPr>
                      <w:rFonts w:hint="default" w:ascii="Times New Roman" w:hAnsi="Times New Roman" w:eastAsia="宋体" w:cs="Times New Roman"/>
                      <w:color w:val="000000"/>
                      <w:sz w:val="21"/>
                      <w:szCs w:val="21"/>
                      <w:highlight w:val="none"/>
                      <w:lang w:val="en-US" w:eastAsia="zh-CN"/>
                    </w:rPr>
                    <w:t>，夜间关闭门窗，减少宠物可能产生的噪声影响</w:t>
                  </w:r>
                  <w:r>
                    <w:rPr>
                      <w:rFonts w:hint="eastAsia" w:cs="Times New Roman"/>
                      <w:color w:val="000000"/>
                      <w:sz w:val="21"/>
                      <w:szCs w:val="21"/>
                      <w:highlight w:val="none"/>
                      <w:lang w:val="en-US" w:eastAsia="zh-CN"/>
                    </w:rPr>
                    <w:t>。</w:t>
                  </w:r>
                </w:p>
              </w:tc>
              <w:tc>
                <w:tcPr>
                  <w:tcW w:w="750" w:type="pct"/>
                  <w:tcBorders>
                    <w:tl2br w:val="nil"/>
                    <w:tr2bl w:val="nil"/>
                  </w:tcBorders>
                  <w:noWrap w:val="0"/>
                  <w:vAlign w:val="center"/>
                </w:tcPr>
                <w:p w14:paraId="0ABDD3C3">
                  <w:pPr>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kern w:val="0"/>
                      <w:sz w:val="21"/>
                      <w:szCs w:val="21"/>
                    </w:rPr>
                  </w:pPr>
                  <w:r>
                    <w:rPr>
                      <w:rFonts w:hint="eastAsia" w:cs="Times New Roman"/>
                      <w:color w:val="000000"/>
                      <w:sz w:val="21"/>
                      <w:szCs w:val="21"/>
                      <w:lang w:val="en-US" w:eastAsia="zh-CN"/>
                    </w:rPr>
                    <w:t>已建</w:t>
                  </w:r>
                </w:p>
              </w:tc>
            </w:tr>
            <w:tr w14:paraId="26A4E01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1" w:type="pct"/>
                  <w:vMerge w:val="continue"/>
                  <w:tcBorders>
                    <w:tl2br w:val="nil"/>
                    <w:tr2bl w:val="nil"/>
                  </w:tcBorders>
                  <w:noWrap w:val="0"/>
                  <w:vAlign w:val="center"/>
                </w:tcPr>
                <w:p w14:paraId="7E4DA06D">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center"/>
                    <w:textAlignment w:val="center"/>
                    <w:rPr>
                      <w:rFonts w:hint="default" w:ascii="Times New Roman" w:hAnsi="Times New Roman" w:eastAsia="宋体" w:cs="Times New Roman"/>
                      <w:color w:val="000000"/>
                      <w:sz w:val="21"/>
                      <w:szCs w:val="21"/>
                      <w:lang w:val="en-US" w:eastAsia="zh-CN"/>
                    </w:rPr>
                  </w:pPr>
                </w:p>
              </w:tc>
              <w:tc>
                <w:tcPr>
                  <w:tcW w:w="774" w:type="pct"/>
                  <w:vMerge w:val="continue"/>
                  <w:tcBorders>
                    <w:tl2br w:val="nil"/>
                    <w:tr2bl w:val="nil"/>
                  </w:tcBorders>
                  <w:noWrap w:val="0"/>
                  <w:vAlign w:val="center"/>
                </w:tcPr>
                <w:p w14:paraId="104070EA">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center"/>
                    <w:textAlignment w:val="center"/>
                    <w:rPr>
                      <w:rFonts w:hint="default" w:ascii="Times New Roman" w:hAnsi="Times New Roman" w:eastAsia="宋体" w:cs="Times New Roman"/>
                      <w:color w:val="000000"/>
                      <w:sz w:val="21"/>
                      <w:szCs w:val="21"/>
                      <w:lang w:val="en-US" w:eastAsia="zh-CN"/>
                    </w:rPr>
                  </w:pPr>
                </w:p>
              </w:tc>
              <w:tc>
                <w:tcPr>
                  <w:tcW w:w="614" w:type="pct"/>
                  <w:gridSpan w:val="2"/>
                  <w:tcBorders>
                    <w:tl2br w:val="nil"/>
                    <w:tr2bl w:val="nil"/>
                  </w:tcBorders>
                  <w:noWrap w:val="0"/>
                  <w:vAlign w:val="center"/>
                </w:tcPr>
                <w:p w14:paraId="391A1BB1">
                  <w:pPr>
                    <w:pStyle w:val="93"/>
                    <w:keepNext w:val="0"/>
                    <w:keepLines w:val="0"/>
                    <w:suppressLineNumbers w:val="0"/>
                    <w:adjustRightInd w:val="0"/>
                    <w:snapToGrid w:val="0"/>
                    <w:spacing w:before="0" w:beforeAutospacing="0" w:after="0" w:afterAutospacing="0"/>
                    <w:ind w:left="0" w:right="0" w:firstLine="0" w:firstLineChars="0"/>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一般</w:t>
                  </w:r>
                  <w:r>
                    <w:rPr>
                      <w:rFonts w:hint="default" w:ascii="Times New Roman" w:hAnsi="Times New Roman" w:eastAsia="宋体" w:cs="Times New Roman"/>
                      <w:color w:val="000000"/>
                      <w:kern w:val="0"/>
                      <w:sz w:val="21"/>
                      <w:szCs w:val="21"/>
                      <w:highlight w:val="none"/>
                    </w:rPr>
                    <w:t>固废</w:t>
                  </w:r>
                </w:p>
              </w:tc>
              <w:tc>
                <w:tcPr>
                  <w:tcW w:w="2618" w:type="pct"/>
                  <w:tcBorders>
                    <w:tl2br w:val="nil"/>
                    <w:tr2bl w:val="nil"/>
                  </w:tcBorders>
                  <w:noWrap w:val="0"/>
                  <w:vAlign w:val="center"/>
                </w:tcPr>
                <w:p w14:paraId="6D6BE07A">
                  <w:pPr>
                    <w:pStyle w:val="93"/>
                    <w:keepNext w:val="0"/>
                    <w:keepLines w:val="0"/>
                    <w:suppressLineNumbers w:val="0"/>
                    <w:adjustRightInd w:val="0"/>
                    <w:snapToGrid w:val="0"/>
                    <w:spacing w:before="0" w:beforeAutospacing="0" w:after="0" w:afterAutospacing="0"/>
                    <w:ind w:left="0" w:right="0" w:firstLine="0" w:firstLineChars="0"/>
                    <w:jc w:val="both"/>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宠物粪便、美容废弃物</w:t>
                  </w:r>
                  <w:r>
                    <w:rPr>
                      <w:rFonts w:hint="eastAsia" w:cs="Times New Roman"/>
                      <w:color w:val="000000"/>
                      <w:sz w:val="21"/>
                      <w:szCs w:val="21"/>
                      <w:highlight w:val="none"/>
                      <w:lang w:val="en-US" w:eastAsia="zh-CN"/>
                    </w:rPr>
                    <w:t>与</w:t>
                  </w:r>
                  <w:r>
                    <w:rPr>
                      <w:rFonts w:hint="default" w:ascii="Times New Roman" w:hAnsi="Times New Roman" w:eastAsia="宋体" w:cs="Times New Roman"/>
                      <w:color w:val="000000"/>
                      <w:sz w:val="21"/>
                      <w:szCs w:val="21"/>
                      <w:highlight w:val="none"/>
                      <w:lang w:val="en-US" w:eastAsia="zh-CN"/>
                    </w:rPr>
                    <w:t>生活垃圾</w:t>
                  </w:r>
                  <w:r>
                    <w:rPr>
                      <w:rFonts w:hint="eastAsia" w:cs="Times New Roman"/>
                      <w:color w:val="000000"/>
                      <w:sz w:val="21"/>
                      <w:szCs w:val="21"/>
                      <w:highlight w:val="none"/>
                      <w:lang w:val="en-US" w:eastAsia="zh-CN"/>
                    </w:rPr>
                    <w:t>一同</w:t>
                  </w:r>
                  <w:r>
                    <w:rPr>
                      <w:rFonts w:hint="default" w:ascii="Times New Roman" w:hAnsi="Times New Roman" w:eastAsia="宋体" w:cs="Times New Roman"/>
                      <w:color w:val="000000"/>
                      <w:sz w:val="21"/>
                      <w:szCs w:val="21"/>
                      <w:highlight w:val="none"/>
                      <w:lang w:val="en-US" w:eastAsia="zh-CN"/>
                    </w:rPr>
                    <w:t>暂存于垃圾桶，交由环卫部门</w:t>
                  </w:r>
                  <w:r>
                    <w:rPr>
                      <w:rFonts w:hint="eastAsia" w:cs="Times New Roman"/>
                      <w:color w:val="000000"/>
                      <w:sz w:val="21"/>
                      <w:szCs w:val="21"/>
                      <w:highlight w:val="none"/>
                      <w:lang w:val="en-US" w:eastAsia="zh-CN"/>
                    </w:rPr>
                    <w:t>统一</w:t>
                  </w:r>
                  <w:r>
                    <w:rPr>
                      <w:rFonts w:hint="default" w:ascii="Times New Roman" w:hAnsi="Times New Roman" w:eastAsia="宋体" w:cs="Times New Roman"/>
                      <w:color w:val="000000"/>
                      <w:sz w:val="21"/>
                      <w:szCs w:val="21"/>
                      <w:highlight w:val="none"/>
                      <w:lang w:val="en-US" w:eastAsia="zh-CN"/>
                    </w:rPr>
                    <w:t>清运</w:t>
                  </w:r>
                  <w:r>
                    <w:rPr>
                      <w:rFonts w:hint="eastAsia" w:cs="Times New Roman"/>
                      <w:color w:val="000000"/>
                      <w:sz w:val="21"/>
                      <w:szCs w:val="21"/>
                      <w:highlight w:val="none"/>
                      <w:lang w:val="en-US" w:eastAsia="zh-CN"/>
                    </w:rPr>
                    <w:t>。</w:t>
                  </w:r>
                </w:p>
              </w:tc>
              <w:tc>
                <w:tcPr>
                  <w:tcW w:w="750" w:type="pct"/>
                  <w:tcBorders>
                    <w:tl2br w:val="nil"/>
                    <w:tr2bl w:val="nil"/>
                  </w:tcBorders>
                  <w:noWrap w:val="0"/>
                  <w:vAlign w:val="center"/>
                </w:tcPr>
                <w:p w14:paraId="19B893DE">
                  <w:pPr>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cs="Times New Roman"/>
                      <w:color w:val="000000"/>
                      <w:highlight w:val="none"/>
                      <w:lang w:val="en-US" w:eastAsia="zh-CN"/>
                    </w:rPr>
                  </w:pPr>
                  <w:r>
                    <w:rPr>
                      <w:rFonts w:hint="eastAsia" w:cs="Times New Roman"/>
                      <w:color w:val="000000"/>
                      <w:sz w:val="21"/>
                      <w:szCs w:val="21"/>
                      <w:lang w:val="en-US" w:eastAsia="zh-CN"/>
                    </w:rPr>
                    <w:t>已建</w:t>
                  </w:r>
                </w:p>
              </w:tc>
            </w:tr>
            <w:tr w14:paraId="2CC5F7D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1" w:type="pct"/>
                  <w:vMerge w:val="continue"/>
                  <w:tcBorders>
                    <w:tl2br w:val="nil"/>
                    <w:tr2bl w:val="nil"/>
                  </w:tcBorders>
                  <w:noWrap w:val="0"/>
                  <w:vAlign w:val="center"/>
                </w:tcPr>
                <w:p w14:paraId="361660E6">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center"/>
                    <w:textAlignment w:val="center"/>
                    <w:rPr>
                      <w:rFonts w:hint="default" w:ascii="Times New Roman" w:hAnsi="Times New Roman" w:eastAsia="宋体" w:cs="Times New Roman"/>
                      <w:color w:val="000000"/>
                      <w:sz w:val="21"/>
                      <w:szCs w:val="21"/>
                      <w:lang w:val="en-US" w:eastAsia="zh-CN"/>
                    </w:rPr>
                  </w:pPr>
                </w:p>
              </w:tc>
              <w:tc>
                <w:tcPr>
                  <w:tcW w:w="774" w:type="pct"/>
                  <w:vMerge w:val="continue"/>
                  <w:tcBorders>
                    <w:tl2br w:val="nil"/>
                    <w:tr2bl w:val="nil"/>
                  </w:tcBorders>
                  <w:noWrap w:val="0"/>
                  <w:vAlign w:val="center"/>
                </w:tcPr>
                <w:p w14:paraId="16B0ACA5">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center"/>
                    <w:textAlignment w:val="center"/>
                    <w:rPr>
                      <w:rFonts w:hint="default" w:ascii="Times New Roman" w:hAnsi="Times New Roman" w:eastAsia="宋体" w:cs="Times New Roman"/>
                      <w:color w:val="000000"/>
                      <w:sz w:val="21"/>
                      <w:szCs w:val="21"/>
                      <w:lang w:val="en-US" w:eastAsia="zh-CN"/>
                    </w:rPr>
                  </w:pPr>
                </w:p>
              </w:tc>
              <w:tc>
                <w:tcPr>
                  <w:tcW w:w="614" w:type="pct"/>
                  <w:gridSpan w:val="2"/>
                  <w:tcBorders>
                    <w:tl2br w:val="nil"/>
                    <w:tr2bl w:val="nil"/>
                  </w:tcBorders>
                  <w:noWrap w:val="0"/>
                  <w:vAlign w:val="center"/>
                </w:tcPr>
                <w:p w14:paraId="62FE2C94">
                  <w:pPr>
                    <w:pStyle w:val="93"/>
                    <w:keepNext w:val="0"/>
                    <w:keepLines w:val="0"/>
                    <w:suppressLineNumbers w:val="0"/>
                    <w:adjustRightInd w:val="0"/>
                    <w:snapToGrid w:val="0"/>
                    <w:spacing w:before="0" w:beforeAutospacing="0" w:after="0" w:afterAutospacing="0"/>
                    <w:ind w:left="0" w:right="0" w:firstLine="0" w:firstLineChars="0"/>
                    <w:rPr>
                      <w:rFonts w:hint="default" w:ascii="Times New Roman" w:hAnsi="Times New Roman" w:eastAsia="宋体" w:cs="Times New Roman"/>
                      <w:color w:val="000000"/>
                      <w:sz w:val="21"/>
                      <w:szCs w:val="21"/>
                      <w:highlight w:val="none"/>
                      <w:lang w:val="en-US" w:eastAsia="zh-CN"/>
                    </w:rPr>
                  </w:pPr>
                  <w:r>
                    <w:rPr>
                      <w:rFonts w:hint="eastAsia" w:cs="Times New Roman"/>
                      <w:color w:val="000000"/>
                      <w:kern w:val="0"/>
                      <w:sz w:val="21"/>
                      <w:szCs w:val="21"/>
                      <w:lang w:val="en-US" w:eastAsia="zh-CN"/>
                    </w:rPr>
                    <w:t>动物诊疗废物</w:t>
                  </w:r>
                </w:p>
              </w:tc>
              <w:tc>
                <w:tcPr>
                  <w:tcW w:w="2618" w:type="pct"/>
                  <w:tcBorders>
                    <w:tl2br w:val="nil"/>
                    <w:tr2bl w:val="nil"/>
                  </w:tcBorders>
                  <w:noWrap w:val="0"/>
                  <w:vAlign w:val="center"/>
                </w:tcPr>
                <w:p w14:paraId="6C0AF261">
                  <w:pPr>
                    <w:pStyle w:val="93"/>
                    <w:keepNext w:val="0"/>
                    <w:keepLines w:val="0"/>
                    <w:suppressLineNumbers w:val="0"/>
                    <w:adjustRightInd w:val="0"/>
                    <w:snapToGrid w:val="0"/>
                    <w:spacing w:before="0" w:beforeAutospacing="0" w:after="0" w:afterAutospacing="0"/>
                    <w:ind w:left="0" w:right="0" w:firstLine="0" w:firstLineChars="0"/>
                    <w:rPr>
                      <w:rFonts w:hint="default" w:ascii="Times New Roman" w:hAnsi="Times New Roman" w:eastAsia="宋体" w:cs="Times New Roman"/>
                      <w:color w:val="000000"/>
                      <w:sz w:val="21"/>
                      <w:szCs w:val="21"/>
                      <w:highlight w:val="yellow"/>
                      <w:lang w:val="en-US" w:eastAsia="zh-CN"/>
                    </w:rPr>
                  </w:pPr>
                  <w:r>
                    <w:rPr>
                      <w:rFonts w:hint="eastAsia" w:cs="Times New Roman"/>
                      <w:color w:val="000000"/>
                      <w:sz w:val="21"/>
                      <w:szCs w:val="21"/>
                      <w:highlight w:val="none"/>
                      <w:lang w:val="en-US" w:eastAsia="zh-CN"/>
                    </w:rPr>
                    <w:t>动物诊疗废物按照医疗废物进行管理，</w:t>
                  </w:r>
                  <w:r>
                    <w:rPr>
                      <w:rFonts w:hint="default" w:ascii="Times New Roman" w:hAnsi="Times New Roman" w:eastAsia="宋体" w:cs="Times New Roman"/>
                      <w:color w:val="000000"/>
                      <w:sz w:val="21"/>
                      <w:szCs w:val="21"/>
                      <w:highlight w:val="none"/>
                      <w:lang w:val="en-US" w:eastAsia="zh-CN"/>
                    </w:rPr>
                    <w:t>收集至</w:t>
                  </w:r>
                  <w:r>
                    <w:rPr>
                      <w:rFonts w:hint="eastAsia" w:cs="Times New Roman"/>
                      <w:color w:val="000000"/>
                      <w:sz w:val="21"/>
                      <w:szCs w:val="21"/>
                      <w:highlight w:val="none"/>
                      <w:lang w:val="en-US" w:eastAsia="zh-CN"/>
                    </w:rPr>
                    <w:t>医疗</w:t>
                  </w:r>
                  <w:r>
                    <w:rPr>
                      <w:rFonts w:hint="default" w:ascii="Times New Roman" w:hAnsi="Times New Roman" w:eastAsia="宋体" w:cs="Times New Roman"/>
                      <w:color w:val="000000"/>
                      <w:sz w:val="21"/>
                      <w:szCs w:val="21"/>
                      <w:highlight w:val="none"/>
                      <w:lang w:val="en-US" w:eastAsia="zh-CN"/>
                    </w:rPr>
                    <w:t>废物暂时贮存柜（箱），委托库尔勒天达环卫有限责任公司集中处置。</w:t>
                  </w:r>
                </w:p>
              </w:tc>
              <w:tc>
                <w:tcPr>
                  <w:tcW w:w="750" w:type="pct"/>
                  <w:tcBorders>
                    <w:tl2br w:val="nil"/>
                    <w:tr2bl w:val="nil"/>
                  </w:tcBorders>
                  <w:noWrap w:val="0"/>
                  <w:vAlign w:val="center"/>
                </w:tcPr>
                <w:p w14:paraId="43299C46">
                  <w:pPr>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lang w:val="en-US"/>
                    </w:rPr>
                  </w:pPr>
                  <w:r>
                    <w:rPr>
                      <w:rFonts w:hint="eastAsia" w:cs="Times New Roman"/>
                      <w:color w:val="000000"/>
                      <w:sz w:val="21"/>
                      <w:szCs w:val="21"/>
                      <w:lang w:val="en-US" w:eastAsia="zh-CN"/>
                    </w:rPr>
                    <w:t>新建</w:t>
                  </w:r>
                </w:p>
              </w:tc>
            </w:tr>
          </w:tbl>
          <w:p w14:paraId="48B3E34C">
            <w:pPr>
              <w:pStyle w:val="5"/>
              <w:suppressLineNumbers w:val="0"/>
              <w:bidi w:val="0"/>
              <w:spacing w:before="0" w:beforeAutospacing="0" w:after="0" w:afterAutospacing="0"/>
              <w:ind w:left="0" w:right="0"/>
              <w:rPr>
                <w:rFonts w:hint="default" w:cs="Times New Roman"/>
                <w:color w:val="000000"/>
                <w:highlight w:val="none"/>
                <w:lang w:val="en-US" w:eastAsia="zh-CN"/>
              </w:rPr>
            </w:pPr>
            <w:bookmarkStart w:id="8" w:name="_Toc5886"/>
            <w:r>
              <w:rPr>
                <w:rFonts w:hint="eastAsia" w:cs="Times New Roman"/>
                <w:color w:val="000000"/>
                <w:highlight w:val="none"/>
                <w:lang w:val="en-US" w:eastAsia="zh-CN"/>
              </w:rPr>
              <w:t>2、服务方案</w:t>
            </w:r>
          </w:p>
          <w:p w14:paraId="23453F15">
            <w:pPr>
              <w:keepNext w:val="0"/>
              <w:keepLines w:val="0"/>
              <w:suppressLineNumbers w:val="0"/>
              <w:spacing w:before="0" w:beforeAutospacing="0" w:after="0" w:afterAutospacing="0"/>
              <w:ind w:left="0" w:right="0" w:firstLine="420" w:firstLineChars="200"/>
              <w:rPr>
                <w:rFonts w:hint="default"/>
                <w:b/>
                <w:bCs/>
                <w:color w:val="000000"/>
                <w:kern w:val="0"/>
                <w:sz w:val="21"/>
                <w:szCs w:val="21"/>
              </w:rPr>
            </w:pPr>
            <w:r>
              <w:rPr>
                <w:rFonts w:hint="eastAsia"/>
                <w:color w:val="000000"/>
                <w:kern w:val="0"/>
                <w:sz w:val="21"/>
                <w:szCs w:val="21"/>
                <w:lang w:val="en-US" w:eastAsia="zh-CN"/>
              </w:rPr>
              <w:t>本项目服务方案</w:t>
            </w:r>
            <w:r>
              <w:rPr>
                <w:rFonts w:hint="default"/>
                <w:color w:val="000000"/>
                <w:kern w:val="0"/>
                <w:sz w:val="21"/>
                <w:szCs w:val="21"/>
              </w:rPr>
              <w:t>见表</w:t>
            </w:r>
            <w:r>
              <w:rPr>
                <w:rFonts w:hint="eastAsia"/>
                <w:color w:val="000000"/>
                <w:kern w:val="0"/>
                <w:sz w:val="21"/>
                <w:szCs w:val="21"/>
                <w:lang w:val="en-US" w:eastAsia="zh-CN"/>
              </w:rPr>
              <w:t>2-2</w:t>
            </w:r>
            <w:r>
              <w:rPr>
                <w:rFonts w:hint="eastAsia"/>
                <w:color w:val="000000"/>
                <w:kern w:val="0"/>
                <w:sz w:val="21"/>
                <w:szCs w:val="21"/>
              </w:rPr>
              <w:t>。</w:t>
            </w:r>
          </w:p>
          <w:p w14:paraId="46136533">
            <w:pPr>
              <w:keepNext w:val="0"/>
              <w:keepLines w:val="0"/>
              <w:suppressLineNumbers w:val="0"/>
              <w:adjustRightInd w:val="0"/>
              <w:snapToGrid w:val="0"/>
              <w:spacing w:before="0" w:beforeAutospacing="0" w:after="0" w:afterAutospacing="0" w:line="240" w:lineRule="auto"/>
              <w:ind w:left="0" w:right="0" w:firstLine="422" w:firstLineChars="200"/>
              <w:rPr>
                <w:rFonts w:hint="default"/>
                <w:b/>
                <w:bCs/>
                <w:color w:val="000000"/>
                <w:kern w:val="0"/>
                <w:sz w:val="21"/>
                <w:szCs w:val="21"/>
                <w:lang w:val="en-US"/>
              </w:rPr>
            </w:pPr>
            <w:r>
              <w:rPr>
                <w:rFonts w:hint="default"/>
                <w:b/>
                <w:bCs/>
                <w:color w:val="000000"/>
                <w:kern w:val="0"/>
                <w:sz w:val="21"/>
                <w:szCs w:val="21"/>
              </w:rPr>
              <w:t>表</w:t>
            </w:r>
            <w:r>
              <w:rPr>
                <w:rFonts w:hint="eastAsia"/>
                <w:b/>
                <w:bCs/>
                <w:color w:val="000000"/>
                <w:kern w:val="0"/>
                <w:sz w:val="21"/>
                <w:szCs w:val="21"/>
                <w:lang w:val="en-US" w:eastAsia="zh-CN"/>
              </w:rPr>
              <w:t>2-2</w:t>
            </w:r>
            <w:r>
              <w:rPr>
                <w:rFonts w:hint="default"/>
                <w:b/>
                <w:bCs/>
                <w:color w:val="000000"/>
                <w:kern w:val="0"/>
                <w:sz w:val="21"/>
                <w:szCs w:val="21"/>
              </w:rPr>
              <w:t xml:space="preserve">                  </w:t>
            </w:r>
            <w:r>
              <w:rPr>
                <w:rFonts w:hint="eastAsia"/>
                <w:b/>
                <w:bCs/>
                <w:color w:val="000000"/>
                <w:kern w:val="0"/>
                <w:sz w:val="21"/>
                <w:szCs w:val="21"/>
                <w:lang w:val="en-US" w:eastAsia="zh-CN"/>
              </w:rPr>
              <w:t>服务方案表</w:t>
            </w:r>
          </w:p>
          <w:tbl>
            <w:tblPr>
              <w:tblStyle w:val="31"/>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1070"/>
              <w:gridCol w:w="781"/>
              <w:gridCol w:w="832"/>
              <w:gridCol w:w="832"/>
              <w:gridCol w:w="4045"/>
            </w:tblGrid>
            <w:tr w14:paraId="2D8E4D2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0" w:type="pct"/>
                  <w:noWrap w:val="0"/>
                  <w:vAlign w:val="center"/>
                </w:tcPr>
                <w:p w14:paraId="490C0E3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000000"/>
                      <w:kern w:val="0"/>
                      <w:sz w:val="21"/>
                      <w:szCs w:val="21"/>
                    </w:rPr>
                  </w:pPr>
                  <w:r>
                    <w:rPr>
                      <w:rFonts w:hint="default"/>
                      <w:color w:val="000000"/>
                      <w:kern w:val="0"/>
                      <w:sz w:val="21"/>
                      <w:szCs w:val="21"/>
                    </w:rPr>
                    <w:t>序号</w:t>
                  </w:r>
                </w:p>
              </w:tc>
              <w:tc>
                <w:tcPr>
                  <w:tcW w:w="1125" w:type="pct"/>
                  <w:gridSpan w:val="2"/>
                  <w:noWrap w:val="0"/>
                  <w:vAlign w:val="center"/>
                </w:tcPr>
                <w:p w14:paraId="73A4EDE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000000"/>
                      <w:kern w:val="0"/>
                      <w:sz w:val="21"/>
                      <w:szCs w:val="21"/>
                    </w:rPr>
                  </w:pPr>
                  <w:r>
                    <w:rPr>
                      <w:rFonts w:hint="default" w:ascii="Times New Roman" w:hAnsi="Times New Roman" w:eastAsia="宋体" w:cs="Times New Roman"/>
                      <w:sz w:val="21"/>
                      <w:szCs w:val="21"/>
                    </w:rPr>
                    <w:t>项目内容</w:t>
                  </w:r>
                </w:p>
              </w:tc>
              <w:tc>
                <w:tcPr>
                  <w:tcW w:w="506" w:type="pct"/>
                  <w:noWrap w:val="0"/>
                  <w:vAlign w:val="center"/>
                </w:tcPr>
                <w:p w14:paraId="3FE4999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eastAsia="宋体"/>
                      <w:color w:val="000000"/>
                      <w:kern w:val="0"/>
                      <w:sz w:val="21"/>
                      <w:szCs w:val="21"/>
                      <w:lang w:val="en-US" w:eastAsia="zh-CN"/>
                    </w:rPr>
                  </w:pPr>
                  <w:r>
                    <w:rPr>
                      <w:rFonts w:hint="default" w:ascii="Times New Roman" w:hAnsi="Times New Roman" w:eastAsia="宋体" w:cs="Times New Roman"/>
                      <w:sz w:val="21"/>
                      <w:szCs w:val="21"/>
                    </w:rPr>
                    <w:t>数量</w:t>
                  </w:r>
                </w:p>
              </w:tc>
              <w:tc>
                <w:tcPr>
                  <w:tcW w:w="506" w:type="pct"/>
                  <w:noWrap w:val="0"/>
                  <w:vAlign w:val="center"/>
                </w:tcPr>
                <w:p w14:paraId="728478F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000000"/>
                      <w:kern w:val="0"/>
                      <w:sz w:val="21"/>
                      <w:szCs w:val="21"/>
                    </w:rPr>
                  </w:pPr>
                  <w:r>
                    <w:rPr>
                      <w:rFonts w:hint="default" w:ascii="Times New Roman" w:hAnsi="Times New Roman" w:eastAsia="宋体" w:cs="Times New Roman"/>
                      <w:sz w:val="21"/>
                      <w:szCs w:val="21"/>
                      <w:lang w:val="en-US" w:eastAsia="zh-CN"/>
                    </w:rPr>
                    <w:t>单位</w:t>
                  </w:r>
                </w:p>
              </w:tc>
              <w:tc>
                <w:tcPr>
                  <w:tcW w:w="2461" w:type="pct"/>
                  <w:noWrap w:val="0"/>
                  <w:vAlign w:val="center"/>
                </w:tcPr>
                <w:p w14:paraId="59AC317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000000"/>
                      <w:kern w:val="0"/>
                      <w:sz w:val="21"/>
                      <w:szCs w:val="21"/>
                    </w:rPr>
                  </w:pPr>
                  <w:r>
                    <w:rPr>
                      <w:rFonts w:hint="default" w:ascii="Times New Roman" w:hAnsi="Times New Roman" w:eastAsia="宋体" w:cs="Times New Roman"/>
                      <w:sz w:val="21"/>
                      <w:szCs w:val="21"/>
                    </w:rPr>
                    <w:t>备注</w:t>
                  </w:r>
                </w:p>
              </w:tc>
            </w:tr>
            <w:tr w14:paraId="51A1FB8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0" w:type="pct"/>
                  <w:noWrap w:val="0"/>
                  <w:vAlign w:val="center"/>
                </w:tcPr>
                <w:p w14:paraId="141B47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000000"/>
                      <w:kern w:val="0"/>
                      <w:sz w:val="21"/>
                      <w:szCs w:val="21"/>
                    </w:rPr>
                  </w:pPr>
                  <w:r>
                    <w:rPr>
                      <w:rFonts w:hint="default"/>
                      <w:color w:val="000000"/>
                      <w:kern w:val="0"/>
                      <w:sz w:val="21"/>
                      <w:szCs w:val="21"/>
                    </w:rPr>
                    <w:t>1</w:t>
                  </w:r>
                </w:p>
              </w:tc>
              <w:tc>
                <w:tcPr>
                  <w:tcW w:w="1125" w:type="pct"/>
                  <w:gridSpan w:val="2"/>
                  <w:noWrap w:val="0"/>
                  <w:vAlign w:val="center"/>
                </w:tcPr>
                <w:p w14:paraId="0B8B3BA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疫苗接种</w:t>
                  </w:r>
                </w:p>
              </w:tc>
              <w:tc>
                <w:tcPr>
                  <w:tcW w:w="506" w:type="pct"/>
                  <w:noWrap w:val="0"/>
                  <w:vAlign w:val="center"/>
                </w:tcPr>
                <w:p w14:paraId="3CBF18B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4000</w:t>
                  </w:r>
                </w:p>
              </w:tc>
              <w:tc>
                <w:tcPr>
                  <w:tcW w:w="506" w:type="pct"/>
                  <w:noWrap w:val="0"/>
                  <w:vAlign w:val="center"/>
                </w:tcPr>
                <w:p w14:paraId="7AF4F6D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eastAsia="宋体"/>
                      <w:color w:val="000000"/>
                      <w:kern w:val="0"/>
                      <w:sz w:val="21"/>
                      <w:szCs w:val="21"/>
                      <w:lang w:val="en-US" w:eastAsia="zh-CN"/>
                    </w:rPr>
                  </w:pPr>
                  <w:r>
                    <w:rPr>
                      <w:rFonts w:hint="eastAsia"/>
                      <w:color w:val="000000"/>
                      <w:kern w:val="0"/>
                      <w:sz w:val="21"/>
                      <w:szCs w:val="21"/>
                      <w:lang w:val="en-US" w:eastAsia="zh-CN"/>
                    </w:rPr>
                    <w:t>例/年</w:t>
                  </w:r>
                </w:p>
              </w:tc>
              <w:tc>
                <w:tcPr>
                  <w:tcW w:w="2461" w:type="pct"/>
                  <w:noWrap w:val="0"/>
                  <w:vAlign w:val="center"/>
                </w:tcPr>
                <w:p w14:paraId="60472F5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狂犬病、犬瘟热病毒等疫苗接种</w:t>
                  </w:r>
                  <w:r>
                    <w:rPr>
                      <w:rFonts w:hint="eastAsia" w:cs="Times New Roman"/>
                      <w:i w:val="0"/>
                      <w:iCs w:val="0"/>
                      <w:color w:val="000000"/>
                      <w:kern w:val="0"/>
                      <w:sz w:val="21"/>
                      <w:szCs w:val="21"/>
                      <w:u w:val="none"/>
                      <w:lang w:val="en-US" w:eastAsia="zh-CN" w:bidi="ar"/>
                    </w:rPr>
                    <w:t>、犬证办理</w:t>
                  </w:r>
                </w:p>
              </w:tc>
            </w:tr>
            <w:tr w14:paraId="7FE5110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0" w:type="pct"/>
                  <w:noWrap w:val="0"/>
                  <w:vAlign w:val="center"/>
                </w:tcPr>
                <w:p w14:paraId="6D4B56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eastAsia="宋体"/>
                      <w:color w:val="000000"/>
                      <w:kern w:val="0"/>
                      <w:sz w:val="21"/>
                      <w:szCs w:val="21"/>
                      <w:lang w:val="en-US" w:eastAsia="zh-CN"/>
                    </w:rPr>
                  </w:pPr>
                  <w:r>
                    <w:rPr>
                      <w:rFonts w:hint="eastAsia"/>
                      <w:color w:val="000000"/>
                      <w:kern w:val="0"/>
                      <w:sz w:val="21"/>
                      <w:szCs w:val="21"/>
                      <w:lang w:val="en-US" w:eastAsia="zh-CN"/>
                    </w:rPr>
                    <w:t>2</w:t>
                  </w:r>
                </w:p>
              </w:tc>
              <w:tc>
                <w:tcPr>
                  <w:tcW w:w="651" w:type="pct"/>
                  <w:vMerge w:val="restart"/>
                  <w:noWrap w:val="0"/>
                  <w:vAlign w:val="center"/>
                </w:tcPr>
                <w:p w14:paraId="59807CE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color w:val="000000"/>
                      <w:kern w:val="0"/>
                      <w:sz w:val="21"/>
                      <w:szCs w:val="21"/>
                      <w:lang w:val="en-US" w:eastAsia="zh-CN"/>
                    </w:rPr>
                  </w:pPr>
                  <w:r>
                    <w:rPr>
                      <w:rFonts w:hint="eastAsia" w:ascii="Times New Roman" w:hAnsi="Times New Roman" w:eastAsia="宋体" w:cs="Times New Roman"/>
                      <w:i w:val="0"/>
                      <w:iCs w:val="0"/>
                      <w:color w:val="000000"/>
                      <w:kern w:val="0"/>
                      <w:sz w:val="21"/>
                      <w:szCs w:val="21"/>
                      <w:u w:val="none"/>
                      <w:lang w:val="en-US" w:eastAsia="zh-CN" w:bidi="ar"/>
                    </w:rPr>
                    <w:t>宠物</w:t>
                  </w:r>
                  <w:r>
                    <w:rPr>
                      <w:rFonts w:hint="default" w:ascii="Times New Roman" w:hAnsi="Times New Roman" w:eastAsia="宋体" w:cs="Times New Roman"/>
                      <w:i w:val="0"/>
                      <w:iCs w:val="0"/>
                      <w:color w:val="000000"/>
                      <w:kern w:val="0"/>
                      <w:sz w:val="21"/>
                      <w:szCs w:val="21"/>
                      <w:u w:val="none"/>
                      <w:lang w:val="en-US" w:eastAsia="zh-CN" w:bidi="ar"/>
                    </w:rPr>
                    <w:t>诊疗</w:t>
                  </w:r>
                </w:p>
              </w:tc>
              <w:tc>
                <w:tcPr>
                  <w:tcW w:w="474" w:type="pct"/>
                  <w:noWrap w:val="0"/>
                  <w:vAlign w:val="center"/>
                </w:tcPr>
                <w:p w14:paraId="445780C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手术</w:t>
                  </w:r>
                </w:p>
              </w:tc>
              <w:tc>
                <w:tcPr>
                  <w:tcW w:w="506" w:type="pct"/>
                  <w:noWrap w:val="0"/>
                  <w:vAlign w:val="center"/>
                </w:tcPr>
                <w:p w14:paraId="4C38AD4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200</w:t>
                  </w:r>
                </w:p>
              </w:tc>
              <w:tc>
                <w:tcPr>
                  <w:tcW w:w="506" w:type="pct"/>
                  <w:noWrap w:val="0"/>
                  <w:vAlign w:val="center"/>
                </w:tcPr>
                <w:p w14:paraId="67BA263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例/年</w:t>
                  </w:r>
                </w:p>
              </w:tc>
              <w:tc>
                <w:tcPr>
                  <w:tcW w:w="2461" w:type="pct"/>
                  <w:noWrap w:val="0"/>
                  <w:vAlign w:val="center"/>
                </w:tcPr>
                <w:p w14:paraId="4785F8C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物理手术治疗，包括腹腔手术绝育手术等</w:t>
                  </w:r>
                </w:p>
              </w:tc>
            </w:tr>
            <w:tr w14:paraId="5251440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0" w:type="pct"/>
                  <w:noWrap w:val="0"/>
                  <w:vAlign w:val="center"/>
                </w:tcPr>
                <w:p w14:paraId="2514AC8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eastAsia="宋体"/>
                      <w:color w:val="000000"/>
                      <w:kern w:val="0"/>
                      <w:sz w:val="21"/>
                      <w:szCs w:val="21"/>
                      <w:lang w:val="en-US" w:eastAsia="zh-CN"/>
                    </w:rPr>
                  </w:pPr>
                  <w:r>
                    <w:rPr>
                      <w:rFonts w:hint="eastAsia"/>
                      <w:color w:val="000000"/>
                      <w:kern w:val="0"/>
                      <w:sz w:val="21"/>
                      <w:szCs w:val="21"/>
                      <w:lang w:val="en-US" w:eastAsia="zh-CN"/>
                    </w:rPr>
                    <w:t>3</w:t>
                  </w:r>
                </w:p>
              </w:tc>
              <w:tc>
                <w:tcPr>
                  <w:tcW w:w="651" w:type="pct"/>
                  <w:vMerge w:val="continue"/>
                  <w:noWrap w:val="0"/>
                  <w:vAlign w:val="center"/>
                </w:tcPr>
                <w:p w14:paraId="305F073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color w:val="000000"/>
                      <w:kern w:val="0"/>
                      <w:sz w:val="21"/>
                      <w:szCs w:val="21"/>
                      <w:lang w:val="en-US" w:eastAsia="zh-CN"/>
                    </w:rPr>
                  </w:pPr>
                </w:p>
              </w:tc>
              <w:tc>
                <w:tcPr>
                  <w:tcW w:w="474" w:type="pct"/>
                  <w:noWrap w:val="0"/>
                  <w:vAlign w:val="center"/>
                </w:tcPr>
                <w:p w14:paraId="1FD31AC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门诊</w:t>
                  </w:r>
                </w:p>
              </w:tc>
              <w:tc>
                <w:tcPr>
                  <w:tcW w:w="506" w:type="pct"/>
                  <w:noWrap w:val="0"/>
                  <w:vAlign w:val="center"/>
                </w:tcPr>
                <w:p w14:paraId="636BE4D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500</w:t>
                  </w:r>
                </w:p>
              </w:tc>
              <w:tc>
                <w:tcPr>
                  <w:tcW w:w="506" w:type="pct"/>
                  <w:noWrap w:val="0"/>
                  <w:vAlign w:val="center"/>
                </w:tcPr>
                <w:p w14:paraId="4B9BBB7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例/年</w:t>
                  </w:r>
                </w:p>
              </w:tc>
              <w:tc>
                <w:tcPr>
                  <w:tcW w:w="2461" w:type="pct"/>
                  <w:noWrap w:val="0"/>
                  <w:vAlign w:val="center"/>
                </w:tcPr>
                <w:p w14:paraId="247E282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诊疗、</w:t>
                  </w:r>
                  <w:r>
                    <w:rPr>
                      <w:rFonts w:hint="eastAsia" w:cs="Times New Roman"/>
                      <w:i w:val="0"/>
                      <w:iCs w:val="0"/>
                      <w:color w:val="000000"/>
                      <w:kern w:val="0"/>
                      <w:sz w:val="21"/>
                      <w:szCs w:val="21"/>
                      <w:u w:val="none"/>
                      <w:lang w:val="en-US" w:eastAsia="zh-CN" w:bidi="ar"/>
                    </w:rPr>
                    <w:t>注射、</w:t>
                  </w:r>
                  <w:r>
                    <w:rPr>
                      <w:rFonts w:hint="default" w:ascii="Times New Roman" w:hAnsi="Times New Roman" w:eastAsia="宋体" w:cs="Times New Roman"/>
                      <w:i w:val="0"/>
                      <w:iCs w:val="0"/>
                      <w:color w:val="000000"/>
                      <w:kern w:val="0"/>
                      <w:sz w:val="21"/>
                      <w:szCs w:val="21"/>
                      <w:u w:val="none"/>
                      <w:lang w:val="en-US" w:eastAsia="zh-CN" w:bidi="ar"/>
                    </w:rPr>
                    <w:t>医疗样本化验</w:t>
                  </w:r>
                </w:p>
              </w:tc>
            </w:tr>
            <w:tr w14:paraId="6B86F01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0" w:type="pct"/>
                  <w:noWrap w:val="0"/>
                  <w:vAlign w:val="center"/>
                </w:tcPr>
                <w:p w14:paraId="1CC7D78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eastAsia="宋体"/>
                      <w:color w:val="000000"/>
                      <w:kern w:val="0"/>
                      <w:sz w:val="21"/>
                      <w:szCs w:val="21"/>
                      <w:lang w:val="en-US" w:eastAsia="zh-CN"/>
                    </w:rPr>
                  </w:pPr>
                  <w:r>
                    <w:rPr>
                      <w:rFonts w:hint="eastAsia"/>
                      <w:color w:val="000000"/>
                      <w:kern w:val="0"/>
                      <w:sz w:val="21"/>
                      <w:szCs w:val="21"/>
                      <w:lang w:val="en-US" w:eastAsia="zh-CN"/>
                    </w:rPr>
                    <w:t>4</w:t>
                  </w:r>
                </w:p>
              </w:tc>
              <w:tc>
                <w:tcPr>
                  <w:tcW w:w="1125" w:type="pct"/>
                  <w:gridSpan w:val="2"/>
                  <w:noWrap w:val="0"/>
                  <w:vAlign w:val="center"/>
                </w:tcPr>
                <w:p w14:paraId="15FFA82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color w:val="000000"/>
                      <w:kern w:val="0"/>
                      <w:sz w:val="21"/>
                      <w:szCs w:val="21"/>
                      <w:lang w:val="en-US" w:eastAsia="zh-CN"/>
                    </w:rPr>
                  </w:pPr>
                  <w:r>
                    <w:rPr>
                      <w:rFonts w:hint="eastAsia" w:ascii="Times New Roman" w:hAnsi="Times New Roman" w:eastAsia="宋体" w:cs="Times New Roman"/>
                      <w:i w:val="0"/>
                      <w:iCs w:val="0"/>
                      <w:color w:val="000000"/>
                      <w:kern w:val="0"/>
                      <w:sz w:val="21"/>
                      <w:szCs w:val="21"/>
                      <w:u w:val="none"/>
                      <w:lang w:val="en-US" w:eastAsia="zh-CN" w:bidi="ar"/>
                    </w:rPr>
                    <w:t>宠物</w:t>
                  </w:r>
                  <w:r>
                    <w:rPr>
                      <w:rFonts w:hint="default" w:ascii="Times New Roman" w:hAnsi="Times New Roman" w:eastAsia="宋体" w:cs="Times New Roman"/>
                      <w:i w:val="0"/>
                      <w:iCs w:val="0"/>
                      <w:color w:val="000000"/>
                      <w:kern w:val="0"/>
                      <w:sz w:val="21"/>
                      <w:szCs w:val="21"/>
                      <w:u w:val="none"/>
                      <w:lang w:val="en-US" w:eastAsia="zh-CN" w:bidi="ar"/>
                    </w:rPr>
                    <w:t>寄养</w:t>
                  </w:r>
                </w:p>
              </w:tc>
              <w:tc>
                <w:tcPr>
                  <w:tcW w:w="506" w:type="pct"/>
                  <w:noWrap w:val="0"/>
                  <w:vAlign w:val="center"/>
                </w:tcPr>
                <w:p w14:paraId="564A862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200</w:t>
                  </w:r>
                </w:p>
              </w:tc>
              <w:tc>
                <w:tcPr>
                  <w:tcW w:w="506" w:type="pct"/>
                  <w:noWrap w:val="0"/>
                  <w:vAlign w:val="center"/>
                </w:tcPr>
                <w:p w14:paraId="233E4C5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例/年</w:t>
                  </w:r>
                </w:p>
              </w:tc>
              <w:tc>
                <w:tcPr>
                  <w:tcW w:w="2461" w:type="pct"/>
                  <w:noWrap w:val="0"/>
                  <w:vAlign w:val="center"/>
                </w:tcPr>
                <w:p w14:paraId="295C488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宠物寄养</w:t>
                  </w:r>
                </w:p>
              </w:tc>
            </w:tr>
            <w:tr w14:paraId="7EE5041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0" w:type="pct"/>
                  <w:noWrap w:val="0"/>
                  <w:vAlign w:val="center"/>
                </w:tcPr>
                <w:p w14:paraId="1DEB103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eastAsia="宋体"/>
                      <w:color w:val="000000"/>
                      <w:kern w:val="0"/>
                      <w:sz w:val="21"/>
                      <w:szCs w:val="21"/>
                      <w:lang w:val="en-US" w:eastAsia="zh-CN"/>
                    </w:rPr>
                  </w:pPr>
                  <w:r>
                    <w:rPr>
                      <w:rFonts w:hint="eastAsia"/>
                      <w:color w:val="000000"/>
                      <w:kern w:val="0"/>
                      <w:sz w:val="21"/>
                      <w:szCs w:val="21"/>
                      <w:lang w:val="en-US" w:eastAsia="zh-CN"/>
                    </w:rPr>
                    <w:t>5</w:t>
                  </w:r>
                </w:p>
              </w:tc>
              <w:tc>
                <w:tcPr>
                  <w:tcW w:w="1125" w:type="pct"/>
                  <w:gridSpan w:val="2"/>
                  <w:noWrap w:val="0"/>
                  <w:vAlign w:val="center"/>
                </w:tcPr>
                <w:p w14:paraId="03C0C4F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color w:val="000000"/>
                      <w:kern w:val="0"/>
                      <w:sz w:val="21"/>
                      <w:szCs w:val="21"/>
                      <w:lang w:val="en-US" w:eastAsia="zh-CN"/>
                    </w:rPr>
                  </w:pPr>
                  <w:r>
                    <w:rPr>
                      <w:rFonts w:hint="eastAsia" w:ascii="Times New Roman" w:hAnsi="Times New Roman" w:eastAsia="宋体" w:cs="Times New Roman"/>
                      <w:i w:val="0"/>
                      <w:iCs w:val="0"/>
                      <w:color w:val="000000"/>
                      <w:kern w:val="0"/>
                      <w:sz w:val="21"/>
                      <w:szCs w:val="21"/>
                      <w:u w:val="none"/>
                      <w:lang w:val="en-US" w:eastAsia="zh-CN" w:bidi="ar"/>
                    </w:rPr>
                    <w:t>宠物</w:t>
                  </w:r>
                  <w:r>
                    <w:rPr>
                      <w:rFonts w:hint="default" w:ascii="Times New Roman" w:hAnsi="Times New Roman" w:eastAsia="宋体" w:cs="Times New Roman"/>
                      <w:i w:val="0"/>
                      <w:iCs w:val="0"/>
                      <w:color w:val="000000"/>
                      <w:kern w:val="0"/>
                      <w:sz w:val="21"/>
                      <w:szCs w:val="21"/>
                      <w:u w:val="none"/>
                      <w:lang w:val="en-US" w:eastAsia="zh-CN" w:bidi="ar"/>
                    </w:rPr>
                    <w:t>美容</w:t>
                  </w:r>
                </w:p>
              </w:tc>
              <w:tc>
                <w:tcPr>
                  <w:tcW w:w="506" w:type="pct"/>
                  <w:noWrap w:val="0"/>
                  <w:vAlign w:val="center"/>
                </w:tcPr>
                <w:p w14:paraId="58954F8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700</w:t>
                  </w:r>
                </w:p>
              </w:tc>
              <w:tc>
                <w:tcPr>
                  <w:tcW w:w="506" w:type="pct"/>
                  <w:noWrap w:val="0"/>
                  <w:vAlign w:val="center"/>
                </w:tcPr>
                <w:p w14:paraId="371AD2C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例/年</w:t>
                  </w:r>
                </w:p>
              </w:tc>
              <w:tc>
                <w:tcPr>
                  <w:tcW w:w="2461" w:type="pct"/>
                  <w:noWrap w:val="0"/>
                  <w:vAlign w:val="center"/>
                </w:tcPr>
                <w:p w14:paraId="3C94C8E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宠物洗澡美容</w:t>
                  </w:r>
                </w:p>
              </w:tc>
            </w:tr>
            <w:tr w14:paraId="5FE3BC9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6" w:type="pct"/>
                  <w:gridSpan w:val="3"/>
                  <w:noWrap w:val="0"/>
                  <w:vAlign w:val="center"/>
                </w:tcPr>
                <w:p w14:paraId="255BB39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合计</w:t>
                  </w:r>
                </w:p>
              </w:tc>
              <w:tc>
                <w:tcPr>
                  <w:tcW w:w="506" w:type="pct"/>
                  <w:noWrap w:val="0"/>
                  <w:vAlign w:val="center"/>
                </w:tcPr>
                <w:p w14:paraId="2F3CC5A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5600</w:t>
                  </w:r>
                </w:p>
              </w:tc>
              <w:tc>
                <w:tcPr>
                  <w:tcW w:w="506" w:type="pct"/>
                  <w:noWrap w:val="0"/>
                  <w:vAlign w:val="center"/>
                </w:tcPr>
                <w:p w14:paraId="089810A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例/年</w:t>
                  </w:r>
                </w:p>
              </w:tc>
              <w:tc>
                <w:tcPr>
                  <w:tcW w:w="2461" w:type="pct"/>
                  <w:noWrap w:val="0"/>
                  <w:vAlign w:val="center"/>
                </w:tcPr>
                <w:p w14:paraId="4F6CFB6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宠物服务</w:t>
                  </w:r>
                </w:p>
              </w:tc>
            </w:tr>
          </w:tbl>
          <w:p w14:paraId="22CA75F2">
            <w:pPr>
              <w:pStyle w:val="5"/>
              <w:suppressLineNumbers w:val="0"/>
              <w:bidi w:val="0"/>
              <w:spacing w:before="0" w:beforeAutospacing="0" w:after="0" w:afterAutospacing="0"/>
              <w:ind w:left="0" w:right="0"/>
              <w:rPr>
                <w:rFonts w:hint="eastAsia" w:cs="Times New Roman"/>
                <w:color w:val="000000"/>
                <w:highlight w:val="yellow"/>
                <w:lang w:val="en-US" w:eastAsia="zh-CN"/>
              </w:rPr>
            </w:pPr>
            <w:r>
              <w:rPr>
                <w:rFonts w:hint="eastAsia" w:cs="Times New Roman"/>
                <w:color w:val="000000"/>
                <w:highlight w:val="none"/>
                <w:lang w:val="en-US" w:eastAsia="zh-CN"/>
              </w:rPr>
              <w:t>3、主要设备</w:t>
            </w:r>
            <w:bookmarkEnd w:id="8"/>
          </w:p>
          <w:p w14:paraId="045E0A6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eastAsia="宋体" w:cs="Times New Roman"/>
                <w:color w:val="000000"/>
                <w:lang w:eastAsia="zh-CN"/>
              </w:rPr>
            </w:pPr>
            <w:bookmarkStart w:id="9" w:name="_Toc18406"/>
            <w:r>
              <w:rPr>
                <w:rFonts w:hint="eastAsia" w:ascii="Times New Roman" w:hAnsi="Times New Roman" w:eastAsia="宋体" w:cs="Times New Roman"/>
                <w:color w:val="000000"/>
                <w:sz w:val="24"/>
                <w:szCs w:val="24"/>
                <w:lang w:eastAsia="zh-CN"/>
              </w:rPr>
              <w:t>本项目主要设备详见表</w:t>
            </w:r>
            <w:r>
              <w:rPr>
                <w:rFonts w:hint="eastAsia" w:cs="Times New Roman"/>
                <w:color w:val="000000"/>
                <w:sz w:val="24"/>
                <w:szCs w:val="24"/>
                <w:lang w:val="en-US" w:eastAsia="zh-CN"/>
              </w:rPr>
              <w:t>2-3</w:t>
            </w:r>
            <w:r>
              <w:rPr>
                <w:rFonts w:hint="default" w:ascii="Times New Roman" w:hAnsi="Times New Roman" w:eastAsia="宋体" w:cs="Times New Roman"/>
                <w:color w:val="000000"/>
                <w:sz w:val="24"/>
                <w:szCs w:val="24"/>
              </w:rPr>
              <w:t>。</w:t>
            </w:r>
          </w:p>
          <w:p w14:paraId="7164A151">
            <w:pPr>
              <w:pStyle w:val="7"/>
              <w:suppressLineNumbers w:val="0"/>
              <w:bidi w:val="0"/>
              <w:spacing w:before="0" w:beforeAutospacing="0" w:after="0" w:afterAutospacing="0"/>
              <w:ind w:left="0" w:right="0"/>
              <w:rPr>
                <w:rFonts w:hint="eastAsia"/>
                <w:color w:val="000000"/>
                <w:lang w:eastAsia="zh-CN"/>
              </w:rPr>
            </w:pPr>
            <w:r>
              <w:rPr>
                <w:rFonts w:hint="default"/>
                <w:color w:val="000000"/>
                <w:lang w:eastAsia="zh-CN"/>
              </w:rPr>
              <w:t>表</w:t>
            </w:r>
            <w:r>
              <w:rPr>
                <w:rFonts w:hint="eastAsia"/>
                <w:color w:val="000000"/>
                <w:lang w:val="en-US" w:eastAsia="zh-CN"/>
              </w:rPr>
              <w:t>2-3                     主要</w:t>
            </w:r>
            <w:r>
              <w:rPr>
                <w:rFonts w:hint="eastAsia"/>
                <w:color w:val="000000"/>
                <w:lang w:eastAsia="zh-CN"/>
              </w:rPr>
              <w:t>生产设备表</w:t>
            </w:r>
          </w:p>
          <w:tbl>
            <w:tblPr>
              <w:tblStyle w:val="31"/>
              <w:tblW w:w="822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21"/>
              <w:gridCol w:w="3027"/>
              <w:gridCol w:w="3672"/>
            </w:tblGrid>
            <w:tr w14:paraId="5F5E9F9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5" w:type="pct"/>
                  <w:tcBorders>
                    <w:tl2br w:val="nil"/>
                    <w:tr2bl w:val="nil"/>
                  </w:tcBorders>
                  <w:noWrap w:val="0"/>
                  <w:vAlign w:val="center"/>
                </w:tcPr>
                <w:p w14:paraId="132FC00B">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序号</w:t>
                  </w:r>
                </w:p>
              </w:tc>
              <w:tc>
                <w:tcPr>
                  <w:tcW w:w="1841" w:type="pct"/>
                  <w:tcBorders>
                    <w:tl2br w:val="nil"/>
                    <w:tr2bl w:val="nil"/>
                  </w:tcBorders>
                  <w:noWrap w:val="0"/>
                  <w:vAlign w:val="center"/>
                </w:tcPr>
                <w:p w14:paraId="406F4E13">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名称</w:t>
                  </w:r>
                </w:p>
              </w:tc>
              <w:tc>
                <w:tcPr>
                  <w:tcW w:w="2233" w:type="pct"/>
                  <w:tcBorders>
                    <w:tl2br w:val="nil"/>
                    <w:tr2bl w:val="nil"/>
                  </w:tcBorders>
                  <w:noWrap w:val="0"/>
                  <w:vAlign w:val="center"/>
                </w:tcPr>
                <w:p w14:paraId="78EFABF2">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数量（台/套）</w:t>
                  </w:r>
                </w:p>
              </w:tc>
            </w:tr>
            <w:tr w14:paraId="19BE5DB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5" w:type="pct"/>
                  <w:tcBorders>
                    <w:tl2br w:val="nil"/>
                    <w:tr2bl w:val="nil"/>
                  </w:tcBorders>
                  <w:noWrap w:val="0"/>
                  <w:vAlign w:val="center"/>
                </w:tcPr>
                <w:p w14:paraId="70A06943">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1</w:t>
                  </w:r>
                </w:p>
              </w:tc>
              <w:tc>
                <w:tcPr>
                  <w:tcW w:w="1841" w:type="pct"/>
                  <w:tcBorders>
                    <w:tl2br w:val="nil"/>
                    <w:tr2bl w:val="nil"/>
                  </w:tcBorders>
                  <w:noWrap w:val="0"/>
                  <w:vAlign w:val="center"/>
                </w:tcPr>
                <w:p w14:paraId="523802E2">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血球仪</w:t>
                  </w:r>
                </w:p>
              </w:tc>
              <w:tc>
                <w:tcPr>
                  <w:tcW w:w="2233" w:type="pct"/>
                  <w:tcBorders>
                    <w:tl2br w:val="nil"/>
                    <w:tr2bl w:val="nil"/>
                  </w:tcBorders>
                  <w:noWrap w:val="0"/>
                  <w:vAlign w:val="center"/>
                </w:tcPr>
                <w:p w14:paraId="75FC82C8">
                  <w:pPr>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1</w:t>
                  </w:r>
                </w:p>
              </w:tc>
            </w:tr>
            <w:tr w14:paraId="69E09BA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5" w:type="pct"/>
                  <w:tcBorders>
                    <w:tl2br w:val="nil"/>
                    <w:tr2bl w:val="nil"/>
                  </w:tcBorders>
                  <w:noWrap w:val="0"/>
                  <w:vAlign w:val="center"/>
                </w:tcPr>
                <w:p w14:paraId="39E1A1E7">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2</w:t>
                  </w:r>
                </w:p>
              </w:tc>
              <w:tc>
                <w:tcPr>
                  <w:tcW w:w="1841" w:type="pct"/>
                  <w:tcBorders>
                    <w:tl2br w:val="nil"/>
                    <w:tr2bl w:val="nil"/>
                  </w:tcBorders>
                  <w:noWrap w:val="0"/>
                  <w:vAlign w:val="center"/>
                </w:tcPr>
                <w:p w14:paraId="752E11D1">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离心机</w:t>
                  </w:r>
                </w:p>
              </w:tc>
              <w:tc>
                <w:tcPr>
                  <w:tcW w:w="2233" w:type="pct"/>
                  <w:tcBorders>
                    <w:tl2br w:val="nil"/>
                    <w:tr2bl w:val="nil"/>
                  </w:tcBorders>
                  <w:noWrap w:val="0"/>
                  <w:vAlign w:val="center"/>
                </w:tcPr>
                <w:p w14:paraId="43C164C1">
                  <w:pPr>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1</w:t>
                  </w:r>
                </w:p>
              </w:tc>
            </w:tr>
            <w:tr w14:paraId="464E4B8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5" w:type="pct"/>
                  <w:tcBorders>
                    <w:tl2br w:val="nil"/>
                    <w:tr2bl w:val="nil"/>
                  </w:tcBorders>
                  <w:noWrap w:val="0"/>
                  <w:vAlign w:val="center"/>
                </w:tcPr>
                <w:p w14:paraId="68DF128A">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3</w:t>
                  </w:r>
                </w:p>
              </w:tc>
              <w:tc>
                <w:tcPr>
                  <w:tcW w:w="1841" w:type="pct"/>
                  <w:tcBorders>
                    <w:tl2br w:val="nil"/>
                    <w:tr2bl w:val="nil"/>
                  </w:tcBorders>
                  <w:noWrap w:val="0"/>
                  <w:vAlign w:val="center"/>
                </w:tcPr>
                <w:p w14:paraId="2988F734">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leftChars="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生化分析仪</w:t>
                  </w:r>
                </w:p>
              </w:tc>
              <w:tc>
                <w:tcPr>
                  <w:tcW w:w="2233" w:type="pct"/>
                  <w:tcBorders>
                    <w:tl2br w:val="nil"/>
                    <w:tr2bl w:val="nil"/>
                  </w:tcBorders>
                  <w:noWrap w:val="0"/>
                  <w:vAlign w:val="center"/>
                </w:tcPr>
                <w:p w14:paraId="133D5C61">
                  <w:pPr>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1</w:t>
                  </w:r>
                </w:p>
              </w:tc>
            </w:tr>
            <w:tr w14:paraId="0163B54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5" w:type="pct"/>
                  <w:tcBorders>
                    <w:tl2br w:val="nil"/>
                    <w:tr2bl w:val="nil"/>
                  </w:tcBorders>
                  <w:noWrap w:val="0"/>
                  <w:vAlign w:val="center"/>
                </w:tcPr>
                <w:p w14:paraId="0EC34582">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4</w:t>
                  </w:r>
                </w:p>
              </w:tc>
              <w:tc>
                <w:tcPr>
                  <w:tcW w:w="1841" w:type="pct"/>
                  <w:tcBorders>
                    <w:tl2br w:val="nil"/>
                    <w:tr2bl w:val="nil"/>
                  </w:tcBorders>
                  <w:noWrap w:val="0"/>
                  <w:vAlign w:val="center"/>
                </w:tcPr>
                <w:p w14:paraId="5E294D03">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leftChars="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荧光检测仪</w:t>
                  </w:r>
                </w:p>
              </w:tc>
              <w:tc>
                <w:tcPr>
                  <w:tcW w:w="2233" w:type="pct"/>
                  <w:tcBorders>
                    <w:tl2br w:val="nil"/>
                    <w:tr2bl w:val="nil"/>
                  </w:tcBorders>
                  <w:noWrap w:val="0"/>
                  <w:vAlign w:val="center"/>
                </w:tcPr>
                <w:p w14:paraId="1DACA543">
                  <w:pPr>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1</w:t>
                  </w:r>
                </w:p>
              </w:tc>
            </w:tr>
            <w:tr w14:paraId="1D1F91E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5" w:type="pct"/>
                  <w:tcBorders>
                    <w:tl2br w:val="nil"/>
                    <w:tr2bl w:val="nil"/>
                  </w:tcBorders>
                  <w:noWrap w:val="0"/>
                  <w:vAlign w:val="center"/>
                </w:tcPr>
                <w:p w14:paraId="74EF156C">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5</w:t>
                  </w:r>
                </w:p>
              </w:tc>
              <w:tc>
                <w:tcPr>
                  <w:tcW w:w="1841" w:type="pct"/>
                  <w:tcBorders>
                    <w:tl2br w:val="nil"/>
                    <w:tr2bl w:val="nil"/>
                  </w:tcBorders>
                  <w:noWrap w:val="0"/>
                  <w:vAlign w:val="center"/>
                </w:tcPr>
                <w:p w14:paraId="6130E57E">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leftChars="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显微镜</w:t>
                  </w:r>
                </w:p>
              </w:tc>
              <w:tc>
                <w:tcPr>
                  <w:tcW w:w="2233" w:type="pct"/>
                  <w:tcBorders>
                    <w:tl2br w:val="nil"/>
                    <w:tr2bl w:val="nil"/>
                  </w:tcBorders>
                  <w:noWrap w:val="0"/>
                  <w:vAlign w:val="center"/>
                </w:tcPr>
                <w:p w14:paraId="16D4DA45">
                  <w:pPr>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1</w:t>
                  </w:r>
                </w:p>
              </w:tc>
            </w:tr>
            <w:tr w14:paraId="3F5ECE5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5" w:type="pct"/>
                  <w:tcBorders>
                    <w:tl2br w:val="nil"/>
                    <w:tr2bl w:val="nil"/>
                  </w:tcBorders>
                  <w:noWrap w:val="0"/>
                  <w:vAlign w:val="center"/>
                </w:tcPr>
                <w:p w14:paraId="7999FD2D">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6</w:t>
                  </w:r>
                </w:p>
              </w:tc>
              <w:tc>
                <w:tcPr>
                  <w:tcW w:w="1841" w:type="pct"/>
                  <w:tcBorders>
                    <w:tl2br w:val="nil"/>
                    <w:tr2bl w:val="nil"/>
                  </w:tcBorders>
                  <w:noWrap w:val="0"/>
                  <w:vAlign w:val="center"/>
                </w:tcPr>
                <w:p w14:paraId="6E763795">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leftChars="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立式压力蒸汽灭菌器</w:t>
                  </w:r>
                </w:p>
              </w:tc>
              <w:tc>
                <w:tcPr>
                  <w:tcW w:w="2233" w:type="pct"/>
                  <w:tcBorders>
                    <w:tl2br w:val="nil"/>
                    <w:tr2bl w:val="nil"/>
                  </w:tcBorders>
                  <w:noWrap w:val="0"/>
                  <w:vAlign w:val="center"/>
                </w:tcPr>
                <w:p w14:paraId="4D5C4D64">
                  <w:pPr>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1</w:t>
                  </w:r>
                </w:p>
              </w:tc>
            </w:tr>
            <w:tr w14:paraId="7420AA1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5" w:type="pct"/>
                  <w:tcBorders>
                    <w:tl2br w:val="nil"/>
                    <w:tr2bl w:val="nil"/>
                  </w:tcBorders>
                  <w:noWrap w:val="0"/>
                  <w:vAlign w:val="center"/>
                </w:tcPr>
                <w:p w14:paraId="2DCCD98F">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7</w:t>
                  </w:r>
                </w:p>
              </w:tc>
              <w:tc>
                <w:tcPr>
                  <w:tcW w:w="1841" w:type="pct"/>
                  <w:tcBorders>
                    <w:tl2br w:val="nil"/>
                    <w:tr2bl w:val="nil"/>
                  </w:tcBorders>
                  <w:noWrap w:val="0"/>
                  <w:vAlign w:val="center"/>
                </w:tcPr>
                <w:p w14:paraId="36EAA75F">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leftChars="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麻醉机</w:t>
                  </w:r>
                </w:p>
              </w:tc>
              <w:tc>
                <w:tcPr>
                  <w:tcW w:w="2233" w:type="pct"/>
                  <w:tcBorders>
                    <w:tl2br w:val="nil"/>
                    <w:tr2bl w:val="nil"/>
                  </w:tcBorders>
                  <w:noWrap w:val="0"/>
                  <w:vAlign w:val="center"/>
                </w:tcPr>
                <w:p w14:paraId="0EDB7A3F">
                  <w:pPr>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1</w:t>
                  </w:r>
                </w:p>
              </w:tc>
            </w:tr>
            <w:tr w14:paraId="2E0BF3B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5" w:type="pct"/>
                  <w:tcBorders>
                    <w:tl2br w:val="nil"/>
                    <w:tr2bl w:val="nil"/>
                  </w:tcBorders>
                  <w:noWrap w:val="0"/>
                  <w:vAlign w:val="center"/>
                </w:tcPr>
                <w:p w14:paraId="05D75487">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8</w:t>
                  </w:r>
                </w:p>
              </w:tc>
              <w:tc>
                <w:tcPr>
                  <w:tcW w:w="1841" w:type="pct"/>
                  <w:tcBorders>
                    <w:tl2br w:val="nil"/>
                    <w:tr2bl w:val="nil"/>
                  </w:tcBorders>
                  <w:noWrap w:val="0"/>
                  <w:vAlign w:val="center"/>
                </w:tcPr>
                <w:p w14:paraId="6DF68F23">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leftChars="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动物监护仪</w:t>
                  </w:r>
                </w:p>
              </w:tc>
              <w:tc>
                <w:tcPr>
                  <w:tcW w:w="2233" w:type="pct"/>
                  <w:tcBorders>
                    <w:tl2br w:val="nil"/>
                    <w:tr2bl w:val="nil"/>
                  </w:tcBorders>
                  <w:noWrap w:val="0"/>
                  <w:vAlign w:val="center"/>
                </w:tcPr>
                <w:p w14:paraId="5D1DCBF8">
                  <w:pPr>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1</w:t>
                  </w:r>
                </w:p>
              </w:tc>
            </w:tr>
            <w:tr w14:paraId="1C13F02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5" w:type="pct"/>
                  <w:tcBorders>
                    <w:tl2br w:val="nil"/>
                    <w:tr2bl w:val="nil"/>
                  </w:tcBorders>
                  <w:noWrap w:val="0"/>
                  <w:vAlign w:val="center"/>
                </w:tcPr>
                <w:p w14:paraId="288ADDA7">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center"/>
                    <w:textAlignment w:val="center"/>
                    <w:rPr>
                      <w:rFonts w:hint="default" w:cs="Times New Roman"/>
                      <w:color w:val="000000"/>
                      <w:sz w:val="21"/>
                      <w:szCs w:val="21"/>
                      <w:lang w:val="en-US" w:eastAsia="zh-CN"/>
                    </w:rPr>
                  </w:pPr>
                  <w:r>
                    <w:rPr>
                      <w:rFonts w:hint="eastAsia" w:cs="Times New Roman"/>
                      <w:color w:val="000000"/>
                      <w:sz w:val="21"/>
                      <w:szCs w:val="21"/>
                      <w:lang w:val="en-US" w:eastAsia="zh-CN"/>
                    </w:rPr>
                    <w:t>9</w:t>
                  </w:r>
                </w:p>
              </w:tc>
              <w:tc>
                <w:tcPr>
                  <w:tcW w:w="1841" w:type="pct"/>
                  <w:tcBorders>
                    <w:tl2br w:val="nil"/>
                    <w:tr2bl w:val="nil"/>
                  </w:tcBorders>
                  <w:noWrap w:val="0"/>
                  <w:vAlign w:val="center"/>
                </w:tcPr>
                <w:p w14:paraId="27E9A0E3">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leftChars="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紫外线消毒车</w:t>
                  </w:r>
                </w:p>
              </w:tc>
              <w:tc>
                <w:tcPr>
                  <w:tcW w:w="2233" w:type="pct"/>
                  <w:tcBorders>
                    <w:tl2br w:val="nil"/>
                    <w:tr2bl w:val="nil"/>
                  </w:tcBorders>
                  <w:noWrap w:val="0"/>
                  <w:vAlign w:val="center"/>
                </w:tcPr>
                <w:p w14:paraId="0D979AF5">
                  <w:pPr>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1</w:t>
                  </w:r>
                </w:p>
              </w:tc>
            </w:tr>
            <w:tr w14:paraId="5F56ACF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5" w:type="pct"/>
                  <w:tcBorders>
                    <w:tl2br w:val="nil"/>
                    <w:tr2bl w:val="nil"/>
                  </w:tcBorders>
                  <w:noWrap w:val="0"/>
                  <w:vAlign w:val="center"/>
                </w:tcPr>
                <w:p w14:paraId="40A172CB">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center"/>
                    <w:textAlignment w:val="center"/>
                    <w:rPr>
                      <w:rFonts w:hint="default" w:cs="Times New Roman"/>
                      <w:color w:val="000000"/>
                      <w:sz w:val="21"/>
                      <w:szCs w:val="21"/>
                      <w:lang w:val="en-US" w:eastAsia="zh-CN"/>
                    </w:rPr>
                  </w:pPr>
                  <w:r>
                    <w:rPr>
                      <w:rFonts w:hint="eastAsia" w:cs="Times New Roman"/>
                      <w:color w:val="000000"/>
                      <w:sz w:val="21"/>
                      <w:szCs w:val="21"/>
                      <w:lang w:val="en-US" w:eastAsia="zh-CN"/>
                    </w:rPr>
                    <w:t>10</w:t>
                  </w:r>
                </w:p>
              </w:tc>
              <w:tc>
                <w:tcPr>
                  <w:tcW w:w="1841" w:type="pct"/>
                  <w:tcBorders>
                    <w:tl2br w:val="nil"/>
                    <w:tr2bl w:val="nil"/>
                  </w:tcBorders>
                  <w:noWrap w:val="0"/>
                  <w:vAlign w:val="center"/>
                </w:tcPr>
                <w:p w14:paraId="31F6E9A1">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leftChars="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X射线装置</w:t>
                  </w:r>
                </w:p>
              </w:tc>
              <w:tc>
                <w:tcPr>
                  <w:tcW w:w="2233" w:type="pct"/>
                  <w:tcBorders>
                    <w:tl2br w:val="nil"/>
                    <w:tr2bl w:val="nil"/>
                  </w:tcBorders>
                  <w:noWrap w:val="0"/>
                  <w:vAlign w:val="center"/>
                </w:tcPr>
                <w:p w14:paraId="13C19BA5">
                  <w:pPr>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1</w:t>
                  </w:r>
                </w:p>
              </w:tc>
            </w:tr>
            <w:tr w14:paraId="05E650D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5" w:type="pct"/>
                  <w:tcBorders>
                    <w:tl2br w:val="nil"/>
                    <w:tr2bl w:val="nil"/>
                  </w:tcBorders>
                  <w:noWrap w:val="0"/>
                  <w:vAlign w:val="center"/>
                </w:tcPr>
                <w:p w14:paraId="38707288">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center"/>
                    <w:textAlignment w:val="center"/>
                    <w:rPr>
                      <w:rFonts w:hint="default" w:cs="Times New Roman"/>
                      <w:color w:val="000000"/>
                      <w:sz w:val="21"/>
                      <w:szCs w:val="21"/>
                      <w:lang w:val="en-US" w:eastAsia="zh-CN"/>
                    </w:rPr>
                  </w:pPr>
                  <w:r>
                    <w:rPr>
                      <w:rFonts w:hint="eastAsia" w:cs="Times New Roman"/>
                      <w:color w:val="000000"/>
                      <w:sz w:val="21"/>
                      <w:szCs w:val="21"/>
                      <w:lang w:val="en-US" w:eastAsia="zh-CN"/>
                    </w:rPr>
                    <w:t>11</w:t>
                  </w:r>
                </w:p>
              </w:tc>
              <w:tc>
                <w:tcPr>
                  <w:tcW w:w="1841" w:type="pct"/>
                  <w:tcBorders>
                    <w:tl2br w:val="nil"/>
                    <w:tr2bl w:val="nil"/>
                  </w:tcBorders>
                  <w:noWrap w:val="0"/>
                  <w:vAlign w:val="center"/>
                </w:tcPr>
                <w:p w14:paraId="27DD4673">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leftChars="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小型污水消毒设施</w:t>
                  </w:r>
                </w:p>
              </w:tc>
              <w:tc>
                <w:tcPr>
                  <w:tcW w:w="2233" w:type="pct"/>
                  <w:tcBorders>
                    <w:tl2br w:val="nil"/>
                    <w:tr2bl w:val="nil"/>
                  </w:tcBorders>
                  <w:noWrap w:val="0"/>
                  <w:vAlign w:val="center"/>
                </w:tcPr>
                <w:p w14:paraId="6240EC98">
                  <w:pPr>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1</w:t>
                  </w:r>
                </w:p>
              </w:tc>
            </w:tr>
          </w:tbl>
          <w:p w14:paraId="7080C4E0">
            <w:pPr>
              <w:pStyle w:val="5"/>
              <w:suppressLineNumbers w:val="0"/>
              <w:bidi w:val="0"/>
              <w:spacing w:before="0" w:beforeAutospacing="0" w:after="0" w:afterAutospacing="0"/>
              <w:ind w:left="0" w:right="0"/>
              <w:rPr>
                <w:rFonts w:hint="default" w:cs="Times New Roman"/>
                <w:color w:val="000000"/>
                <w:highlight w:val="none"/>
                <w:lang w:val="en-US" w:eastAsia="zh-CN"/>
              </w:rPr>
            </w:pPr>
            <w:r>
              <w:rPr>
                <w:rFonts w:hint="eastAsia" w:cs="Times New Roman"/>
                <w:color w:val="000000"/>
                <w:highlight w:val="none"/>
                <w:lang w:val="en-US" w:eastAsia="zh-CN"/>
              </w:rPr>
              <w:t>4、</w:t>
            </w:r>
            <w:r>
              <w:rPr>
                <w:rFonts w:hint="default" w:cs="Times New Roman"/>
                <w:color w:val="000000"/>
                <w:highlight w:val="none"/>
                <w:lang w:val="en-US" w:eastAsia="zh-CN"/>
              </w:rPr>
              <w:t>劳动定员及工作制度</w:t>
            </w:r>
            <w:bookmarkEnd w:id="9"/>
          </w:p>
          <w:p w14:paraId="08630E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rPr>
            </w:pPr>
            <w:bookmarkStart w:id="10" w:name="_Toc18283"/>
            <w:r>
              <w:rPr>
                <w:rFonts w:hint="default" w:ascii="Times New Roman" w:hAnsi="Times New Roman" w:eastAsia="宋体" w:cs="Times New Roman"/>
                <w:color w:val="auto"/>
                <w:sz w:val="24"/>
                <w:szCs w:val="24"/>
              </w:rPr>
              <w:t>项目劳动定员</w:t>
            </w:r>
            <w:r>
              <w:rPr>
                <w:rFonts w:hint="eastAsia" w:cs="Times New Roman"/>
                <w:color w:val="auto"/>
                <w:sz w:val="24"/>
                <w:szCs w:val="24"/>
                <w:lang w:val="en-US" w:eastAsia="zh-CN"/>
              </w:rPr>
              <w:t>8</w:t>
            </w:r>
            <w:r>
              <w:rPr>
                <w:rFonts w:hint="default" w:ascii="Times New Roman" w:hAnsi="Times New Roman" w:eastAsia="宋体" w:cs="Times New Roman"/>
                <w:color w:val="auto"/>
                <w:sz w:val="24"/>
                <w:szCs w:val="24"/>
              </w:rPr>
              <w:t>人，均</w:t>
            </w:r>
            <w:r>
              <w:rPr>
                <w:rFonts w:hint="eastAsia" w:cs="Times New Roman"/>
                <w:color w:val="auto"/>
                <w:sz w:val="24"/>
                <w:szCs w:val="24"/>
                <w:lang w:val="en-US" w:eastAsia="zh-CN"/>
              </w:rPr>
              <w:t>不在医院食宿</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实行每日</w:t>
            </w:r>
            <w:r>
              <w:rPr>
                <w:rFonts w:hint="eastAsia" w:cs="Times New Roman"/>
                <w:color w:val="auto"/>
                <w:sz w:val="24"/>
                <w:szCs w:val="24"/>
                <w:lang w:val="en-US" w:eastAsia="zh-CN"/>
              </w:rPr>
              <w:t>两</w:t>
            </w:r>
            <w:r>
              <w:rPr>
                <w:rFonts w:hint="default" w:ascii="Times New Roman" w:hAnsi="Times New Roman" w:eastAsia="宋体" w:cs="Times New Roman"/>
                <w:color w:val="auto"/>
                <w:sz w:val="24"/>
                <w:szCs w:val="24"/>
              </w:rPr>
              <w:t>班工作制度，每班工作时间</w:t>
            </w:r>
            <w:r>
              <w:rPr>
                <w:rFonts w:hint="eastAsia" w:cs="Times New Roman"/>
                <w:color w:val="auto"/>
                <w:sz w:val="24"/>
                <w:szCs w:val="24"/>
                <w:lang w:val="en-US" w:eastAsia="zh-CN"/>
              </w:rPr>
              <w:t>6</w:t>
            </w:r>
            <w:r>
              <w:rPr>
                <w:rFonts w:hint="default" w:ascii="Times New Roman" w:hAnsi="Times New Roman" w:eastAsia="宋体" w:cs="Times New Roman"/>
                <w:color w:val="auto"/>
                <w:sz w:val="24"/>
                <w:szCs w:val="24"/>
              </w:rPr>
              <w:t>h，全年工作日</w:t>
            </w:r>
            <w:r>
              <w:rPr>
                <w:rFonts w:hint="eastAsia" w:cs="Times New Roman"/>
                <w:color w:val="auto"/>
                <w:sz w:val="24"/>
                <w:szCs w:val="24"/>
                <w:lang w:val="en-US" w:eastAsia="zh-CN"/>
              </w:rPr>
              <w:t>365</w:t>
            </w:r>
            <w:r>
              <w:rPr>
                <w:rFonts w:hint="default" w:ascii="Times New Roman" w:hAnsi="Times New Roman" w:eastAsia="宋体" w:cs="Times New Roman"/>
                <w:color w:val="auto"/>
                <w:sz w:val="24"/>
                <w:szCs w:val="24"/>
              </w:rPr>
              <w:t>d。</w:t>
            </w:r>
          </w:p>
          <w:bookmarkEnd w:id="10"/>
          <w:p w14:paraId="6D5CA3FC">
            <w:pPr>
              <w:pStyle w:val="17"/>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line="360" w:lineRule="auto"/>
              <w:ind w:left="0" w:leftChars="0" w:right="0" w:firstLine="0" w:firstLineChars="0"/>
              <w:textAlignment w:val="auto"/>
              <w:rPr>
                <w:rFonts w:hint="eastAsia" w:ascii="宋体" w:hAnsi="宋体" w:eastAsia="宋体" w:cs="宋体"/>
                <w:b/>
                <w:bCs/>
                <w:color w:val="auto"/>
                <w:sz w:val="24"/>
                <w:szCs w:val="24"/>
                <w:highlight w:val="none"/>
                <w:lang w:eastAsia="zh-CN"/>
              </w:rPr>
            </w:pPr>
            <w:bookmarkStart w:id="11" w:name="_Toc8595"/>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eastAsia="zh-CN"/>
              </w:rPr>
              <w:t>主要原辅材料</w:t>
            </w:r>
          </w:p>
          <w:p w14:paraId="3E5DD97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本项目具体原辅材料消耗情况见表</w:t>
            </w:r>
            <w:r>
              <w:rPr>
                <w:rFonts w:hint="eastAsia" w:cs="Times New Roman"/>
                <w:color w:val="auto"/>
                <w:sz w:val="24"/>
                <w:szCs w:val="24"/>
                <w:lang w:val="en-US" w:eastAsia="zh-CN"/>
              </w:rPr>
              <w:t>2-4</w:t>
            </w:r>
            <w:r>
              <w:rPr>
                <w:rFonts w:hint="default" w:ascii="Times New Roman" w:hAnsi="Times New Roman" w:eastAsia="宋体" w:cs="Times New Roman"/>
                <w:color w:val="auto"/>
                <w:sz w:val="24"/>
                <w:szCs w:val="24"/>
              </w:rPr>
              <w:t>。</w:t>
            </w:r>
          </w:p>
          <w:p w14:paraId="59A20F0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b/>
                <w:bCs/>
                <w:color w:val="auto"/>
                <w:sz w:val="21"/>
                <w:szCs w:val="21"/>
                <w:highlight w:val="none"/>
              </w:rPr>
            </w:pPr>
            <w:bookmarkStart w:id="12" w:name="_Ref9453"/>
            <w:r>
              <w:rPr>
                <w:rFonts w:hint="default" w:ascii="Times New Roman" w:hAnsi="Times New Roman" w:eastAsia="宋体" w:cs="Times New Roman"/>
                <w:b/>
                <w:bCs/>
                <w:color w:val="auto"/>
                <w:sz w:val="21"/>
                <w:szCs w:val="21"/>
              </w:rPr>
              <w:t>表</w:t>
            </w:r>
            <w:bookmarkEnd w:id="12"/>
            <w:r>
              <w:rPr>
                <w:rFonts w:hint="eastAsia" w:cs="Times New Roman"/>
                <w:b/>
                <w:bCs/>
                <w:color w:val="auto"/>
                <w:sz w:val="21"/>
                <w:szCs w:val="21"/>
                <w:lang w:val="en-US" w:eastAsia="zh-CN"/>
              </w:rPr>
              <w:t>2-4</w:t>
            </w:r>
            <w:r>
              <w:rPr>
                <w:rFonts w:hint="default" w:ascii="Times New Roman" w:hAnsi="Times New Roman" w:eastAsia="宋体" w:cs="Times New Roman"/>
                <w:b/>
                <w:bCs/>
                <w:color w:val="auto"/>
                <w:sz w:val="21"/>
                <w:szCs w:val="21"/>
              </w:rPr>
              <w:t xml:space="preserve">               </w:t>
            </w:r>
            <w:r>
              <w:rPr>
                <w:rFonts w:hint="default" w:ascii="Times New Roman" w:hAnsi="Times New Roman" w:eastAsia="宋体" w:cs="Times New Roman"/>
                <w:b/>
                <w:bCs/>
                <w:color w:val="auto"/>
                <w:sz w:val="21"/>
                <w:szCs w:val="21"/>
                <w:highlight w:val="none"/>
              </w:rPr>
              <w:t xml:space="preserve">  本项目原辅材料消耗一览表</w:t>
            </w:r>
          </w:p>
          <w:tbl>
            <w:tblPr>
              <w:tblStyle w:val="31"/>
              <w:tblW w:w="8220"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577"/>
              <w:gridCol w:w="694"/>
              <w:gridCol w:w="510"/>
              <w:gridCol w:w="807"/>
              <w:gridCol w:w="362"/>
              <w:gridCol w:w="904"/>
              <w:gridCol w:w="814"/>
              <w:gridCol w:w="1728"/>
              <w:gridCol w:w="110"/>
            </w:tblGrid>
            <w:tr w14:paraId="7219024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66" w:type="pct"/>
                <w:cantSplit/>
                <w:trHeight w:val="20" w:hRule="atLeast"/>
              </w:trPr>
              <w:tc>
                <w:tcPr>
                  <w:tcW w:w="4933" w:type="pct"/>
                  <w:gridSpan w:val="9"/>
                  <w:noWrap w:val="0"/>
                  <w:vAlign w:val="center"/>
                </w:tcPr>
                <w:p w14:paraId="3D3ED135">
                  <w:pPr>
                    <w:pStyle w:val="69"/>
                    <w:keepNext w:val="0"/>
                    <w:keepLines w:val="0"/>
                    <w:pageBreakBefore w:val="0"/>
                    <w:suppressLineNumbers w:val="0"/>
                    <w:kinsoku/>
                    <w:wordWrap/>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一、原辅料</w:t>
                  </w:r>
                </w:p>
              </w:tc>
            </w:tr>
            <w:tr w14:paraId="7D0850C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66" w:type="pct"/>
                <w:cantSplit/>
                <w:trHeight w:val="20" w:hRule="atLeast"/>
              </w:trPr>
              <w:tc>
                <w:tcPr>
                  <w:tcW w:w="435" w:type="pct"/>
                  <w:noWrap w:val="0"/>
                  <w:vAlign w:val="center"/>
                </w:tcPr>
                <w:p w14:paraId="6E7FA7E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序号</w:t>
                  </w:r>
                </w:p>
              </w:tc>
              <w:tc>
                <w:tcPr>
                  <w:tcW w:w="959" w:type="pct"/>
                  <w:noWrap w:val="0"/>
                  <w:vAlign w:val="center"/>
                </w:tcPr>
                <w:p w14:paraId="220EAED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原料名称</w:t>
                  </w:r>
                </w:p>
              </w:tc>
              <w:tc>
                <w:tcPr>
                  <w:tcW w:w="422" w:type="pct"/>
                  <w:shd w:val="clear" w:color="auto" w:fill="auto"/>
                  <w:noWrap w:val="0"/>
                  <w:vAlign w:val="center"/>
                </w:tcPr>
                <w:p w14:paraId="77E41E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eastAsia="宋体" w:cs="Times New Roman"/>
                      <w:sz w:val="21"/>
                      <w:szCs w:val="21"/>
                      <w:lang w:val="en-US" w:eastAsia="zh-CN"/>
                    </w:rPr>
                    <w:t>单位</w:t>
                  </w:r>
                </w:p>
              </w:tc>
              <w:tc>
                <w:tcPr>
                  <w:tcW w:w="801" w:type="pct"/>
                  <w:gridSpan w:val="2"/>
                  <w:noWrap w:val="0"/>
                  <w:vAlign w:val="center"/>
                </w:tcPr>
                <w:p w14:paraId="0C2236E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用量</w:t>
                  </w:r>
                  <w:r>
                    <w:rPr>
                      <w:rFonts w:hint="eastAsia" w:eastAsia="宋体" w:cs="Times New Roman"/>
                      <w:sz w:val="21"/>
                      <w:szCs w:val="21"/>
                      <w:lang w:val="en-US" w:eastAsia="zh-CN"/>
                    </w:rPr>
                    <w:t>（年）</w:t>
                  </w:r>
                </w:p>
              </w:tc>
              <w:tc>
                <w:tcPr>
                  <w:tcW w:w="770" w:type="pct"/>
                  <w:gridSpan w:val="2"/>
                  <w:noWrap w:val="0"/>
                  <w:vAlign w:val="center"/>
                </w:tcPr>
                <w:p w14:paraId="2F678DC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最大储存量</w:t>
                  </w:r>
                </w:p>
              </w:tc>
              <w:tc>
                <w:tcPr>
                  <w:tcW w:w="495" w:type="pct"/>
                  <w:noWrap w:val="0"/>
                  <w:vAlign w:val="center"/>
                </w:tcPr>
                <w:p w14:paraId="402100E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性状</w:t>
                  </w:r>
                </w:p>
              </w:tc>
              <w:tc>
                <w:tcPr>
                  <w:tcW w:w="1049" w:type="pct"/>
                  <w:noWrap w:val="0"/>
                  <w:vAlign w:val="center"/>
                </w:tcPr>
                <w:p w14:paraId="783231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备注</w:t>
                  </w:r>
                </w:p>
              </w:tc>
            </w:tr>
            <w:tr w14:paraId="7F9DC47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66" w:type="pct"/>
                <w:cantSplit/>
                <w:trHeight w:val="20" w:hRule="atLeast"/>
              </w:trPr>
              <w:tc>
                <w:tcPr>
                  <w:tcW w:w="435" w:type="pct"/>
                  <w:noWrap w:val="0"/>
                  <w:vAlign w:val="center"/>
                </w:tcPr>
                <w:p w14:paraId="4D5E3C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959" w:type="pct"/>
                  <w:noWrap w:val="0"/>
                  <w:vAlign w:val="center"/>
                </w:tcPr>
                <w:p w14:paraId="0D75D1D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各类宠物粮</w:t>
                  </w:r>
                </w:p>
              </w:tc>
              <w:tc>
                <w:tcPr>
                  <w:tcW w:w="422" w:type="pct"/>
                  <w:shd w:val="clear" w:color="auto" w:fill="auto"/>
                  <w:noWrap w:val="0"/>
                  <w:vAlign w:val="center"/>
                </w:tcPr>
                <w:p w14:paraId="543DB86C">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袋</w:t>
                  </w:r>
                </w:p>
              </w:tc>
              <w:tc>
                <w:tcPr>
                  <w:tcW w:w="801" w:type="pct"/>
                  <w:gridSpan w:val="2"/>
                  <w:noWrap w:val="0"/>
                  <w:vAlign w:val="center"/>
                </w:tcPr>
                <w:p w14:paraId="2FE43307">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1000</w:t>
                  </w:r>
                </w:p>
              </w:tc>
              <w:tc>
                <w:tcPr>
                  <w:tcW w:w="770" w:type="pct"/>
                  <w:gridSpan w:val="2"/>
                  <w:noWrap w:val="0"/>
                  <w:vAlign w:val="center"/>
                </w:tcPr>
                <w:p w14:paraId="49DE3507">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100</w:t>
                  </w:r>
                </w:p>
              </w:tc>
              <w:tc>
                <w:tcPr>
                  <w:tcW w:w="495" w:type="pct"/>
                  <w:noWrap w:val="0"/>
                  <w:vAlign w:val="center"/>
                </w:tcPr>
                <w:p w14:paraId="5F05A7F4">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固态</w:t>
                  </w:r>
                </w:p>
              </w:tc>
              <w:tc>
                <w:tcPr>
                  <w:tcW w:w="1049" w:type="pct"/>
                  <w:noWrap w:val="0"/>
                  <w:vAlign w:val="center"/>
                </w:tcPr>
                <w:p w14:paraId="20B77F49">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w:t>
                  </w:r>
                </w:p>
              </w:tc>
            </w:tr>
            <w:tr w14:paraId="25E3F7E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66" w:type="pct"/>
                <w:cantSplit/>
                <w:trHeight w:val="20" w:hRule="atLeast"/>
              </w:trPr>
              <w:tc>
                <w:tcPr>
                  <w:tcW w:w="435" w:type="pct"/>
                  <w:noWrap w:val="0"/>
                  <w:vAlign w:val="center"/>
                </w:tcPr>
                <w:p w14:paraId="4FF4AC7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959" w:type="pct"/>
                  <w:noWrap w:val="0"/>
                  <w:vAlign w:val="center"/>
                </w:tcPr>
                <w:p w14:paraId="6E0BA07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0</w:t>
                  </w:r>
                  <w:r>
                    <w:rPr>
                      <w:rFonts w:hint="default" w:ascii="Times New Roman" w:hAnsi="Times New Roman" w:eastAsia="宋体" w:cs="Times New Roman"/>
                      <w:sz w:val="21"/>
                      <w:szCs w:val="21"/>
                      <w:lang w:val="en-US" w:eastAsia="zh-CN"/>
                    </w:rPr>
                    <w:t>.9%氯化钠注射液</w:t>
                  </w:r>
                </w:p>
              </w:tc>
              <w:tc>
                <w:tcPr>
                  <w:tcW w:w="422" w:type="pct"/>
                  <w:shd w:val="clear" w:color="auto" w:fill="auto"/>
                  <w:noWrap w:val="0"/>
                  <w:vAlign w:val="center"/>
                </w:tcPr>
                <w:p w14:paraId="21094D4D">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袋</w:t>
                  </w:r>
                </w:p>
              </w:tc>
              <w:tc>
                <w:tcPr>
                  <w:tcW w:w="801" w:type="pct"/>
                  <w:gridSpan w:val="2"/>
                  <w:noWrap w:val="0"/>
                  <w:vAlign w:val="center"/>
                </w:tcPr>
                <w:p w14:paraId="44F15FD8">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500</w:t>
                  </w:r>
                </w:p>
              </w:tc>
              <w:tc>
                <w:tcPr>
                  <w:tcW w:w="770" w:type="pct"/>
                  <w:gridSpan w:val="2"/>
                  <w:noWrap w:val="0"/>
                  <w:vAlign w:val="center"/>
                </w:tcPr>
                <w:p w14:paraId="74BA3409">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50</w:t>
                  </w:r>
                </w:p>
              </w:tc>
              <w:tc>
                <w:tcPr>
                  <w:tcW w:w="495" w:type="pct"/>
                  <w:noWrap w:val="0"/>
                  <w:vAlign w:val="center"/>
                </w:tcPr>
                <w:p w14:paraId="48E21832">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液体</w:t>
                  </w:r>
                </w:p>
              </w:tc>
              <w:tc>
                <w:tcPr>
                  <w:tcW w:w="1049" w:type="pct"/>
                  <w:noWrap w:val="0"/>
                  <w:vAlign w:val="center"/>
                </w:tcPr>
                <w:p w14:paraId="5498C8D4">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100ml/袋</w:t>
                  </w:r>
                </w:p>
              </w:tc>
            </w:tr>
            <w:tr w14:paraId="579C701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66" w:type="pct"/>
                <w:cantSplit/>
                <w:trHeight w:val="20" w:hRule="atLeast"/>
              </w:trPr>
              <w:tc>
                <w:tcPr>
                  <w:tcW w:w="435" w:type="pct"/>
                  <w:noWrap w:val="0"/>
                  <w:vAlign w:val="center"/>
                </w:tcPr>
                <w:p w14:paraId="14FF13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w:t>
                  </w:r>
                </w:p>
              </w:tc>
              <w:tc>
                <w:tcPr>
                  <w:tcW w:w="959" w:type="pct"/>
                  <w:noWrap w:val="0"/>
                  <w:vAlign w:val="center"/>
                </w:tcPr>
                <w:p w14:paraId="14077E7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0.5</w:t>
                  </w:r>
                  <w:r>
                    <w:rPr>
                      <w:rFonts w:hint="default" w:ascii="Times New Roman" w:hAnsi="Times New Roman" w:eastAsia="宋体" w:cs="Times New Roman"/>
                      <w:sz w:val="21"/>
                      <w:szCs w:val="21"/>
                      <w:lang w:val="en-US" w:eastAsia="zh-CN"/>
                    </w:rPr>
                    <w:t>%葡萄糖注射液</w:t>
                  </w:r>
                </w:p>
              </w:tc>
              <w:tc>
                <w:tcPr>
                  <w:tcW w:w="422" w:type="pct"/>
                  <w:shd w:val="clear" w:color="auto" w:fill="auto"/>
                  <w:noWrap w:val="0"/>
                  <w:vAlign w:val="center"/>
                </w:tcPr>
                <w:p w14:paraId="2414BBCE">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袋</w:t>
                  </w:r>
                </w:p>
              </w:tc>
              <w:tc>
                <w:tcPr>
                  <w:tcW w:w="801" w:type="pct"/>
                  <w:gridSpan w:val="2"/>
                  <w:noWrap w:val="0"/>
                  <w:vAlign w:val="center"/>
                </w:tcPr>
                <w:p w14:paraId="222BA35C">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1000</w:t>
                  </w:r>
                </w:p>
              </w:tc>
              <w:tc>
                <w:tcPr>
                  <w:tcW w:w="770" w:type="pct"/>
                  <w:gridSpan w:val="2"/>
                  <w:noWrap w:val="0"/>
                  <w:vAlign w:val="center"/>
                </w:tcPr>
                <w:p w14:paraId="3025740E">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100</w:t>
                  </w:r>
                </w:p>
              </w:tc>
              <w:tc>
                <w:tcPr>
                  <w:tcW w:w="495" w:type="pct"/>
                  <w:noWrap w:val="0"/>
                  <w:vAlign w:val="center"/>
                </w:tcPr>
                <w:p w14:paraId="37646063">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液体</w:t>
                  </w:r>
                </w:p>
              </w:tc>
              <w:tc>
                <w:tcPr>
                  <w:tcW w:w="1049" w:type="pct"/>
                  <w:noWrap w:val="0"/>
                  <w:vAlign w:val="center"/>
                </w:tcPr>
                <w:p w14:paraId="0607FCB4">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100ml/袋</w:t>
                  </w:r>
                </w:p>
              </w:tc>
            </w:tr>
            <w:tr w14:paraId="4CE4401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66" w:type="pct"/>
                <w:cantSplit/>
                <w:trHeight w:val="20" w:hRule="atLeast"/>
              </w:trPr>
              <w:tc>
                <w:tcPr>
                  <w:tcW w:w="435" w:type="pct"/>
                  <w:noWrap w:val="0"/>
                  <w:vAlign w:val="center"/>
                </w:tcPr>
                <w:p w14:paraId="2F0D3BA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4</w:t>
                  </w:r>
                </w:p>
              </w:tc>
              <w:tc>
                <w:tcPr>
                  <w:tcW w:w="959" w:type="pct"/>
                  <w:noWrap w:val="0"/>
                  <w:vAlign w:val="center"/>
                </w:tcPr>
                <w:p w14:paraId="40E3621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医用酒精（乙醇）</w:t>
                  </w:r>
                </w:p>
              </w:tc>
              <w:tc>
                <w:tcPr>
                  <w:tcW w:w="422" w:type="pct"/>
                  <w:shd w:val="clear" w:color="auto" w:fill="auto"/>
                  <w:noWrap w:val="0"/>
                  <w:vAlign w:val="center"/>
                </w:tcPr>
                <w:p w14:paraId="1157238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eastAsia="宋体" w:cs="Times New Roman"/>
                      <w:sz w:val="21"/>
                      <w:szCs w:val="21"/>
                      <w:lang w:val="en-US" w:eastAsia="zh-CN"/>
                    </w:rPr>
                    <w:t>瓶</w:t>
                  </w:r>
                </w:p>
              </w:tc>
              <w:tc>
                <w:tcPr>
                  <w:tcW w:w="801" w:type="pct"/>
                  <w:gridSpan w:val="2"/>
                  <w:noWrap w:val="0"/>
                  <w:vAlign w:val="center"/>
                </w:tcPr>
                <w:p w14:paraId="455CC15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500</w:t>
                  </w:r>
                </w:p>
              </w:tc>
              <w:tc>
                <w:tcPr>
                  <w:tcW w:w="770" w:type="pct"/>
                  <w:gridSpan w:val="2"/>
                  <w:noWrap w:val="0"/>
                  <w:vAlign w:val="center"/>
                </w:tcPr>
                <w:p w14:paraId="5846858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50</w:t>
                  </w:r>
                </w:p>
              </w:tc>
              <w:tc>
                <w:tcPr>
                  <w:tcW w:w="495" w:type="pct"/>
                  <w:noWrap w:val="0"/>
                  <w:vAlign w:val="center"/>
                </w:tcPr>
                <w:p w14:paraId="7ABF84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液体</w:t>
                  </w:r>
                </w:p>
              </w:tc>
              <w:tc>
                <w:tcPr>
                  <w:tcW w:w="1049" w:type="pct"/>
                  <w:noWrap w:val="0"/>
                  <w:vAlign w:val="center"/>
                </w:tcPr>
                <w:p w14:paraId="1ABFB1D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500ml/瓶</w:t>
                  </w:r>
                </w:p>
              </w:tc>
            </w:tr>
            <w:tr w14:paraId="72D1163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66" w:type="pct"/>
                <w:cantSplit/>
                <w:trHeight w:val="20" w:hRule="atLeast"/>
              </w:trPr>
              <w:tc>
                <w:tcPr>
                  <w:tcW w:w="435" w:type="pct"/>
                  <w:noWrap w:val="0"/>
                  <w:vAlign w:val="center"/>
                </w:tcPr>
                <w:p w14:paraId="58926CD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5</w:t>
                  </w:r>
                </w:p>
              </w:tc>
              <w:tc>
                <w:tcPr>
                  <w:tcW w:w="959" w:type="pct"/>
                  <w:noWrap w:val="0"/>
                  <w:vAlign w:val="center"/>
                </w:tcPr>
                <w:p w14:paraId="6E0BB9E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碘伏</w:t>
                  </w:r>
                </w:p>
              </w:tc>
              <w:tc>
                <w:tcPr>
                  <w:tcW w:w="422" w:type="pct"/>
                  <w:shd w:val="clear" w:color="auto" w:fill="auto"/>
                  <w:noWrap w:val="0"/>
                  <w:vAlign w:val="center"/>
                </w:tcPr>
                <w:p w14:paraId="43673A13">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eastAsia="宋体" w:cs="Times New Roman"/>
                      <w:sz w:val="21"/>
                      <w:szCs w:val="21"/>
                      <w:lang w:val="en-US" w:eastAsia="zh-CN"/>
                    </w:rPr>
                    <w:t>瓶</w:t>
                  </w:r>
                </w:p>
              </w:tc>
              <w:tc>
                <w:tcPr>
                  <w:tcW w:w="801" w:type="pct"/>
                  <w:gridSpan w:val="2"/>
                  <w:noWrap w:val="0"/>
                  <w:vAlign w:val="center"/>
                </w:tcPr>
                <w:p w14:paraId="15D4A65D">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50</w:t>
                  </w:r>
                </w:p>
              </w:tc>
              <w:tc>
                <w:tcPr>
                  <w:tcW w:w="770" w:type="pct"/>
                  <w:gridSpan w:val="2"/>
                  <w:noWrap w:val="0"/>
                  <w:vAlign w:val="center"/>
                </w:tcPr>
                <w:p w14:paraId="1F9AF3D7">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10</w:t>
                  </w:r>
                </w:p>
              </w:tc>
              <w:tc>
                <w:tcPr>
                  <w:tcW w:w="495" w:type="pct"/>
                  <w:noWrap w:val="0"/>
                  <w:vAlign w:val="center"/>
                </w:tcPr>
                <w:p w14:paraId="0B569FE5">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液体</w:t>
                  </w:r>
                </w:p>
              </w:tc>
              <w:tc>
                <w:tcPr>
                  <w:tcW w:w="1049" w:type="pct"/>
                  <w:noWrap w:val="0"/>
                  <w:vAlign w:val="center"/>
                </w:tcPr>
                <w:p w14:paraId="5FA81535">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500ml/瓶</w:t>
                  </w:r>
                </w:p>
              </w:tc>
            </w:tr>
            <w:tr w14:paraId="6E0D1A7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66" w:type="pct"/>
                <w:cantSplit/>
                <w:trHeight w:val="20" w:hRule="atLeast"/>
              </w:trPr>
              <w:tc>
                <w:tcPr>
                  <w:tcW w:w="435" w:type="pct"/>
                  <w:noWrap w:val="0"/>
                  <w:vAlign w:val="center"/>
                </w:tcPr>
                <w:p w14:paraId="21EF2B3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6</w:t>
                  </w:r>
                </w:p>
              </w:tc>
              <w:tc>
                <w:tcPr>
                  <w:tcW w:w="959" w:type="pct"/>
                  <w:noWrap w:val="0"/>
                  <w:vAlign w:val="center"/>
                </w:tcPr>
                <w:p w14:paraId="33756B3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阿莫西林克拉维酸钾片</w:t>
                  </w:r>
                </w:p>
              </w:tc>
              <w:tc>
                <w:tcPr>
                  <w:tcW w:w="422" w:type="pct"/>
                  <w:shd w:val="clear" w:color="auto" w:fill="auto"/>
                  <w:noWrap w:val="0"/>
                  <w:vAlign w:val="center"/>
                </w:tcPr>
                <w:p w14:paraId="0E0B770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eastAsia="宋体" w:cs="Times New Roman"/>
                      <w:sz w:val="21"/>
                      <w:szCs w:val="21"/>
                      <w:lang w:val="en-US" w:eastAsia="zh-CN"/>
                    </w:rPr>
                    <w:t>盒</w:t>
                  </w:r>
                </w:p>
              </w:tc>
              <w:tc>
                <w:tcPr>
                  <w:tcW w:w="801" w:type="pct"/>
                  <w:gridSpan w:val="2"/>
                  <w:noWrap w:val="0"/>
                  <w:vAlign w:val="center"/>
                </w:tcPr>
                <w:p w14:paraId="175D946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50</w:t>
                  </w:r>
                </w:p>
              </w:tc>
              <w:tc>
                <w:tcPr>
                  <w:tcW w:w="770" w:type="pct"/>
                  <w:gridSpan w:val="2"/>
                  <w:noWrap w:val="0"/>
                  <w:vAlign w:val="center"/>
                </w:tcPr>
                <w:p w14:paraId="21BE9A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20</w:t>
                  </w:r>
                </w:p>
              </w:tc>
              <w:tc>
                <w:tcPr>
                  <w:tcW w:w="495" w:type="pct"/>
                  <w:noWrap w:val="0"/>
                  <w:vAlign w:val="center"/>
                </w:tcPr>
                <w:p w14:paraId="6358C92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固体</w:t>
                  </w:r>
                </w:p>
              </w:tc>
              <w:tc>
                <w:tcPr>
                  <w:tcW w:w="1049" w:type="pct"/>
                  <w:noWrap w:val="0"/>
                  <w:vAlign w:val="center"/>
                </w:tcPr>
                <w:p w14:paraId="26D6AAE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5</w:t>
                  </w:r>
                  <w:r>
                    <w:rPr>
                      <w:rFonts w:hint="default" w:ascii="Times New Roman" w:hAnsi="Times New Roman" w:eastAsia="宋体" w:cs="Times New Roman"/>
                      <w:sz w:val="21"/>
                      <w:szCs w:val="21"/>
                      <w:lang w:val="en-US" w:eastAsia="zh-CN"/>
                    </w:rPr>
                    <w:t>0mg*70粒/盒</w:t>
                  </w:r>
                </w:p>
              </w:tc>
            </w:tr>
            <w:tr w14:paraId="0626A10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66" w:type="pct"/>
                <w:cantSplit/>
                <w:trHeight w:val="412" w:hRule="atLeast"/>
              </w:trPr>
              <w:tc>
                <w:tcPr>
                  <w:tcW w:w="435" w:type="pct"/>
                  <w:noWrap w:val="0"/>
                  <w:vAlign w:val="center"/>
                </w:tcPr>
                <w:p w14:paraId="7348CE2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7</w:t>
                  </w:r>
                </w:p>
              </w:tc>
              <w:tc>
                <w:tcPr>
                  <w:tcW w:w="959" w:type="pct"/>
                  <w:noWrap w:val="0"/>
                  <w:vAlign w:val="center"/>
                </w:tcPr>
                <w:p w14:paraId="584F02D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英特威狂犬</w:t>
                  </w:r>
                </w:p>
              </w:tc>
              <w:tc>
                <w:tcPr>
                  <w:tcW w:w="422" w:type="pct"/>
                  <w:shd w:val="clear" w:color="auto" w:fill="auto"/>
                  <w:noWrap w:val="0"/>
                  <w:vAlign w:val="center"/>
                </w:tcPr>
                <w:p w14:paraId="1587C5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eastAsia="宋体" w:cs="Times New Roman"/>
                      <w:sz w:val="21"/>
                      <w:szCs w:val="21"/>
                      <w:lang w:val="en-US" w:eastAsia="zh-CN"/>
                    </w:rPr>
                    <w:t>支</w:t>
                  </w:r>
                </w:p>
              </w:tc>
              <w:tc>
                <w:tcPr>
                  <w:tcW w:w="801" w:type="pct"/>
                  <w:gridSpan w:val="2"/>
                  <w:noWrap w:val="0"/>
                  <w:vAlign w:val="center"/>
                </w:tcPr>
                <w:p w14:paraId="7BDBEA6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3000</w:t>
                  </w:r>
                </w:p>
              </w:tc>
              <w:tc>
                <w:tcPr>
                  <w:tcW w:w="770" w:type="pct"/>
                  <w:gridSpan w:val="2"/>
                  <w:noWrap w:val="0"/>
                  <w:vAlign w:val="center"/>
                </w:tcPr>
                <w:p w14:paraId="7A6C91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500</w:t>
                  </w:r>
                </w:p>
              </w:tc>
              <w:tc>
                <w:tcPr>
                  <w:tcW w:w="495" w:type="pct"/>
                  <w:noWrap w:val="0"/>
                  <w:vAlign w:val="center"/>
                </w:tcPr>
                <w:p w14:paraId="2A5754A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液体</w:t>
                  </w:r>
                </w:p>
              </w:tc>
              <w:tc>
                <w:tcPr>
                  <w:tcW w:w="1049" w:type="pct"/>
                  <w:noWrap w:val="0"/>
                  <w:vAlign w:val="center"/>
                </w:tcPr>
                <w:p w14:paraId="4573D7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1ml/支</w:t>
                  </w:r>
                </w:p>
              </w:tc>
            </w:tr>
            <w:tr w14:paraId="393F273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66" w:type="pct"/>
                <w:cantSplit/>
                <w:trHeight w:val="20" w:hRule="atLeast"/>
              </w:trPr>
              <w:tc>
                <w:tcPr>
                  <w:tcW w:w="435" w:type="pct"/>
                  <w:noWrap w:val="0"/>
                  <w:vAlign w:val="center"/>
                </w:tcPr>
                <w:p w14:paraId="7F9877D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8</w:t>
                  </w:r>
                </w:p>
              </w:tc>
              <w:tc>
                <w:tcPr>
                  <w:tcW w:w="959" w:type="pct"/>
                  <w:noWrap w:val="0"/>
                  <w:vAlign w:val="center"/>
                </w:tcPr>
                <w:p w14:paraId="0149B9F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爱普多驱虫药</w:t>
                  </w:r>
                </w:p>
              </w:tc>
              <w:tc>
                <w:tcPr>
                  <w:tcW w:w="422" w:type="pct"/>
                  <w:shd w:val="clear" w:color="auto" w:fill="auto"/>
                  <w:noWrap w:val="0"/>
                  <w:vAlign w:val="center"/>
                </w:tcPr>
                <w:p w14:paraId="25A0D1B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eastAsia="宋体" w:cs="Times New Roman"/>
                      <w:sz w:val="21"/>
                      <w:szCs w:val="21"/>
                      <w:lang w:val="en-US" w:eastAsia="zh-CN"/>
                    </w:rPr>
                    <w:t>支</w:t>
                  </w:r>
                </w:p>
              </w:tc>
              <w:tc>
                <w:tcPr>
                  <w:tcW w:w="801" w:type="pct"/>
                  <w:gridSpan w:val="2"/>
                  <w:noWrap w:val="0"/>
                  <w:vAlign w:val="center"/>
                </w:tcPr>
                <w:p w14:paraId="564EF09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300</w:t>
                  </w:r>
                </w:p>
              </w:tc>
              <w:tc>
                <w:tcPr>
                  <w:tcW w:w="770" w:type="pct"/>
                  <w:gridSpan w:val="2"/>
                  <w:noWrap w:val="0"/>
                  <w:vAlign w:val="center"/>
                </w:tcPr>
                <w:p w14:paraId="10904B8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100</w:t>
                  </w:r>
                </w:p>
              </w:tc>
              <w:tc>
                <w:tcPr>
                  <w:tcW w:w="495" w:type="pct"/>
                  <w:noWrap w:val="0"/>
                  <w:vAlign w:val="center"/>
                </w:tcPr>
                <w:p w14:paraId="0CAE0C6E">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液体</w:t>
                  </w:r>
                </w:p>
              </w:tc>
              <w:tc>
                <w:tcPr>
                  <w:tcW w:w="1049" w:type="pct"/>
                  <w:noWrap w:val="0"/>
                  <w:vAlign w:val="center"/>
                </w:tcPr>
                <w:p w14:paraId="327192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1ml/支</w:t>
                  </w:r>
                </w:p>
              </w:tc>
            </w:tr>
            <w:tr w14:paraId="24808F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66" w:type="pct"/>
                <w:cantSplit/>
                <w:trHeight w:val="20" w:hRule="atLeast"/>
              </w:trPr>
              <w:tc>
                <w:tcPr>
                  <w:tcW w:w="435" w:type="pct"/>
                  <w:noWrap w:val="0"/>
                  <w:vAlign w:val="center"/>
                </w:tcPr>
                <w:p w14:paraId="1D04F31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9</w:t>
                  </w:r>
                </w:p>
              </w:tc>
              <w:tc>
                <w:tcPr>
                  <w:tcW w:w="959" w:type="pct"/>
                  <w:noWrap w:val="0"/>
                  <w:vAlign w:val="center"/>
                </w:tcPr>
                <w:p w14:paraId="254BFCF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耳可舒</w:t>
                  </w:r>
                </w:p>
              </w:tc>
              <w:tc>
                <w:tcPr>
                  <w:tcW w:w="422" w:type="pct"/>
                  <w:shd w:val="clear" w:color="auto" w:fill="auto"/>
                  <w:noWrap w:val="0"/>
                  <w:vAlign w:val="center"/>
                </w:tcPr>
                <w:p w14:paraId="4E2E5EA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eastAsia="宋体" w:cs="Times New Roman"/>
                      <w:sz w:val="21"/>
                      <w:szCs w:val="21"/>
                      <w:lang w:val="en-US" w:eastAsia="zh-CN"/>
                    </w:rPr>
                    <w:t>支</w:t>
                  </w:r>
                </w:p>
              </w:tc>
              <w:tc>
                <w:tcPr>
                  <w:tcW w:w="801" w:type="pct"/>
                  <w:gridSpan w:val="2"/>
                  <w:noWrap w:val="0"/>
                  <w:vAlign w:val="center"/>
                </w:tcPr>
                <w:p w14:paraId="7B0949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10</w:t>
                  </w:r>
                </w:p>
              </w:tc>
              <w:tc>
                <w:tcPr>
                  <w:tcW w:w="770" w:type="pct"/>
                  <w:gridSpan w:val="2"/>
                  <w:noWrap w:val="0"/>
                  <w:vAlign w:val="center"/>
                </w:tcPr>
                <w:p w14:paraId="44C27AD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5</w:t>
                  </w:r>
                </w:p>
              </w:tc>
              <w:tc>
                <w:tcPr>
                  <w:tcW w:w="495" w:type="pct"/>
                  <w:noWrap w:val="0"/>
                  <w:vAlign w:val="center"/>
                </w:tcPr>
                <w:p w14:paraId="3A08DB9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膏体</w:t>
                  </w:r>
                </w:p>
              </w:tc>
              <w:tc>
                <w:tcPr>
                  <w:tcW w:w="1049" w:type="pct"/>
                  <w:noWrap w:val="0"/>
                  <w:vAlign w:val="center"/>
                </w:tcPr>
                <w:p w14:paraId="64EF6EE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w:t>
                  </w:r>
                </w:p>
              </w:tc>
            </w:tr>
            <w:tr w14:paraId="69B14C7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66" w:type="pct"/>
                <w:cantSplit/>
                <w:trHeight w:val="20" w:hRule="atLeast"/>
              </w:trPr>
              <w:tc>
                <w:tcPr>
                  <w:tcW w:w="435" w:type="pct"/>
                  <w:noWrap w:val="0"/>
                  <w:vAlign w:val="center"/>
                </w:tcPr>
                <w:p w14:paraId="371BA02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r>
                    <w:rPr>
                      <w:rFonts w:hint="eastAsia" w:cs="Times New Roman"/>
                      <w:sz w:val="21"/>
                      <w:szCs w:val="21"/>
                      <w:lang w:val="en-US" w:eastAsia="zh-CN"/>
                    </w:rPr>
                    <w:t>0</w:t>
                  </w:r>
                </w:p>
              </w:tc>
              <w:tc>
                <w:tcPr>
                  <w:tcW w:w="959" w:type="pct"/>
                  <w:noWrap w:val="0"/>
                  <w:vAlign w:val="center"/>
                </w:tcPr>
                <w:p w14:paraId="70E782E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恩诺沙星</w:t>
                  </w:r>
                </w:p>
              </w:tc>
              <w:tc>
                <w:tcPr>
                  <w:tcW w:w="422" w:type="pct"/>
                  <w:shd w:val="clear" w:color="auto" w:fill="auto"/>
                  <w:noWrap w:val="0"/>
                  <w:vAlign w:val="center"/>
                </w:tcPr>
                <w:p w14:paraId="6E7CE3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eastAsia="宋体" w:cs="Times New Roman"/>
                      <w:sz w:val="21"/>
                      <w:szCs w:val="21"/>
                      <w:lang w:val="en-US" w:eastAsia="zh-CN"/>
                    </w:rPr>
                    <w:t>盒</w:t>
                  </w:r>
                </w:p>
              </w:tc>
              <w:tc>
                <w:tcPr>
                  <w:tcW w:w="801" w:type="pct"/>
                  <w:gridSpan w:val="2"/>
                  <w:noWrap w:val="0"/>
                  <w:vAlign w:val="center"/>
                </w:tcPr>
                <w:p w14:paraId="59CDE3E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10</w:t>
                  </w:r>
                </w:p>
              </w:tc>
              <w:tc>
                <w:tcPr>
                  <w:tcW w:w="770" w:type="pct"/>
                  <w:gridSpan w:val="2"/>
                  <w:noWrap w:val="0"/>
                  <w:vAlign w:val="center"/>
                </w:tcPr>
                <w:p w14:paraId="18C1459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5</w:t>
                  </w:r>
                </w:p>
              </w:tc>
              <w:tc>
                <w:tcPr>
                  <w:tcW w:w="495" w:type="pct"/>
                  <w:noWrap w:val="0"/>
                  <w:vAlign w:val="center"/>
                </w:tcPr>
                <w:p w14:paraId="29684D1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固体</w:t>
                  </w:r>
                </w:p>
              </w:tc>
              <w:tc>
                <w:tcPr>
                  <w:tcW w:w="1049" w:type="pct"/>
                  <w:noWrap w:val="0"/>
                  <w:vAlign w:val="center"/>
                </w:tcPr>
                <w:p w14:paraId="7E369E4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5</w:t>
                  </w:r>
                  <w:r>
                    <w:rPr>
                      <w:rFonts w:hint="default" w:ascii="Times New Roman" w:hAnsi="Times New Roman" w:eastAsia="宋体" w:cs="Times New Roman"/>
                      <w:sz w:val="21"/>
                      <w:szCs w:val="21"/>
                      <w:lang w:val="en-US" w:eastAsia="zh-CN"/>
                    </w:rPr>
                    <w:t>0mg*70粒/盒</w:t>
                  </w:r>
                </w:p>
              </w:tc>
            </w:tr>
            <w:tr w14:paraId="243864B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66" w:type="pct"/>
                <w:cantSplit/>
                <w:trHeight w:val="20" w:hRule="atLeast"/>
              </w:trPr>
              <w:tc>
                <w:tcPr>
                  <w:tcW w:w="435" w:type="pct"/>
                  <w:noWrap w:val="0"/>
                  <w:vAlign w:val="center"/>
                </w:tcPr>
                <w:p w14:paraId="67FC73A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w:t>
                  </w:r>
                  <w:r>
                    <w:rPr>
                      <w:rFonts w:hint="eastAsia" w:cs="Times New Roman"/>
                      <w:sz w:val="21"/>
                      <w:szCs w:val="21"/>
                      <w:lang w:val="en-US" w:eastAsia="zh-CN"/>
                    </w:rPr>
                    <w:t>1</w:t>
                  </w:r>
                </w:p>
              </w:tc>
              <w:tc>
                <w:tcPr>
                  <w:tcW w:w="959" w:type="pct"/>
                  <w:noWrap w:val="0"/>
                  <w:vAlign w:val="center"/>
                </w:tcPr>
                <w:p w14:paraId="39A5166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多西环素</w:t>
                  </w:r>
                </w:p>
              </w:tc>
              <w:tc>
                <w:tcPr>
                  <w:tcW w:w="422" w:type="pct"/>
                  <w:shd w:val="clear" w:color="auto" w:fill="auto"/>
                  <w:noWrap w:val="0"/>
                  <w:vAlign w:val="center"/>
                </w:tcPr>
                <w:p w14:paraId="198BC01D">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highlight w:val="none"/>
                      <w:lang w:val="en-US" w:eastAsia="zh-CN" w:bidi="ar-SA"/>
                    </w:rPr>
                  </w:pPr>
                  <w:r>
                    <w:rPr>
                      <w:rFonts w:hint="eastAsia" w:eastAsia="宋体" w:cs="Times New Roman"/>
                      <w:sz w:val="21"/>
                      <w:szCs w:val="21"/>
                      <w:lang w:val="en-US" w:eastAsia="zh-CN"/>
                    </w:rPr>
                    <w:t>盒</w:t>
                  </w:r>
                </w:p>
              </w:tc>
              <w:tc>
                <w:tcPr>
                  <w:tcW w:w="801" w:type="pct"/>
                  <w:gridSpan w:val="2"/>
                  <w:noWrap w:val="0"/>
                  <w:vAlign w:val="center"/>
                </w:tcPr>
                <w:p w14:paraId="4DC34557">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eastAsia="宋体" w:cs="Times New Roman"/>
                      <w:sz w:val="21"/>
                      <w:szCs w:val="21"/>
                      <w:highlight w:val="none"/>
                      <w:lang w:val="en-US" w:eastAsia="zh-CN"/>
                    </w:rPr>
                    <w:t>10</w:t>
                  </w:r>
                </w:p>
              </w:tc>
              <w:tc>
                <w:tcPr>
                  <w:tcW w:w="770" w:type="pct"/>
                  <w:gridSpan w:val="2"/>
                  <w:noWrap w:val="0"/>
                  <w:vAlign w:val="center"/>
                </w:tcPr>
                <w:p w14:paraId="3CB93EEA">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5</w:t>
                  </w:r>
                </w:p>
              </w:tc>
              <w:tc>
                <w:tcPr>
                  <w:tcW w:w="495" w:type="pct"/>
                  <w:noWrap w:val="0"/>
                  <w:vAlign w:val="center"/>
                </w:tcPr>
                <w:p w14:paraId="17ED9525">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cs="Times New Roman"/>
                      <w:sz w:val="21"/>
                      <w:szCs w:val="21"/>
                      <w:highlight w:val="none"/>
                      <w:lang w:val="en-US" w:eastAsia="zh-CN"/>
                    </w:rPr>
                  </w:pPr>
                  <w:r>
                    <w:rPr>
                      <w:rFonts w:hint="eastAsia" w:eastAsia="宋体" w:cs="Times New Roman"/>
                      <w:sz w:val="21"/>
                      <w:szCs w:val="21"/>
                      <w:lang w:val="en-US" w:eastAsia="zh-CN"/>
                    </w:rPr>
                    <w:t>固体</w:t>
                  </w:r>
                </w:p>
              </w:tc>
              <w:tc>
                <w:tcPr>
                  <w:tcW w:w="1049" w:type="pct"/>
                  <w:noWrap w:val="0"/>
                  <w:vAlign w:val="center"/>
                </w:tcPr>
                <w:p w14:paraId="0046F997">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cs="Times New Roman"/>
                      <w:sz w:val="21"/>
                      <w:szCs w:val="21"/>
                      <w:highlight w:val="none"/>
                      <w:lang w:val="en-US" w:eastAsia="zh-CN"/>
                    </w:rPr>
                  </w:pPr>
                  <w:r>
                    <w:rPr>
                      <w:rFonts w:hint="eastAsia" w:eastAsia="宋体" w:cs="Times New Roman"/>
                      <w:sz w:val="21"/>
                      <w:szCs w:val="21"/>
                      <w:lang w:val="en-US" w:eastAsia="zh-CN"/>
                    </w:rPr>
                    <w:t>5</w:t>
                  </w:r>
                  <w:r>
                    <w:rPr>
                      <w:rFonts w:hint="default" w:ascii="Times New Roman" w:hAnsi="Times New Roman" w:eastAsia="宋体" w:cs="Times New Roman"/>
                      <w:sz w:val="21"/>
                      <w:szCs w:val="21"/>
                      <w:lang w:val="en-US" w:eastAsia="zh-CN"/>
                    </w:rPr>
                    <w:t>0mg*</w:t>
                  </w:r>
                  <w:r>
                    <w:rPr>
                      <w:rFonts w:hint="eastAsia"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lang w:val="en-US" w:eastAsia="zh-CN"/>
                    </w:rPr>
                    <w:t>0粒/盒</w:t>
                  </w:r>
                </w:p>
              </w:tc>
            </w:tr>
            <w:tr w14:paraId="74C39EE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66" w:type="pct"/>
                <w:cantSplit/>
                <w:trHeight w:val="20" w:hRule="atLeast"/>
              </w:trPr>
              <w:tc>
                <w:tcPr>
                  <w:tcW w:w="435" w:type="pct"/>
                  <w:noWrap w:val="0"/>
                  <w:vAlign w:val="center"/>
                </w:tcPr>
                <w:p w14:paraId="6565C6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12</w:t>
                  </w:r>
                </w:p>
              </w:tc>
              <w:tc>
                <w:tcPr>
                  <w:tcW w:w="959" w:type="pct"/>
                  <w:noWrap w:val="0"/>
                  <w:vAlign w:val="center"/>
                </w:tcPr>
                <w:p w14:paraId="52630744">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宋体" w:hAnsi="宋体" w:eastAsia="宋体" w:cs="宋体"/>
                      <w:color w:val="000000"/>
                      <w:kern w:val="0"/>
                      <w:sz w:val="20"/>
                      <w:szCs w:val="20"/>
                      <w:highlight w:val="none"/>
                      <w:lang w:val="en-US" w:eastAsia="zh-CN" w:bidi="ar"/>
                    </w:rPr>
                    <w:t>超可信</w:t>
                  </w:r>
                </w:p>
              </w:tc>
              <w:tc>
                <w:tcPr>
                  <w:tcW w:w="422" w:type="pct"/>
                  <w:shd w:val="clear" w:color="auto" w:fill="auto"/>
                  <w:noWrap w:val="0"/>
                  <w:vAlign w:val="center"/>
                </w:tcPr>
                <w:p w14:paraId="23129DD3">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eastAsia="宋体" w:cs="Times New Roman"/>
                      <w:sz w:val="21"/>
                      <w:szCs w:val="21"/>
                      <w:lang w:val="en-US" w:eastAsia="zh-CN"/>
                    </w:rPr>
                    <w:t>盒</w:t>
                  </w:r>
                </w:p>
              </w:tc>
              <w:tc>
                <w:tcPr>
                  <w:tcW w:w="801" w:type="pct"/>
                  <w:gridSpan w:val="2"/>
                  <w:noWrap w:val="0"/>
                  <w:vAlign w:val="center"/>
                </w:tcPr>
                <w:p w14:paraId="5E6B95A6">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eastAsia="宋体" w:cs="Times New Roman"/>
                      <w:sz w:val="21"/>
                      <w:szCs w:val="21"/>
                      <w:highlight w:val="none"/>
                      <w:lang w:val="en-US" w:eastAsia="zh-CN"/>
                    </w:rPr>
                  </w:pPr>
                  <w:r>
                    <w:rPr>
                      <w:rFonts w:hint="eastAsia" w:eastAsia="宋体" w:cs="Times New Roman"/>
                      <w:sz w:val="21"/>
                      <w:szCs w:val="21"/>
                      <w:highlight w:val="none"/>
                      <w:lang w:val="en-US" w:eastAsia="zh-CN"/>
                    </w:rPr>
                    <w:t>30</w:t>
                  </w:r>
                </w:p>
              </w:tc>
              <w:tc>
                <w:tcPr>
                  <w:tcW w:w="770" w:type="pct"/>
                  <w:gridSpan w:val="2"/>
                  <w:noWrap w:val="0"/>
                  <w:vAlign w:val="center"/>
                </w:tcPr>
                <w:p w14:paraId="1D4AC1C6">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10</w:t>
                  </w:r>
                </w:p>
              </w:tc>
              <w:tc>
                <w:tcPr>
                  <w:tcW w:w="495" w:type="pct"/>
                  <w:noWrap w:val="0"/>
                  <w:vAlign w:val="center"/>
                </w:tcPr>
                <w:p w14:paraId="56223C81">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eastAsia="宋体" w:cs="Times New Roman"/>
                      <w:sz w:val="21"/>
                      <w:szCs w:val="21"/>
                      <w:lang w:val="en-US" w:eastAsia="zh-CN"/>
                    </w:rPr>
                  </w:pPr>
                  <w:r>
                    <w:rPr>
                      <w:rFonts w:hint="eastAsia" w:eastAsia="宋体" w:cs="Times New Roman"/>
                      <w:sz w:val="21"/>
                      <w:szCs w:val="21"/>
                      <w:lang w:val="en-US" w:eastAsia="zh-CN"/>
                    </w:rPr>
                    <w:t>固体</w:t>
                  </w:r>
                </w:p>
              </w:tc>
              <w:tc>
                <w:tcPr>
                  <w:tcW w:w="1049" w:type="pct"/>
                  <w:noWrap w:val="0"/>
                  <w:vAlign w:val="center"/>
                </w:tcPr>
                <w:p w14:paraId="17AAB960">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eastAsia="宋体" w:cs="Times New Roman"/>
                      <w:sz w:val="21"/>
                      <w:szCs w:val="21"/>
                      <w:lang w:val="en-US" w:eastAsia="zh-CN"/>
                    </w:rPr>
                  </w:pPr>
                  <w:r>
                    <w:rPr>
                      <w:rFonts w:hint="eastAsia" w:eastAsia="宋体" w:cs="Times New Roman"/>
                      <w:sz w:val="21"/>
                      <w:szCs w:val="21"/>
                      <w:lang w:val="en-US" w:eastAsia="zh-CN"/>
                    </w:rPr>
                    <w:t>100</w:t>
                  </w:r>
                  <w:r>
                    <w:rPr>
                      <w:rFonts w:hint="default" w:ascii="Times New Roman" w:hAnsi="Times New Roman" w:eastAsia="宋体" w:cs="Times New Roman"/>
                      <w:sz w:val="21"/>
                      <w:szCs w:val="21"/>
                      <w:lang w:val="en-US" w:eastAsia="zh-CN"/>
                    </w:rPr>
                    <w:t>mg*</w:t>
                  </w:r>
                  <w:r>
                    <w:rPr>
                      <w:rFonts w:hint="eastAsia"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lang w:val="en-US" w:eastAsia="zh-CN"/>
                    </w:rPr>
                    <w:t>粒/盒</w:t>
                  </w:r>
                </w:p>
              </w:tc>
            </w:tr>
            <w:tr w14:paraId="30CF026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66" w:type="pct"/>
                <w:cantSplit/>
                <w:trHeight w:val="20" w:hRule="atLeast"/>
              </w:trPr>
              <w:tc>
                <w:tcPr>
                  <w:tcW w:w="435" w:type="pct"/>
                  <w:noWrap w:val="0"/>
                  <w:vAlign w:val="center"/>
                </w:tcPr>
                <w:p w14:paraId="39301E0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13</w:t>
                  </w:r>
                </w:p>
              </w:tc>
              <w:tc>
                <w:tcPr>
                  <w:tcW w:w="959" w:type="pct"/>
                  <w:noWrap w:val="0"/>
                  <w:vAlign w:val="center"/>
                </w:tcPr>
                <w:p w14:paraId="37DC2B9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妙三多</w:t>
                  </w:r>
                </w:p>
              </w:tc>
              <w:tc>
                <w:tcPr>
                  <w:tcW w:w="422" w:type="pct"/>
                  <w:shd w:val="clear" w:color="auto" w:fill="auto"/>
                  <w:noWrap w:val="0"/>
                  <w:vAlign w:val="center"/>
                </w:tcPr>
                <w:p w14:paraId="65EEF5BF">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highlight w:val="none"/>
                      <w:lang w:val="en-US" w:eastAsia="zh-CN" w:bidi="ar-SA"/>
                    </w:rPr>
                  </w:pPr>
                  <w:r>
                    <w:rPr>
                      <w:rFonts w:hint="eastAsia" w:eastAsia="宋体" w:cs="Times New Roman"/>
                      <w:sz w:val="21"/>
                      <w:szCs w:val="21"/>
                      <w:lang w:val="en-US" w:eastAsia="zh-CN"/>
                    </w:rPr>
                    <w:t>支</w:t>
                  </w:r>
                </w:p>
              </w:tc>
              <w:tc>
                <w:tcPr>
                  <w:tcW w:w="801" w:type="pct"/>
                  <w:gridSpan w:val="2"/>
                  <w:noWrap w:val="0"/>
                  <w:vAlign w:val="center"/>
                </w:tcPr>
                <w:p w14:paraId="373AE424">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eastAsia="宋体" w:cs="Times New Roman"/>
                      <w:sz w:val="21"/>
                      <w:szCs w:val="21"/>
                      <w:highlight w:val="none"/>
                      <w:lang w:val="en-US" w:eastAsia="zh-CN"/>
                    </w:rPr>
                  </w:pPr>
                  <w:r>
                    <w:rPr>
                      <w:rFonts w:hint="eastAsia" w:eastAsia="宋体" w:cs="Times New Roman"/>
                      <w:sz w:val="21"/>
                      <w:szCs w:val="21"/>
                      <w:highlight w:val="none"/>
                      <w:lang w:val="en-US" w:eastAsia="zh-CN"/>
                    </w:rPr>
                    <w:t>1000</w:t>
                  </w:r>
                </w:p>
              </w:tc>
              <w:tc>
                <w:tcPr>
                  <w:tcW w:w="770" w:type="pct"/>
                  <w:gridSpan w:val="2"/>
                  <w:noWrap w:val="0"/>
                  <w:vAlign w:val="center"/>
                </w:tcPr>
                <w:p w14:paraId="59FFE782">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100</w:t>
                  </w:r>
                </w:p>
              </w:tc>
              <w:tc>
                <w:tcPr>
                  <w:tcW w:w="495" w:type="pct"/>
                  <w:noWrap w:val="0"/>
                  <w:vAlign w:val="center"/>
                </w:tcPr>
                <w:p w14:paraId="238255B3">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eastAsia="宋体" w:cs="Times New Roman"/>
                      <w:sz w:val="21"/>
                      <w:szCs w:val="21"/>
                      <w:lang w:val="en-US" w:eastAsia="zh-CN"/>
                    </w:rPr>
                  </w:pPr>
                  <w:r>
                    <w:rPr>
                      <w:rFonts w:hint="eastAsia" w:eastAsia="宋体" w:cs="Times New Roman"/>
                      <w:sz w:val="21"/>
                      <w:szCs w:val="21"/>
                      <w:lang w:val="en-US" w:eastAsia="zh-CN"/>
                    </w:rPr>
                    <w:t>液体</w:t>
                  </w:r>
                </w:p>
              </w:tc>
              <w:tc>
                <w:tcPr>
                  <w:tcW w:w="1049" w:type="pct"/>
                  <w:noWrap w:val="0"/>
                  <w:vAlign w:val="center"/>
                </w:tcPr>
                <w:p w14:paraId="52799B0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eastAsia="宋体" w:cs="Times New Roman"/>
                      <w:sz w:val="21"/>
                      <w:szCs w:val="21"/>
                      <w:lang w:val="en-US" w:eastAsia="zh-CN"/>
                    </w:rPr>
                  </w:pPr>
                  <w:r>
                    <w:rPr>
                      <w:rFonts w:hint="eastAsia" w:eastAsia="宋体" w:cs="Times New Roman"/>
                      <w:sz w:val="21"/>
                      <w:szCs w:val="21"/>
                      <w:lang w:val="en-US" w:eastAsia="zh-CN"/>
                    </w:rPr>
                    <w:t>1ml/支</w:t>
                  </w:r>
                </w:p>
              </w:tc>
            </w:tr>
            <w:tr w14:paraId="1B80BC1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66" w:type="pct"/>
                <w:cantSplit/>
                <w:trHeight w:val="20" w:hRule="atLeast"/>
              </w:trPr>
              <w:tc>
                <w:tcPr>
                  <w:tcW w:w="435" w:type="pct"/>
                  <w:noWrap w:val="0"/>
                  <w:vAlign w:val="center"/>
                </w:tcPr>
                <w:p w14:paraId="019C68B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14</w:t>
                  </w:r>
                </w:p>
              </w:tc>
              <w:tc>
                <w:tcPr>
                  <w:tcW w:w="959" w:type="pct"/>
                  <w:noWrap w:val="0"/>
                  <w:vAlign w:val="center"/>
                </w:tcPr>
                <w:p w14:paraId="5772553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麻醉剂（丙泊酚）</w:t>
                  </w:r>
                </w:p>
              </w:tc>
              <w:tc>
                <w:tcPr>
                  <w:tcW w:w="422" w:type="pct"/>
                  <w:shd w:val="clear" w:color="auto" w:fill="auto"/>
                  <w:noWrap w:val="0"/>
                  <w:vAlign w:val="center"/>
                </w:tcPr>
                <w:p w14:paraId="5E509AC6">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highlight w:val="none"/>
                      <w:lang w:val="en-US" w:eastAsia="zh-CN" w:bidi="ar-SA"/>
                    </w:rPr>
                  </w:pPr>
                  <w:r>
                    <w:rPr>
                      <w:rFonts w:hint="eastAsia" w:eastAsia="宋体" w:cs="Times New Roman"/>
                      <w:sz w:val="21"/>
                      <w:szCs w:val="21"/>
                      <w:lang w:val="en-US" w:eastAsia="zh-CN"/>
                    </w:rPr>
                    <w:t>支</w:t>
                  </w:r>
                </w:p>
              </w:tc>
              <w:tc>
                <w:tcPr>
                  <w:tcW w:w="801" w:type="pct"/>
                  <w:gridSpan w:val="2"/>
                  <w:noWrap w:val="0"/>
                  <w:vAlign w:val="center"/>
                </w:tcPr>
                <w:p w14:paraId="5F421CF3">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eastAsia="宋体" w:cs="Times New Roman"/>
                      <w:sz w:val="21"/>
                      <w:szCs w:val="21"/>
                      <w:highlight w:val="none"/>
                      <w:lang w:val="en-US" w:eastAsia="zh-CN"/>
                    </w:rPr>
                  </w:pPr>
                  <w:r>
                    <w:rPr>
                      <w:rFonts w:hint="eastAsia" w:eastAsia="宋体" w:cs="Times New Roman"/>
                      <w:sz w:val="21"/>
                      <w:szCs w:val="21"/>
                      <w:highlight w:val="none"/>
                      <w:lang w:val="en-US" w:eastAsia="zh-CN"/>
                    </w:rPr>
                    <w:t>500</w:t>
                  </w:r>
                </w:p>
              </w:tc>
              <w:tc>
                <w:tcPr>
                  <w:tcW w:w="770" w:type="pct"/>
                  <w:gridSpan w:val="2"/>
                  <w:noWrap w:val="0"/>
                  <w:vAlign w:val="center"/>
                </w:tcPr>
                <w:p w14:paraId="1F6293FA">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50</w:t>
                  </w:r>
                </w:p>
              </w:tc>
              <w:tc>
                <w:tcPr>
                  <w:tcW w:w="495" w:type="pct"/>
                  <w:noWrap w:val="0"/>
                  <w:vAlign w:val="center"/>
                </w:tcPr>
                <w:p w14:paraId="3DE959A7">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eastAsia="宋体" w:cs="Times New Roman"/>
                      <w:sz w:val="21"/>
                      <w:szCs w:val="21"/>
                      <w:lang w:val="en-US" w:eastAsia="zh-CN"/>
                    </w:rPr>
                  </w:pPr>
                  <w:r>
                    <w:rPr>
                      <w:rFonts w:hint="eastAsia" w:eastAsia="宋体" w:cs="Times New Roman"/>
                      <w:sz w:val="21"/>
                      <w:szCs w:val="21"/>
                      <w:lang w:val="en-US" w:eastAsia="zh-CN"/>
                    </w:rPr>
                    <w:t>液体</w:t>
                  </w:r>
                </w:p>
              </w:tc>
              <w:tc>
                <w:tcPr>
                  <w:tcW w:w="1049" w:type="pct"/>
                  <w:noWrap w:val="0"/>
                  <w:vAlign w:val="center"/>
                </w:tcPr>
                <w:p w14:paraId="1C53C8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eastAsia="宋体" w:cs="Times New Roman"/>
                      <w:sz w:val="21"/>
                      <w:szCs w:val="21"/>
                      <w:lang w:val="en-US" w:eastAsia="zh-CN"/>
                    </w:rPr>
                  </w:pPr>
                  <w:r>
                    <w:rPr>
                      <w:rFonts w:hint="eastAsia" w:eastAsia="宋体" w:cs="Times New Roman"/>
                      <w:sz w:val="21"/>
                      <w:szCs w:val="21"/>
                      <w:lang w:val="en-US" w:eastAsia="zh-CN"/>
                    </w:rPr>
                    <w:t>20ml/支</w:t>
                  </w:r>
                </w:p>
              </w:tc>
            </w:tr>
            <w:tr w14:paraId="019CD52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66" w:type="pct"/>
                <w:cantSplit/>
                <w:trHeight w:val="20" w:hRule="atLeast"/>
              </w:trPr>
              <w:tc>
                <w:tcPr>
                  <w:tcW w:w="435" w:type="pct"/>
                  <w:noWrap w:val="0"/>
                  <w:vAlign w:val="center"/>
                </w:tcPr>
                <w:p w14:paraId="6C63C2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15</w:t>
                  </w:r>
                </w:p>
              </w:tc>
              <w:tc>
                <w:tcPr>
                  <w:tcW w:w="959" w:type="pct"/>
                  <w:noWrap w:val="0"/>
                  <w:vAlign w:val="center"/>
                </w:tcPr>
                <w:p w14:paraId="2DB470B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一次性注射器</w:t>
                  </w:r>
                </w:p>
              </w:tc>
              <w:tc>
                <w:tcPr>
                  <w:tcW w:w="422" w:type="pct"/>
                  <w:shd w:val="clear" w:color="auto" w:fill="auto"/>
                  <w:noWrap w:val="0"/>
                  <w:vAlign w:val="center"/>
                </w:tcPr>
                <w:p w14:paraId="4921D405">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highlight w:val="none"/>
                      <w:lang w:val="en-US" w:eastAsia="zh-CN" w:bidi="ar-SA"/>
                    </w:rPr>
                  </w:pPr>
                  <w:r>
                    <w:rPr>
                      <w:rFonts w:hint="eastAsia" w:eastAsia="宋体" w:cs="Times New Roman"/>
                      <w:sz w:val="21"/>
                      <w:szCs w:val="21"/>
                      <w:highlight w:val="none"/>
                      <w:lang w:val="en-US" w:eastAsia="zh-CN"/>
                    </w:rPr>
                    <w:t>支</w:t>
                  </w:r>
                </w:p>
              </w:tc>
              <w:tc>
                <w:tcPr>
                  <w:tcW w:w="801" w:type="pct"/>
                  <w:gridSpan w:val="2"/>
                  <w:noWrap w:val="0"/>
                  <w:vAlign w:val="center"/>
                </w:tcPr>
                <w:p w14:paraId="4ADA3627">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eastAsia="宋体" w:cs="Times New Roman"/>
                      <w:sz w:val="21"/>
                      <w:szCs w:val="21"/>
                      <w:highlight w:val="none"/>
                      <w:lang w:val="en-US" w:eastAsia="zh-CN"/>
                    </w:rPr>
                  </w:pPr>
                  <w:r>
                    <w:rPr>
                      <w:rFonts w:hint="eastAsia" w:eastAsia="宋体" w:cs="Times New Roman"/>
                      <w:sz w:val="21"/>
                      <w:szCs w:val="21"/>
                      <w:highlight w:val="none"/>
                      <w:lang w:val="en-US" w:eastAsia="zh-CN"/>
                    </w:rPr>
                    <w:t>2000</w:t>
                  </w:r>
                </w:p>
              </w:tc>
              <w:tc>
                <w:tcPr>
                  <w:tcW w:w="770" w:type="pct"/>
                  <w:gridSpan w:val="2"/>
                  <w:noWrap w:val="0"/>
                  <w:vAlign w:val="center"/>
                </w:tcPr>
                <w:p w14:paraId="521B8C3E">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100</w:t>
                  </w:r>
                </w:p>
              </w:tc>
              <w:tc>
                <w:tcPr>
                  <w:tcW w:w="495" w:type="pct"/>
                  <w:noWrap w:val="0"/>
                  <w:vAlign w:val="center"/>
                </w:tcPr>
                <w:p w14:paraId="24B5743D">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eastAsia="宋体" w:cs="Times New Roman"/>
                      <w:sz w:val="21"/>
                      <w:szCs w:val="21"/>
                      <w:lang w:val="en-US" w:eastAsia="zh-CN"/>
                    </w:rPr>
                  </w:pPr>
                  <w:r>
                    <w:rPr>
                      <w:rFonts w:hint="eastAsia" w:eastAsia="宋体" w:cs="Times New Roman"/>
                      <w:sz w:val="21"/>
                      <w:szCs w:val="21"/>
                      <w:lang w:val="en-US" w:eastAsia="zh-CN"/>
                    </w:rPr>
                    <w:t>固体</w:t>
                  </w:r>
                </w:p>
              </w:tc>
              <w:tc>
                <w:tcPr>
                  <w:tcW w:w="1049" w:type="pct"/>
                  <w:noWrap w:val="0"/>
                  <w:vAlign w:val="center"/>
                </w:tcPr>
                <w:p w14:paraId="769B9D8D">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eastAsia="宋体" w:cs="Times New Roman"/>
                      <w:sz w:val="21"/>
                      <w:szCs w:val="21"/>
                      <w:lang w:val="en-US" w:eastAsia="zh-CN"/>
                    </w:rPr>
                  </w:pPr>
                  <w:r>
                    <w:rPr>
                      <w:rFonts w:hint="eastAsia" w:eastAsia="宋体" w:cs="Times New Roman"/>
                      <w:sz w:val="21"/>
                      <w:szCs w:val="21"/>
                      <w:lang w:val="en-US" w:eastAsia="zh-CN"/>
                    </w:rPr>
                    <w:t>/</w:t>
                  </w:r>
                </w:p>
              </w:tc>
            </w:tr>
            <w:tr w14:paraId="630DF52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66" w:type="pct"/>
                <w:cantSplit/>
                <w:trHeight w:val="20" w:hRule="atLeast"/>
              </w:trPr>
              <w:tc>
                <w:tcPr>
                  <w:tcW w:w="435" w:type="pct"/>
                  <w:noWrap w:val="0"/>
                  <w:vAlign w:val="center"/>
                </w:tcPr>
                <w:p w14:paraId="4C1C8F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16</w:t>
                  </w:r>
                </w:p>
              </w:tc>
              <w:tc>
                <w:tcPr>
                  <w:tcW w:w="959" w:type="pct"/>
                  <w:noWrap w:val="0"/>
                  <w:vAlign w:val="center"/>
                </w:tcPr>
                <w:p w14:paraId="441A1E2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一次性手套</w:t>
                  </w:r>
                </w:p>
              </w:tc>
              <w:tc>
                <w:tcPr>
                  <w:tcW w:w="422" w:type="pct"/>
                  <w:shd w:val="clear" w:color="auto" w:fill="auto"/>
                  <w:noWrap w:val="0"/>
                  <w:vAlign w:val="center"/>
                </w:tcPr>
                <w:p w14:paraId="0E05A463">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highlight w:val="none"/>
                      <w:lang w:val="en-US" w:eastAsia="zh-CN" w:bidi="ar-SA"/>
                    </w:rPr>
                  </w:pPr>
                  <w:r>
                    <w:rPr>
                      <w:rFonts w:hint="eastAsia" w:eastAsia="宋体" w:cs="Times New Roman"/>
                      <w:sz w:val="21"/>
                      <w:szCs w:val="21"/>
                      <w:lang w:val="en-US" w:eastAsia="zh-CN"/>
                    </w:rPr>
                    <w:t>盒</w:t>
                  </w:r>
                </w:p>
              </w:tc>
              <w:tc>
                <w:tcPr>
                  <w:tcW w:w="801" w:type="pct"/>
                  <w:gridSpan w:val="2"/>
                  <w:noWrap w:val="0"/>
                  <w:vAlign w:val="center"/>
                </w:tcPr>
                <w:p w14:paraId="7743C018">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eastAsia="宋体" w:cs="Times New Roman"/>
                      <w:sz w:val="21"/>
                      <w:szCs w:val="21"/>
                      <w:highlight w:val="none"/>
                      <w:lang w:val="en-US" w:eastAsia="zh-CN"/>
                    </w:rPr>
                  </w:pPr>
                  <w:r>
                    <w:rPr>
                      <w:rFonts w:hint="eastAsia" w:eastAsia="宋体" w:cs="Times New Roman"/>
                      <w:sz w:val="21"/>
                      <w:szCs w:val="21"/>
                      <w:highlight w:val="none"/>
                      <w:lang w:val="en-US" w:eastAsia="zh-CN"/>
                    </w:rPr>
                    <w:t>1000</w:t>
                  </w:r>
                </w:p>
              </w:tc>
              <w:tc>
                <w:tcPr>
                  <w:tcW w:w="770" w:type="pct"/>
                  <w:gridSpan w:val="2"/>
                  <w:noWrap w:val="0"/>
                  <w:vAlign w:val="center"/>
                </w:tcPr>
                <w:p w14:paraId="3BD57BE0">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50</w:t>
                  </w:r>
                </w:p>
              </w:tc>
              <w:tc>
                <w:tcPr>
                  <w:tcW w:w="495" w:type="pct"/>
                  <w:noWrap w:val="0"/>
                  <w:vAlign w:val="center"/>
                </w:tcPr>
                <w:p w14:paraId="4066F772">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eastAsia="宋体" w:cs="Times New Roman"/>
                      <w:sz w:val="21"/>
                      <w:szCs w:val="21"/>
                      <w:lang w:val="en-US" w:eastAsia="zh-CN"/>
                    </w:rPr>
                  </w:pPr>
                  <w:r>
                    <w:rPr>
                      <w:rFonts w:hint="eastAsia" w:eastAsia="宋体" w:cs="Times New Roman"/>
                      <w:sz w:val="21"/>
                      <w:szCs w:val="21"/>
                      <w:lang w:val="en-US" w:eastAsia="zh-CN"/>
                    </w:rPr>
                    <w:t>固体</w:t>
                  </w:r>
                </w:p>
              </w:tc>
              <w:tc>
                <w:tcPr>
                  <w:tcW w:w="1049" w:type="pct"/>
                  <w:noWrap w:val="0"/>
                  <w:vAlign w:val="center"/>
                </w:tcPr>
                <w:p w14:paraId="470D618D">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eastAsia="宋体" w:cs="Times New Roman"/>
                      <w:sz w:val="21"/>
                      <w:szCs w:val="21"/>
                      <w:lang w:val="en-US" w:eastAsia="zh-CN"/>
                    </w:rPr>
                  </w:pPr>
                  <w:r>
                    <w:rPr>
                      <w:rFonts w:hint="eastAsia" w:eastAsia="宋体" w:cs="Times New Roman"/>
                      <w:sz w:val="21"/>
                      <w:szCs w:val="21"/>
                      <w:lang w:val="en-US" w:eastAsia="zh-CN"/>
                    </w:rPr>
                    <w:t>/</w:t>
                  </w:r>
                </w:p>
              </w:tc>
            </w:tr>
            <w:tr w14:paraId="3E6ADB9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66" w:type="pct"/>
                <w:cantSplit/>
                <w:trHeight w:val="20" w:hRule="atLeast"/>
              </w:trPr>
              <w:tc>
                <w:tcPr>
                  <w:tcW w:w="435" w:type="pct"/>
                  <w:noWrap w:val="0"/>
                  <w:vAlign w:val="center"/>
                </w:tcPr>
                <w:p w14:paraId="5ACFE8A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eastAsia="宋体" w:cs="Times New Roman"/>
                      <w:sz w:val="21"/>
                      <w:szCs w:val="21"/>
                      <w:lang w:val="en-US" w:eastAsia="zh-CN"/>
                    </w:rPr>
                  </w:pPr>
                  <w:r>
                    <w:rPr>
                      <w:rFonts w:hint="eastAsia" w:cs="Times New Roman"/>
                      <w:sz w:val="21"/>
                      <w:szCs w:val="21"/>
                      <w:lang w:val="en-US" w:eastAsia="zh-CN"/>
                    </w:rPr>
                    <w:t>17</w:t>
                  </w:r>
                </w:p>
              </w:tc>
              <w:tc>
                <w:tcPr>
                  <w:tcW w:w="959" w:type="pct"/>
                  <w:noWrap w:val="0"/>
                  <w:vAlign w:val="center"/>
                </w:tcPr>
                <w:p w14:paraId="258AF84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除臭剂</w:t>
                  </w:r>
                </w:p>
              </w:tc>
              <w:tc>
                <w:tcPr>
                  <w:tcW w:w="422" w:type="pct"/>
                  <w:shd w:val="clear" w:color="auto" w:fill="auto"/>
                  <w:noWrap w:val="0"/>
                  <w:vAlign w:val="center"/>
                </w:tcPr>
                <w:p w14:paraId="483374CD">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瓶</w:t>
                  </w:r>
                </w:p>
              </w:tc>
              <w:tc>
                <w:tcPr>
                  <w:tcW w:w="801" w:type="pct"/>
                  <w:gridSpan w:val="2"/>
                  <w:noWrap w:val="0"/>
                  <w:vAlign w:val="center"/>
                </w:tcPr>
                <w:p w14:paraId="15A07EEC">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eastAsia="宋体" w:cs="Times New Roman"/>
                      <w:sz w:val="21"/>
                      <w:szCs w:val="21"/>
                      <w:highlight w:val="none"/>
                      <w:lang w:val="en-US" w:eastAsia="zh-CN"/>
                    </w:rPr>
                  </w:pPr>
                  <w:r>
                    <w:rPr>
                      <w:rFonts w:hint="eastAsia" w:cs="Times New Roman"/>
                      <w:sz w:val="21"/>
                      <w:szCs w:val="21"/>
                      <w:highlight w:val="none"/>
                      <w:lang w:val="en-US" w:eastAsia="zh-CN"/>
                    </w:rPr>
                    <w:t>30</w:t>
                  </w:r>
                </w:p>
              </w:tc>
              <w:tc>
                <w:tcPr>
                  <w:tcW w:w="770" w:type="pct"/>
                  <w:gridSpan w:val="2"/>
                  <w:noWrap w:val="0"/>
                  <w:vAlign w:val="center"/>
                </w:tcPr>
                <w:p w14:paraId="2AFE21F6">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30</w:t>
                  </w:r>
                </w:p>
              </w:tc>
              <w:tc>
                <w:tcPr>
                  <w:tcW w:w="495" w:type="pct"/>
                  <w:noWrap w:val="0"/>
                  <w:vAlign w:val="center"/>
                </w:tcPr>
                <w:p w14:paraId="33857A23">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eastAsia="宋体" w:cs="Times New Roman"/>
                      <w:sz w:val="21"/>
                      <w:szCs w:val="21"/>
                      <w:lang w:val="en-US" w:eastAsia="zh-CN"/>
                    </w:rPr>
                  </w:pPr>
                  <w:r>
                    <w:rPr>
                      <w:rFonts w:hint="eastAsia" w:cs="Times New Roman"/>
                      <w:sz w:val="21"/>
                      <w:szCs w:val="21"/>
                      <w:lang w:val="en-US" w:eastAsia="zh-CN"/>
                    </w:rPr>
                    <w:t>液体</w:t>
                  </w:r>
                </w:p>
              </w:tc>
              <w:tc>
                <w:tcPr>
                  <w:tcW w:w="1049" w:type="pct"/>
                  <w:noWrap w:val="0"/>
                  <w:vAlign w:val="center"/>
                </w:tcPr>
                <w:p w14:paraId="5741BE5F">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eastAsia="宋体" w:cs="Times New Roman"/>
                      <w:sz w:val="21"/>
                      <w:szCs w:val="21"/>
                      <w:lang w:val="en-US" w:eastAsia="zh-CN"/>
                    </w:rPr>
                  </w:pPr>
                  <w:r>
                    <w:rPr>
                      <w:rFonts w:hint="eastAsia" w:cs="Times New Roman"/>
                      <w:sz w:val="21"/>
                      <w:szCs w:val="21"/>
                      <w:lang w:val="en-US" w:eastAsia="zh-CN"/>
                    </w:rPr>
                    <w:t>/</w:t>
                  </w:r>
                </w:p>
              </w:tc>
            </w:tr>
            <w:tr w14:paraId="38F01C8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66" w:type="pct"/>
                <w:cantSplit/>
                <w:trHeight w:val="90" w:hRule="atLeast"/>
              </w:trPr>
              <w:tc>
                <w:tcPr>
                  <w:tcW w:w="435" w:type="pct"/>
                  <w:noWrap w:val="0"/>
                  <w:vAlign w:val="center"/>
                </w:tcPr>
                <w:p w14:paraId="4704E2D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eastAsia="宋体" w:cs="Times New Roman"/>
                      <w:sz w:val="21"/>
                      <w:szCs w:val="21"/>
                      <w:lang w:val="en-US" w:eastAsia="zh-CN"/>
                    </w:rPr>
                  </w:pPr>
                  <w:r>
                    <w:rPr>
                      <w:rFonts w:hint="eastAsia" w:cs="Times New Roman"/>
                      <w:sz w:val="21"/>
                      <w:szCs w:val="21"/>
                      <w:lang w:val="en-US" w:eastAsia="zh-CN"/>
                    </w:rPr>
                    <w:t>18</w:t>
                  </w:r>
                </w:p>
              </w:tc>
              <w:tc>
                <w:tcPr>
                  <w:tcW w:w="959" w:type="pct"/>
                  <w:noWrap w:val="0"/>
                  <w:vAlign w:val="center"/>
                </w:tcPr>
                <w:p w14:paraId="0EB075D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二氧化氯泡腾片</w:t>
                  </w:r>
                </w:p>
              </w:tc>
              <w:tc>
                <w:tcPr>
                  <w:tcW w:w="422" w:type="pct"/>
                  <w:shd w:val="clear" w:color="auto" w:fill="auto"/>
                  <w:noWrap w:val="0"/>
                  <w:vAlign w:val="center"/>
                </w:tcPr>
                <w:p w14:paraId="13E8BB3C">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瓶</w:t>
                  </w:r>
                </w:p>
              </w:tc>
              <w:tc>
                <w:tcPr>
                  <w:tcW w:w="801" w:type="pct"/>
                  <w:gridSpan w:val="2"/>
                  <w:noWrap w:val="0"/>
                  <w:vAlign w:val="center"/>
                </w:tcPr>
                <w:p w14:paraId="115E1BB8">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eastAsia="宋体" w:cs="Times New Roman"/>
                      <w:sz w:val="21"/>
                      <w:szCs w:val="21"/>
                      <w:highlight w:val="none"/>
                      <w:lang w:val="en-US" w:eastAsia="zh-CN"/>
                    </w:rPr>
                  </w:pPr>
                  <w:r>
                    <w:rPr>
                      <w:rFonts w:hint="eastAsia" w:cs="Times New Roman"/>
                      <w:sz w:val="21"/>
                      <w:szCs w:val="21"/>
                      <w:highlight w:val="none"/>
                      <w:lang w:val="en-US" w:eastAsia="zh-CN"/>
                    </w:rPr>
                    <w:t>10</w:t>
                  </w:r>
                </w:p>
              </w:tc>
              <w:tc>
                <w:tcPr>
                  <w:tcW w:w="770" w:type="pct"/>
                  <w:gridSpan w:val="2"/>
                  <w:noWrap w:val="0"/>
                  <w:vAlign w:val="center"/>
                </w:tcPr>
                <w:p w14:paraId="39AEC5EE">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10</w:t>
                  </w:r>
                </w:p>
              </w:tc>
              <w:tc>
                <w:tcPr>
                  <w:tcW w:w="495" w:type="pct"/>
                  <w:noWrap w:val="0"/>
                  <w:vAlign w:val="center"/>
                </w:tcPr>
                <w:p w14:paraId="735C1449">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eastAsia="宋体" w:cs="Times New Roman"/>
                      <w:sz w:val="21"/>
                      <w:szCs w:val="21"/>
                      <w:lang w:val="en-US" w:eastAsia="zh-CN"/>
                    </w:rPr>
                  </w:pPr>
                  <w:r>
                    <w:rPr>
                      <w:rFonts w:hint="eastAsia" w:cs="Times New Roman"/>
                      <w:sz w:val="21"/>
                      <w:szCs w:val="21"/>
                      <w:lang w:val="en-US" w:eastAsia="zh-CN"/>
                    </w:rPr>
                    <w:t>固体</w:t>
                  </w:r>
                </w:p>
              </w:tc>
              <w:tc>
                <w:tcPr>
                  <w:tcW w:w="1049" w:type="pct"/>
                  <w:noWrap w:val="0"/>
                  <w:vAlign w:val="center"/>
                </w:tcPr>
                <w:p w14:paraId="1D31891C">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eastAsia="宋体" w:cs="Times New Roman"/>
                      <w:sz w:val="21"/>
                      <w:szCs w:val="21"/>
                      <w:lang w:val="en-US" w:eastAsia="zh-CN"/>
                    </w:rPr>
                  </w:pPr>
                  <w:r>
                    <w:rPr>
                      <w:rFonts w:hint="eastAsia" w:cs="Times New Roman"/>
                      <w:sz w:val="21"/>
                      <w:szCs w:val="21"/>
                      <w:lang w:val="en-US" w:eastAsia="zh-CN"/>
                    </w:rPr>
                    <w:t>100片/瓶</w:t>
                  </w:r>
                </w:p>
              </w:tc>
            </w:tr>
            <w:tr w14:paraId="59A4652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66" w:type="pct"/>
                <w:cantSplit/>
                <w:trHeight w:val="20" w:hRule="atLeast"/>
              </w:trPr>
              <w:tc>
                <w:tcPr>
                  <w:tcW w:w="4933" w:type="pct"/>
                  <w:gridSpan w:val="9"/>
                  <w:noWrap w:val="0"/>
                  <w:vAlign w:val="center"/>
                </w:tcPr>
                <w:p w14:paraId="176BCC7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二、能源</w:t>
                  </w:r>
                </w:p>
              </w:tc>
            </w:tr>
            <w:tr w14:paraId="0325BAA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35" w:type="pct"/>
                  <w:noWrap w:val="0"/>
                  <w:vAlign w:val="center"/>
                </w:tcPr>
                <w:p w14:paraId="4AA8A93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序号</w:t>
                  </w:r>
                </w:p>
              </w:tc>
              <w:tc>
                <w:tcPr>
                  <w:tcW w:w="959" w:type="pct"/>
                  <w:noWrap w:val="0"/>
                  <w:vAlign w:val="center"/>
                </w:tcPr>
                <w:p w14:paraId="153D5C2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辅料名称</w:t>
                  </w:r>
                </w:p>
              </w:tc>
              <w:tc>
                <w:tcPr>
                  <w:tcW w:w="732" w:type="pct"/>
                  <w:gridSpan w:val="2"/>
                  <w:noWrap w:val="0"/>
                  <w:vAlign w:val="center"/>
                </w:tcPr>
                <w:p w14:paraId="75346B4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单位</w:t>
                  </w:r>
                </w:p>
              </w:tc>
              <w:tc>
                <w:tcPr>
                  <w:tcW w:w="711" w:type="pct"/>
                  <w:gridSpan w:val="2"/>
                  <w:noWrap w:val="0"/>
                  <w:vAlign w:val="center"/>
                </w:tcPr>
                <w:p w14:paraId="0D4456E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年耗</w:t>
                  </w:r>
                </w:p>
              </w:tc>
              <w:tc>
                <w:tcPr>
                  <w:tcW w:w="2161" w:type="pct"/>
                  <w:gridSpan w:val="4"/>
                  <w:noWrap w:val="0"/>
                  <w:vAlign w:val="center"/>
                </w:tcPr>
                <w:p w14:paraId="5A7148C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来源</w:t>
                  </w:r>
                </w:p>
              </w:tc>
            </w:tr>
            <w:tr w14:paraId="149655B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35" w:type="pct"/>
                  <w:noWrap w:val="0"/>
                  <w:vAlign w:val="center"/>
                </w:tcPr>
                <w:p w14:paraId="670259F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w:t>
                  </w:r>
                </w:p>
              </w:tc>
              <w:tc>
                <w:tcPr>
                  <w:tcW w:w="959" w:type="pct"/>
                  <w:noWrap w:val="0"/>
                  <w:vAlign w:val="center"/>
                </w:tcPr>
                <w:p w14:paraId="1F2BD75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新鲜水</w:t>
                  </w:r>
                </w:p>
              </w:tc>
              <w:tc>
                <w:tcPr>
                  <w:tcW w:w="732" w:type="pct"/>
                  <w:gridSpan w:val="2"/>
                  <w:noWrap w:val="0"/>
                  <w:vAlign w:val="center"/>
                </w:tcPr>
                <w:p w14:paraId="72968B8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m</w:t>
                  </w:r>
                  <w:r>
                    <w:rPr>
                      <w:rFonts w:hint="default" w:ascii="Times New Roman" w:hAnsi="Times New Roman" w:eastAsia="宋体" w:cs="Times New Roman"/>
                      <w:sz w:val="21"/>
                      <w:szCs w:val="21"/>
                      <w:highlight w:val="none"/>
                      <w:vertAlign w:val="superscript"/>
                      <w:lang w:val="en-US" w:eastAsia="zh-CN"/>
                    </w:rPr>
                    <w:t>3</w:t>
                  </w:r>
                </w:p>
              </w:tc>
              <w:tc>
                <w:tcPr>
                  <w:tcW w:w="711" w:type="pct"/>
                  <w:gridSpan w:val="2"/>
                  <w:noWrap w:val="0"/>
                  <w:vAlign w:val="center"/>
                </w:tcPr>
                <w:p w14:paraId="0D37F2D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12</w:t>
                  </w:r>
                  <w:r>
                    <w:rPr>
                      <w:rFonts w:hint="eastAsia" w:cs="Times New Roman"/>
                      <w:color w:val="auto"/>
                      <w:sz w:val="21"/>
                      <w:szCs w:val="21"/>
                      <w:highlight w:val="none"/>
                      <w:lang w:val="en-US" w:eastAsia="zh-CN"/>
                    </w:rPr>
                    <w:t>8.075</w:t>
                  </w:r>
                </w:p>
              </w:tc>
              <w:tc>
                <w:tcPr>
                  <w:tcW w:w="2161" w:type="pct"/>
                  <w:gridSpan w:val="4"/>
                  <w:noWrap w:val="0"/>
                  <w:vAlign w:val="center"/>
                </w:tcPr>
                <w:p w14:paraId="30D6597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B050"/>
                      <w:sz w:val="21"/>
                      <w:szCs w:val="21"/>
                      <w:highlight w:val="none"/>
                      <w:lang w:val="en-US" w:eastAsia="zh-CN"/>
                    </w:rPr>
                  </w:pPr>
                  <w:r>
                    <w:rPr>
                      <w:rFonts w:hint="default" w:ascii="Times New Roman" w:hAnsi="Times New Roman" w:eastAsia="宋体" w:cs="Times New Roman"/>
                      <w:sz w:val="21"/>
                      <w:szCs w:val="21"/>
                      <w:highlight w:val="none"/>
                      <w:lang w:eastAsia="zh-CN"/>
                    </w:rPr>
                    <w:t>由</w:t>
                  </w:r>
                  <w:r>
                    <w:rPr>
                      <w:rFonts w:hint="eastAsia" w:cs="Times New Roman"/>
                      <w:sz w:val="21"/>
                      <w:szCs w:val="21"/>
                      <w:highlight w:val="none"/>
                      <w:lang w:val="en-US" w:eastAsia="zh-CN"/>
                    </w:rPr>
                    <w:t>库尔勒市</w:t>
                  </w:r>
                  <w:r>
                    <w:rPr>
                      <w:rFonts w:hint="default" w:ascii="Times New Roman" w:hAnsi="Times New Roman" w:eastAsia="宋体" w:cs="Times New Roman"/>
                      <w:sz w:val="21"/>
                      <w:szCs w:val="21"/>
                      <w:highlight w:val="none"/>
                      <w:lang w:eastAsia="zh-CN"/>
                    </w:rPr>
                    <w:t>供水管网提供</w:t>
                  </w:r>
                </w:p>
              </w:tc>
            </w:tr>
            <w:tr w14:paraId="3D923EA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35" w:type="pct"/>
                  <w:noWrap w:val="0"/>
                  <w:vAlign w:val="center"/>
                </w:tcPr>
                <w:p w14:paraId="0DD54C4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w:t>
                  </w:r>
                </w:p>
              </w:tc>
              <w:tc>
                <w:tcPr>
                  <w:tcW w:w="959" w:type="pct"/>
                  <w:noWrap w:val="0"/>
                  <w:vAlign w:val="center"/>
                </w:tcPr>
                <w:p w14:paraId="64C3DBE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电</w:t>
                  </w:r>
                </w:p>
              </w:tc>
              <w:tc>
                <w:tcPr>
                  <w:tcW w:w="732" w:type="pct"/>
                  <w:gridSpan w:val="2"/>
                  <w:noWrap w:val="0"/>
                  <w:vAlign w:val="center"/>
                </w:tcPr>
                <w:p w14:paraId="0A95314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万kW·h</w:t>
                  </w:r>
                </w:p>
              </w:tc>
              <w:tc>
                <w:tcPr>
                  <w:tcW w:w="711" w:type="pct"/>
                  <w:gridSpan w:val="2"/>
                  <w:noWrap w:val="0"/>
                  <w:vAlign w:val="center"/>
                </w:tcPr>
                <w:p w14:paraId="68F76A8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0.95</w:t>
                  </w:r>
                </w:p>
              </w:tc>
              <w:tc>
                <w:tcPr>
                  <w:tcW w:w="2161" w:type="pct"/>
                  <w:gridSpan w:val="4"/>
                  <w:noWrap w:val="0"/>
                  <w:vAlign w:val="center"/>
                </w:tcPr>
                <w:p w14:paraId="7718491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B050"/>
                      <w:sz w:val="21"/>
                      <w:szCs w:val="21"/>
                      <w:highlight w:val="none"/>
                      <w:lang w:val="en-US" w:eastAsia="zh-CN"/>
                    </w:rPr>
                  </w:pPr>
                  <w:r>
                    <w:rPr>
                      <w:rFonts w:hint="default" w:ascii="Times New Roman" w:hAnsi="Times New Roman" w:eastAsia="宋体" w:cs="Times New Roman"/>
                      <w:sz w:val="21"/>
                      <w:szCs w:val="21"/>
                      <w:highlight w:val="none"/>
                      <w:lang w:eastAsia="zh-CN"/>
                    </w:rPr>
                    <w:t>由</w:t>
                  </w:r>
                  <w:r>
                    <w:rPr>
                      <w:rFonts w:hint="eastAsia" w:ascii="Times New Roman" w:hAnsi="Times New Roman" w:eastAsia="宋体" w:cs="Times New Roman"/>
                      <w:sz w:val="21"/>
                      <w:szCs w:val="21"/>
                      <w:highlight w:val="none"/>
                      <w:lang w:eastAsia="zh-CN"/>
                    </w:rPr>
                    <w:t>国家</w:t>
                  </w:r>
                  <w:r>
                    <w:rPr>
                      <w:rFonts w:hint="default" w:ascii="Times New Roman" w:hAnsi="Times New Roman" w:eastAsia="宋体" w:cs="Times New Roman"/>
                      <w:sz w:val="21"/>
                      <w:szCs w:val="21"/>
                      <w:highlight w:val="none"/>
                      <w:lang w:eastAsia="zh-CN"/>
                    </w:rPr>
                    <w:t>电网提供</w:t>
                  </w:r>
                </w:p>
              </w:tc>
            </w:tr>
          </w:tbl>
          <w:p w14:paraId="737F17D9">
            <w:pPr>
              <w:pStyle w:val="6"/>
              <w:suppressLineNumbers w:val="0"/>
              <w:bidi w:val="0"/>
              <w:spacing w:before="0" w:beforeAutospacing="0" w:after="0" w:afterAutospacing="0" w:line="240" w:lineRule="auto"/>
              <w:ind w:left="0"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表</w:t>
            </w:r>
            <w:r>
              <w:rPr>
                <w:rFonts w:hint="eastAsia" w:ascii="Times New Roman" w:hAnsi="Times New Roman" w:eastAsia="宋体" w:cs="Times New Roman"/>
                <w:sz w:val="21"/>
                <w:szCs w:val="21"/>
                <w:lang w:val="en-US" w:eastAsia="zh-CN"/>
              </w:rPr>
              <w:t>2-</w:t>
            </w:r>
            <w:r>
              <w:rPr>
                <w:rFonts w:hint="eastAsia" w:cs="Times New Roman"/>
                <w:sz w:val="21"/>
                <w:szCs w:val="21"/>
                <w:lang w:val="en-US" w:eastAsia="zh-CN"/>
              </w:rPr>
              <w:t>5</w:t>
            </w:r>
            <w:r>
              <w:rPr>
                <w:rFonts w:hint="eastAsia" w:ascii="Times New Roman" w:hAnsi="Times New Roman" w:eastAsia="宋体" w:cs="Times New Roman"/>
                <w:sz w:val="21"/>
                <w:szCs w:val="21"/>
                <w:lang w:val="en-US" w:eastAsia="zh-CN"/>
              </w:rPr>
              <w:t xml:space="preserve">                   </w:t>
            </w:r>
            <w:r>
              <w:rPr>
                <w:rFonts w:hint="eastAsia" w:cs="Times New Roman"/>
                <w:sz w:val="21"/>
                <w:szCs w:val="21"/>
                <w:lang w:val="en-US" w:eastAsia="zh-CN"/>
              </w:rPr>
              <w:t>乙醇</w:t>
            </w:r>
            <w:r>
              <w:rPr>
                <w:rFonts w:hint="default" w:ascii="Times New Roman" w:hAnsi="Times New Roman" w:eastAsia="宋体" w:cs="Times New Roman"/>
                <w:sz w:val="21"/>
                <w:szCs w:val="21"/>
                <w:lang w:val="en-US" w:eastAsia="zh-CN"/>
              </w:rPr>
              <w:t>理化性质一览表</w:t>
            </w:r>
          </w:p>
          <w:tbl>
            <w:tblPr>
              <w:tblStyle w:val="31"/>
              <w:tblW w:w="5045"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338"/>
              <w:gridCol w:w="962"/>
              <w:gridCol w:w="2169"/>
              <w:gridCol w:w="1697"/>
              <w:gridCol w:w="3128"/>
            </w:tblGrid>
            <w:tr w14:paraId="478CD95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04" w:type="pct"/>
                  <w:vMerge w:val="restart"/>
                  <w:tcBorders>
                    <w:tl2br w:val="nil"/>
                    <w:tr2bl w:val="nil"/>
                  </w:tcBorders>
                  <w:noWrap w:val="0"/>
                  <w:tcMar>
                    <w:left w:w="0" w:type="dxa"/>
                    <w:right w:w="0" w:type="dxa"/>
                  </w:tcMar>
                  <w:vAlign w:val="center"/>
                </w:tcPr>
                <w:p w14:paraId="0EB8BEC8">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标识</w:t>
                  </w:r>
                </w:p>
              </w:tc>
              <w:tc>
                <w:tcPr>
                  <w:tcW w:w="1887" w:type="pct"/>
                  <w:gridSpan w:val="2"/>
                  <w:tcBorders>
                    <w:tl2br w:val="nil"/>
                    <w:tr2bl w:val="nil"/>
                  </w:tcBorders>
                  <w:noWrap w:val="0"/>
                  <w:tcMar>
                    <w:left w:w="0" w:type="dxa"/>
                    <w:right w:w="0" w:type="dxa"/>
                  </w:tcMar>
                  <w:vAlign w:val="center"/>
                </w:tcPr>
                <w:p w14:paraId="03867D21">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中文名：</w:t>
                  </w:r>
                  <w:r>
                    <w:rPr>
                      <w:rFonts w:hint="eastAsia" w:ascii="Times New Roman" w:hAnsi="Times New Roman" w:eastAsia="宋体" w:cs="Times New Roman"/>
                      <w:color w:val="auto"/>
                      <w:sz w:val="21"/>
                      <w:szCs w:val="21"/>
                      <w:lang w:val="en-US" w:eastAsia="zh-CN"/>
                    </w:rPr>
                    <w:t>乙醇</w:t>
                  </w:r>
                </w:p>
              </w:tc>
              <w:tc>
                <w:tcPr>
                  <w:tcW w:w="2907" w:type="pct"/>
                  <w:gridSpan w:val="2"/>
                  <w:tcBorders>
                    <w:tl2br w:val="nil"/>
                    <w:tr2bl w:val="nil"/>
                  </w:tcBorders>
                  <w:noWrap w:val="0"/>
                  <w:tcMar>
                    <w:left w:w="0" w:type="dxa"/>
                    <w:right w:w="0" w:type="dxa"/>
                  </w:tcMar>
                  <w:vAlign w:val="center"/>
                </w:tcPr>
                <w:p w14:paraId="6C8B2DE5">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英文名：Nitrocellulose wooden furniture varnish</w:t>
                  </w:r>
                </w:p>
              </w:tc>
            </w:tr>
            <w:tr w14:paraId="5C639D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04" w:type="pct"/>
                  <w:vMerge w:val="continue"/>
                  <w:tcBorders>
                    <w:tl2br w:val="nil"/>
                    <w:tr2bl w:val="nil"/>
                  </w:tcBorders>
                  <w:noWrap w:val="0"/>
                  <w:tcMar>
                    <w:left w:w="0" w:type="dxa"/>
                    <w:right w:w="0" w:type="dxa"/>
                  </w:tcMar>
                  <w:vAlign w:val="center"/>
                </w:tcPr>
                <w:p w14:paraId="4D392BED">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lang w:val="en-US" w:eastAsia="zh-CN"/>
                    </w:rPr>
                  </w:pPr>
                </w:p>
              </w:tc>
              <w:tc>
                <w:tcPr>
                  <w:tcW w:w="1887" w:type="pct"/>
                  <w:gridSpan w:val="2"/>
                  <w:tcBorders>
                    <w:tl2br w:val="nil"/>
                    <w:tr2bl w:val="nil"/>
                  </w:tcBorders>
                  <w:noWrap w:val="0"/>
                  <w:tcMar>
                    <w:left w:w="0" w:type="dxa"/>
                    <w:right w:w="0" w:type="dxa"/>
                  </w:tcMar>
                  <w:vAlign w:val="center"/>
                </w:tcPr>
                <w:p w14:paraId="39E40F2A">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分子式：无资料</w:t>
                  </w:r>
                </w:p>
              </w:tc>
              <w:tc>
                <w:tcPr>
                  <w:tcW w:w="1023" w:type="pct"/>
                  <w:tcBorders>
                    <w:tl2br w:val="nil"/>
                    <w:tr2bl w:val="nil"/>
                  </w:tcBorders>
                  <w:noWrap w:val="0"/>
                  <w:tcMar>
                    <w:left w:w="0" w:type="dxa"/>
                    <w:right w:w="0" w:type="dxa"/>
                  </w:tcMar>
                  <w:vAlign w:val="center"/>
                </w:tcPr>
                <w:p w14:paraId="6861492E">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分子量：230-500</w:t>
                  </w:r>
                </w:p>
              </w:tc>
              <w:tc>
                <w:tcPr>
                  <w:tcW w:w="1884" w:type="pct"/>
                  <w:tcBorders>
                    <w:tl2br w:val="nil"/>
                    <w:tr2bl w:val="nil"/>
                  </w:tcBorders>
                  <w:noWrap w:val="0"/>
                  <w:tcMar>
                    <w:left w:w="0" w:type="dxa"/>
                    <w:right w:w="0" w:type="dxa"/>
                  </w:tcMar>
                  <w:vAlign w:val="center"/>
                </w:tcPr>
                <w:p w14:paraId="04A30DCD">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CAS号：</w:t>
                  </w:r>
                </w:p>
              </w:tc>
            </w:tr>
            <w:tr w14:paraId="754DD60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04" w:type="pct"/>
                  <w:vMerge w:val="continue"/>
                  <w:tcBorders>
                    <w:tl2br w:val="nil"/>
                    <w:tr2bl w:val="nil"/>
                  </w:tcBorders>
                  <w:noWrap w:val="0"/>
                  <w:tcMar>
                    <w:left w:w="0" w:type="dxa"/>
                    <w:right w:w="0" w:type="dxa"/>
                  </w:tcMar>
                  <w:vAlign w:val="center"/>
                </w:tcPr>
                <w:p w14:paraId="1DD1DB46">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lang w:val="en-US" w:eastAsia="zh-CN"/>
                    </w:rPr>
                  </w:pPr>
                </w:p>
              </w:tc>
              <w:tc>
                <w:tcPr>
                  <w:tcW w:w="4795" w:type="pct"/>
                  <w:gridSpan w:val="4"/>
                  <w:tcBorders>
                    <w:tl2br w:val="nil"/>
                    <w:tr2bl w:val="nil"/>
                  </w:tcBorders>
                  <w:noWrap w:val="0"/>
                  <w:tcMar>
                    <w:left w:w="0" w:type="dxa"/>
                    <w:right w:w="0" w:type="dxa"/>
                  </w:tcMar>
                  <w:vAlign w:val="center"/>
                </w:tcPr>
                <w:p w14:paraId="01258A79">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危险货物编号：32198 UN No.1139、1263、1293</w:t>
                  </w:r>
                </w:p>
              </w:tc>
            </w:tr>
            <w:tr w14:paraId="694AE3C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04" w:type="pct"/>
                  <w:vMerge w:val="restart"/>
                  <w:tcBorders>
                    <w:tl2br w:val="nil"/>
                    <w:tr2bl w:val="nil"/>
                  </w:tcBorders>
                  <w:noWrap w:val="0"/>
                  <w:tcMar>
                    <w:left w:w="0" w:type="dxa"/>
                    <w:right w:w="0" w:type="dxa"/>
                  </w:tcMar>
                  <w:vAlign w:val="center"/>
                </w:tcPr>
                <w:p w14:paraId="00A3A2BB">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燃烧爆炸危险性</w:t>
                  </w:r>
                </w:p>
              </w:tc>
              <w:tc>
                <w:tcPr>
                  <w:tcW w:w="1887" w:type="pct"/>
                  <w:gridSpan w:val="2"/>
                  <w:tcBorders>
                    <w:tl2br w:val="nil"/>
                    <w:tr2bl w:val="nil"/>
                  </w:tcBorders>
                  <w:noWrap w:val="0"/>
                  <w:tcMar>
                    <w:left w:w="0" w:type="dxa"/>
                    <w:right w:w="0" w:type="dxa"/>
                  </w:tcMar>
                  <w:vAlign w:val="center"/>
                </w:tcPr>
                <w:p w14:paraId="45C283AD">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燃烧性：易燃稳定性</w:t>
                  </w:r>
                </w:p>
              </w:tc>
              <w:tc>
                <w:tcPr>
                  <w:tcW w:w="2907" w:type="pct"/>
                  <w:gridSpan w:val="2"/>
                  <w:tcBorders>
                    <w:tl2br w:val="nil"/>
                    <w:tr2bl w:val="nil"/>
                  </w:tcBorders>
                  <w:noWrap w:val="0"/>
                  <w:tcMar>
                    <w:left w:w="0" w:type="dxa"/>
                    <w:right w:w="0" w:type="dxa"/>
                  </w:tcMar>
                  <w:vAlign w:val="center"/>
                </w:tcPr>
                <w:p w14:paraId="7065F844">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燃烧（分解）产物：/</w:t>
                  </w:r>
                </w:p>
              </w:tc>
            </w:tr>
            <w:tr w14:paraId="542C3CA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04" w:type="pct"/>
                  <w:vMerge w:val="continue"/>
                  <w:tcBorders>
                    <w:tl2br w:val="nil"/>
                    <w:tr2bl w:val="nil"/>
                  </w:tcBorders>
                  <w:noWrap w:val="0"/>
                  <w:tcMar>
                    <w:left w:w="0" w:type="dxa"/>
                    <w:right w:w="0" w:type="dxa"/>
                  </w:tcMar>
                  <w:vAlign w:val="center"/>
                </w:tcPr>
                <w:p w14:paraId="5F05AFCB">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lang w:val="en-US" w:eastAsia="zh-CN"/>
                    </w:rPr>
                  </w:pPr>
                </w:p>
              </w:tc>
              <w:tc>
                <w:tcPr>
                  <w:tcW w:w="1887" w:type="pct"/>
                  <w:gridSpan w:val="2"/>
                  <w:tcBorders>
                    <w:tl2br w:val="nil"/>
                    <w:tr2bl w:val="nil"/>
                  </w:tcBorders>
                  <w:noWrap w:val="0"/>
                  <w:tcMar>
                    <w:left w:w="0" w:type="dxa"/>
                    <w:right w:w="0" w:type="dxa"/>
                  </w:tcMar>
                  <w:vAlign w:val="center"/>
                </w:tcPr>
                <w:p w14:paraId="31C601E6">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闪点：＜23</w:t>
                  </w:r>
                </w:p>
              </w:tc>
              <w:tc>
                <w:tcPr>
                  <w:tcW w:w="2907" w:type="pct"/>
                  <w:gridSpan w:val="2"/>
                  <w:tcBorders>
                    <w:tl2br w:val="nil"/>
                    <w:tr2bl w:val="nil"/>
                  </w:tcBorders>
                  <w:noWrap w:val="0"/>
                  <w:tcMar>
                    <w:left w:w="0" w:type="dxa"/>
                    <w:right w:w="0" w:type="dxa"/>
                  </w:tcMar>
                  <w:vAlign w:val="center"/>
                </w:tcPr>
                <w:p w14:paraId="78F3B5FA">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规建火险分级：甲</w:t>
                  </w:r>
                </w:p>
              </w:tc>
            </w:tr>
            <w:tr w14:paraId="2B262BD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04" w:type="pct"/>
                  <w:vMerge w:val="continue"/>
                  <w:tcBorders>
                    <w:tl2br w:val="nil"/>
                    <w:tr2bl w:val="nil"/>
                  </w:tcBorders>
                  <w:noWrap w:val="0"/>
                  <w:tcMar>
                    <w:left w:w="0" w:type="dxa"/>
                    <w:right w:w="0" w:type="dxa"/>
                  </w:tcMar>
                  <w:vAlign w:val="center"/>
                </w:tcPr>
                <w:p w14:paraId="6019A15D">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lang w:val="en-US" w:eastAsia="zh-CN"/>
                    </w:rPr>
                  </w:pPr>
                </w:p>
              </w:tc>
              <w:tc>
                <w:tcPr>
                  <w:tcW w:w="1887" w:type="pct"/>
                  <w:gridSpan w:val="2"/>
                  <w:tcBorders>
                    <w:tl2br w:val="nil"/>
                    <w:tr2bl w:val="nil"/>
                  </w:tcBorders>
                  <w:noWrap w:val="0"/>
                  <w:tcMar>
                    <w:left w:w="0" w:type="dxa"/>
                    <w:right w:w="0" w:type="dxa"/>
                  </w:tcMar>
                  <w:vAlign w:val="center"/>
                </w:tcPr>
                <w:p w14:paraId="3509F99F">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爆炸极限：</w:t>
                  </w:r>
                </w:p>
              </w:tc>
              <w:tc>
                <w:tcPr>
                  <w:tcW w:w="2907" w:type="pct"/>
                  <w:gridSpan w:val="2"/>
                  <w:tcBorders>
                    <w:tl2br w:val="nil"/>
                    <w:tr2bl w:val="nil"/>
                  </w:tcBorders>
                  <w:noWrap w:val="0"/>
                  <w:tcMar>
                    <w:left w:w="0" w:type="dxa"/>
                    <w:right w:w="0" w:type="dxa"/>
                  </w:tcMar>
                  <w:vAlign w:val="center"/>
                </w:tcPr>
                <w:p w14:paraId="697BD45A">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聚合危害：不能出现</w:t>
                  </w:r>
                </w:p>
              </w:tc>
            </w:tr>
            <w:tr w14:paraId="4AACC2C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04" w:type="pct"/>
                  <w:vMerge w:val="continue"/>
                  <w:tcBorders>
                    <w:tl2br w:val="nil"/>
                    <w:tr2bl w:val="nil"/>
                  </w:tcBorders>
                  <w:noWrap w:val="0"/>
                  <w:tcMar>
                    <w:left w:w="0" w:type="dxa"/>
                    <w:right w:w="0" w:type="dxa"/>
                  </w:tcMar>
                  <w:vAlign w:val="center"/>
                </w:tcPr>
                <w:p w14:paraId="2AC8905C">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lang w:val="en-US" w:eastAsia="zh-CN"/>
                    </w:rPr>
                  </w:pPr>
                </w:p>
              </w:tc>
              <w:tc>
                <w:tcPr>
                  <w:tcW w:w="1887" w:type="pct"/>
                  <w:gridSpan w:val="2"/>
                  <w:tcBorders>
                    <w:tl2br w:val="nil"/>
                    <w:tr2bl w:val="nil"/>
                  </w:tcBorders>
                  <w:noWrap w:val="0"/>
                  <w:tcMar>
                    <w:left w:w="0" w:type="dxa"/>
                    <w:right w:w="0" w:type="dxa"/>
                  </w:tcMar>
                  <w:vAlign w:val="center"/>
                </w:tcPr>
                <w:p w14:paraId="1678A66A">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引燃温度/℃：</w:t>
                  </w:r>
                </w:p>
              </w:tc>
              <w:tc>
                <w:tcPr>
                  <w:tcW w:w="2907" w:type="pct"/>
                  <w:gridSpan w:val="2"/>
                  <w:tcBorders>
                    <w:tl2br w:val="nil"/>
                    <w:tr2bl w:val="nil"/>
                  </w:tcBorders>
                  <w:noWrap w:val="0"/>
                  <w:tcMar>
                    <w:left w:w="0" w:type="dxa"/>
                    <w:right w:w="0" w:type="dxa"/>
                  </w:tcMar>
                  <w:vAlign w:val="center"/>
                </w:tcPr>
                <w:p w14:paraId="639DE287">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稳定性：</w:t>
                  </w:r>
                </w:p>
              </w:tc>
            </w:tr>
            <w:tr w14:paraId="139C432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04" w:type="pct"/>
                  <w:vMerge w:val="continue"/>
                  <w:tcBorders>
                    <w:tl2br w:val="nil"/>
                    <w:tr2bl w:val="nil"/>
                  </w:tcBorders>
                  <w:noWrap w:val="0"/>
                  <w:tcMar>
                    <w:left w:w="0" w:type="dxa"/>
                    <w:right w:w="0" w:type="dxa"/>
                  </w:tcMar>
                  <w:vAlign w:val="center"/>
                </w:tcPr>
                <w:p w14:paraId="74102C06">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lang w:val="en-US" w:eastAsia="zh-CN"/>
                    </w:rPr>
                  </w:pPr>
                </w:p>
              </w:tc>
              <w:tc>
                <w:tcPr>
                  <w:tcW w:w="1887" w:type="pct"/>
                  <w:gridSpan w:val="2"/>
                  <w:tcBorders>
                    <w:tl2br w:val="nil"/>
                    <w:tr2bl w:val="nil"/>
                  </w:tcBorders>
                  <w:noWrap w:val="0"/>
                  <w:tcMar>
                    <w:left w:w="0" w:type="dxa"/>
                    <w:right w:w="0" w:type="dxa"/>
                  </w:tcMar>
                  <w:vAlign w:val="center"/>
                </w:tcPr>
                <w:p w14:paraId="46A90177">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最大爆炸压力/Mpa</w:t>
                  </w:r>
                </w:p>
              </w:tc>
              <w:tc>
                <w:tcPr>
                  <w:tcW w:w="2907" w:type="pct"/>
                  <w:gridSpan w:val="2"/>
                  <w:tcBorders>
                    <w:tl2br w:val="nil"/>
                    <w:tr2bl w:val="nil"/>
                  </w:tcBorders>
                  <w:noWrap w:val="0"/>
                  <w:tcMar>
                    <w:left w:w="0" w:type="dxa"/>
                    <w:right w:w="0" w:type="dxa"/>
                  </w:tcMar>
                  <w:vAlign w:val="center"/>
                </w:tcPr>
                <w:p w14:paraId="7563B171">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禁忌物：强氧化剂、酸类、碱类。</w:t>
                  </w:r>
                </w:p>
              </w:tc>
            </w:tr>
            <w:tr w14:paraId="6F6D2B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04" w:type="pct"/>
                  <w:vMerge w:val="continue"/>
                  <w:tcBorders>
                    <w:tl2br w:val="nil"/>
                    <w:tr2bl w:val="nil"/>
                  </w:tcBorders>
                  <w:noWrap w:val="0"/>
                  <w:tcMar>
                    <w:left w:w="0" w:type="dxa"/>
                    <w:right w:w="0" w:type="dxa"/>
                  </w:tcMar>
                  <w:vAlign w:val="center"/>
                </w:tcPr>
                <w:p w14:paraId="5066FA70">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lang w:val="en-US" w:eastAsia="zh-CN"/>
                    </w:rPr>
                  </w:pPr>
                </w:p>
              </w:tc>
              <w:tc>
                <w:tcPr>
                  <w:tcW w:w="1887" w:type="pct"/>
                  <w:gridSpan w:val="2"/>
                  <w:tcBorders>
                    <w:tl2br w:val="nil"/>
                    <w:tr2bl w:val="nil"/>
                  </w:tcBorders>
                  <w:noWrap w:val="0"/>
                  <w:tcMar>
                    <w:left w:w="0" w:type="dxa"/>
                    <w:right w:w="0" w:type="dxa"/>
                  </w:tcMar>
                  <w:vAlign w:val="center"/>
                </w:tcPr>
                <w:p w14:paraId="359B5B1A">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最小点火能（Mj）：</w:t>
                  </w:r>
                </w:p>
              </w:tc>
              <w:tc>
                <w:tcPr>
                  <w:tcW w:w="2907" w:type="pct"/>
                  <w:gridSpan w:val="2"/>
                  <w:tcBorders>
                    <w:tl2br w:val="nil"/>
                    <w:tr2bl w:val="nil"/>
                  </w:tcBorders>
                  <w:noWrap w:val="0"/>
                  <w:tcMar>
                    <w:left w:w="0" w:type="dxa"/>
                    <w:right w:w="0" w:type="dxa"/>
                  </w:tcMar>
                  <w:vAlign w:val="center"/>
                </w:tcPr>
                <w:p w14:paraId="724D3CB3">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燃烧温度（℃）：</w:t>
                  </w:r>
                </w:p>
              </w:tc>
            </w:tr>
            <w:tr w14:paraId="18CD08A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04" w:type="pct"/>
                  <w:vMerge w:val="continue"/>
                  <w:tcBorders>
                    <w:tl2br w:val="nil"/>
                    <w:tr2bl w:val="nil"/>
                  </w:tcBorders>
                  <w:noWrap w:val="0"/>
                  <w:tcMar>
                    <w:left w:w="0" w:type="dxa"/>
                    <w:right w:w="0" w:type="dxa"/>
                  </w:tcMar>
                  <w:vAlign w:val="center"/>
                </w:tcPr>
                <w:p w14:paraId="0B50FFB7">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lang w:val="en-US" w:eastAsia="zh-CN"/>
                    </w:rPr>
                  </w:pPr>
                </w:p>
              </w:tc>
              <w:tc>
                <w:tcPr>
                  <w:tcW w:w="580" w:type="pct"/>
                  <w:tcBorders>
                    <w:tl2br w:val="nil"/>
                    <w:tr2bl w:val="nil"/>
                  </w:tcBorders>
                  <w:noWrap w:val="0"/>
                  <w:tcMar>
                    <w:left w:w="0" w:type="dxa"/>
                    <w:right w:w="0" w:type="dxa"/>
                  </w:tcMar>
                  <w:vAlign w:val="center"/>
                </w:tcPr>
                <w:p w14:paraId="4C379633">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危险特性</w:t>
                  </w:r>
                </w:p>
              </w:tc>
              <w:tc>
                <w:tcPr>
                  <w:tcW w:w="4215" w:type="pct"/>
                  <w:gridSpan w:val="3"/>
                  <w:tcBorders>
                    <w:tl2br w:val="nil"/>
                    <w:tr2bl w:val="nil"/>
                  </w:tcBorders>
                  <w:noWrap w:val="0"/>
                  <w:tcMar>
                    <w:left w:w="0" w:type="dxa"/>
                    <w:right w:w="0" w:type="dxa"/>
                  </w:tcMar>
                  <w:vAlign w:val="center"/>
                </w:tcPr>
                <w:p w14:paraId="04A035D1">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易燃、遇明火、高热即燃烧。</w:t>
                  </w:r>
                </w:p>
              </w:tc>
            </w:tr>
            <w:tr w14:paraId="07C053A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04" w:type="pct"/>
                  <w:vMerge w:val="continue"/>
                  <w:tcBorders>
                    <w:tl2br w:val="nil"/>
                    <w:tr2bl w:val="nil"/>
                  </w:tcBorders>
                  <w:noWrap w:val="0"/>
                  <w:tcMar>
                    <w:left w:w="0" w:type="dxa"/>
                    <w:right w:w="0" w:type="dxa"/>
                  </w:tcMar>
                  <w:vAlign w:val="center"/>
                </w:tcPr>
                <w:p w14:paraId="05F2FC73">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lang w:val="en-US" w:eastAsia="zh-CN"/>
                    </w:rPr>
                  </w:pPr>
                </w:p>
              </w:tc>
              <w:tc>
                <w:tcPr>
                  <w:tcW w:w="580" w:type="pct"/>
                  <w:tcBorders>
                    <w:tl2br w:val="nil"/>
                    <w:tr2bl w:val="nil"/>
                  </w:tcBorders>
                  <w:noWrap w:val="0"/>
                  <w:tcMar>
                    <w:left w:w="0" w:type="dxa"/>
                    <w:right w:w="0" w:type="dxa"/>
                  </w:tcMar>
                  <w:vAlign w:val="center"/>
                </w:tcPr>
                <w:p w14:paraId="28D036FF">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毒性</w:t>
                  </w:r>
                </w:p>
              </w:tc>
              <w:tc>
                <w:tcPr>
                  <w:tcW w:w="4215" w:type="pct"/>
                  <w:gridSpan w:val="3"/>
                  <w:tcBorders>
                    <w:tl2br w:val="nil"/>
                    <w:tr2bl w:val="nil"/>
                  </w:tcBorders>
                  <w:noWrap w:val="0"/>
                  <w:tcMar>
                    <w:left w:w="0" w:type="dxa"/>
                    <w:right w:w="0" w:type="dxa"/>
                  </w:tcMar>
                  <w:vAlign w:val="center"/>
                </w:tcPr>
                <w:p w14:paraId="09068658">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蒸气能刺激眼睛和黏膜。吸入蒸气能产生眩晕、头痛、兴奋等症状。吸入高浓度蒸气能造成急性中毒。</w:t>
                  </w:r>
                </w:p>
              </w:tc>
            </w:tr>
            <w:tr w14:paraId="530496D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04" w:type="pct"/>
                  <w:vMerge w:val="continue"/>
                  <w:tcBorders>
                    <w:tl2br w:val="nil"/>
                    <w:tr2bl w:val="nil"/>
                  </w:tcBorders>
                  <w:noWrap w:val="0"/>
                  <w:tcMar>
                    <w:left w:w="0" w:type="dxa"/>
                    <w:right w:w="0" w:type="dxa"/>
                  </w:tcMar>
                  <w:vAlign w:val="center"/>
                </w:tcPr>
                <w:p w14:paraId="6FEACA4F">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lang w:val="en-US" w:eastAsia="zh-CN"/>
                    </w:rPr>
                  </w:pPr>
                </w:p>
              </w:tc>
              <w:tc>
                <w:tcPr>
                  <w:tcW w:w="580" w:type="pct"/>
                  <w:tcBorders>
                    <w:tl2br w:val="nil"/>
                    <w:tr2bl w:val="nil"/>
                  </w:tcBorders>
                  <w:noWrap w:val="0"/>
                  <w:tcMar>
                    <w:left w:w="0" w:type="dxa"/>
                    <w:right w:w="0" w:type="dxa"/>
                  </w:tcMar>
                  <w:vAlign w:val="center"/>
                </w:tcPr>
                <w:p w14:paraId="3BBBAE88">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灭火方法</w:t>
                  </w:r>
                </w:p>
              </w:tc>
              <w:tc>
                <w:tcPr>
                  <w:tcW w:w="4215" w:type="pct"/>
                  <w:gridSpan w:val="3"/>
                  <w:tcBorders>
                    <w:tl2br w:val="nil"/>
                    <w:tr2bl w:val="nil"/>
                  </w:tcBorders>
                  <w:noWrap w:val="0"/>
                  <w:tcMar>
                    <w:left w:w="0" w:type="dxa"/>
                    <w:right w:w="0" w:type="dxa"/>
                  </w:tcMar>
                  <w:vAlign w:val="center"/>
                </w:tcPr>
                <w:p w14:paraId="2DAD64FD">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消防人员须穿戴防毒面具与消防服，可用干粉、抗溶性泡沫、干粉、砂土、二氧化碳灭火。用水保持火场中容器冷却。</w:t>
                  </w:r>
                </w:p>
              </w:tc>
            </w:tr>
            <w:tr w14:paraId="0A1DF50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04" w:type="pct"/>
                  <w:tcBorders>
                    <w:tl2br w:val="nil"/>
                    <w:tr2bl w:val="nil"/>
                  </w:tcBorders>
                  <w:noWrap w:val="0"/>
                  <w:tcMar>
                    <w:left w:w="0" w:type="dxa"/>
                    <w:right w:w="0" w:type="dxa"/>
                  </w:tcMar>
                  <w:vAlign w:val="center"/>
                </w:tcPr>
                <w:p w14:paraId="720EC7AE">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健康危害</w:t>
                  </w:r>
                </w:p>
              </w:tc>
              <w:tc>
                <w:tcPr>
                  <w:tcW w:w="4795" w:type="pct"/>
                  <w:gridSpan w:val="4"/>
                  <w:tcBorders>
                    <w:tl2br w:val="nil"/>
                    <w:tr2bl w:val="nil"/>
                  </w:tcBorders>
                  <w:noWrap w:val="0"/>
                  <w:tcMar>
                    <w:left w:w="0" w:type="dxa"/>
                    <w:right w:w="0" w:type="dxa"/>
                  </w:tcMar>
                  <w:vAlign w:val="center"/>
                </w:tcPr>
                <w:p w14:paraId="1A1EFEF7">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皮肤接触：先用稀料擦清油污，再用肥皂彻底洗涤。眼睛接触：吸入：迅速脱离现场至空气新鲜处。安置休息并保暖。严重者就医诊治。</w:t>
                  </w:r>
                </w:p>
              </w:tc>
            </w:tr>
            <w:tr w14:paraId="772C82A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04" w:type="pct"/>
                  <w:tcBorders>
                    <w:tl2br w:val="nil"/>
                    <w:tr2bl w:val="nil"/>
                  </w:tcBorders>
                  <w:noWrap w:val="0"/>
                  <w:tcMar>
                    <w:left w:w="0" w:type="dxa"/>
                    <w:right w:w="0" w:type="dxa"/>
                  </w:tcMar>
                  <w:vAlign w:val="center"/>
                </w:tcPr>
                <w:p w14:paraId="502F0FC1">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对人体危害</w:t>
                  </w:r>
                </w:p>
              </w:tc>
              <w:tc>
                <w:tcPr>
                  <w:tcW w:w="4795" w:type="pct"/>
                  <w:gridSpan w:val="4"/>
                  <w:tcBorders>
                    <w:tl2br w:val="nil"/>
                    <w:tr2bl w:val="nil"/>
                  </w:tcBorders>
                  <w:noWrap w:val="0"/>
                  <w:tcMar>
                    <w:left w:w="0" w:type="dxa"/>
                    <w:right w:w="0" w:type="dxa"/>
                  </w:tcMar>
                  <w:vAlign w:val="center"/>
                </w:tcPr>
                <w:p w14:paraId="6AE88DDE">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皮肤接触：立即脱去被污染的衣着，用大量清水冲洗；眼睛接触：立即提起眼睑，用大量流动清水或生理盐水冲洗，就医；吸入：迅速脱离现场至空气新鲜处，保持呼吸道通畅，如呼吸困难，给输氧；如呼吸停止，立即进行人工呼吸，就医；食入：饮足量温水，催吐，就医。</w:t>
                  </w:r>
                </w:p>
              </w:tc>
            </w:tr>
            <w:tr w14:paraId="78269AE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04" w:type="pct"/>
                  <w:tcBorders>
                    <w:tl2br w:val="nil"/>
                    <w:tr2bl w:val="nil"/>
                  </w:tcBorders>
                  <w:noWrap w:val="0"/>
                  <w:tcMar>
                    <w:left w:w="0" w:type="dxa"/>
                    <w:right w:w="0" w:type="dxa"/>
                  </w:tcMar>
                  <w:vAlign w:val="center"/>
                </w:tcPr>
                <w:p w14:paraId="02154C2E">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急救</w:t>
                  </w:r>
                </w:p>
              </w:tc>
              <w:tc>
                <w:tcPr>
                  <w:tcW w:w="4795" w:type="pct"/>
                  <w:gridSpan w:val="4"/>
                  <w:tcBorders>
                    <w:tl2br w:val="nil"/>
                    <w:tr2bl w:val="nil"/>
                  </w:tcBorders>
                  <w:noWrap w:val="0"/>
                  <w:tcMar>
                    <w:left w:w="0" w:type="dxa"/>
                    <w:right w:w="0" w:type="dxa"/>
                  </w:tcMar>
                  <w:vAlign w:val="center"/>
                </w:tcPr>
                <w:p w14:paraId="714A6EE4">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吸入：脱离有毒环境，至空气新鲜处，给氧，对症治疗。注意防治脑水肿</w:t>
                  </w:r>
                </w:p>
              </w:tc>
            </w:tr>
            <w:tr w14:paraId="4FA5A70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04" w:type="pct"/>
                  <w:tcBorders>
                    <w:tl2br w:val="nil"/>
                    <w:tr2bl w:val="nil"/>
                  </w:tcBorders>
                  <w:noWrap w:val="0"/>
                  <w:tcMar>
                    <w:left w:w="0" w:type="dxa"/>
                    <w:right w:w="0" w:type="dxa"/>
                  </w:tcMar>
                  <w:vAlign w:val="center"/>
                </w:tcPr>
                <w:p w14:paraId="5ABD53BB">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泄漏处理</w:t>
                  </w:r>
                </w:p>
              </w:tc>
              <w:tc>
                <w:tcPr>
                  <w:tcW w:w="4795" w:type="pct"/>
                  <w:gridSpan w:val="4"/>
                  <w:tcBorders>
                    <w:tl2br w:val="nil"/>
                    <w:tr2bl w:val="nil"/>
                  </w:tcBorders>
                  <w:noWrap w:val="0"/>
                  <w:tcMar>
                    <w:left w:w="0" w:type="dxa"/>
                    <w:right w:w="0" w:type="dxa"/>
                  </w:tcMar>
                  <w:vAlign w:val="center"/>
                </w:tcPr>
                <w:p w14:paraId="72326047">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疏散泄漏污染区人员至安全区，禁止无关人员进入污染区，切断火源。应急处理人员戴好防毒面具与手套。用砂土吸收，倒至空旷地方掩埋。对污染地面用油漆刀铲清。大面积泄漏应设雾状水幕抑爆。</w:t>
                  </w:r>
                </w:p>
              </w:tc>
            </w:tr>
            <w:tr w14:paraId="1613FD7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04" w:type="pct"/>
                  <w:tcBorders>
                    <w:tl2br w:val="nil"/>
                    <w:tr2bl w:val="nil"/>
                  </w:tcBorders>
                  <w:noWrap w:val="0"/>
                  <w:tcMar>
                    <w:left w:w="0" w:type="dxa"/>
                    <w:right w:w="0" w:type="dxa"/>
                  </w:tcMar>
                  <w:vAlign w:val="center"/>
                </w:tcPr>
                <w:p w14:paraId="7890CABC">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储运</w:t>
                  </w:r>
                </w:p>
              </w:tc>
              <w:tc>
                <w:tcPr>
                  <w:tcW w:w="4795" w:type="pct"/>
                  <w:gridSpan w:val="4"/>
                  <w:tcBorders>
                    <w:tl2br w:val="nil"/>
                    <w:tr2bl w:val="nil"/>
                  </w:tcBorders>
                  <w:noWrap w:val="0"/>
                  <w:tcMar>
                    <w:left w:w="0" w:type="dxa"/>
                    <w:right w:w="0" w:type="dxa"/>
                  </w:tcMar>
                  <w:vAlign w:val="center"/>
                </w:tcPr>
                <w:p w14:paraId="4ECBE41C">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包装标志：易燃液体。包装方法：（II）类。听桶或铁桶。储运条件：储存于阴凉、通风仓间内。远离火种、热源。仓温不宜超过30℃。防止阳光直射。保持容器密封。应与氧化剂分开存放。储存间内的照明、通风等设施应采用防爆型，开关设在仓外。配备相应品种和数量的消防器材。禁止使用易产生火花的机械设备和工具。定期检查是否有泄漏现象。灌装时应注意流速（不超过3m/s），且有接地装置，防止静电积聚。搬运时要轻装轻卸，防止包装及容器损坏。</w:t>
                  </w:r>
                </w:p>
              </w:tc>
            </w:tr>
          </w:tbl>
          <w:p w14:paraId="0EC018AF">
            <w:pPr>
              <w:pStyle w:val="8"/>
              <w:keepNext w:val="0"/>
              <w:keepLines w:val="0"/>
              <w:suppressLineNumbers w:val="0"/>
              <w:bidi w:val="0"/>
              <w:spacing w:before="0" w:beforeAutospacing="0" w:after="0" w:afterAutospacing="0"/>
              <w:ind w:right="0" w:firstLine="422" w:firstLineChars="200"/>
              <w:jc w:val="both"/>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表2-</w:t>
            </w:r>
            <w:r>
              <w:rPr>
                <w:rFonts w:hint="eastAsia" w:cs="Times New Roman"/>
                <w:b/>
                <w:bCs/>
                <w:color w:val="auto"/>
                <w:sz w:val="21"/>
                <w:szCs w:val="21"/>
                <w:lang w:val="en-US" w:eastAsia="zh-CN"/>
              </w:rPr>
              <w:t>6</w:t>
            </w:r>
            <w:r>
              <w:rPr>
                <w:rFonts w:hint="default" w:ascii="Times New Roman" w:hAnsi="Times New Roman" w:eastAsia="宋体" w:cs="Times New Roman"/>
                <w:b/>
                <w:bCs/>
                <w:color w:val="auto"/>
                <w:sz w:val="21"/>
                <w:szCs w:val="21"/>
                <w:lang w:val="en-US" w:eastAsia="zh-CN"/>
              </w:rPr>
              <w:t xml:space="preserve">         </w:t>
            </w:r>
            <w:r>
              <w:rPr>
                <w:rFonts w:hint="eastAsia"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lang w:val="en-US" w:eastAsia="zh-CN"/>
              </w:rPr>
              <w:t xml:space="preserve">  </w:t>
            </w:r>
            <w:r>
              <w:rPr>
                <w:rFonts w:hint="eastAsia" w:cs="Times New Roman"/>
                <w:b/>
                <w:bCs/>
                <w:color w:val="auto"/>
                <w:sz w:val="21"/>
                <w:szCs w:val="21"/>
                <w:lang w:val="en-US" w:eastAsia="zh-CN"/>
              </w:rPr>
              <w:t>二氧化氯</w:t>
            </w:r>
            <w:r>
              <w:rPr>
                <w:rFonts w:hint="default" w:ascii="Times New Roman" w:hAnsi="Times New Roman" w:eastAsia="宋体" w:cs="Times New Roman"/>
                <w:b/>
                <w:bCs/>
                <w:color w:val="auto"/>
                <w:sz w:val="21"/>
                <w:szCs w:val="21"/>
                <w:lang w:val="en-US" w:eastAsia="zh-CN"/>
              </w:rPr>
              <w:t>的</w:t>
            </w:r>
            <w:r>
              <w:rPr>
                <w:rFonts w:hint="eastAsia" w:ascii="Times New Roman" w:hAnsi="Times New Roman" w:eastAsia="宋体" w:cs="Times New Roman"/>
                <w:b/>
                <w:bCs/>
                <w:color w:val="auto"/>
                <w:sz w:val="21"/>
                <w:szCs w:val="21"/>
                <w:lang w:val="en-US" w:eastAsia="zh-CN"/>
              </w:rPr>
              <w:t>理</w:t>
            </w:r>
            <w:r>
              <w:rPr>
                <w:rFonts w:hint="default" w:ascii="Times New Roman" w:hAnsi="Times New Roman" w:eastAsia="宋体" w:cs="Times New Roman"/>
                <w:b/>
                <w:bCs/>
                <w:color w:val="auto"/>
                <w:sz w:val="21"/>
                <w:szCs w:val="21"/>
                <w:lang w:val="en-US" w:eastAsia="zh-CN"/>
              </w:rPr>
              <w:t>化特性</w:t>
            </w:r>
          </w:p>
          <w:tbl>
            <w:tblPr>
              <w:tblStyle w:val="31"/>
              <w:tblW w:w="495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27"/>
              <w:gridCol w:w="1518"/>
              <w:gridCol w:w="2442"/>
              <w:gridCol w:w="1423"/>
              <w:gridCol w:w="2238"/>
            </w:tblGrid>
            <w:tr w14:paraId="2A47A1E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vMerge w:val="restart"/>
                  <w:tcBorders>
                    <w:tl2br w:val="nil"/>
                    <w:tr2bl w:val="nil"/>
                  </w:tcBorders>
                  <w:noWrap w:val="0"/>
                  <w:vAlign w:val="center"/>
                </w:tcPr>
                <w:p w14:paraId="6908975D">
                  <w:pPr>
                    <w:pStyle w:val="8"/>
                    <w:keepNext w:val="0"/>
                    <w:keepLines w:val="0"/>
                    <w:suppressLineNumbers w:val="0"/>
                    <w:bidi w:val="0"/>
                    <w:spacing w:before="0" w:beforeAutospacing="0" w:after="0" w:afterAutospacing="0"/>
                    <w:ind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标</w:t>
                  </w:r>
                </w:p>
                <w:p w14:paraId="04EA5869">
                  <w:pPr>
                    <w:pStyle w:val="8"/>
                    <w:keepNext w:val="0"/>
                    <w:keepLines w:val="0"/>
                    <w:suppressLineNumbers w:val="0"/>
                    <w:bidi w:val="0"/>
                    <w:spacing w:before="0" w:beforeAutospacing="0" w:after="0" w:afterAutospacing="0"/>
                    <w:ind w:right="0"/>
                    <w:rPr>
                      <w:rFonts w:hint="default" w:ascii="Times New Roman" w:hAnsi="Times New Roman" w:eastAsia="宋体" w:cs="Times New Roman"/>
                      <w:sz w:val="21"/>
                      <w:szCs w:val="21"/>
                      <w:lang w:val="en-US" w:eastAsia="zh-CN"/>
                    </w:rPr>
                  </w:pPr>
                </w:p>
                <w:p w14:paraId="1E773033">
                  <w:pPr>
                    <w:pStyle w:val="8"/>
                    <w:keepNext w:val="0"/>
                    <w:keepLines w:val="0"/>
                    <w:suppressLineNumbers w:val="0"/>
                    <w:bidi w:val="0"/>
                    <w:spacing w:before="0" w:beforeAutospacing="0" w:after="0" w:afterAutospacing="0"/>
                    <w:ind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识</w:t>
                  </w:r>
                </w:p>
              </w:tc>
              <w:tc>
                <w:tcPr>
                  <w:tcW w:w="931" w:type="pct"/>
                  <w:tcBorders>
                    <w:tl2br w:val="nil"/>
                    <w:tr2bl w:val="nil"/>
                  </w:tcBorders>
                  <w:noWrap w:val="0"/>
                  <w:vAlign w:val="center"/>
                </w:tcPr>
                <w:p w14:paraId="548C6340">
                  <w:pPr>
                    <w:pStyle w:val="8"/>
                    <w:keepNext w:val="0"/>
                    <w:keepLines w:val="0"/>
                    <w:suppressLineNumbers w:val="0"/>
                    <w:bidi w:val="0"/>
                    <w:spacing w:before="0" w:beforeAutospacing="0" w:after="0" w:afterAutospacing="0"/>
                    <w:ind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中文名</w:t>
                  </w:r>
                </w:p>
              </w:tc>
              <w:tc>
                <w:tcPr>
                  <w:tcW w:w="1498" w:type="pct"/>
                  <w:tcBorders>
                    <w:tl2br w:val="nil"/>
                    <w:tr2bl w:val="nil"/>
                  </w:tcBorders>
                  <w:noWrap w:val="0"/>
                  <w:vAlign w:val="center"/>
                </w:tcPr>
                <w:p w14:paraId="620FCB99">
                  <w:pPr>
                    <w:pStyle w:val="8"/>
                    <w:keepNext w:val="0"/>
                    <w:keepLines w:val="0"/>
                    <w:suppressLineNumbers w:val="0"/>
                    <w:bidi w:val="0"/>
                    <w:spacing w:before="0" w:beforeAutospacing="0" w:after="0" w:afterAutospacing="0"/>
                    <w:ind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二氧化氯</w:t>
                  </w:r>
                </w:p>
              </w:tc>
              <w:tc>
                <w:tcPr>
                  <w:tcW w:w="873" w:type="pct"/>
                  <w:tcBorders>
                    <w:tl2br w:val="nil"/>
                    <w:tr2bl w:val="nil"/>
                  </w:tcBorders>
                  <w:noWrap w:val="0"/>
                  <w:vAlign w:val="center"/>
                </w:tcPr>
                <w:p w14:paraId="036656F0">
                  <w:pPr>
                    <w:pStyle w:val="8"/>
                    <w:keepNext w:val="0"/>
                    <w:keepLines w:val="0"/>
                    <w:suppressLineNumbers w:val="0"/>
                    <w:bidi w:val="0"/>
                    <w:spacing w:before="0" w:beforeAutospacing="0" w:after="0" w:afterAutospacing="0"/>
                    <w:ind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英文名</w:t>
                  </w:r>
                </w:p>
              </w:tc>
              <w:tc>
                <w:tcPr>
                  <w:tcW w:w="1372" w:type="pct"/>
                  <w:tcBorders>
                    <w:tl2br w:val="nil"/>
                    <w:tr2bl w:val="nil"/>
                  </w:tcBorders>
                  <w:noWrap w:val="0"/>
                  <w:vAlign w:val="center"/>
                </w:tcPr>
                <w:p w14:paraId="66428A21">
                  <w:pPr>
                    <w:pStyle w:val="8"/>
                    <w:keepNext w:val="0"/>
                    <w:keepLines w:val="0"/>
                    <w:suppressLineNumbers w:val="0"/>
                    <w:bidi w:val="0"/>
                    <w:spacing w:before="0" w:beforeAutospacing="0" w:after="0" w:afterAutospacing="0"/>
                    <w:ind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Chlorine dioxide</w:t>
                  </w:r>
                </w:p>
              </w:tc>
            </w:tr>
            <w:tr w14:paraId="0A46B0B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324" w:type="pct"/>
                  <w:vMerge w:val="continue"/>
                  <w:tcBorders>
                    <w:tl2br w:val="nil"/>
                    <w:tr2bl w:val="nil"/>
                  </w:tcBorders>
                  <w:noWrap w:val="0"/>
                  <w:vAlign w:val="center"/>
                </w:tcPr>
                <w:p w14:paraId="2DE2E213">
                  <w:pPr>
                    <w:pStyle w:val="8"/>
                    <w:keepNext w:val="0"/>
                    <w:keepLines w:val="0"/>
                    <w:suppressLineNumbers w:val="0"/>
                    <w:bidi w:val="0"/>
                    <w:spacing w:before="0" w:beforeAutospacing="0" w:after="0" w:afterAutospacing="0"/>
                    <w:ind w:right="0"/>
                    <w:rPr>
                      <w:rFonts w:hint="default" w:ascii="Times New Roman" w:hAnsi="Times New Roman" w:eastAsia="宋体" w:cs="Times New Roman"/>
                      <w:sz w:val="21"/>
                      <w:szCs w:val="21"/>
                      <w:lang w:val="en-US" w:eastAsia="zh-CN"/>
                    </w:rPr>
                  </w:pPr>
                </w:p>
              </w:tc>
              <w:tc>
                <w:tcPr>
                  <w:tcW w:w="931" w:type="pct"/>
                  <w:tcBorders>
                    <w:tl2br w:val="nil"/>
                    <w:tr2bl w:val="nil"/>
                  </w:tcBorders>
                  <w:noWrap w:val="0"/>
                  <w:vAlign w:val="center"/>
                </w:tcPr>
                <w:p w14:paraId="0602B249">
                  <w:pPr>
                    <w:pStyle w:val="8"/>
                    <w:keepNext w:val="0"/>
                    <w:keepLines w:val="0"/>
                    <w:suppressLineNumbers w:val="0"/>
                    <w:bidi w:val="0"/>
                    <w:spacing w:before="0" w:beforeAutospacing="0" w:after="0" w:afterAutospacing="0"/>
                    <w:ind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分子式</w:t>
                  </w:r>
                </w:p>
              </w:tc>
              <w:tc>
                <w:tcPr>
                  <w:tcW w:w="1498" w:type="pct"/>
                  <w:tcBorders>
                    <w:tl2br w:val="nil"/>
                    <w:tr2bl w:val="nil"/>
                  </w:tcBorders>
                  <w:noWrap w:val="0"/>
                  <w:vAlign w:val="center"/>
                </w:tcPr>
                <w:p w14:paraId="463FE509">
                  <w:pPr>
                    <w:pStyle w:val="8"/>
                    <w:keepNext w:val="0"/>
                    <w:keepLines w:val="0"/>
                    <w:suppressLineNumbers w:val="0"/>
                    <w:bidi w:val="0"/>
                    <w:spacing w:before="0" w:beforeAutospacing="0" w:after="0" w:afterAutospacing="0"/>
                    <w:ind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ClO</w:t>
                  </w:r>
                  <w:r>
                    <w:rPr>
                      <w:rFonts w:hint="default" w:ascii="Times New Roman" w:hAnsi="Times New Roman" w:eastAsia="宋体" w:cs="Times New Roman"/>
                      <w:sz w:val="21"/>
                      <w:szCs w:val="21"/>
                      <w:vertAlign w:val="subscript"/>
                      <w:lang w:val="en-US" w:eastAsia="zh-CN"/>
                    </w:rPr>
                    <w:t>2</w:t>
                  </w:r>
                </w:p>
              </w:tc>
              <w:tc>
                <w:tcPr>
                  <w:tcW w:w="873" w:type="pct"/>
                  <w:tcBorders>
                    <w:tl2br w:val="nil"/>
                    <w:tr2bl w:val="nil"/>
                  </w:tcBorders>
                  <w:noWrap w:val="0"/>
                  <w:vAlign w:val="center"/>
                </w:tcPr>
                <w:p w14:paraId="1F8BFE98">
                  <w:pPr>
                    <w:pStyle w:val="8"/>
                    <w:keepNext w:val="0"/>
                    <w:keepLines w:val="0"/>
                    <w:suppressLineNumbers w:val="0"/>
                    <w:bidi w:val="0"/>
                    <w:spacing w:before="0" w:beforeAutospacing="0" w:after="0" w:afterAutospacing="0"/>
                    <w:ind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分子量</w:t>
                  </w:r>
                </w:p>
              </w:tc>
              <w:tc>
                <w:tcPr>
                  <w:tcW w:w="1372" w:type="pct"/>
                  <w:tcBorders>
                    <w:tl2br w:val="nil"/>
                    <w:tr2bl w:val="nil"/>
                  </w:tcBorders>
                  <w:noWrap w:val="0"/>
                  <w:vAlign w:val="center"/>
                </w:tcPr>
                <w:p w14:paraId="1174EF3A">
                  <w:pPr>
                    <w:pStyle w:val="8"/>
                    <w:keepNext w:val="0"/>
                    <w:keepLines w:val="0"/>
                    <w:suppressLineNumbers w:val="0"/>
                    <w:bidi w:val="0"/>
                    <w:spacing w:before="0" w:beforeAutospacing="0" w:after="0" w:afterAutospacing="0"/>
                    <w:ind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67.45</w:t>
                  </w:r>
                </w:p>
              </w:tc>
            </w:tr>
            <w:tr w14:paraId="668DD10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vMerge w:val="continue"/>
                  <w:tcBorders>
                    <w:tl2br w:val="nil"/>
                    <w:tr2bl w:val="nil"/>
                  </w:tcBorders>
                  <w:noWrap w:val="0"/>
                  <w:vAlign w:val="center"/>
                </w:tcPr>
                <w:p w14:paraId="75CF6E51">
                  <w:pPr>
                    <w:pStyle w:val="8"/>
                    <w:keepNext w:val="0"/>
                    <w:keepLines w:val="0"/>
                    <w:suppressLineNumbers w:val="0"/>
                    <w:bidi w:val="0"/>
                    <w:spacing w:before="0" w:beforeAutospacing="0" w:after="0" w:afterAutospacing="0"/>
                    <w:ind w:right="0"/>
                    <w:rPr>
                      <w:rFonts w:hint="default" w:ascii="Times New Roman" w:hAnsi="Times New Roman" w:eastAsia="宋体" w:cs="Times New Roman"/>
                      <w:sz w:val="21"/>
                      <w:szCs w:val="21"/>
                      <w:lang w:val="en-US" w:eastAsia="zh-CN"/>
                    </w:rPr>
                  </w:pPr>
                </w:p>
              </w:tc>
              <w:tc>
                <w:tcPr>
                  <w:tcW w:w="931" w:type="pct"/>
                  <w:tcBorders>
                    <w:tl2br w:val="nil"/>
                    <w:tr2bl w:val="nil"/>
                  </w:tcBorders>
                  <w:noWrap w:val="0"/>
                  <w:vAlign w:val="center"/>
                </w:tcPr>
                <w:p w14:paraId="18B20135">
                  <w:pPr>
                    <w:pStyle w:val="8"/>
                    <w:keepNext w:val="0"/>
                    <w:keepLines w:val="0"/>
                    <w:suppressLineNumbers w:val="0"/>
                    <w:bidi w:val="0"/>
                    <w:spacing w:before="0" w:beforeAutospacing="0" w:after="0" w:afterAutospacing="0"/>
                    <w:ind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UN编号</w:t>
                  </w:r>
                </w:p>
              </w:tc>
              <w:tc>
                <w:tcPr>
                  <w:tcW w:w="1498" w:type="pct"/>
                  <w:tcBorders>
                    <w:tl2br w:val="nil"/>
                    <w:tr2bl w:val="nil"/>
                  </w:tcBorders>
                  <w:noWrap w:val="0"/>
                  <w:vAlign w:val="center"/>
                </w:tcPr>
                <w:p w14:paraId="41A02A46">
                  <w:pPr>
                    <w:pStyle w:val="8"/>
                    <w:keepNext w:val="0"/>
                    <w:keepLines w:val="0"/>
                    <w:suppressLineNumbers w:val="0"/>
                    <w:bidi w:val="0"/>
                    <w:spacing w:before="0" w:beforeAutospacing="0" w:after="0" w:afterAutospacing="0"/>
                    <w:ind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9191</w:t>
                  </w:r>
                </w:p>
              </w:tc>
              <w:tc>
                <w:tcPr>
                  <w:tcW w:w="873" w:type="pct"/>
                  <w:tcBorders>
                    <w:tl2br w:val="nil"/>
                    <w:tr2bl w:val="nil"/>
                  </w:tcBorders>
                  <w:noWrap w:val="0"/>
                  <w:vAlign w:val="center"/>
                </w:tcPr>
                <w:p w14:paraId="70DBF576">
                  <w:pPr>
                    <w:pStyle w:val="8"/>
                    <w:keepNext w:val="0"/>
                    <w:keepLines w:val="0"/>
                    <w:suppressLineNumbers w:val="0"/>
                    <w:bidi w:val="0"/>
                    <w:spacing w:before="0" w:beforeAutospacing="0" w:after="0" w:afterAutospacing="0"/>
                    <w:ind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CAS号</w:t>
                  </w:r>
                </w:p>
              </w:tc>
              <w:tc>
                <w:tcPr>
                  <w:tcW w:w="1372" w:type="pct"/>
                  <w:tcBorders>
                    <w:tl2br w:val="nil"/>
                    <w:tr2bl w:val="nil"/>
                  </w:tcBorders>
                  <w:noWrap w:val="0"/>
                  <w:vAlign w:val="center"/>
                </w:tcPr>
                <w:p w14:paraId="32F5B238">
                  <w:pPr>
                    <w:pStyle w:val="8"/>
                    <w:keepNext w:val="0"/>
                    <w:keepLines w:val="0"/>
                    <w:suppressLineNumbers w:val="0"/>
                    <w:bidi w:val="0"/>
                    <w:spacing w:before="0" w:beforeAutospacing="0" w:after="0" w:afterAutospacing="0"/>
                    <w:ind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10049-04-4</w:t>
                  </w:r>
                </w:p>
              </w:tc>
            </w:tr>
            <w:tr w14:paraId="71B242E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vMerge w:val="restart"/>
                  <w:tcBorders>
                    <w:tl2br w:val="nil"/>
                    <w:tr2bl w:val="nil"/>
                  </w:tcBorders>
                  <w:noWrap w:val="0"/>
                  <w:vAlign w:val="center"/>
                </w:tcPr>
                <w:p w14:paraId="2FAF2236">
                  <w:pPr>
                    <w:pStyle w:val="8"/>
                    <w:keepNext w:val="0"/>
                    <w:keepLines w:val="0"/>
                    <w:suppressLineNumbers w:val="0"/>
                    <w:bidi w:val="0"/>
                    <w:spacing w:before="0" w:beforeAutospacing="0" w:after="0" w:afterAutospacing="0"/>
                    <w:ind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理</w:t>
                  </w:r>
                </w:p>
                <w:p w14:paraId="2744B5B7">
                  <w:pPr>
                    <w:pStyle w:val="8"/>
                    <w:keepNext w:val="0"/>
                    <w:keepLines w:val="0"/>
                    <w:suppressLineNumbers w:val="0"/>
                    <w:bidi w:val="0"/>
                    <w:spacing w:before="0" w:beforeAutospacing="0" w:after="0" w:afterAutospacing="0"/>
                    <w:ind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化</w:t>
                  </w:r>
                </w:p>
                <w:p w14:paraId="24012DC2">
                  <w:pPr>
                    <w:pStyle w:val="8"/>
                    <w:keepNext w:val="0"/>
                    <w:keepLines w:val="0"/>
                    <w:suppressLineNumbers w:val="0"/>
                    <w:bidi w:val="0"/>
                    <w:spacing w:before="0" w:beforeAutospacing="0" w:after="0" w:afterAutospacing="0"/>
                    <w:ind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性</w:t>
                  </w:r>
                </w:p>
                <w:p w14:paraId="774AEB15">
                  <w:pPr>
                    <w:pStyle w:val="8"/>
                    <w:keepNext w:val="0"/>
                    <w:keepLines w:val="0"/>
                    <w:suppressLineNumbers w:val="0"/>
                    <w:bidi w:val="0"/>
                    <w:spacing w:before="0" w:beforeAutospacing="0" w:after="0" w:afterAutospacing="0"/>
                    <w:ind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质</w:t>
                  </w:r>
                </w:p>
              </w:tc>
              <w:tc>
                <w:tcPr>
                  <w:tcW w:w="931" w:type="pct"/>
                  <w:tcBorders>
                    <w:tl2br w:val="nil"/>
                    <w:tr2bl w:val="nil"/>
                  </w:tcBorders>
                  <w:noWrap w:val="0"/>
                  <w:vAlign w:val="center"/>
                </w:tcPr>
                <w:p w14:paraId="7791FC3D">
                  <w:pPr>
                    <w:pStyle w:val="8"/>
                    <w:keepNext w:val="0"/>
                    <w:keepLines w:val="0"/>
                    <w:suppressLineNumbers w:val="0"/>
                    <w:bidi w:val="0"/>
                    <w:spacing w:before="0" w:beforeAutospacing="0" w:after="0" w:afterAutospacing="0"/>
                    <w:ind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性状</w:t>
                  </w:r>
                </w:p>
              </w:tc>
              <w:tc>
                <w:tcPr>
                  <w:tcW w:w="3744" w:type="pct"/>
                  <w:gridSpan w:val="3"/>
                  <w:tcBorders>
                    <w:tl2br w:val="nil"/>
                    <w:tr2bl w:val="nil"/>
                  </w:tcBorders>
                  <w:noWrap w:val="0"/>
                  <w:vAlign w:val="center"/>
                </w:tcPr>
                <w:p w14:paraId="5BF483DF">
                  <w:pPr>
                    <w:pStyle w:val="8"/>
                    <w:keepNext w:val="0"/>
                    <w:keepLines w:val="0"/>
                    <w:suppressLineNumbers w:val="0"/>
                    <w:bidi w:val="0"/>
                    <w:spacing w:before="0" w:beforeAutospacing="0" w:after="0" w:afterAutospacing="0"/>
                    <w:ind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黄红色气体，有刺激性恶臭的气体</w:t>
                  </w:r>
                </w:p>
              </w:tc>
            </w:tr>
            <w:tr w14:paraId="11041C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vMerge w:val="continue"/>
                  <w:tcBorders>
                    <w:tl2br w:val="nil"/>
                    <w:tr2bl w:val="nil"/>
                  </w:tcBorders>
                  <w:noWrap w:val="0"/>
                  <w:vAlign w:val="center"/>
                </w:tcPr>
                <w:p w14:paraId="44856314">
                  <w:pPr>
                    <w:pStyle w:val="8"/>
                    <w:keepNext w:val="0"/>
                    <w:keepLines w:val="0"/>
                    <w:suppressLineNumbers w:val="0"/>
                    <w:bidi w:val="0"/>
                    <w:spacing w:before="0" w:beforeAutospacing="0" w:after="0" w:afterAutospacing="0"/>
                    <w:ind w:right="0"/>
                    <w:rPr>
                      <w:rFonts w:hint="default" w:ascii="Times New Roman" w:hAnsi="Times New Roman" w:eastAsia="宋体" w:cs="Times New Roman"/>
                      <w:sz w:val="21"/>
                      <w:szCs w:val="21"/>
                      <w:lang w:val="en-US" w:eastAsia="zh-CN"/>
                    </w:rPr>
                  </w:pPr>
                </w:p>
              </w:tc>
              <w:tc>
                <w:tcPr>
                  <w:tcW w:w="931" w:type="pct"/>
                  <w:tcBorders>
                    <w:tl2br w:val="nil"/>
                    <w:tr2bl w:val="nil"/>
                  </w:tcBorders>
                  <w:noWrap w:val="0"/>
                  <w:vAlign w:val="center"/>
                </w:tcPr>
                <w:p w14:paraId="5BF0E7F1">
                  <w:pPr>
                    <w:pStyle w:val="8"/>
                    <w:keepNext w:val="0"/>
                    <w:keepLines w:val="0"/>
                    <w:suppressLineNumbers w:val="0"/>
                    <w:bidi w:val="0"/>
                    <w:spacing w:before="0" w:beforeAutospacing="0" w:after="0" w:afterAutospacing="0"/>
                    <w:ind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熔点（℃）</w:t>
                  </w:r>
                </w:p>
              </w:tc>
              <w:tc>
                <w:tcPr>
                  <w:tcW w:w="1498" w:type="pct"/>
                  <w:tcBorders>
                    <w:tl2br w:val="nil"/>
                    <w:tr2bl w:val="nil"/>
                  </w:tcBorders>
                  <w:noWrap w:val="0"/>
                  <w:vAlign w:val="center"/>
                </w:tcPr>
                <w:p w14:paraId="13368B27">
                  <w:pPr>
                    <w:pStyle w:val="8"/>
                    <w:keepNext w:val="0"/>
                    <w:keepLines w:val="0"/>
                    <w:suppressLineNumbers w:val="0"/>
                    <w:bidi w:val="0"/>
                    <w:spacing w:before="0" w:beforeAutospacing="0" w:after="0" w:afterAutospacing="0"/>
                    <w:ind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-59</w:t>
                  </w:r>
                </w:p>
              </w:tc>
              <w:tc>
                <w:tcPr>
                  <w:tcW w:w="2245" w:type="pct"/>
                  <w:gridSpan w:val="2"/>
                  <w:vMerge w:val="restart"/>
                  <w:tcBorders>
                    <w:tl2br w:val="nil"/>
                    <w:tr2bl w:val="nil"/>
                  </w:tcBorders>
                  <w:noWrap w:val="0"/>
                  <w:vAlign w:val="center"/>
                </w:tcPr>
                <w:p w14:paraId="29B496DD">
                  <w:pPr>
                    <w:pStyle w:val="8"/>
                    <w:keepNext w:val="0"/>
                    <w:keepLines w:val="0"/>
                    <w:suppressLineNumbers w:val="0"/>
                    <w:bidi w:val="0"/>
                    <w:spacing w:before="0" w:beforeAutospacing="0" w:after="0" w:afterAutospacing="0"/>
                    <w:ind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溶解性：不溶于水</w:t>
                  </w:r>
                </w:p>
              </w:tc>
            </w:tr>
            <w:tr w14:paraId="68672CB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vMerge w:val="continue"/>
                  <w:tcBorders>
                    <w:tl2br w:val="nil"/>
                    <w:tr2bl w:val="nil"/>
                  </w:tcBorders>
                  <w:noWrap w:val="0"/>
                  <w:vAlign w:val="center"/>
                </w:tcPr>
                <w:p w14:paraId="6DD06CD7">
                  <w:pPr>
                    <w:pStyle w:val="8"/>
                    <w:keepNext w:val="0"/>
                    <w:keepLines w:val="0"/>
                    <w:suppressLineNumbers w:val="0"/>
                    <w:bidi w:val="0"/>
                    <w:spacing w:before="0" w:beforeAutospacing="0" w:after="0" w:afterAutospacing="0"/>
                    <w:ind w:right="0"/>
                    <w:rPr>
                      <w:rFonts w:hint="default" w:ascii="Times New Roman" w:hAnsi="Times New Roman" w:eastAsia="宋体" w:cs="Times New Roman"/>
                      <w:sz w:val="21"/>
                      <w:szCs w:val="21"/>
                      <w:lang w:val="en-US" w:eastAsia="zh-CN"/>
                    </w:rPr>
                  </w:pPr>
                </w:p>
              </w:tc>
              <w:tc>
                <w:tcPr>
                  <w:tcW w:w="931" w:type="pct"/>
                  <w:tcBorders>
                    <w:tl2br w:val="nil"/>
                    <w:tr2bl w:val="nil"/>
                  </w:tcBorders>
                  <w:noWrap w:val="0"/>
                  <w:vAlign w:val="center"/>
                </w:tcPr>
                <w:p w14:paraId="2730795E">
                  <w:pPr>
                    <w:pStyle w:val="8"/>
                    <w:keepNext w:val="0"/>
                    <w:keepLines w:val="0"/>
                    <w:suppressLineNumbers w:val="0"/>
                    <w:bidi w:val="0"/>
                    <w:spacing w:before="0" w:beforeAutospacing="0" w:after="0" w:afterAutospacing="0"/>
                    <w:ind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沸点（℃）</w:t>
                  </w:r>
                </w:p>
              </w:tc>
              <w:tc>
                <w:tcPr>
                  <w:tcW w:w="1498" w:type="pct"/>
                  <w:tcBorders>
                    <w:tl2br w:val="nil"/>
                    <w:tr2bl w:val="nil"/>
                  </w:tcBorders>
                  <w:noWrap w:val="0"/>
                  <w:vAlign w:val="center"/>
                </w:tcPr>
                <w:p w14:paraId="0BC76399">
                  <w:pPr>
                    <w:pStyle w:val="8"/>
                    <w:keepNext w:val="0"/>
                    <w:keepLines w:val="0"/>
                    <w:suppressLineNumbers w:val="0"/>
                    <w:bidi w:val="0"/>
                    <w:spacing w:before="0" w:beforeAutospacing="0" w:after="0" w:afterAutospacing="0"/>
                    <w:ind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-9.9</w:t>
                  </w:r>
                </w:p>
              </w:tc>
              <w:tc>
                <w:tcPr>
                  <w:tcW w:w="2245" w:type="pct"/>
                  <w:gridSpan w:val="2"/>
                  <w:vMerge w:val="continue"/>
                  <w:tcBorders>
                    <w:tl2br w:val="nil"/>
                    <w:tr2bl w:val="nil"/>
                  </w:tcBorders>
                  <w:noWrap w:val="0"/>
                  <w:vAlign w:val="center"/>
                </w:tcPr>
                <w:p w14:paraId="7F73CD53">
                  <w:pPr>
                    <w:pStyle w:val="8"/>
                    <w:keepNext w:val="0"/>
                    <w:keepLines w:val="0"/>
                    <w:suppressLineNumbers w:val="0"/>
                    <w:bidi w:val="0"/>
                    <w:spacing w:before="0" w:beforeAutospacing="0" w:after="0" w:afterAutospacing="0"/>
                    <w:ind w:right="0"/>
                    <w:rPr>
                      <w:rFonts w:hint="default" w:ascii="Times New Roman" w:hAnsi="Times New Roman" w:eastAsia="宋体" w:cs="Times New Roman"/>
                      <w:sz w:val="21"/>
                      <w:szCs w:val="21"/>
                      <w:lang w:val="en-US" w:eastAsia="zh-CN"/>
                    </w:rPr>
                  </w:pPr>
                </w:p>
              </w:tc>
            </w:tr>
            <w:tr w14:paraId="3127C17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vMerge w:val="continue"/>
                  <w:tcBorders>
                    <w:tl2br w:val="nil"/>
                    <w:tr2bl w:val="nil"/>
                  </w:tcBorders>
                  <w:noWrap w:val="0"/>
                  <w:vAlign w:val="center"/>
                </w:tcPr>
                <w:p w14:paraId="311154DA">
                  <w:pPr>
                    <w:pStyle w:val="8"/>
                    <w:keepNext w:val="0"/>
                    <w:keepLines w:val="0"/>
                    <w:suppressLineNumbers w:val="0"/>
                    <w:bidi w:val="0"/>
                    <w:spacing w:before="0" w:beforeAutospacing="0" w:after="0" w:afterAutospacing="0"/>
                    <w:ind w:right="0"/>
                    <w:rPr>
                      <w:rFonts w:hint="default" w:ascii="Times New Roman" w:hAnsi="Times New Roman" w:eastAsia="宋体" w:cs="Times New Roman"/>
                      <w:sz w:val="21"/>
                      <w:szCs w:val="21"/>
                      <w:lang w:val="en-US" w:eastAsia="zh-CN"/>
                    </w:rPr>
                  </w:pPr>
                </w:p>
              </w:tc>
              <w:tc>
                <w:tcPr>
                  <w:tcW w:w="4675" w:type="pct"/>
                  <w:gridSpan w:val="4"/>
                  <w:tcBorders>
                    <w:tl2br w:val="nil"/>
                    <w:tr2bl w:val="nil"/>
                  </w:tcBorders>
                  <w:noWrap w:val="0"/>
                  <w:vAlign w:val="center"/>
                </w:tcPr>
                <w:p w14:paraId="2FD3F43B">
                  <w:pPr>
                    <w:pStyle w:val="8"/>
                    <w:keepNext w:val="0"/>
                    <w:keepLines w:val="0"/>
                    <w:suppressLineNumbers w:val="0"/>
                    <w:bidi w:val="0"/>
                    <w:spacing w:before="0" w:beforeAutospacing="0" w:after="0" w:afterAutospacing="0"/>
                    <w:ind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相对密度（水=1）：3.09</w:t>
                  </w:r>
                </w:p>
              </w:tc>
            </w:tr>
            <w:tr w14:paraId="2AA13CF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vMerge w:val="continue"/>
                  <w:tcBorders>
                    <w:tl2br w:val="nil"/>
                    <w:tr2bl w:val="nil"/>
                  </w:tcBorders>
                  <w:noWrap w:val="0"/>
                  <w:vAlign w:val="center"/>
                </w:tcPr>
                <w:p w14:paraId="22E5EDE8">
                  <w:pPr>
                    <w:pStyle w:val="8"/>
                    <w:keepNext w:val="0"/>
                    <w:keepLines w:val="0"/>
                    <w:suppressLineNumbers w:val="0"/>
                    <w:bidi w:val="0"/>
                    <w:spacing w:before="0" w:beforeAutospacing="0" w:after="0" w:afterAutospacing="0"/>
                    <w:ind w:right="0"/>
                    <w:rPr>
                      <w:rFonts w:hint="default" w:ascii="Times New Roman" w:hAnsi="Times New Roman" w:eastAsia="宋体" w:cs="Times New Roman"/>
                      <w:sz w:val="21"/>
                      <w:szCs w:val="21"/>
                      <w:lang w:val="en-US" w:eastAsia="zh-CN"/>
                    </w:rPr>
                  </w:pPr>
                </w:p>
              </w:tc>
              <w:tc>
                <w:tcPr>
                  <w:tcW w:w="4675" w:type="pct"/>
                  <w:gridSpan w:val="4"/>
                  <w:tcBorders>
                    <w:tl2br w:val="nil"/>
                    <w:tr2bl w:val="nil"/>
                  </w:tcBorders>
                  <w:noWrap w:val="0"/>
                  <w:vAlign w:val="center"/>
                </w:tcPr>
                <w:p w14:paraId="48B457F1">
                  <w:pPr>
                    <w:pStyle w:val="8"/>
                    <w:keepNext w:val="0"/>
                    <w:keepLines w:val="0"/>
                    <w:suppressLineNumbers w:val="0"/>
                    <w:bidi w:val="0"/>
                    <w:spacing w:before="0" w:beforeAutospacing="0" w:after="0" w:afterAutospacing="0"/>
                    <w:ind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相对密度（空气=1）：2.3</w:t>
                  </w:r>
                </w:p>
              </w:tc>
            </w:tr>
            <w:tr w14:paraId="2BB2ECA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vMerge w:val="continue"/>
                  <w:tcBorders>
                    <w:tl2br w:val="nil"/>
                    <w:tr2bl w:val="nil"/>
                  </w:tcBorders>
                  <w:noWrap w:val="0"/>
                  <w:vAlign w:val="center"/>
                </w:tcPr>
                <w:p w14:paraId="6634594B">
                  <w:pPr>
                    <w:pStyle w:val="8"/>
                    <w:keepNext w:val="0"/>
                    <w:keepLines w:val="0"/>
                    <w:suppressLineNumbers w:val="0"/>
                    <w:bidi w:val="0"/>
                    <w:spacing w:before="0" w:beforeAutospacing="0" w:after="0" w:afterAutospacing="0"/>
                    <w:ind w:right="0"/>
                    <w:rPr>
                      <w:rFonts w:hint="default" w:ascii="Times New Roman" w:hAnsi="Times New Roman" w:eastAsia="宋体" w:cs="Times New Roman"/>
                      <w:sz w:val="21"/>
                      <w:szCs w:val="21"/>
                      <w:lang w:val="en-US" w:eastAsia="zh-CN"/>
                    </w:rPr>
                  </w:pPr>
                </w:p>
              </w:tc>
              <w:tc>
                <w:tcPr>
                  <w:tcW w:w="4675" w:type="pct"/>
                  <w:gridSpan w:val="4"/>
                  <w:tcBorders>
                    <w:tl2br w:val="nil"/>
                    <w:tr2bl w:val="nil"/>
                  </w:tcBorders>
                  <w:noWrap w:val="0"/>
                  <w:vAlign w:val="center"/>
                </w:tcPr>
                <w:p w14:paraId="5AC0A912">
                  <w:pPr>
                    <w:pStyle w:val="8"/>
                    <w:keepNext w:val="0"/>
                    <w:keepLines w:val="0"/>
                    <w:suppressLineNumbers w:val="0"/>
                    <w:bidi w:val="0"/>
                    <w:spacing w:before="0" w:beforeAutospacing="0" w:after="0" w:afterAutospacing="0"/>
                    <w:ind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禁忌物：还原剂、易燃、可燃物质、活性金属粉末</w:t>
                  </w:r>
                </w:p>
              </w:tc>
            </w:tr>
            <w:tr w14:paraId="1A4D09E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vMerge w:val="continue"/>
                  <w:tcBorders>
                    <w:tl2br w:val="nil"/>
                    <w:tr2bl w:val="nil"/>
                  </w:tcBorders>
                  <w:noWrap w:val="0"/>
                  <w:vAlign w:val="center"/>
                </w:tcPr>
                <w:p w14:paraId="777B1472">
                  <w:pPr>
                    <w:pStyle w:val="8"/>
                    <w:keepNext w:val="0"/>
                    <w:keepLines w:val="0"/>
                    <w:suppressLineNumbers w:val="0"/>
                    <w:bidi w:val="0"/>
                    <w:spacing w:before="0" w:beforeAutospacing="0" w:after="0" w:afterAutospacing="0"/>
                    <w:ind w:right="0"/>
                    <w:rPr>
                      <w:rFonts w:hint="default" w:ascii="Times New Roman" w:hAnsi="Times New Roman" w:eastAsia="宋体" w:cs="Times New Roman"/>
                      <w:sz w:val="21"/>
                      <w:szCs w:val="21"/>
                      <w:lang w:val="en-US" w:eastAsia="zh-CN"/>
                    </w:rPr>
                  </w:pPr>
                </w:p>
              </w:tc>
              <w:tc>
                <w:tcPr>
                  <w:tcW w:w="4675" w:type="pct"/>
                  <w:gridSpan w:val="4"/>
                  <w:tcBorders>
                    <w:tl2br w:val="nil"/>
                    <w:tr2bl w:val="nil"/>
                  </w:tcBorders>
                  <w:noWrap w:val="0"/>
                  <w:vAlign w:val="center"/>
                </w:tcPr>
                <w:p w14:paraId="1AB5AF4A">
                  <w:pPr>
                    <w:pStyle w:val="8"/>
                    <w:keepNext w:val="0"/>
                    <w:keepLines w:val="0"/>
                    <w:suppressLineNumbers w:val="0"/>
                    <w:bidi w:val="0"/>
                    <w:spacing w:before="0" w:beforeAutospacing="0" w:after="0" w:afterAutospacing="0"/>
                    <w:ind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危险特性：具有强氧化性，能与许多物质发生爆炸反应。</w:t>
                  </w:r>
                </w:p>
              </w:tc>
            </w:tr>
            <w:tr w14:paraId="0F467FE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vMerge w:val="continue"/>
                  <w:tcBorders>
                    <w:tl2br w:val="nil"/>
                    <w:tr2bl w:val="nil"/>
                  </w:tcBorders>
                  <w:noWrap w:val="0"/>
                  <w:vAlign w:val="center"/>
                </w:tcPr>
                <w:p w14:paraId="2ABC38AE">
                  <w:pPr>
                    <w:pStyle w:val="8"/>
                    <w:keepNext w:val="0"/>
                    <w:keepLines w:val="0"/>
                    <w:suppressLineNumbers w:val="0"/>
                    <w:bidi w:val="0"/>
                    <w:spacing w:before="0" w:beforeAutospacing="0" w:after="0" w:afterAutospacing="0"/>
                    <w:ind w:right="0"/>
                    <w:rPr>
                      <w:rFonts w:hint="default" w:ascii="Times New Roman" w:hAnsi="Times New Roman" w:eastAsia="宋体" w:cs="Times New Roman"/>
                      <w:sz w:val="21"/>
                      <w:szCs w:val="21"/>
                      <w:lang w:val="en-US" w:eastAsia="zh-CN"/>
                    </w:rPr>
                  </w:pPr>
                </w:p>
              </w:tc>
              <w:tc>
                <w:tcPr>
                  <w:tcW w:w="4675" w:type="pct"/>
                  <w:gridSpan w:val="4"/>
                  <w:tcBorders>
                    <w:tl2br w:val="nil"/>
                    <w:tr2bl w:val="nil"/>
                  </w:tcBorders>
                  <w:noWrap w:val="0"/>
                  <w:vAlign w:val="center"/>
                </w:tcPr>
                <w:p w14:paraId="491D9221">
                  <w:pPr>
                    <w:pStyle w:val="8"/>
                    <w:keepNext w:val="0"/>
                    <w:keepLines w:val="0"/>
                    <w:suppressLineNumbers w:val="0"/>
                    <w:bidi w:val="0"/>
                    <w:spacing w:before="0" w:beforeAutospacing="0" w:after="0" w:afterAutospacing="0"/>
                    <w:ind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消防措施：消防人员必须穿全身防火防毒服，在上风向灭火。切断气源。若不能切断气源，则不允许熄灭泄漏处的火焰。喷水冷却容器，可能的话将容器从火场移至空旷处。</w:t>
                  </w:r>
                </w:p>
                <w:p w14:paraId="78069500">
                  <w:pPr>
                    <w:pStyle w:val="8"/>
                    <w:keepNext w:val="0"/>
                    <w:keepLines w:val="0"/>
                    <w:suppressLineNumbers w:val="0"/>
                    <w:bidi w:val="0"/>
                    <w:spacing w:before="0" w:beforeAutospacing="0" w:after="0" w:afterAutospacing="0"/>
                    <w:ind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灭火剂：雾状水、抗溶性泡沫、二氧化碳、砂土。</w:t>
                  </w:r>
                </w:p>
              </w:tc>
            </w:tr>
            <w:tr w14:paraId="04FD780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vMerge w:val="restart"/>
                  <w:tcBorders>
                    <w:tl2br w:val="nil"/>
                    <w:tr2bl w:val="nil"/>
                  </w:tcBorders>
                  <w:noWrap w:val="0"/>
                  <w:vAlign w:val="center"/>
                </w:tcPr>
                <w:p w14:paraId="6CFB3A7A">
                  <w:pPr>
                    <w:pStyle w:val="8"/>
                    <w:keepNext w:val="0"/>
                    <w:keepLines w:val="0"/>
                    <w:suppressLineNumbers w:val="0"/>
                    <w:bidi w:val="0"/>
                    <w:spacing w:before="0" w:beforeAutospacing="0" w:after="0" w:afterAutospacing="0"/>
                    <w:ind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健康危害</w:t>
                  </w:r>
                </w:p>
              </w:tc>
              <w:tc>
                <w:tcPr>
                  <w:tcW w:w="4675" w:type="pct"/>
                  <w:gridSpan w:val="4"/>
                  <w:tcBorders>
                    <w:tl2br w:val="nil"/>
                    <w:tr2bl w:val="nil"/>
                  </w:tcBorders>
                  <w:noWrap w:val="0"/>
                  <w:vAlign w:val="center"/>
                </w:tcPr>
                <w:p w14:paraId="5CEADCBC">
                  <w:pPr>
                    <w:pStyle w:val="8"/>
                    <w:keepNext w:val="0"/>
                    <w:keepLines w:val="0"/>
                    <w:suppressLineNumbers w:val="0"/>
                    <w:bidi w:val="0"/>
                    <w:spacing w:before="0" w:beforeAutospacing="0" w:after="0" w:afterAutospacing="0"/>
                    <w:ind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侵入途径：吸入、食入、经皮吸收</w:t>
                  </w:r>
                </w:p>
              </w:tc>
            </w:tr>
            <w:tr w14:paraId="214CF9E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324" w:type="pct"/>
                  <w:vMerge w:val="continue"/>
                  <w:tcBorders>
                    <w:tl2br w:val="nil"/>
                    <w:tr2bl w:val="nil"/>
                  </w:tcBorders>
                  <w:noWrap w:val="0"/>
                  <w:vAlign w:val="center"/>
                </w:tcPr>
                <w:p w14:paraId="2D0B7874">
                  <w:pPr>
                    <w:pStyle w:val="8"/>
                    <w:keepNext w:val="0"/>
                    <w:keepLines w:val="0"/>
                    <w:suppressLineNumbers w:val="0"/>
                    <w:bidi w:val="0"/>
                    <w:spacing w:before="0" w:beforeAutospacing="0" w:after="0" w:afterAutospacing="0"/>
                    <w:ind w:right="0"/>
                    <w:rPr>
                      <w:rFonts w:hint="default" w:ascii="Times New Roman" w:hAnsi="Times New Roman" w:eastAsia="宋体" w:cs="Times New Roman"/>
                      <w:sz w:val="21"/>
                      <w:szCs w:val="21"/>
                      <w:lang w:val="en-US" w:eastAsia="zh-CN"/>
                    </w:rPr>
                  </w:pPr>
                </w:p>
              </w:tc>
              <w:tc>
                <w:tcPr>
                  <w:tcW w:w="4675" w:type="pct"/>
                  <w:gridSpan w:val="4"/>
                  <w:tcBorders>
                    <w:tl2br w:val="nil"/>
                    <w:tr2bl w:val="nil"/>
                  </w:tcBorders>
                  <w:noWrap w:val="0"/>
                  <w:vAlign w:val="center"/>
                </w:tcPr>
                <w:p w14:paraId="5F1852C7">
                  <w:pPr>
                    <w:pStyle w:val="8"/>
                    <w:keepNext w:val="0"/>
                    <w:keepLines w:val="0"/>
                    <w:suppressLineNumbers w:val="0"/>
                    <w:bidi w:val="0"/>
                    <w:spacing w:before="0" w:beforeAutospacing="0" w:after="0" w:afterAutospacing="0"/>
                    <w:ind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健康危害：皮肤接触：立即脱去污染衣着，用大量流动清水冲洗至少15分钟。就医。吸入：迅速脱离现场至新鲜空气处，保持呼吸道通畅，如呼吸困难给输氧。食入：用水漱口。</w:t>
                  </w:r>
                </w:p>
              </w:tc>
            </w:tr>
            <w:tr w14:paraId="72BDCBE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324" w:type="pct"/>
                  <w:tcBorders>
                    <w:tl2br w:val="nil"/>
                    <w:tr2bl w:val="nil"/>
                  </w:tcBorders>
                  <w:noWrap w:val="0"/>
                  <w:vAlign w:val="center"/>
                </w:tcPr>
                <w:p w14:paraId="506106D6">
                  <w:pPr>
                    <w:pStyle w:val="8"/>
                    <w:keepNext w:val="0"/>
                    <w:keepLines w:val="0"/>
                    <w:suppressLineNumbers w:val="0"/>
                    <w:bidi w:val="0"/>
                    <w:spacing w:before="0" w:beforeAutospacing="0" w:after="0" w:afterAutospacing="0"/>
                    <w:ind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操作注意事项</w:t>
                  </w:r>
                </w:p>
              </w:tc>
              <w:tc>
                <w:tcPr>
                  <w:tcW w:w="4675" w:type="pct"/>
                  <w:gridSpan w:val="4"/>
                  <w:tcBorders>
                    <w:tl2br w:val="nil"/>
                    <w:tr2bl w:val="nil"/>
                  </w:tcBorders>
                  <w:noWrap w:val="0"/>
                  <w:vAlign w:val="center"/>
                </w:tcPr>
                <w:p w14:paraId="49EB26F7">
                  <w:pPr>
                    <w:pStyle w:val="8"/>
                    <w:keepNext w:val="0"/>
                    <w:keepLines w:val="0"/>
                    <w:suppressLineNumbers w:val="0"/>
                    <w:bidi w:val="0"/>
                    <w:spacing w:before="0" w:beforeAutospacing="0" w:after="0" w:afterAutospacing="0"/>
                    <w:ind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严加密闭，提供充分的局部排放和全面通风。操作人员必须经过专门培训，严格遵守操作规程。建议操作人员佩戴过滤式防毒面具（半面罩），戴化学安全防护眼镜，穿防静电工作服，戴橡胶手套。远离火种，热源，工作场所严禁吸烟。使用防爆型的通风系统和设备。防止气体泄漏到工作场所空气中。搬运时轻装轻卸，防止钢瓶及附件破损。配备相应品种和数量的消防器材及泄漏应急处置设备。</w:t>
                  </w:r>
                </w:p>
              </w:tc>
            </w:tr>
            <w:tr w14:paraId="37DB9A6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l2br w:val="nil"/>
                    <w:tr2bl w:val="nil"/>
                  </w:tcBorders>
                  <w:noWrap w:val="0"/>
                  <w:vAlign w:val="center"/>
                </w:tcPr>
                <w:p w14:paraId="64CFC61D">
                  <w:pPr>
                    <w:pStyle w:val="8"/>
                    <w:keepNext w:val="0"/>
                    <w:keepLines w:val="0"/>
                    <w:suppressLineNumbers w:val="0"/>
                    <w:bidi w:val="0"/>
                    <w:spacing w:before="0" w:beforeAutospacing="0" w:after="0" w:afterAutospacing="0"/>
                    <w:ind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接触控制与个体防护</w:t>
                  </w:r>
                </w:p>
              </w:tc>
              <w:tc>
                <w:tcPr>
                  <w:tcW w:w="4675" w:type="pct"/>
                  <w:gridSpan w:val="4"/>
                  <w:tcBorders>
                    <w:tl2br w:val="nil"/>
                    <w:tr2bl w:val="nil"/>
                  </w:tcBorders>
                  <w:noWrap w:val="0"/>
                  <w:vAlign w:val="center"/>
                </w:tcPr>
                <w:p w14:paraId="059540FC">
                  <w:pPr>
                    <w:pStyle w:val="8"/>
                    <w:keepNext w:val="0"/>
                    <w:keepLines w:val="0"/>
                    <w:suppressLineNumbers w:val="0"/>
                    <w:bidi w:val="0"/>
                    <w:spacing w:before="0" w:beforeAutospacing="0" w:after="0" w:afterAutospacing="0"/>
                    <w:ind w:right="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工程控制：严加密闭，提供充分的局部排风和全面通风。提供安全沐浴淋浴和洗眼设备。</w:t>
                  </w:r>
                </w:p>
                <w:p w14:paraId="5AA8AFB8">
                  <w:pPr>
                    <w:pStyle w:val="8"/>
                    <w:keepNext w:val="0"/>
                    <w:keepLines w:val="0"/>
                    <w:suppressLineNumbers w:val="0"/>
                    <w:bidi w:val="0"/>
                    <w:spacing w:before="0" w:beforeAutospacing="0" w:after="0" w:afterAutospacing="0"/>
                    <w:ind w:right="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呼吸系统防护：空气中浓度超标时，建议佩戴过滤式防毒面具（半面罩）。紧急事态抢救和撤离时，必须佩戴空气呼吸器。</w:t>
                  </w:r>
                </w:p>
                <w:p w14:paraId="7A588FC3">
                  <w:pPr>
                    <w:pStyle w:val="8"/>
                    <w:keepNext w:val="0"/>
                    <w:keepLines w:val="0"/>
                    <w:suppressLineNumbers w:val="0"/>
                    <w:bidi w:val="0"/>
                    <w:spacing w:before="0" w:beforeAutospacing="0" w:after="0" w:afterAutospacing="0"/>
                    <w:ind w:right="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眼睛防护：戴化学安全防护眼镜。</w:t>
                  </w:r>
                </w:p>
                <w:p w14:paraId="53002F0D">
                  <w:pPr>
                    <w:pStyle w:val="8"/>
                    <w:keepNext w:val="0"/>
                    <w:keepLines w:val="0"/>
                    <w:suppressLineNumbers w:val="0"/>
                    <w:bidi w:val="0"/>
                    <w:spacing w:before="0" w:beforeAutospacing="0" w:after="0" w:afterAutospacing="0"/>
                    <w:ind w:right="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身体防护：穿防静电工作服。</w:t>
                  </w:r>
                </w:p>
                <w:p w14:paraId="3BFE8AAF">
                  <w:pPr>
                    <w:pStyle w:val="8"/>
                    <w:keepNext w:val="0"/>
                    <w:keepLines w:val="0"/>
                    <w:suppressLineNumbers w:val="0"/>
                    <w:bidi w:val="0"/>
                    <w:spacing w:before="0" w:beforeAutospacing="0" w:after="0" w:afterAutospacing="0"/>
                    <w:ind w:right="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手防护：戴橡胶手套。</w:t>
                  </w:r>
                </w:p>
                <w:p w14:paraId="6F169E85">
                  <w:pPr>
                    <w:pStyle w:val="8"/>
                    <w:keepNext w:val="0"/>
                    <w:keepLines w:val="0"/>
                    <w:suppressLineNumbers w:val="0"/>
                    <w:bidi w:val="0"/>
                    <w:spacing w:before="0" w:beforeAutospacing="0" w:after="0" w:afterAutospacing="0"/>
                    <w:ind w:right="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其他防护：工作现场禁止吸烟、进食和饮水。工作完毕，沐浴更衣。保持良好的卫生习惯。</w:t>
                  </w:r>
                </w:p>
              </w:tc>
            </w:tr>
          </w:tbl>
          <w:p w14:paraId="348C0B80">
            <w:pPr>
              <w:pStyle w:val="5"/>
              <w:suppressLineNumbers w:val="0"/>
              <w:bidi w:val="0"/>
              <w:spacing w:before="0" w:beforeAutospacing="0" w:after="0" w:afterAutospacing="0"/>
              <w:ind w:left="0" w:right="0"/>
              <w:rPr>
                <w:rFonts w:hint="default" w:cs="Times New Roman"/>
                <w:color w:val="000000"/>
                <w:highlight w:val="none"/>
                <w:lang w:val="en-US" w:eastAsia="zh-CN"/>
              </w:rPr>
            </w:pPr>
            <w:r>
              <w:rPr>
                <w:rFonts w:hint="eastAsia" w:cs="Times New Roman"/>
                <w:color w:val="000000"/>
                <w:lang w:val="en-US" w:eastAsia="zh-CN"/>
              </w:rPr>
              <w:t>6、</w:t>
            </w:r>
            <w:r>
              <w:rPr>
                <w:rFonts w:hint="default" w:cs="Times New Roman"/>
                <w:color w:val="000000"/>
                <w:highlight w:val="none"/>
                <w:lang w:val="en-US" w:eastAsia="zh-CN"/>
              </w:rPr>
              <w:t>项目总平面布置</w:t>
            </w:r>
            <w:bookmarkEnd w:id="11"/>
          </w:p>
          <w:p w14:paraId="5F6C1824">
            <w:pPr>
              <w:keepNext w:val="0"/>
              <w:keepLines w:val="0"/>
              <w:suppressLineNumbers w:val="0"/>
              <w:bidi w:val="0"/>
              <w:spacing w:before="0" w:beforeAutospacing="0" w:after="0" w:afterAutospacing="0"/>
              <w:ind w:left="0" w:right="0"/>
              <w:rPr>
                <w:rFonts w:hint="default" w:ascii="Times New Roman" w:hAnsi="Times New Roman" w:eastAsia="宋体" w:cs="Times New Roman"/>
                <w:highlight w:val="none"/>
              </w:rPr>
            </w:pPr>
            <w:bookmarkStart w:id="13" w:name="_Toc6817"/>
            <w:r>
              <w:rPr>
                <w:rFonts w:hint="eastAsia" w:eastAsia="宋体" w:cs="Times New Roman"/>
                <w:color w:val="000000" w:themeColor="text1"/>
                <w:sz w:val="24"/>
                <w:szCs w:val="24"/>
                <w:highlight w:val="none"/>
                <w:lang w:val="en-US" w:eastAsia="zh-CN"/>
                <w14:textFill>
                  <w14:solidFill>
                    <w14:schemeClr w14:val="tx1"/>
                  </w14:solidFill>
                </w14:textFill>
              </w:rPr>
              <w:t>本项目</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租赁新疆巴州库尔勒市铁克其乡迎宾路48号兴旺家园40栋1-2层19号商铺，功能分区布局：租赁店面共有</w:t>
            </w:r>
            <w:r>
              <w:rPr>
                <w:rFonts w:hint="eastAsia" w:eastAsia="宋体"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层，</w:t>
            </w:r>
            <w:r>
              <w:rPr>
                <w:rFonts w:hint="eastAsia" w:eastAsia="宋体" w:cs="Times New Roman"/>
                <w:color w:val="000000" w:themeColor="text1"/>
                <w:sz w:val="24"/>
                <w:szCs w:val="24"/>
                <w:highlight w:val="none"/>
                <w:lang w:val="en-US" w:eastAsia="zh-CN"/>
                <w14:textFill>
                  <w14:solidFill>
                    <w14:schemeClr w14:val="tx1"/>
                  </w14:solidFill>
                </w14:textFill>
              </w:rPr>
              <w:t>负</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一层自</w:t>
            </w:r>
            <w:r>
              <w:rPr>
                <w:rFonts w:hint="eastAsia" w:eastAsia="宋体" w:cs="Times New Roman"/>
                <w:color w:val="000000" w:themeColor="text1"/>
                <w:sz w:val="24"/>
                <w:szCs w:val="24"/>
                <w:highlight w:val="none"/>
                <w:lang w:val="en-US" w:eastAsia="zh-CN"/>
                <w14:textFill>
                  <w14:solidFill>
                    <w14:schemeClr w14:val="tx1"/>
                  </w14:solidFill>
                </w14:textFill>
              </w:rPr>
              <w:t>西</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向</w:t>
            </w:r>
            <w:r>
              <w:rPr>
                <w:rFonts w:hint="eastAsia" w:eastAsia="宋体" w:cs="Times New Roman"/>
                <w:color w:val="000000" w:themeColor="text1"/>
                <w:sz w:val="24"/>
                <w:szCs w:val="24"/>
                <w:highlight w:val="none"/>
                <w:lang w:val="en-US" w:eastAsia="zh-CN"/>
                <w14:textFill>
                  <w14:solidFill>
                    <w14:schemeClr w14:val="tx1"/>
                  </w14:solidFill>
                </w14:textFill>
              </w:rPr>
              <w:t>东</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主要布设</w:t>
            </w:r>
            <w:r>
              <w:rPr>
                <w:rFonts w:hint="eastAsia" w:eastAsia="宋体" w:cs="Times New Roman"/>
                <w:color w:val="000000" w:themeColor="text1"/>
                <w:sz w:val="24"/>
                <w:szCs w:val="24"/>
                <w:highlight w:val="none"/>
                <w:lang w:val="en-US" w:eastAsia="zh-CN"/>
                <w14:textFill>
                  <w14:solidFill>
                    <w14:schemeClr w14:val="tx1"/>
                  </w14:solidFill>
                </w14:textFill>
              </w:rPr>
              <w:t>库房</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、DR影像室、手术室</w:t>
            </w:r>
            <w:r>
              <w:rPr>
                <w:rFonts w:hint="eastAsia"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一层自</w:t>
            </w:r>
            <w:r>
              <w:rPr>
                <w:rFonts w:hint="eastAsia" w:eastAsia="宋体" w:cs="Times New Roman"/>
                <w:color w:val="000000" w:themeColor="text1"/>
                <w:sz w:val="24"/>
                <w:szCs w:val="24"/>
                <w:highlight w:val="none"/>
                <w:lang w:val="en-US" w:eastAsia="zh-CN"/>
                <w14:textFill>
                  <w14:solidFill>
                    <w14:schemeClr w14:val="tx1"/>
                  </w14:solidFill>
                </w14:textFill>
              </w:rPr>
              <w:t>西</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向</w:t>
            </w:r>
            <w:r>
              <w:rPr>
                <w:rFonts w:hint="eastAsia" w:eastAsia="宋体" w:cs="Times New Roman"/>
                <w:color w:val="000000" w:themeColor="text1"/>
                <w:sz w:val="24"/>
                <w:szCs w:val="24"/>
                <w:highlight w:val="none"/>
                <w:lang w:val="en-US" w:eastAsia="zh-CN"/>
                <w14:textFill>
                  <w14:solidFill>
                    <w14:schemeClr w14:val="tx1"/>
                  </w14:solidFill>
                </w14:textFill>
              </w:rPr>
              <w:t>东</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主要布设卫生间、化验室、2#诊疗室、1#诊疗室、货架</w:t>
            </w:r>
            <w:r>
              <w:rPr>
                <w:rFonts w:hint="eastAsia" w:eastAsia="宋体" w:cs="Times New Roman"/>
                <w:color w:val="000000" w:themeColor="text1"/>
                <w:sz w:val="24"/>
                <w:szCs w:val="24"/>
                <w:highlight w:val="none"/>
                <w:lang w:val="en-US" w:eastAsia="zh-CN"/>
                <w14:textFill>
                  <w14:solidFill>
                    <w14:schemeClr w14:val="tx1"/>
                  </w14:solidFill>
                </w14:textFill>
              </w:rPr>
              <w:t>及</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前台</w:t>
            </w:r>
            <w:r>
              <w:rPr>
                <w:rFonts w:hint="eastAsia"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二层自</w:t>
            </w:r>
            <w:r>
              <w:rPr>
                <w:rFonts w:hint="eastAsia" w:eastAsia="宋体" w:cs="Times New Roman"/>
                <w:color w:val="000000" w:themeColor="text1"/>
                <w:sz w:val="24"/>
                <w:szCs w:val="24"/>
                <w:highlight w:val="none"/>
                <w:lang w:val="en-US" w:eastAsia="zh-CN"/>
                <w14:textFill>
                  <w14:solidFill>
                    <w14:schemeClr w14:val="tx1"/>
                  </w14:solidFill>
                </w14:textFill>
              </w:rPr>
              <w:t>西</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向</w:t>
            </w:r>
            <w:r>
              <w:rPr>
                <w:rFonts w:hint="eastAsia" w:eastAsia="宋体" w:cs="Times New Roman"/>
                <w:color w:val="000000" w:themeColor="text1"/>
                <w:sz w:val="24"/>
                <w:szCs w:val="24"/>
                <w:highlight w:val="none"/>
                <w:lang w:val="en-US" w:eastAsia="zh-CN"/>
                <w14:textFill>
                  <w14:solidFill>
                    <w14:schemeClr w14:val="tx1"/>
                  </w14:solidFill>
                </w14:textFill>
              </w:rPr>
              <w:t>东</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主要布设</w:t>
            </w:r>
            <w:r>
              <w:rPr>
                <w:rFonts w:hint="eastAsia" w:eastAsia="宋体" w:cs="Times New Roman"/>
                <w:color w:val="000000" w:themeColor="text1"/>
                <w:sz w:val="24"/>
                <w:szCs w:val="24"/>
                <w:highlight w:val="none"/>
                <w:lang w:val="en-US" w:eastAsia="zh-CN"/>
                <w14:textFill>
                  <w14:solidFill>
                    <w14:schemeClr w14:val="tx1"/>
                  </w14:solidFill>
                </w14:textFill>
              </w:rPr>
              <w:t>养犬办</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eastAsia" w:eastAsia="宋体" w:cs="Times New Roman"/>
                <w:color w:val="000000" w:themeColor="text1"/>
                <w:sz w:val="24"/>
                <w:szCs w:val="24"/>
                <w:highlight w:val="none"/>
                <w:lang w:val="en-US" w:eastAsia="zh-CN"/>
                <w14:textFill>
                  <w14:solidFill>
                    <w14:schemeClr w14:val="tx1"/>
                  </w14:solidFill>
                </w14:textFill>
              </w:rPr>
              <w:t>寄养部，寄养部内包含宠物洗护区</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。项目整体布局跟操作流程的先后顺序相</w:t>
            </w:r>
            <w:r>
              <w:rPr>
                <w:rFonts w:hint="eastAsia" w:cs="Times New Roman"/>
                <w:color w:val="000000" w:themeColor="text1"/>
                <w:sz w:val="24"/>
                <w:szCs w:val="24"/>
                <w:highlight w:val="none"/>
                <w:lang w:val="en-US" w:eastAsia="zh-CN"/>
                <w14:textFill>
                  <w14:solidFill>
                    <w14:schemeClr w14:val="tx1"/>
                  </w14:solidFill>
                </w14:textFill>
              </w:rPr>
              <w:t>符合</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，各功能区分区布置，功能分区明确</w:t>
            </w:r>
            <w:r>
              <w:rPr>
                <w:rFonts w:hint="eastAsia"/>
                <w:color w:val="000000" w:themeColor="text1"/>
                <w:kern w:val="0"/>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项目平面布置图详见附图</w:t>
            </w:r>
            <w:r>
              <w:rPr>
                <w:rFonts w:hint="eastAsia"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p w14:paraId="45D4D7D6">
            <w:pPr>
              <w:pStyle w:val="5"/>
              <w:suppressLineNumbers w:val="0"/>
              <w:bidi w:val="0"/>
              <w:spacing w:before="0" w:beforeAutospacing="0" w:after="0" w:afterAutospacing="0"/>
              <w:ind w:left="0" w:right="0"/>
              <w:rPr>
                <w:rFonts w:hint="default" w:cs="Times New Roman"/>
                <w:color w:val="000000"/>
                <w:lang w:val="en-US" w:eastAsia="zh-CN"/>
              </w:rPr>
            </w:pPr>
            <w:r>
              <w:rPr>
                <w:rFonts w:hint="eastAsia" w:cs="Times New Roman"/>
                <w:color w:val="000000"/>
                <w:lang w:val="en-US" w:eastAsia="zh-CN"/>
              </w:rPr>
              <w:t>7、</w:t>
            </w:r>
            <w:r>
              <w:rPr>
                <w:rFonts w:hint="default" w:cs="Times New Roman"/>
                <w:color w:val="000000"/>
                <w:highlight w:val="none"/>
                <w:lang w:val="en-US" w:eastAsia="zh-CN"/>
              </w:rPr>
              <w:t>公用工程</w:t>
            </w:r>
            <w:bookmarkEnd w:id="13"/>
          </w:p>
          <w:p w14:paraId="565A5199">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lang w:val="en-US" w:eastAsia="zh-CN"/>
              </w:rPr>
              <w:t>1</w:t>
            </w:r>
            <w:r>
              <w:rPr>
                <w:rFonts w:hint="default" w:ascii="Times New Roman" w:hAnsi="Times New Roman" w:eastAsia="宋体" w:cs="Times New Roman"/>
                <w:sz w:val="24"/>
                <w:szCs w:val="24"/>
                <w:highlight w:val="none"/>
                <w:lang w:eastAsia="zh-CN"/>
              </w:rPr>
              <w:t>）供水</w:t>
            </w:r>
          </w:p>
          <w:p w14:paraId="69BE07E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本项目用水主要为</w:t>
            </w:r>
            <w:r>
              <w:rPr>
                <w:rFonts w:hint="eastAsia" w:cs="Times New Roman"/>
                <w:color w:val="000000"/>
                <w:sz w:val="24"/>
                <w:szCs w:val="24"/>
                <w:highlight w:val="none"/>
                <w:lang w:val="en-US" w:eastAsia="zh-CN"/>
              </w:rPr>
              <w:t>宠物清洗</w:t>
            </w:r>
            <w:r>
              <w:rPr>
                <w:rFonts w:hint="default" w:ascii="Times New Roman" w:hAnsi="Times New Roman" w:eastAsia="宋体" w:cs="Times New Roman"/>
                <w:color w:val="000000"/>
                <w:sz w:val="24"/>
                <w:szCs w:val="24"/>
                <w:highlight w:val="none"/>
              </w:rPr>
              <w:t>用水、</w:t>
            </w:r>
            <w:r>
              <w:rPr>
                <w:rFonts w:hint="eastAsia" w:cs="Times New Roman"/>
                <w:color w:val="000000"/>
                <w:sz w:val="24"/>
                <w:szCs w:val="24"/>
                <w:highlight w:val="none"/>
                <w:lang w:val="en-US" w:eastAsia="zh-CN"/>
              </w:rPr>
              <w:t>宠物寄养用水、宠物诊疗</w:t>
            </w:r>
            <w:r>
              <w:rPr>
                <w:rFonts w:hint="default" w:ascii="Times New Roman" w:hAnsi="Times New Roman" w:eastAsia="宋体" w:cs="Times New Roman"/>
                <w:color w:val="000000"/>
                <w:sz w:val="24"/>
                <w:szCs w:val="24"/>
                <w:highlight w:val="none"/>
              </w:rPr>
              <w:t>用水</w:t>
            </w:r>
            <w:r>
              <w:rPr>
                <w:rFonts w:hint="eastAsia" w:cs="Times New Roman"/>
                <w:color w:val="000000"/>
                <w:sz w:val="24"/>
                <w:szCs w:val="24"/>
                <w:highlight w:val="none"/>
                <w:lang w:val="en-US" w:eastAsia="zh-CN"/>
              </w:rPr>
              <w:t>及员工生活用水</w:t>
            </w:r>
            <w:r>
              <w:rPr>
                <w:rFonts w:hint="default" w:ascii="Times New Roman" w:hAnsi="Times New Roman" w:eastAsia="宋体" w:cs="Times New Roman"/>
                <w:color w:val="000000"/>
                <w:sz w:val="24"/>
                <w:szCs w:val="24"/>
                <w:highlight w:val="none"/>
              </w:rPr>
              <w:t>，项目供水由</w:t>
            </w:r>
            <w:r>
              <w:rPr>
                <w:rFonts w:hint="eastAsia" w:cs="Times New Roman"/>
                <w:color w:val="000000"/>
                <w:sz w:val="24"/>
                <w:szCs w:val="24"/>
                <w:highlight w:val="none"/>
                <w:lang w:val="en-US" w:eastAsia="zh-CN"/>
              </w:rPr>
              <w:t>库尔勒市</w:t>
            </w:r>
            <w:r>
              <w:rPr>
                <w:rFonts w:hint="default" w:ascii="Times New Roman" w:hAnsi="Times New Roman" w:eastAsia="宋体" w:cs="Times New Roman"/>
                <w:color w:val="000000"/>
                <w:sz w:val="24"/>
                <w:szCs w:val="24"/>
                <w:highlight w:val="none"/>
              </w:rPr>
              <w:t>供水管网提供，可满足供水要求。</w:t>
            </w:r>
          </w:p>
          <w:p w14:paraId="7468B933">
            <w:pPr>
              <w:pStyle w:val="103"/>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sz w:val="24"/>
                <w:szCs w:val="24"/>
                <w:highlight w:val="none"/>
                <w:lang w:val="en-US" w:eastAsia="zh-CN"/>
              </w:rPr>
            </w:pPr>
            <w:r>
              <w:rPr>
                <w:rFonts w:hint="eastAsia" w:cs="Times New Roman"/>
                <w:color w:val="000000"/>
                <w:sz w:val="24"/>
                <w:szCs w:val="24"/>
                <w:highlight w:val="none"/>
                <w:lang w:val="en-US" w:eastAsia="zh-CN"/>
              </w:rPr>
              <w:t>宠物清洗</w:t>
            </w:r>
            <w:r>
              <w:rPr>
                <w:rFonts w:hint="default" w:ascii="Times New Roman" w:hAnsi="Times New Roman" w:eastAsia="宋体" w:cs="Times New Roman"/>
                <w:color w:val="000000"/>
                <w:sz w:val="24"/>
                <w:szCs w:val="24"/>
                <w:highlight w:val="none"/>
              </w:rPr>
              <w:t>用水</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highlight w:val="none"/>
                <w:lang w:val="en-US" w:eastAsia="zh-CN"/>
              </w:rPr>
              <w:t>项目</w:t>
            </w:r>
            <w:r>
              <w:rPr>
                <w:rFonts w:hint="eastAsia" w:cs="Times New Roman"/>
                <w:color w:val="auto"/>
                <w:highlight w:val="none"/>
                <w:lang w:val="en-US" w:eastAsia="zh-CN"/>
              </w:rPr>
              <w:t>年</w:t>
            </w:r>
            <w:r>
              <w:rPr>
                <w:rFonts w:hint="default" w:ascii="Times New Roman" w:hAnsi="Times New Roman" w:eastAsia="宋体" w:cs="Times New Roman"/>
                <w:color w:val="auto"/>
                <w:highlight w:val="none"/>
                <w:lang w:val="en-US" w:eastAsia="zh-CN"/>
              </w:rPr>
              <w:t>最大美容宠物数约为</w:t>
            </w:r>
            <w:r>
              <w:rPr>
                <w:rFonts w:hint="eastAsia" w:cs="Times New Roman"/>
                <w:color w:val="auto"/>
                <w:highlight w:val="none"/>
                <w:lang w:val="en-US" w:eastAsia="zh-CN"/>
              </w:rPr>
              <w:t>700</w:t>
            </w:r>
            <w:r>
              <w:rPr>
                <w:rFonts w:hint="default" w:ascii="Times New Roman" w:hAnsi="Times New Roman" w:eastAsia="宋体" w:cs="Times New Roman"/>
                <w:color w:val="auto"/>
                <w:highlight w:val="none"/>
                <w:lang w:val="en-US" w:eastAsia="zh-CN"/>
              </w:rPr>
              <w:t>只，此过程中用水主要为宠物进入美容室洗澡以及进行眼睛、耳朵、脚部、肛门腺清洁用水。根据建设单位提供的经验数据，用水量约为50L/只，则项目宠物美容用水量约为</w:t>
            </w:r>
            <w:r>
              <w:rPr>
                <w:rFonts w:hint="eastAsia" w:cs="Times New Roman"/>
                <w:color w:val="auto"/>
                <w:highlight w:val="none"/>
                <w:lang w:val="en-US" w:eastAsia="zh-CN"/>
              </w:rPr>
              <w:t>35</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w:t>
            </w:r>
            <w:r>
              <w:rPr>
                <w:rFonts w:hint="eastAsia" w:cs="Times New Roman"/>
                <w:color w:val="auto"/>
                <w:sz w:val="24"/>
                <w:szCs w:val="24"/>
                <w:highlight w:val="none"/>
                <w:lang w:val="en-US" w:eastAsia="zh-CN"/>
              </w:rPr>
              <w:t>a</w:t>
            </w:r>
            <w:r>
              <w:rPr>
                <w:rFonts w:hint="default" w:ascii="Times New Roman" w:hAnsi="Times New Roman" w:eastAsia="宋体" w:cs="Times New Roman"/>
                <w:color w:val="auto"/>
                <w:highlight w:val="none"/>
                <w:lang w:val="en-US" w:eastAsia="zh-CN"/>
              </w:rPr>
              <w:t>。</w:t>
            </w:r>
          </w:p>
          <w:p w14:paraId="7D9E233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生活用水：本项目劳动定员为</w:t>
            </w:r>
            <w:r>
              <w:rPr>
                <w:rFonts w:hint="eastAsia"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lang w:val="en-US" w:eastAsia="zh-CN"/>
              </w:rPr>
              <w:t>人，均不在项目区内食宿</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根据《新疆维吾尔自治区生活用水定额》中</w:t>
            </w:r>
            <w:r>
              <w:rPr>
                <w:rFonts w:hint="default" w:ascii="Times New Roman" w:hAnsi="Times New Roman" w:eastAsia="宋体" w:cs="Times New Roman"/>
                <w:color w:val="auto"/>
                <w:sz w:val="24"/>
                <w:szCs w:val="24"/>
                <w:highlight w:val="none"/>
                <w:lang w:eastAsia="zh-CN"/>
              </w:rPr>
              <w:t>用水量</w:t>
            </w:r>
            <w:r>
              <w:rPr>
                <w:rFonts w:hint="default" w:ascii="Times New Roman" w:hAnsi="Times New Roman" w:eastAsia="宋体" w:cs="Times New Roman"/>
                <w:color w:val="auto"/>
                <w:sz w:val="24"/>
                <w:szCs w:val="24"/>
                <w:highlight w:val="none"/>
              </w:rPr>
              <w:t>按照每人平均</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5L/</w:t>
            </w:r>
            <w:r>
              <w:rPr>
                <w:rFonts w:hint="default" w:ascii="Times New Roman" w:hAnsi="Times New Roman" w:eastAsia="宋体" w:cs="Times New Roman"/>
                <w:color w:val="auto"/>
                <w:sz w:val="24"/>
                <w:szCs w:val="24"/>
                <w:highlight w:val="none"/>
                <w:lang w:eastAsia="zh-CN"/>
              </w:rPr>
              <w:t>人</w:t>
            </w:r>
            <w:r>
              <w:rPr>
                <w:rFonts w:hint="default" w:ascii="Times New Roman" w:hAnsi="Times New Roman" w:eastAsia="宋体" w:cs="Times New Roman"/>
                <w:color w:val="auto"/>
                <w:sz w:val="24"/>
                <w:szCs w:val="24"/>
                <w:highlight w:val="none"/>
                <w:lang w:val="en-US" w:eastAsia="zh-CN"/>
              </w:rPr>
              <w:t>·d</w:t>
            </w:r>
            <w:r>
              <w:rPr>
                <w:rFonts w:hint="default" w:ascii="Times New Roman" w:hAnsi="Times New Roman" w:eastAsia="宋体" w:cs="Times New Roman"/>
                <w:color w:val="auto"/>
                <w:sz w:val="24"/>
                <w:szCs w:val="24"/>
                <w:highlight w:val="none"/>
              </w:rPr>
              <w:t>计算，则厂区生活用水量为</w:t>
            </w:r>
            <w:r>
              <w:rPr>
                <w:rFonts w:hint="eastAsia" w:cs="Times New Roman"/>
                <w:color w:val="auto"/>
                <w:sz w:val="24"/>
                <w:szCs w:val="24"/>
                <w:highlight w:val="none"/>
                <w:lang w:val="en-US" w:eastAsia="zh-CN"/>
              </w:rPr>
              <w:t>0.2</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/d，</w:t>
            </w:r>
            <w:r>
              <w:rPr>
                <w:rFonts w:hint="eastAsia" w:cs="Times New Roman"/>
                <w:color w:val="auto"/>
                <w:sz w:val="24"/>
                <w:szCs w:val="24"/>
                <w:highlight w:val="none"/>
                <w:lang w:val="en-US" w:eastAsia="zh-CN"/>
              </w:rPr>
              <w:t>73</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/a。</w:t>
            </w:r>
          </w:p>
          <w:p w14:paraId="6DEA1851">
            <w:pPr>
              <w:pStyle w:val="88"/>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highlight w:val="none"/>
                <w:lang w:eastAsia="zh-CN"/>
              </w:rPr>
            </w:pPr>
            <w:r>
              <w:rPr>
                <w:rFonts w:hint="eastAsia" w:cs="Times New Roman"/>
                <w:color w:val="auto"/>
                <w:sz w:val="24"/>
                <w:szCs w:val="24"/>
                <w:highlight w:val="none"/>
                <w:lang w:val="en-US" w:eastAsia="zh-CN"/>
              </w:rPr>
              <w:t>宠物诊疗</w:t>
            </w:r>
            <w:r>
              <w:rPr>
                <w:rFonts w:hint="default" w:ascii="Times New Roman" w:hAnsi="Times New Roman" w:eastAsia="宋体" w:cs="Times New Roman"/>
                <w:color w:val="auto"/>
                <w:sz w:val="24"/>
                <w:szCs w:val="24"/>
                <w:highlight w:val="none"/>
                <w:lang w:eastAsia="zh-CN"/>
              </w:rPr>
              <w:t>用水：项目</w:t>
            </w:r>
            <w:r>
              <w:rPr>
                <w:rFonts w:hint="eastAsia" w:cs="Times New Roman"/>
                <w:color w:val="auto"/>
                <w:sz w:val="24"/>
                <w:szCs w:val="24"/>
                <w:highlight w:val="none"/>
                <w:lang w:val="en-US" w:eastAsia="zh-CN"/>
              </w:rPr>
              <w:t>宠物诊疗用水</w:t>
            </w:r>
            <w:r>
              <w:rPr>
                <w:rFonts w:hint="default" w:ascii="Times New Roman" w:hAnsi="Times New Roman" w:eastAsia="宋体" w:cs="Times New Roman"/>
                <w:color w:val="auto"/>
                <w:sz w:val="24"/>
                <w:szCs w:val="24"/>
                <w:highlight w:val="none"/>
                <w:lang w:eastAsia="zh-CN"/>
              </w:rPr>
              <w:t>主要是诊疗、手术、化验及清洗医疗器具用水。根据建设单位提供的经验数据，</w:t>
            </w:r>
            <w:r>
              <w:rPr>
                <w:rFonts w:hint="eastAsia" w:cs="Times New Roman"/>
                <w:color w:val="auto"/>
                <w:sz w:val="24"/>
                <w:szCs w:val="24"/>
                <w:highlight w:val="none"/>
                <w:lang w:val="en-US" w:eastAsia="zh-CN"/>
              </w:rPr>
              <w:t>宠物诊疗用水</w:t>
            </w:r>
            <w:r>
              <w:rPr>
                <w:rFonts w:hint="default" w:ascii="Times New Roman" w:hAnsi="Times New Roman" w:eastAsia="宋体" w:cs="Times New Roman"/>
                <w:color w:val="auto"/>
                <w:sz w:val="24"/>
                <w:szCs w:val="24"/>
                <w:highlight w:val="none"/>
                <w:lang w:eastAsia="zh-CN"/>
              </w:rPr>
              <w:t>约为</w:t>
            </w:r>
            <w:r>
              <w:rPr>
                <w:rFonts w:hint="eastAsia" w:cs="Times New Roman"/>
                <w:color w:val="auto"/>
                <w:sz w:val="24"/>
                <w:szCs w:val="24"/>
                <w:highlight w:val="none"/>
                <w:lang w:val="en-US" w:eastAsia="zh-CN"/>
              </w:rPr>
              <w:t>50</w:t>
            </w:r>
            <w:r>
              <w:rPr>
                <w:rFonts w:hint="default" w:ascii="Times New Roman" w:hAnsi="Times New Roman" w:eastAsia="宋体" w:cs="Times New Roman"/>
                <w:color w:val="auto"/>
                <w:sz w:val="24"/>
                <w:szCs w:val="24"/>
                <w:highlight w:val="none"/>
                <w:lang w:eastAsia="zh-CN"/>
              </w:rPr>
              <w:t>L/</w:t>
            </w:r>
            <w:r>
              <w:rPr>
                <w:rFonts w:hint="eastAsia" w:cs="Times New Roman"/>
                <w:color w:val="auto"/>
                <w:sz w:val="24"/>
                <w:szCs w:val="24"/>
                <w:highlight w:val="none"/>
                <w:lang w:val="en-US" w:eastAsia="zh-CN"/>
              </w:rPr>
              <w:t>d</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highlight w:val="none"/>
                <w:lang w:val="en-US" w:eastAsia="zh-CN"/>
              </w:rPr>
              <w:t>则项目宠物诊疗用水量约为</w:t>
            </w:r>
            <w:r>
              <w:rPr>
                <w:rFonts w:hint="eastAsia" w:cs="Times New Roman"/>
                <w:color w:val="auto"/>
                <w:highlight w:val="none"/>
                <w:lang w:val="en-US" w:eastAsia="zh-CN"/>
              </w:rPr>
              <w:t>18.25</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w:t>
            </w:r>
            <w:r>
              <w:rPr>
                <w:rFonts w:hint="eastAsia" w:cs="Times New Roman"/>
                <w:color w:val="auto"/>
                <w:sz w:val="24"/>
                <w:szCs w:val="24"/>
                <w:highlight w:val="none"/>
                <w:lang w:val="en-US" w:eastAsia="zh-CN"/>
              </w:rPr>
              <w:t>a</w:t>
            </w:r>
            <w:r>
              <w:rPr>
                <w:rFonts w:hint="default" w:ascii="Times New Roman" w:hAnsi="Times New Roman" w:eastAsia="宋体" w:cs="Times New Roman"/>
                <w:color w:val="auto"/>
                <w:sz w:val="24"/>
                <w:szCs w:val="24"/>
                <w:highlight w:val="none"/>
                <w:lang w:eastAsia="zh-CN"/>
              </w:rPr>
              <w:t>。</w:t>
            </w:r>
          </w:p>
          <w:p w14:paraId="45FA51B4">
            <w:pPr>
              <w:pStyle w:val="103"/>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宠物寄养用水：</w:t>
            </w:r>
            <w:r>
              <w:rPr>
                <w:rFonts w:hint="default" w:ascii="Times New Roman" w:hAnsi="Times New Roman" w:eastAsia="宋体" w:cs="Times New Roman"/>
                <w:color w:val="auto"/>
                <w:highlight w:val="none"/>
                <w:lang w:val="en-US" w:eastAsia="zh-CN"/>
              </w:rPr>
              <w:t>项目日最大</w:t>
            </w:r>
            <w:r>
              <w:rPr>
                <w:rFonts w:hint="eastAsia" w:cs="Times New Roman"/>
                <w:color w:val="auto"/>
                <w:highlight w:val="none"/>
                <w:lang w:val="en-US" w:eastAsia="zh-CN"/>
              </w:rPr>
              <w:t>寄养</w:t>
            </w:r>
            <w:r>
              <w:rPr>
                <w:rFonts w:hint="default" w:ascii="Times New Roman" w:hAnsi="Times New Roman" w:eastAsia="宋体" w:cs="Times New Roman"/>
                <w:color w:val="auto"/>
                <w:highlight w:val="none"/>
                <w:lang w:val="en-US" w:eastAsia="zh-CN"/>
              </w:rPr>
              <w:t>宠物数约为</w:t>
            </w:r>
            <w:r>
              <w:rPr>
                <w:rFonts w:hint="eastAsia" w:cs="Times New Roman"/>
                <w:color w:val="auto"/>
                <w:highlight w:val="none"/>
                <w:lang w:val="en-US" w:eastAsia="zh-CN"/>
              </w:rPr>
              <w:t>5</w:t>
            </w:r>
            <w:r>
              <w:rPr>
                <w:rFonts w:hint="default" w:ascii="Times New Roman" w:hAnsi="Times New Roman" w:eastAsia="宋体" w:cs="Times New Roman"/>
                <w:color w:val="auto"/>
                <w:highlight w:val="none"/>
                <w:lang w:val="en-US" w:eastAsia="zh-CN"/>
              </w:rPr>
              <w:t>只，此过程中用水主要为宠物</w:t>
            </w:r>
            <w:r>
              <w:rPr>
                <w:rFonts w:hint="eastAsia" w:cs="Times New Roman"/>
                <w:color w:val="auto"/>
                <w:highlight w:val="none"/>
                <w:lang w:val="en-US" w:eastAsia="zh-CN"/>
              </w:rPr>
              <w:t>饮水</w:t>
            </w:r>
            <w:r>
              <w:rPr>
                <w:rFonts w:hint="default" w:ascii="Times New Roman" w:hAnsi="Times New Roman" w:eastAsia="宋体" w:cs="Times New Roman"/>
                <w:color w:val="auto"/>
                <w:highlight w:val="none"/>
                <w:lang w:val="en-US" w:eastAsia="zh-CN"/>
              </w:rPr>
              <w:t>。根据建设单位提供的经验数据，用水量约为</w:t>
            </w:r>
            <w:r>
              <w:rPr>
                <w:rFonts w:hint="eastAsia" w:cs="Times New Roman"/>
                <w:color w:val="auto"/>
                <w:highlight w:val="none"/>
                <w:lang w:val="en-US" w:eastAsia="zh-CN"/>
              </w:rPr>
              <w:t>1</w:t>
            </w:r>
            <w:r>
              <w:rPr>
                <w:rFonts w:hint="default" w:ascii="Times New Roman" w:hAnsi="Times New Roman" w:eastAsia="宋体" w:cs="Times New Roman"/>
                <w:color w:val="auto"/>
                <w:highlight w:val="none"/>
                <w:lang w:val="en-US" w:eastAsia="zh-CN"/>
              </w:rPr>
              <w:t>L/只，则</w:t>
            </w:r>
            <w:r>
              <w:rPr>
                <w:rFonts w:hint="eastAsia" w:cs="Times New Roman"/>
                <w:color w:val="auto"/>
                <w:sz w:val="24"/>
                <w:szCs w:val="24"/>
                <w:highlight w:val="none"/>
                <w:lang w:val="en-US" w:eastAsia="zh-CN"/>
              </w:rPr>
              <w:t>宠物寄养用水</w:t>
            </w:r>
            <w:r>
              <w:rPr>
                <w:rFonts w:hint="default" w:ascii="Times New Roman" w:hAnsi="Times New Roman" w:eastAsia="宋体" w:cs="Times New Roman"/>
                <w:color w:val="auto"/>
                <w:highlight w:val="none"/>
                <w:lang w:val="en-US" w:eastAsia="zh-CN"/>
              </w:rPr>
              <w:t>量约为</w:t>
            </w:r>
            <w:r>
              <w:rPr>
                <w:rFonts w:hint="eastAsia" w:cs="Times New Roman"/>
                <w:color w:val="auto"/>
                <w:highlight w:val="none"/>
                <w:lang w:val="en-US" w:eastAsia="zh-CN"/>
              </w:rPr>
              <w:t>1.825</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w:t>
            </w:r>
            <w:r>
              <w:rPr>
                <w:rFonts w:hint="eastAsia" w:cs="Times New Roman"/>
                <w:color w:val="auto"/>
                <w:sz w:val="24"/>
                <w:szCs w:val="24"/>
                <w:highlight w:val="none"/>
                <w:lang w:val="en-US" w:eastAsia="zh-CN"/>
              </w:rPr>
              <w:t>a</w:t>
            </w:r>
            <w:r>
              <w:rPr>
                <w:rFonts w:hint="default" w:ascii="Times New Roman" w:hAnsi="Times New Roman" w:eastAsia="宋体" w:cs="Times New Roman"/>
                <w:color w:val="auto"/>
                <w:sz w:val="24"/>
                <w:szCs w:val="24"/>
                <w:highlight w:val="none"/>
                <w:lang w:eastAsia="zh-CN"/>
              </w:rPr>
              <w:t>。</w:t>
            </w:r>
          </w:p>
          <w:p w14:paraId="7D80E47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highlight w:val="yellow"/>
              </w:rPr>
            </w:pPr>
            <w:r>
              <w:rPr>
                <w:rFonts w:hint="default" w:ascii="Times New Roman" w:hAnsi="Times New Roman" w:eastAsia="宋体" w:cs="Times New Roman"/>
                <w:color w:val="auto"/>
                <w:sz w:val="24"/>
                <w:szCs w:val="24"/>
                <w:highlight w:val="none"/>
                <w:lang w:eastAsia="zh-CN"/>
              </w:rPr>
              <w:t>本项目总用水量为：</w:t>
            </w:r>
            <w:r>
              <w:rPr>
                <w:rFonts w:hint="eastAsia" w:cs="Times New Roman"/>
                <w:color w:val="auto"/>
                <w:sz w:val="24"/>
                <w:szCs w:val="24"/>
                <w:highlight w:val="none"/>
                <w:lang w:val="en-US" w:eastAsia="zh-CN"/>
              </w:rPr>
              <w:t>128.075</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/a</w:t>
            </w:r>
            <w:r>
              <w:rPr>
                <w:rFonts w:hint="default" w:ascii="Times New Roman" w:hAnsi="Times New Roman" w:eastAsia="宋体" w:cs="Times New Roman"/>
                <w:color w:val="auto"/>
                <w:sz w:val="24"/>
                <w:szCs w:val="24"/>
                <w:highlight w:val="none"/>
                <w:lang w:eastAsia="zh-CN"/>
              </w:rPr>
              <w:t>。</w:t>
            </w:r>
          </w:p>
          <w:p w14:paraId="1F27DB0F">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排水</w:t>
            </w:r>
          </w:p>
          <w:p w14:paraId="2F2A50B8">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本项目外排废水主要包括生活废水</w:t>
            </w:r>
            <w:r>
              <w:rPr>
                <w:rFonts w:hint="eastAsia" w:cs="Times New Roman"/>
                <w:color w:val="auto"/>
                <w:sz w:val="24"/>
                <w:szCs w:val="24"/>
                <w:lang w:val="en-US" w:eastAsia="zh-CN"/>
              </w:rPr>
              <w:t>、动物诊疗废水及宠物清洗废水</w:t>
            </w:r>
            <w:r>
              <w:rPr>
                <w:rFonts w:hint="eastAsia" w:ascii="Times New Roman" w:hAnsi="Times New Roman" w:eastAsia="宋体" w:cs="Times New Roman"/>
                <w:color w:val="auto"/>
                <w:sz w:val="24"/>
                <w:szCs w:val="24"/>
                <w:lang w:val="en-US" w:eastAsia="zh-CN"/>
              </w:rPr>
              <w:t>。</w:t>
            </w:r>
          </w:p>
          <w:p w14:paraId="043B4AA0">
            <w:pPr>
              <w:pStyle w:val="103"/>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sz w:val="24"/>
                <w:szCs w:val="24"/>
                <w:highlight w:val="none"/>
                <w:lang w:val="en-US" w:eastAsia="zh-CN"/>
              </w:rPr>
            </w:pPr>
            <w:r>
              <w:rPr>
                <w:rFonts w:hint="eastAsia" w:cs="Times New Roman"/>
                <w:color w:val="000000"/>
                <w:sz w:val="24"/>
                <w:szCs w:val="24"/>
                <w:highlight w:val="none"/>
                <w:lang w:val="en-US" w:eastAsia="zh-CN"/>
              </w:rPr>
              <w:t>宠物清洗废水</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highlight w:val="none"/>
                <w:lang w:val="en-US" w:eastAsia="zh-CN"/>
              </w:rPr>
              <w:t>宠物美容</w:t>
            </w:r>
            <w:r>
              <w:rPr>
                <w:rFonts w:hint="eastAsia" w:cs="Times New Roman"/>
                <w:color w:val="auto"/>
                <w:highlight w:val="none"/>
                <w:lang w:val="en-US" w:eastAsia="zh-CN"/>
              </w:rPr>
              <w:t>清洗</w:t>
            </w:r>
            <w:r>
              <w:rPr>
                <w:rFonts w:hint="default" w:ascii="Times New Roman" w:hAnsi="Times New Roman" w:eastAsia="宋体" w:cs="Times New Roman"/>
                <w:color w:val="auto"/>
                <w:highlight w:val="none"/>
                <w:lang w:val="en-US" w:eastAsia="zh-CN"/>
              </w:rPr>
              <w:t>用水量约为</w:t>
            </w:r>
            <w:r>
              <w:rPr>
                <w:rFonts w:hint="eastAsia" w:cs="Times New Roman"/>
                <w:color w:val="auto"/>
                <w:highlight w:val="none"/>
                <w:lang w:val="en-US" w:eastAsia="zh-CN"/>
              </w:rPr>
              <w:t>35</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w:t>
            </w:r>
            <w:r>
              <w:rPr>
                <w:rFonts w:hint="eastAsia" w:cs="Times New Roman"/>
                <w:color w:val="auto"/>
                <w:sz w:val="24"/>
                <w:szCs w:val="24"/>
                <w:highlight w:val="none"/>
                <w:lang w:val="en-US" w:eastAsia="zh-CN"/>
              </w:rPr>
              <w:t>a</w:t>
            </w:r>
            <w:r>
              <w:rPr>
                <w:rFonts w:hint="default" w:ascii="Times New Roman" w:hAnsi="Times New Roman" w:eastAsia="宋体" w:cs="Times New Roman"/>
                <w:color w:val="auto"/>
                <w:highlight w:val="none"/>
                <w:lang w:val="en-US" w:eastAsia="zh-CN"/>
              </w:rPr>
              <w:t>。美容废水产生量按用水量的80%计，则</w:t>
            </w:r>
            <w:r>
              <w:rPr>
                <w:rFonts w:hint="eastAsia" w:cs="Times New Roman"/>
                <w:color w:val="auto"/>
                <w:highlight w:val="none"/>
                <w:lang w:val="en-US" w:eastAsia="zh-CN"/>
              </w:rPr>
              <w:t>宠物美容清洗</w:t>
            </w:r>
            <w:r>
              <w:rPr>
                <w:rFonts w:hint="default" w:ascii="Times New Roman" w:hAnsi="Times New Roman" w:eastAsia="宋体" w:cs="Times New Roman"/>
                <w:color w:val="auto"/>
                <w:highlight w:val="none"/>
                <w:lang w:val="en-US" w:eastAsia="zh-CN"/>
              </w:rPr>
              <w:t>废水</w:t>
            </w:r>
            <w:r>
              <w:rPr>
                <w:rFonts w:hint="eastAsia" w:cs="Times New Roman"/>
                <w:color w:val="auto"/>
                <w:highlight w:val="none"/>
                <w:lang w:val="en-US" w:eastAsia="zh-CN"/>
              </w:rPr>
              <w:t>排放</w:t>
            </w:r>
            <w:r>
              <w:rPr>
                <w:rFonts w:hint="default" w:ascii="Times New Roman" w:hAnsi="Times New Roman" w:eastAsia="宋体" w:cs="Times New Roman"/>
                <w:color w:val="auto"/>
                <w:highlight w:val="none"/>
                <w:lang w:val="en-US" w:eastAsia="zh-CN"/>
              </w:rPr>
              <w:t>量约为</w:t>
            </w:r>
            <w:r>
              <w:rPr>
                <w:rFonts w:hint="eastAsia" w:cs="Times New Roman"/>
                <w:color w:val="auto"/>
                <w:highlight w:val="none"/>
                <w:lang w:val="en-US" w:eastAsia="zh-CN"/>
              </w:rPr>
              <w:t>28</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w:t>
            </w:r>
            <w:r>
              <w:rPr>
                <w:rFonts w:hint="eastAsia" w:cs="Times New Roman"/>
                <w:color w:val="auto"/>
                <w:sz w:val="24"/>
                <w:szCs w:val="24"/>
                <w:highlight w:val="none"/>
                <w:lang w:val="en-US" w:eastAsia="zh-CN"/>
              </w:rPr>
              <w:t>a</w:t>
            </w:r>
            <w:r>
              <w:rPr>
                <w:rFonts w:hint="default" w:ascii="Times New Roman" w:hAnsi="Times New Roman" w:eastAsia="宋体" w:cs="Times New Roman"/>
                <w:color w:val="auto"/>
                <w:highlight w:val="none"/>
                <w:lang w:val="en-US" w:eastAsia="zh-CN"/>
              </w:rPr>
              <w:t>。</w:t>
            </w:r>
          </w:p>
          <w:p w14:paraId="6A594FE1">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highlight w:val="yellow"/>
              </w:rPr>
            </w:pPr>
            <w:r>
              <w:rPr>
                <w:rFonts w:hint="default" w:ascii="Times New Roman" w:hAnsi="Times New Roman" w:eastAsia="宋体" w:cs="Times New Roman"/>
                <w:color w:val="auto"/>
                <w:sz w:val="24"/>
                <w:szCs w:val="24"/>
                <w:highlight w:val="none"/>
                <w:lang w:val="en-US" w:eastAsia="zh-CN"/>
              </w:rPr>
              <w:t>生活</w:t>
            </w:r>
            <w:r>
              <w:rPr>
                <w:rFonts w:hint="eastAsia" w:cs="Times New Roman"/>
                <w:color w:val="auto"/>
                <w:sz w:val="24"/>
                <w:szCs w:val="24"/>
                <w:highlight w:val="none"/>
                <w:lang w:val="en-US" w:eastAsia="zh-CN"/>
              </w:rPr>
              <w:t>污水</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lang w:val="en-US" w:eastAsia="zh-CN"/>
              </w:rPr>
              <w:t>本项目</w:t>
            </w:r>
            <w:r>
              <w:rPr>
                <w:rFonts w:hint="default" w:ascii="Times New Roman" w:hAnsi="Times New Roman" w:eastAsia="宋体" w:cs="Times New Roman"/>
                <w:sz w:val="24"/>
                <w:szCs w:val="24"/>
                <w:vertAlign w:val="baseline"/>
                <w:lang w:val="en-US" w:eastAsia="zh-CN"/>
              </w:rPr>
              <w:t>职工生活用水量</w:t>
            </w:r>
            <w:r>
              <w:rPr>
                <w:rFonts w:hint="eastAsia" w:cs="Times New Roman"/>
                <w:sz w:val="24"/>
                <w:szCs w:val="24"/>
                <w:highlight w:val="none"/>
                <w:vertAlign w:val="baseline"/>
                <w:lang w:val="en-US" w:eastAsia="zh-CN"/>
              </w:rPr>
              <w:t>0.2</w:t>
            </w:r>
            <w:r>
              <w:rPr>
                <w:rFonts w:hint="default" w:ascii="Times New Roman" w:hAnsi="Times New Roman" w:eastAsia="宋体" w:cs="Times New Roman"/>
                <w:sz w:val="24"/>
                <w:szCs w:val="24"/>
                <w:highlight w:val="none"/>
                <w:vertAlign w:val="baseline"/>
                <w:lang w:val="en-US" w:eastAsia="zh-CN"/>
              </w:rPr>
              <w:t>m</w:t>
            </w:r>
            <w:r>
              <w:rPr>
                <w:rFonts w:hint="default" w:ascii="Times New Roman" w:hAnsi="Times New Roman" w:eastAsia="宋体" w:cs="Times New Roman"/>
                <w:sz w:val="24"/>
                <w:szCs w:val="24"/>
                <w:highlight w:val="none"/>
                <w:vertAlign w:val="superscript"/>
                <w:lang w:val="en-US" w:eastAsia="zh-CN"/>
              </w:rPr>
              <w:t>3</w:t>
            </w:r>
            <w:r>
              <w:rPr>
                <w:rFonts w:hint="default" w:ascii="Times New Roman" w:hAnsi="Times New Roman" w:eastAsia="宋体" w:cs="Times New Roman"/>
                <w:sz w:val="24"/>
                <w:szCs w:val="24"/>
                <w:highlight w:val="none"/>
                <w:vertAlign w:val="baseline"/>
                <w:lang w:val="en-US" w:eastAsia="zh-CN"/>
              </w:rPr>
              <w:t>/d，</w:t>
            </w:r>
            <w:r>
              <w:rPr>
                <w:rFonts w:hint="eastAsia" w:cs="Times New Roman"/>
                <w:sz w:val="24"/>
                <w:szCs w:val="24"/>
                <w:highlight w:val="none"/>
                <w:vertAlign w:val="baseline"/>
                <w:lang w:val="en-US" w:eastAsia="zh-CN"/>
              </w:rPr>
              <w:t>73</w:t>
            </w:r>
            <w:r>
              <w:rPr>
                <w:rFonts w:hint="default" w:ascii="Times New Roman" w:hAnsi="Times New Roman" w:eastAsia="宋体" w:cs="Times New Roman"/>
                <w:sz w:val="24"/>
                <w:szCs w:val="24"/>
                <w:highlight w:val="none"/>
                <w:vertAlign w:val="baseline"/>
                <w:lang w:val="en-US" w:eastAsia="zh-CN"/>
              </w:rPr>
              <w:t>m</w:t>
            </w:r>
            <w:r>
              <w:rPr>
                <w:rFonts w:hint="default" w:ascii="Times New Roman" w:hAnsi="Times New Roman" w:eastAsia="宋体" w:cs="Times New Roman"/>
                <w:sz w:val="24"/>
                <w:szCs w:val="24"/>
                <w:highlight w:val="none"/>
                <w:vertAlign w:val="superscript"/>
                <w:lang w:val="en-US" w:eastAsia="zh-CN"/>
              </w:rPr>
              <w:t>3</w:t>
            </w:r>
            <w:r>
              <w:rPr>
                <w:rFonts w:hint="default" w:ascii="Times New Roman" w:hAnsi="Times New Roman" w:eastAsia="宋体" w:cs="Times New Roman"/>
                <w:sz w:val="24"/>
                <w:szCs w:val="24"/>
                <w:highlight w:val="none"/>
                <w:vertAlign w:val="baseline"/>
                <w:lang w:val="en-US" w:eastAsia="zh-CN"/>
              </w:rPr>
              <w:t>/a</w:t>
            </w:r>
            <w:r>
              <w:rPr>
                <w:rFonts w:hint="eastAsia" w:ascii="Times New Roman" w:hAnsi="Times New Roman" w:eastAsia="宋体" w:cs="Times New Roman"/>
                <w:sz w:val="24"/>
                <w:szCs w:val="24"/>
                <w:vertAlign w:val="baseline"/>
                <w:lang w:val="en-US" w:eastAsia="zh-CN"/>
              </w:rPr>
              <w:t>，废水排放量按用水量80%计，则</w:t>
            </w:r>
            <w:r>
              <w:rPr>
                <w:rFonts w:hint="eastAsia" w:cs="Times New Roman"/>
                <w:sz w:val="24"/>
                <w:szCs w:val="24"/>
                <w:vertAlign w:val="baseline"/>
                <w:lang w:val="en-US" w:eastAsia="zh-CN"/>
              </w:rPr>
              <w:t>生活污水</w:t>
            </w:r>
            <w:r>
              <w:rPr>
                <w:rFonts w:hint="eastAsia" w:ascii="Times New Roman" w:hAnsi="Times New Roman" w:eastAsia="宋体" w:cs="Times New Roman"/>
                <w:sz w:val="24"/>
                <w:szCs w:val="24"/>
                <w:vertAlign w:val="baseline"/>
                <w:lang w:val="en-US" w:eastAsia="zh-CN"/>
              </w:rPr>
              <w:t>排放量为</w:t>
            </w:r>
            <w:r>
              <w:rPr>
                <w:rFonts w:hint="eastAsia" w:cs="Times New Roman"/>
                <w:sz w:val="24"/>
                <w:szCs w:val="24"/>
                <w:highlight w:val="none"/>
                <w:vertAlign w:val="baseline"/>
                <w:lang w:val="en-US" w:eastAsia="zh-CN"/>
              </w:rPr>
              <w:t>0.16</w:t>
            </w:r>
            <w:r>
              <w:rPr>
                <w:rFonts w:hint="eastAsia" w:ascii="Times New Roman" w:hAnsi="Times New Roman" w:eastAsia="宋体" w:cs="Times New Roman"/>
                <w:sz w:val="24"/>
                <w:szCs w:val="24"/>
                <w:highlight w:val="none"/>
                <w:vertAlign w:val="baseline"/>
                <w:lang w:val="en-US" w:eastAsia="zh-CN"/>
              </w:rPr>
              <w:t>m</w:t>
            </w:r>
            <w:r>
              <w:rPr>
                <w:rFonts w:hint="eastAsia" w:ascii="Times New Roman" w:hAnsi="Times New Roman" w:eastAsia="宋体" w:cs="Times New Roman"/>
                <w:sz w:val="24"/>
                <w:szCs w:val="24"/>
                <w:highlight w:val="none"/>
                <w:vertAlign w:val="superscript"/>
                <w:lang w:val="en-US" w:eastAsia="zh-CN"/>
              </w:rPr>
              <w:t>3</w:t>
            </w:r>
            <w:r>
              <w:rPr>
                <w:rFonts w:hint="eastAsia" w:ascii="Times New Roman" w:hAnsi="Times New Roman" w:eastAsia="宋体" w:cs="Times New Roman"/>
                <w:sz w:val="24"/>
                <w:szCs w:val="24"/>
                <w:highlight w:val="none"/>
                <w:vertAlign w:val="baseline"/>
                <w:lang w:val="en-US" w:eastAsia="zh-CN"/>
              </w:rPr>
              <w:t>/d、</w:t>
            </w:r>
            <w:r>
              <w:rPr>
                <w:rFonts w:hint="eastAsia" w:cs="Times New Roman"/>
                <w:sz w:val="24"/>
                <w:szCs w:val="24"/>
                <w:highlight w:val="none"/>
                <w:vertAlign w:val="baseline"/>
                <w:lang w:val="en-US" w:eastAsia="zh-CN"/>
              </w:rPr>
              <w:t>58.4</w:t>
            </w:r>
            <w:r>
              <w:rPr>
                <w:rFonts w:hint="eastAsia" w:ascii="Times New Roman" w:hAnsi="Times New Roman" w:eastAsia="宋体" w:cs="Times New Roman"/>
                <w:sz w:val="24"/>
                <w:szCs w:val="24"/>
                <w:highlight w:val="none"/>
                <w:vertAlign w:val="baseline"/>
                <w:lang w:val="en-US" w:eastAsia="zh-CN"/>
              </w:rPr>
              <w:t>m</w:t>
            </w:r>
            <w:r>
              <w:rPr>
                <w:rFonts w:hint="eastAsia" w:ascii="Times New Roman" w:hAnsi="Times New Roman" w:eastAsia="宋体" w:cs="Times New Roman"/>
                <w:sz w:val="24"/>
                <w:szCs w:val="24"/>
                <w:highlight w:val="none"/>
                <w:vertAlign w:val="superscript"/>
                <w:lang w:val="en-US" w:eastAsia="zh-CN"/>
              </w:rPr>
              <w:t>3</w:t>
            </w:r>
            <w:r>
              <w:rPr>
                <w:rFonts w:hint="eastAsia" w:ascii="Times New Roman" w:hAnsi="Times New Roman" w:eastAsia="宋体" w:cs="Times New Roman"/>
                <w:sz w:val="24"/>
                <w:szCs w:val="24"/>
                <w:highlight w:val="none"/>
                <w:vertAlign w:val="baseline"/>
                <w:lang w:val="en-US" w:eastAsia="zh-CN"/>
              </w:rPr>
              <w:t>/a</w:t>
            </w:r>
            <w:r>
              <w:rPr>
                <w:rFonts w:hint="eastAsia" w:ascii="Times New Roman" w:hAnsi="Times New Roman" w:eastAsia="宋体" w:cs="Times New Roman"/>
                <w:sz w:val="24"/>
                <w:szCs w:val="24"/>
                <w:vertAlign w:val="baseline"/>
                <w:lang w:val="en-US" w:eastAsia="zh-CN"/>
              </w:rPr>
              <w:t>；</w:t>
            </w:r>
          </w:p>
          <w:p w14:paraId="72591DC1">
            <w:pPr>
              <w:pStyle w:val="88"/>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宠物诊疗废水</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宠物</w:t>
            </w:r>
            <w:r>
              <w:rPr>
                <w:rFonts w:hint="eastAsia" w:cs="Times New Roman"/>
                <w:color w:val="auto"/>
                <w:sz w:val="24"/>
                <w:szCs w:val="24"/>
                <w:highlight w:val="none"/>
                <w:lang w:val="en-US" w:eastAsia="zh-CN"/>
              </w:rPr>
              <w:t>诊疗</w:t>
            </w:r>
            <w:r>
              <w:rPr>
                <w:rFonts w:hint="default" w:ascii="Times New Roman" w:hAnsi="Times New Roman" w:eastAsia="宋体" w:cs="Times New Roman"/>
                <w:color w:val="auto"/>
                <w:sz w:val="24"/>
                <w:szCs w:val="24"/>
                <w:highlight w:val="none"/>
                <w:lang w:eastAsia="zh-CN"/>
              </w:rPr>
              <w:t>用水</w:t>
            </w:r>
            <w:r>
              <w:rPr>
                <w:rFonts w:hint="default" w:ascii="Times New Roman" w:hAnsi="Times New Roman" w:eastAsia="宋体" w:cs="Times New Roman"/>
                <w:color w:val="auto"/>
                <w:sz w:val="24"/>
                <w:szCs w:val="24"/>
                <w:highlight w:val="none"/>
                <w:lang w:val="en-US" w:eastAsia="zh-CN"/>
              </w:rPr>
              <w:t>量约为</w:t>
            </w:r>
            <w:r>
              <w:rPr>
                <w:rFonts w:hint="eastAsia" w:cs="Times New Roman"/>
                <w:color w:val="auto"/>
                <w:sz w:val="24"/>
                <w:szCs w:val="24"/>
                <w:highlight w:val="none"/>
                <w:lang w:val="en-US" w:eastAsia="zh-CN"/>
              </w:rPr>
              <w:t>18.25</w:t>
            </w:r>
            <w:r>
              <w:rPr>
                <w:rFonts w:hint="default" w:ascii="Times New Roman" w:hAnsi="Times New Roman" w:eastAsia="宋体" w:cs="Times New Roman"/>
                <w:color w:val="auto"/>
                <w:sz w:val="24"/>
                <w:szCs w:val="24"/>
                <w:highlight w:val="none"/>
                <w:lang w:eastAsia="zh-CN"/>
              </w:rPr>
              <w:t>m</w:t>
            </w:r>
            <w:r>
              <w:rPr>
                <w:rFonts w:hint="default" w:ascii="Times New Roman" w:hAnsi="Times New Roman" w:eastAsia="宋体" w:cs="Times New Roman"/>
                <w:color w:val="auto"/>
                <w:sz w:val="24"/>
                <w:szCs w:val="24"/>
                <w:highlight w:val="none"/>
                <w:vertAlign w:val="superscript"/>
                <w:lang w:eastAsia="zh-CN"/>
              </w:rPr>
              <w:t>3</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a。</w:t>
            </w:r>
            <w:r>
              <w:rPr>
                <w:rFonts w:hint="eastAsia" w:cs="Times New Roman"/>
                <w:color w:val="auto"/>
                <w:sz w:val="24"/>
                <w:szCs w:val="24"/>
                <w:highlight w:val="none"/>
                <w:lang w:val="en-US" w:eastAsia="zh-CN"/>
              </w:rPr>
              <w:t>宠物诊疗废水</w:t>
            </w:r>
            <w:r>
              <w:rPr>
                <w:rFonts w:hint="default" w:ascii="Times New Roman" w:hAnsi="Times New Roman" w:eastAsia="宋体" w:cs="Times New Roman"/>
                <w:color w:val="auto"/>
                <w:sz w:val="24"/>
                <w:szCs w:val="24"/>
                <w:highlight w:val="none"/>
                <w:lang w:val="en-US" w:eastAsia="zh-CN"/>
              </w:rPr>
              <w:t>产生量按用水量的80%计，则</w:t>
            </w:r>
            <w:r>
              <w:rPr>
                <w:rFonts w:hint="eastAsia" w:cs="Times New Roman"/>
                <w:color w:val="auto"/>
                <w:sz w:val="24"/>
                <w:szCs w:val="24"/>
                <w:highlight w:val="none"/>
                <w:lang w:val="en-US" w:eastAsia="zh-CN"/>
              </w:rPr>
              <w:t>医疗</w:t>
            </w:r>
            <w:r>
              <w:rPr>
                <w:rFonts w:hint="default" w:ascii="Times New Roman" w:hAnsi="Times New Roman" w:eastAsia="宋体" w:cs="Times New Roman"/>
                <w:color w:val="auto"/>
                <w:sz w:val="24"/>
                <w:szCs w:val="24"/>
                <w:highlight w:val="none"/>
                <w:lang w:val="en-US" w:eastAsia="zh-CN"/>
              </w:rPr>
              <w:t>废水</w:t>
            </w:r>
            <w:r>
              <w:rPr>
                <w:rFonts w:hint="eastAsia" w:cs="Times New Roman"/>
                <w:color w:val="auto"/>
                <w:sz w:val="24"/>
                <w:szCs w:val="24"/>
                <w:highlight w:val="none"/>
                <w:lang w:val="en-US" w:eastAsia="zh-CN"/>
              </w:rPr>
              <w:t>排放</w:t>
            </w:r>
            <w:r>
              <w:rPr>
                <w:rFonts w:hint="default" w:ascii="Times New Roman" w:hAnsi="Times New Roman" w:eastAsia="宋体" w:cs="Times New Roman"/>
                <w:color w:val="auto"/>
                <w:sz w:val="24"/>
                <w:szCs w:val="24"/>
                <w:highlight w:val="none"/>
                <w:lang w:val="en-US" w:eastAsia="zh-CN"/>
              </w:rPr>
              <w:t>量约为</w:t>
            </w:r>
            <w:r>
              <w:rPr>
                <w:rFonts w:hint="eastAsia" w:cs="Times New Roman"/>
                <w:color w:val="auto"/>
                <w:sz w:val="24"/>
                <w:szCs w:val="24"/>
                <w:highlight w:val="none"/>
                <w:lang w:val="en-US" w:eastAsia="zh-CN"/>
              </w:rPr>
              <w:t>14.6</w:t>
            </w:r>
            <w:r>
              <w:rPr>
                <w:rFonts w:hint="default" w:ascii="Times New Roman" w:hAnsi="Times New Roman" w:eastAsia="宋体" w:cs="Times New Roman"/>
                <w:color w:val="auto"/>
                <w:sz w:val="24"/>
                <w:szCs w:val="24"/>
                <w:highlight w:val="none"/>
                <w:lang w:eastAsia="zh-CN"/>
              </w:rPr>
              <w:t>m</w:t>
            </w:r>
            <w:r>
              <w:rPr>
                <w:rFonts w:hint="default" w:ascii="Times New Roman" w:hAnsi="Times New Roman" w:eastAsia="宋体" w:cs="Times New Roman"/>
                <w:color w:val="auto"/>
                <w:sz w:val="24"/>
                <w:szCs w:val="24"/>
                <w:highlight w:val="none"/>
                <w:vertAlign w:val="superscript"/>
                <w:lang w:eastAsia="zh-CN"/>
              </w:rPr>
              <w:t>3</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a。</w:t>
            </w:r>
          </w:p>
          <w:p w14:paraId="5B9C428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本项目总</w:t>
            </w:r>
            <w:r>
              <w:rPr>
                <w:rFonts w:hint="eastAsia" w:eastAsia="宋体" w:cs="Times New Roman"/>
                <w:color w:val="auto"/>
                <w:sz w:val="24"/>
                <w:szCs w:val="24"/>
                <w:highlight w:val="none"/>
                <w:lang w:val="en-US" w:eastAsia="zh-CN"/>
              </w:rPr>
              <w:t>排</w:t>
            </w:r>
            <w:r>
              <w:rPr>
                <w:rFonts w:hint="default" w:ascii="Times New Roman" w:hAnsi="Times New Roman" w:eastAsia="宋体" w:cs="Times New Roman"/>
                <w:color w:val="auto"/>
                <w:sz w:val="24"/>
                <w:szCs w:val="24"/>
                <w:highlight w:val="none"/>
                <w:lang w:eastAsia="zh-CN"/>
              </w:rPr>
              <w:t>水量为：</w:t>
            </w:r>
            <w:r>
              <w:rPr>
                <w:rFonts w:hint="eastAsia" w:cs="Times New Roman"/>
                <w:color w:val="auto"/>
                <w:sz w:val="24"/>
                <w:szCs w:val="24"/>
                <w:highlight w:val="none"/>
                <w:lang w:val="en-US" w:eastAsia="zh-CN"/>
              </w:rPr>
              <w:t>101</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/a</w:t>
            </w:r>
            <w:r>
              <w:rPr>
                <w:rFonts w:hint="default" w:ascii="Times New Roman" w:hAnsi="Times New Roman" w:eastAsia="宋体" w:cs="Times New Roman"/>
                <w:color w:val="auto"/>
                <w:sz w:val="24"/>
                <w:szCs w:val="24"/>
                <w:highlight w:val="none"/>
                <w:lang w:eastAsia="zh-CN"/>
              </w:rPr>
              <w:t>。</w:t>
            </w:r>
          </w:p>
          <w:p w14:paraId="3C690E9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诊疗室及手术室洗手池下方分别安装3台处理量为0.2t/h的小型废水治理设施（采取过滤+消毒工艺，污水消毒采用二氧化氯泡腾片消毒），动物诊疗废水经小型废水治理设施消毒处理后进入小区化粪池处理，纳入市政污水管网，最终进入库尔勒市南市区污水处理厂集中处理。宠物清洗废水和生活污水进入小区化粪池处理后，纳入市政污水管网，最终进入库尔勒市南市区污水处理厂集中处理。</w:t>
            </w:r>
          </w:p>
          <w:p w14:paraId="60F4168D">
            <w:pPr>
              <w:pStyle w:val="2"/>
              <w:rPr>
                <w:rFonts w:hint="default"/>
                <w:lang w:val="en-US" w:eastAsia="zh-CN"/>
              </w:rPr>
            </w:pPr>
            <w:r>
              <w:rPr>
                <w:rFonts w:hint="default"/>
                <w:lang w:val="en-US" w:eastAsia="zh-CN"/>
              </w:rPr>
              <w:drawing>
                <wp:inline distT="0" distB="0" distL="114300" distR="114300">
                  <wp:extent cx="5027295" cy="2576830"/>
                  <wp:effectExtent l="0" t="0" r="0" b="0"/>
                  <wp:docPr id="7" name="ECB019B1-382A-4266-B25C-5B523AA43C14-1" descr="C:/Users/MyPC/AppData/Local/Temp/wps.foWPSL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CB019B1-382A-4266-B25C-5B523AA43C14-1" descr="C:/Users/MyPC/AppData/Local/Temp/wps.foWPSLwps"/>
                          <pic:cNvPicPr>
                            <a:picLocks noChangeAspect="1"/>
                          </pic:cNvPicPr>
                        </pic:nvPicPr>
                        <pic:blipFill>
                          <a:blip r:embed="rId10"/>
                          <a:stretch>
                            <a:fillRect/>
                          </a:stretch>
                        </pic:blipFill>
                        <pic:spPr>
                          <a:xfrm>
                            <a:off x="0" y="0"/>
                            <a:ext cx="5027295" cy="2576830"/>
                          </a:xfrm>
                          <a:prstGeom prst="rect">
                            <a:avLst/>
                          </a:prstGeom>
                        </pic:spPr>
                      </pic:pic>
                    </a:graphicData>
                  </a:graphic>
                </wp:inline>
              </w:drawing>
            </w:r>
          </w:p>
          <w:p w14:paraId="501EF88C">
            <w:pPr>
              <w:keepNext w:val="0"/>
              <w:keepLines w:val="0"/>
              <w:suppressLineNumbers w:val="0"/>
              <w:spacing w:before="0" w:beforeAutospacing="0" w:after="0" w:afterAutospacing="0"/>
              <w:ind w:left="0" w:right="0" w:firstLine="422" w:firstLineChars="200"/>
              <w:jc w:val="center"/>
              <w:rPr>
                <w:rFonts w:hint="default"/>
                <w:b/>
                <w:bCs/>
                <w:color w:val="000000"/>
                <w:kern w:val="0"/>
                <w:sz w:val="21"/>
                <w:szCs w:val="21"/>
              </w:rPr>
            </w:pPr>
            <w:r>
              <w:rPr>
                <w:rFonts w:hint="default"/>
                <w:b/>
                <w:bCs/>
                <w:color w:val="000000"/>
                <w:kern w:val="0"/>
                <w:sz w:val="21"/>
                <w:szCs w:val="21"/>
              </w:rPr>
              <w:t>图</w:t>
            </w:r>
            <w:r>
              <w:rPr>
                <w:rFonts w:hint="eastAsia"/>
                <w:b/>
                <w:bCs/>
                <w:color w:val="000000"/>
                <w:kern w:val="0"/>
                <w:sz w:val="21"/>
                <w:szCs w:val="21"/>
              </w:rPr>
              <w:t>2-1</w:t>
            </w:r>
            <w:r>
              <w:rPr>
                <w:rFonts w:hint="default"/>
                <w:b/>
                <w:bCs/>
                <w:color w:val="000000"/>
                <w:kern w:val="0"/>
                <w:sz w:val="21"/>
                <w:szCs w:val="21"/>
              </w:rPr>
              <w:t xml:space="preserve">    </w:t>
            </w:r>
            <w:r>
              <w:rPr>
                <w:rFonts w:hint="eastAsia"/>
                <w:b/>
                <w:bCs/>
                <w:color w:val="000000"/>
                <w:kern w:val="0"/>
                <w:sz w:val="21"/>
                <w:szCs w:val="21"/>
              </w:rPr>
              <w:t>本</w:t>
            </w:r>
            <w:r>
              <w:rPr>
                <w:rFonts w:hint="default"/>
                <w:b/>
                <w:bCs/>
                <w:color w:val="000000"/>
                <w:kern w:val="0"/>
                <w:sz w:val="21"/>
                <w:szCs w:val="21"/>
              </w:rPr>
              <w:t>项目水平衡图（m</w:t>
            </w:r>
            <w:r>
              <w:rPr>
                <w:rFonts w:hint="default"/>
                <w:b/>
                <w:bCs/>
                <w:color w:val="000000"/>
                <w:kern w:val="0"/>
                <w:sz w:val="21"/>
                <w:szCs w:val="21"/>
                <w:vertAlign w:val="superscript"/>
              </w:rPr>
              <w:t>3</w:t>
            </w:r>
            <w:r>
              <w:rPr>
                <w:rFonts w:hint="default"/>
                <w:b/>
                <w:bCs/>
                <w:color w:val="000000"/>
                <w:kern w:val="0"/>
                <w:sz w:val="21"/>
                <w:szCs w:val="21"/>
              </w:rPr>
              <w:t>/a）</w:t>
            </w:r>
          </w:p>
          <w:p w14:paraId="13021F00">
            <w:pPr>
              <w:keepNext w:val="0"/>
              <w:keepLines w:val="0"/>
              <w:pageBreakBefore w:val="0"/>
              <w:widowControl w:val="0"/>
              <w:numPr>
                <w:ilvl w:val="0"/>
                <w:numId w:val="3"/>
              </w:numPr>
              <w:suppressLineNumbers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jc w:val="both"/>
              <w:textAlignment w:val="auto"/>
              <w:outlineLvl w:val="9"/>
              <w:rPr>
                <w:rFonts w:hint="eastAsia" w:ascii="宋体" w:hAnsi="宋体" w:eastAsia="宋体" w:cs="宋体"/>
                <w:color w:val="000000"/>
                <w:sz w:val="24"/>
                <w:szCs w:val="24"/>
              </w:rPr>
            </w:pPr>
            <w:bookmarkStart w:id="14" w:name="_Toc9172"/>
            <w:r>
              <w:rPr>
                <w:rFonts w:hint="eastAsia" w:ascii="宋体" w:hAnsi="宋体" w:eastAsia="宋体" w:cs="宋体"/>
                <w:sz w:val="24"/>
                <w:szCs w:val="24"/>
              </w:rPr>
              <w:t>供电：</w:t>
            </w:r>
            <w:r>
              <w:rPr>
                <w:rFonts w:hint="eastAsia" w:ascii="宋体" w:hAnsi="宋体" w:eastAsia="宋体" w:cs="宋体"/>
                <w:color w:val="000000"/>
                <w:sz w:val="24"/>
                <w:szCs w:val="24"/>
              </w:rPr>
              <w:t>由</w:t>
            </w:r>
            <w:r>
              <w:rPr>
                <w:rFonts w:hint="eastAsia" w:ascii="宋体" w:hAnsi="宋体" w:eastAsia="宋体" w:cs="宋体"/>
                <w:color w:val="000000"/>
                <w:sz w:val="24"/>
                <w:szCs w:val="24"/>
                <w:lang w:eastAsia="zh-CN"/>
              </w:rPr>
              <w:t>园区国家</w:t>
            </w:r>
            <w:r>
              <w:rPr>
                <w:rFonts w:hint="eastAsia" w:ascii="宋体" w:hAnsi="宋体" w:eastAsia="宋体" w:cs="宋体"/>
                <w:color w:val="000000"/>
                <w:sz w:val="24"/>
                <w:szCs w:val="24"/>
              </w:rPr>
              <w:t>电网统一提供，可以满足工程的需求。</w:t>
            </w:r>
          </w:p>
          <w:p w14:paraId="1033995A">
            <w:pPr>
              <w:keepNext w:val="0"/>
              <w:keepLines w:val="0"/>
              <w:pageBreakBefore w:val="0"/>
              <w:widowControl w:val="0"/>
              <w:numPr>
                <w:ilvl w:val="0"/>
                <w:numId w:val="3"/>
              </w:numPr>
              <w:suppressLineNumbers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jc w:val="both"/>
              <w:textAlignment w:val="auto"/>
              <w:outlineLvl w:val="9"/>
              <w:rPr>
                <w:rFonts w:hint="eastAsia"/>
              </w:rPr>
            </w:pPr>
            <w:r>
              <w:rPr>
                <w:rFonts w:hint="default" w:cs="Times New Roman"/>
                <w:lang w:val="en-US" w:eastAsia="zh-CN"/>
              </w:rPr>
              <w:t>供热：冬季采暖采用壁挂炉供暖</w:t>
            </w:r>
            <w:r>
              <w:rPr>
                <w:rFonts w:hint="eastAsia" w:cs="Times New Roman"/>
                <w:lang w:val="en-US" w:eastAsia="zh-CN"/>
              </w:rPr>
              <w:t>。</w:t>
            </w:r>
          </w:p>
          <w:p w14:paraId="1B15DDE0">
            <w:pPr>
              <w:pStyle w:val="5"/>
              <w:suppressLineNumbers w:val="0"/>
              <w:bidi w:val="0"/>
              <w:spacing w:before="0" w:beforeAutospacing="0" w:after="0" w:afterAutospacing="0"/>
              <w:ind w:left="0" w:right="0"/>
              <w:rPr>
                <w:rFonts w:hint="default" w:cs="Times New Roman"/>
                <w:color w:val="000000"/>
                <w:highlight w:val="none"/>
              </w:rPr>
            </w:pPr>
            <w:r>
              <w:rPr>
                <w:rFonts w:hint="eastAsia" w:cs="Times New Roman"/>
                <w:color w:val="000000"/>
                <w:highlight w:val="none"/>
                <w:lang w:val="en-US" w:eastAsia="zh-CN"/>
              </w:rPr>
              <w:t>8、</w:t>
            </w:r>
            <w:r>
              <w:rPr>
                <w:rFonts w:hint="default" w:cs="Times New Roman"/>
                <w:color w:val="000000"/>
                <w:highlight w:val="none"/>
                <w:lang w:eastAsia="zh-CN"/>
              </w:rPr>
              <w:t>环保投资</w:t>
            </w:r>
            <w:bookmarkEnd w:id="14"/>
          </w:p>
          <w:p w14:paraId="31D2B9F2">
            <w:pPr>
              <w:keepNext w:val="0"/>
              <w:keepLines w:val="0"/>
              <w:suppressLineNumbers w:val="0"/>
              <w:bidi w:val="0"/>
              <w:spacing w:before="0" w:beforeAutospacing="0" w:after="0" w:afterAutospacing="0"/>
              <w:ind w:left="0" w:right="0"/>
              <w:rPr>
                <w:rFonts w:hint="default" w:cs="Times New Roman"/>
                <w:color w:val="000000"/>
                <w:highlight w:val="none"/>
              </w:rPr>
            </w:pPr>
            <w:r>
              <w:rPr>
                <w:rFonts w:hint="eastAsia" w:cs="Times New Roman"/>
                <w:color w:val="000000"/>
                <w:highlight w:val="none"/>
                <w:lang w:val="en-US" w:eastAsia="zh-CN"/>
              </w:rPr>
              <w:t>本项目总投资为30万元，其中环保投资3.5万元，占总投资的11.6％，详见表2-7。</w:t>
            </w:r>
          </w:p>
          <w:p w14:paraId="7E0C3F2A">
            <w:pPr>
              <w:pStyle w:val="7"/>
              <w:suppressLineNumbers w:val="0"/>
              <w:bidi w:val="0"/>
              <w:spacing w:before="0" w:beforeAutospacing="0" w:after="0" w:afterAutospacing="0"/>
              <w:ind w:left="0" w:right="0"/>
              <w:rPr>
                <w:rFonts w:hint="eastAsia"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color w:val="000000"/>
                <w:kern w:val="2"/>
                <w:sz w:val="21"/>
                <w:szCs w:val="21"/>
                <w:lang w:val="en-US" w:eastAsia="zh-CN" w:bidi="ar-SA"/>
              </w:rPr>
              <w:t>表</w:t>
            </w:r>
            <w:r>
              <w:rPr>
                <w:rFonts w:hint="eastAsia" w:cs="Times New Roman"/>
                <w:b/>
                <w:bCs/>
                <w:color w:val="000000"/>
                <w:kern w:val="2"/>
                <w:sz w:val="21"/>
                <w:szCs w:val="21"/>
                <w:lang w:val="en-US" w:eastAsia="zh-CN" w:bidi="ar-SA"/>
              </w:rPr>
              <w:t xml:space="preserve">2-7                     </w:t>
            </w:r>
            <w:r>
              <w:rPr>
                <w:rFonts w:hint="eastAsia" w:ascii="Times New Roman" w:hAnsi="Times New Roman" w:eastAsia="宋体" w:cs="Times New Roman"/>
                <w:b/>
                <w:bCs/>
                <w:color w:val="000000"/>
                <w:kern w:val="2"/>
                <w:sz w:val="21"/>
                <w:szCs w:val="21"/>
                <w:lang w:val="en-US" w:eastAsia="zh-CN" w:bidi="ar-SA"/>
              </w:rPr>
              <w:t>环保设施及投资一览表</w:t>
            </w:r>
          </w:p>
          <w:tbl>
            <w:tblPr>
              <w:tblStyle w:val="31"/>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53"/>
              <w:gridCol w:w="1179"/>
              <w:gridCol w:w="4992"/>
              <w:gridCol w:w="1093"/>
            </w:tblGrid>
            <w:tr w14:paraId="694C52B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80" w:type="pct"/>
                  <w:tcBorders>
                    <w:tl2br w:val="nil"/>
                    <w:tr2bl w:val="nil"/>
                  </w:tcBorders>
                  <w:noWrap w:val="0"/>
                  <w:vAlign w:val="center"/>
                </w:tcPr>
                <w:p w14:paraId="759588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Cs/>
                      <w:color w:val="000000"/>
                      <w:sz w:val="21"/>
                      <w:szCs w:val="21"/>
                      <w:lang w:eastAsia="zh-CN"/>
                    </w:rPr>
                  </w:pPr>
                  <w:r>
                    <w:rPr>
                      <w:rFonts w:hint="default" w:ascii="Times New Roman" w:hAnsi="Times New Roman" w:eastAsia="宋体" w:cs="Times New Roman"/>
                      <w:bCs/>
                      <w:color w:val="000000"/>
                      <w:sz w:val="21"/>
                      <w:szCs w:val="21"/>
                      <w:lang w:eastAsia="zh-CN"/>
                    </w:rPr>
                    <w:t>项目</w:t>
                  </w:r>
                </w:p>
              </w:tc>
              <w:tc>
                <w:tcPr>
                  <w:tcW w:w="717" w:type="pct"/>
                  <w:tcBorders>
                    <w:tl2br w:val="nil"/>
                    <w:tr2bl w:val="nil"/>
                  </w:tcBorders>
                  <w:noWrap w:val="0"/>
                  <w:vAlign w:val="center"/>
                </w:tcPr>
                <w:p w14:paraId="18B851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Cs/>
                      <w:color w:val="000000"/>
                      <w:sz w:val="21"/>
                      <w:szCs w:val="21"/>
                      <w:lang w:eastAsia="zh-CN"/>
                    </w:rPr>
                  </w:pPr>
                  <w:r>
                    <w:rPr>
                      <w:rFonts w:hint="default" w:ascii="Times New Roman" w:hAnsi="Times New Roman" w:eastAsia="宋体" w:cs="Times New Roman"/>
                      <w:bCs/>
                      <w:color w:val="000000"/>
                      <w:sz w:val="21"/>
                      <w:szCs w:val="21"/>
                      <w:lang w:eastAsia="zh-CN"/>
                    </w:rPr>
                    <w:t>内容</w:t>
                  </w:r>
                </w:p>
              </w:tc>
              <w:tc>
                <w:tcPr>
                  <w:tcW w:w="3036" w:type="pct"/>
                  <w:tcBorders>
                    <w:tl2br w:val="nil"/>
                    <w:tr2bl w:val="nil"/>
                  </w:tcBorders>
                  <w:noWrap w:val="0"/>
                  <w:vAlign w:val="center"/>
                </w:tcPr>
                <w:p w14:paraId="046924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Cs/>
                      <w:color w:val="000000"/>
                      <w:sz w:val="21"/>
                      <w:szCs w:val="21"/>
                      <w:lang w:eastAsia="zh-CN"/>
                    </w:rPr>
                  </w:pPr>
                  <w:r>
                    <w:rPr>
                      <w:rFonts w:hint="default" w:ascii="Times New Roman" w:hAnsi="Times New Roman" w:eastAsia="宋体" w:cs="Times New Roman"/>
                      <w:bCs/>
                      <w:color w:val="000000"/>
                      <w:sz w:val="21"/>
                      <w:szCs w:val="21"/>
                      <w:lang w:eastAsia="zh-CN"/>
                    </w:rPr>
                    <w:t>处理措施</w:t>
                  </w:r>
                </w:p>
              </w:tc>
              <w:tc>
                <w:tcPr>
                  <w:tcW w:w="665" w:type="pct"/>
                  <w:tcBorders>
                    <w:tl2br w:val="nil"/>
                    <w:tr2bl w:val="nil"/>
                  </w:tcBorders>
                  <w:noWrap w:val="0"/>
                  <w:vAlign w:val="center"/>
                </w:tcPr>
                <w:p w14:paraId="0FAA49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Cs/>
                      <w:color w:val="000000"/>
                      <w:sz w:val="21"/>
                      <w:szCs w:val="21"/>
                      <w:lang w:eastAsia="zh-CN"/>
                    </w:rPr>
                  </w:pPr>
                  <w:r>
                    <w:rPr>
                      <w:rFonts w:hint="default" w:ascii="Times New Roman" w:hAnsi="Times New Roman" w:eastAsia="宋体" w:cs="Times New Roman"/>
                      <w:bCs/>
                      <w:color w:val="000000"/>
                      <w:sz w:val="21"/>
                      <w:szCs w:val="21"/>
                      <w:lang w:eastAsia="zh-CN"/>
                    </w:rPr>
                    <w:t>环保投资</w:t>
                  </w:r>
                </w:p>
              </w:tc>
            </w:tr>
            <w:tr w14:paraId="4E1C594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80" w:type="pct"/>
                  <w:vMerge w:val="restart"/>
                  <w:tcBorders>
                    <w:tl2br w:val="nil"/>
                    <w:tr2bl w:val="nil"/>
                  </w:tcBorders>
                  <w:noWrap w:val="0"/>
                  <w:vAlign w:val="center"/>
                </w:tcPr>
                <w:p w14:paraId="2D20D2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Cs/>
                      <w:color w:val="000000"/>
                      <w:sz w:val="21"/>
                      <w:szCs w:val="21"/>
                      <w:lang w:eastAsia="zh-CN"/>
                    </w:rPr>
                  </w:pPr>
                  <w:r>
                    <w:rPr>
                      <w:rFonts w:hint="default" w:ascii="Times New Roman" w:hAnsi="Times New Roman" w:eastAsia="宋体" w:cs="Times New Roman"/>
                      <w:bCs/>
                      <w:color w:val="000000"/>
                      <w:sz w:val="21"/>
                      <w:szCs w:val="21"/>
                      <w:lang w:eastAsia="zh-CN"/>
                    </w:rPr>
                    <w:t>运营期</w:t>
                  </w:r>
                </w:p>
              </w:tc>
              <w:tc>
                <w:tcPr>
                  <w:tcW w:w="717" w:type="pct"/>
                  <w:tcBorders>
                    <w:tl2br w:val="nil"/>
                    <w:tr2bl w:val="nil"/>
                  </w:tcBorders>
                  <w:noWrap w:val="0"/>
                  <w:vAlign w:val="center"/>
                </w:tcPr>
                <w:p w14:paraId="4C3891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Cs/>
                      <w:color w:val="000000"/>
                      <w:sz w:val="21"/>
                      <w:szCs w:val="21"/>
                      <w:lang w:eastAsia="zh-CN"/>
                    </w:rPr>
                  </w:pPr>
                  <w:r>
                    <w:rPr>
                      <w:rFonts w:hint="default" w:ascii="Times New Roman" w:hAnsi="Times New Roman" w:eastAsia="宋体" w:cs="Times New Roman"/>
                      <w:bCs/>
                      <w:color w:val="000000"/>
                      <w:sz w:val="21"/>
                      <w:szCs w:val="21"/>
                      <w:lang w:eastAsia="zh-CN"/>
                    </w:rPr>
                    <w:t>废气治理</w:t>
                  </w:r>
                </w:p>
              </w:tc>
              <w:tc>
                <w:tcPr>
                  <w:tcW w:w="3036" w:type="pct"/>
                  <w:tcBorders>
                    <w:tl2br w:val="nil"/>
                    <w:tr2bl w:val="nil"/>
                  </w:tcBorders>
                  <w:noWrap w:val="0"/>
                  <w:vAlign w:val="center"/>
                </w:tcPr>
                <w:p w14:paraId="2D808E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Cs/>
                      <w:color w:val="000000"/>
                      <w:sz w:val="21"/>
                      <w:szCs w:val="21"/>
                      <w:lang w:val="en-US" w:eastAsia="zh-CN"/>
                    </w:rPr>
                  </w:pPr>
                  <w:r>
                    <w:rPr>
                      <w:rFonts w:hint="eastAsia" w:cs="Times New Roman"/>
                      <w:bCs/>
                      <w:color w:val="000000"/>
                      <w:sz w:val="21"/>
                      <w:szCs w:val="21"/>
                      <w:highlight w:val="none"/>
                      <w:lang w:val="en-US" w:eastAsia="zh-CN"/>
                    </w:rPr>
                    <w:t>紫外线消毒车</w:t>
                  </w:r>
                </w:p>
              </w:tc>
              <w:tc>
                <w:tcPr>
                  <w:tcW w:w="665" w:type="pct"/>
                  <w:tcBorders>
                    <w:tl2br w:val="nil"/>
                    <w:tr2bl w:val="nil"/>
                  </w:tcBorders>
                  <w:noWrap w:val="0"/>
                  <w:vAlign w:val="center"/>
                </w:tcPr>
                <w:p w14:paraId="03CF01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Cs/>
                      <w:color w:val="000000"/>
                      <w:sz w:val="21"/>
                      <w:szCs w:val="21"/>
                      <w:lang w:val="en-US" w:eastAsia="zh-CN"/>
                    </w:rPr>
                  </w:pPr>
                  <w:r>
                    <w:rPr>
                      <w:rFonts w:hint="eastAsia" w:cs="Times New Roman"/>
                      <w:bCs/>
                      <w:color w:val="000000"/>
                      <w:sz w:val="21"/>
                      <w:szCs w:val="21"/>
                      <w:lang w:val="en-US" w:eastAsia="zh-CN"/>
                    </w:rPr>
                    <w:t>1</w:t>
                  </w:r>
                </w:p>
              </w:tc>
            </w:tr>
            <w:tr w14:paraId="1EDDE59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80" w:type="pct"/>
                  <w:vMerge w:val="continue"/>
                  <w:tcBorders>
                    <w:tl2br w:val="nil"/>
                    <w:tr2bl w:val="nil"/>
                  </w:tcBorders>
                  <w:noWrap w:val="0"/>
                  <w:vAlign w:val="center"/>
                </w:tcPr>
                <w:p w14:paraId="715531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Cs/>
                      <w:color w:val="000000"/>
                      <w:sz w:val="21"/>
                      <w:szCs w:val="21"/>
                      <w:lang w:eastAsia="zh-CN"/>
                    </w:rPr>
                  </w:pPr>
                </w:p>
              </w:tc>
              <w:tc>
                <w:tcPr>
                  <w:tcW w:w="717" w:type="pct"/>
                  <w:tcBorders>
                    <w:tl2br w:val="nil"/>
                    <w:tr2bl w:val="nil"/>
                  </w:tcBorders>
                  <w:noWrap w:val="0"/>
                  <w:vAlign w:val="center"/>
                </w:tcPr>
                <w:p w14:paraId="5A042C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Cs/>
                      <w:color w:val="000000"/>
                      <w:sz w:val="21"/>
                      <w:szCs w:val="21"/>
                      <w:lang w:val="en-US" w:eastAsia="zh-CN"/>
                    </w:rPr>
                  </w:pPr>
                  <w:r>
                    <w:rPr>
                      <w:rFonts w:hint="eastAsia" w:cs="Times New Roman"/>
                      <w:bCs/>
                      <w:color w:val="000000"/>
                      <w:sz w:val="21"/>
                      <w:szCs w:val="21"/>
                      <w:lang w:val="en-US" w:eastAsia="zh-CN"/>
                    </w:rPr>
                    <w:t>污水治理</w:t>
                  </w:r>
                </w:p>
              </w:tc>
              <w:tc>
                <w:tcPr>
                  <w:tcW w:w="3036" w:type="pct"/>
                  <w:tcBorders>
                    <w:tl2br w:val="nil"/>
                    <w:tr2bl w:val="nil"/>
                  </w:tcBorders>
                  <w:noWrap w:val="0"/>
                  <w:vAlign w:val="center"/>
                </w:tcPr>
                <w:p w14:paraId="6EEB6A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cs="Times New Roman"/>
                      <w:bCs/>
                      <w:color w:val="000000"/>
                      <w:sz w:val="21"/>
                      <w:szCs w:val="21"/>
                      <w:lang w:val="en-US" w:eastAsia="zh-CN"/>
                    </w:rPr>
                  </w:pPr>
                  <w:r>
                    <w:rPr>
                      <w:rFonts w:hint="eastAsia" w:cs="Times New Roman"/>
                      <w:bCs/>
                      <w:color w:val="000000"/>
                      <w:sz w:val="21"/>
                      <w:szCs w:val="21"/>
                      <w:highlight w:val="none"/>
                      <w:lang w:val="en-US" w:eastAsia="zh-CN"/>
                    </w:rPr>
                    <w:t>小型废水处理设施</w:t>
                  </w:r>
                </w:p>
              </w:tc>
              <w:tc>
                <w:tcPr>
                  <w:tcW w:w="665" w:type="pct"/>
                  <w:tcBorders>
                    <w:tl2br w:val="nil"/>
                    <w:tr2bl w:val="nil"/>
                  </w:tcBorders>
                  <w:noWrap w:val="0"/>
                  <w:vAlign w:val="center"/>
                </w:tcPr>
                <w:p w14:paraId="52FD13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cs="Times New Roman"/>
                      <w:bCs/>
                      <w:color w:val="000000"/>
                      <w:sz w:val="21"/>
                      <w:szCs w:val="21"/>
                      <w:lang w:val="en-US" w:eastAsia="zh-CN"/>
                    </w:rPr>
                  </w:pPr>
                  <w:r>
                    <w:rPr>
                      <w:rFonts w:hint="eastAsia" w:cs="Times New Roman"/>
                      <w:bCs/>
                      <w:color w:val="000000"/>
                      <w:sz w:val="21"/>
                      <w:szCs w:val="21"/>
                      <w:lang w:val="en-US" w:eastAsia="zh-CN"/>
                    </w:rPr>
                    <w:t>1</w:t>
                  </w:r>
                </w:p>
              </w:tc>
            </w:tr>
            <w:tr w14:paraId="06270B9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80" w:type="pct"/>
                  <w:vMerge w:val="continue"/>
                  <w:tcBorders>
                    <w:tl2br w:val="nil"/>
                    <w:tr2bl w:val="nil"/>
                  </w:tcBorders>
                  <w:noWrap w:val="0"/>
                  <w:vAlign w:val="center"/>
                </w:tcPr>
                <w:p w14:paraId="071F6B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Cs/>
                      <w:color w:val="000000"/>
                      <w:sz w:val="21"/>
                      <w:szCs w:val="21"/>
                    </w:rPr>
                  </w:pPr>
                </w:p>
              </w:tc>
              <w:tc>
                <w:tcPr>
                  <w:tcW w:w="717" w:type="pct"/>
                  <w:tcBorders>
                    <w:tl2br w:val="nil"/>
                    <w:tr2bl w:val="nil"/>
                  </w:tcBorders>
                  <w:noWrap w:val="0"/>
                  <w:vAlign w:val="center"/>
                </w:tcPr>
                <w:p w14:paraId="238ACB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Cs/>
                      <w:color w:val="000000"/>
                      <w:sz w:val="21"/>
                      <w:szCs w:val="21"/>
                      <w:lang w:eastAsia="zh-CN"/>
                    </w:rPr>
                  </w:pPr>
                  <w:r>
                    <w:rPr>
                      <w:rFonts w:hint="default" w:ascii="Times New Roman" w:hAnsi="Times New Roman" w:eastAsia="宋体" w:cs="Times New Roman"/>
                      <w:bCs/>
                      <w:color w:val="000000"/>
                      <w:sz w:val="21"/>
                      <w:szCs w:val="21"/>
                      <w:lang w:eastAsia="zh-CN"/>
                    </w:rPr>
                    <w:t>噪声治理</w:t>
                  </w:r>
                </w:p>
              </w:tc>
              <w:tc>
                <w:tcPr>
                  <w:tcW w:w="3036" w:type="pct"/>
                  <w:tcBorders>
                    <w:tl2br w:val="nil"/>
                    <w:tr2bl w:val="nil"/>
                  </w:tcBorders>
                  <w:noWrap w:val="0"/>
                  <w:vAlign w:val="center"/>
                </w:tcPr>
                <w:p w14:paraId="385DCA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Cs/>
                      <w:color w:val="000000"/>
                      <w:sz w:val="21"/>
                      <w:szCs w:val="21"/>
                      <w:lang w:eastAsia="zh-CN"/>
                    </w:rPr>
                  </w:pPr>
                  <w:r>
                    <w:rPr>
                      <w:rFonts w:hint="default" w:ascii="Times New Roman" w:hAnsi="Times New Roman" w:eastAsia="宋体" w:cs="Times New Roman"/>
                      <w:bCs/>
                      <w:color w:val="000000"/>
                      <w:sz w:val="21"/>
                      <w:szCs w:val="21"/>
                      <w:lang w:eastAsia="zh-CN"/>
                    </w:rPr>
                    <w:t>采用低噪声设备</w:t>
                  </w:r>
                  <w:r>
                    <w:rPr>
                      <w:rFonts w:hint="eastAsia" w:eastAsia="宋体" w:cs="Times New Roman"/>
                      <w:bCs/>
                      <w:color w:val="000000"/>
                      <w:sz w:val="21"/>
                      <w:szCs w:val="21"/>
                      <w:lang w:eastAsia="zh-CN"/>
                    </w:rPr>
                    <w:t>、</w:t>
                  </w:r>
                  <w:r>
                    <w:rPr>
                      <w:rFonts w:hint="default" w:ascii="Times New Roman" w:hAnsi="Times New Roman" w:eastAsia="宋体" w:cs="Times New Roman"/>
                      <w:bCs/>
                      <w:color w:val="000000"/>
                      <w:sz w:val="21"/>
                      <w:szCs w:val="21"/>
                      <w:lang w:eastAsia="zh-CN"/>
                    </w:rPr>
                    <w:t>隔声</w:t>
                  </w:r>
                  <w:r>
                    <w:rPr>
                      <w:rFonts w:hint="eastAsia" w:cs="Times New Roman"/>
                      <w:bCs/>
                      <w:color w:val="000000"/>
                      <w:sz w:val="21"/>
                      <w:szCs w:val="21"/>
                      <w:lang w:val="en-US" w:eastAsia="zh-CN"/>
                    </w:rPr>
                    <w:t>窗</w:t>
                  </w:r>
                  <w:r>
                    <w:rPr>
                      <w:rFonts w:hint="default" w:ascii="Times New Roman" w:hAnsi="Times New Roman" w:eastAsia="宋体" w:cs="Times New Roman"/>
                      <w:bCs/>
                      <w:color w:val="000000"/>
                      <w:sz w:val="21"/>
                      <w:szCs w:val="21"/>
                      <w:lang w:eastAsia="zh-CN"/>
                    </w:rPr>
                    <w:t>等措施</w:t>
                  </w:r>
                </w:p>
              </w:tc>
              <w:tc>
                <w:tcPr>
                  <w:tcW w:w="665" w:type="pct"/>
                  <w:tcBorders>
                    <w:tl2br w:val="nil"/>
                    <w:tr2bl w:val="nil"/>
                  </w:tcBorders>
                  <w:noWrap w:val="0"/>
                  <w:vAlign w:val="center"/>
                </w:tcPr>
                <w:p w14:paraId="15758E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Cs/>
                      <w:color w:val="000000"/>
                      <w:sz w:val="21"/>
                      <w:szCs w:val="21"/>
                      <w:lang w:val="en-US" w:eastAsia="zh-CN"/>
                    </w:rPr>
                  </w:pPr>
                  <w:r>
                    <w:rPr>
                      <w:rFonts w:hint="eastAsia"/>
                      <w:sz w:val="21"/>
                      <w:szCs w:val="21"/>
                      <w:lang w:val="en-US" w:eastAsia="zh-CN"/>
                    </w:rPr>
                    <w:t>0.5</w:t>
                  </w:r>
                </w:p>
              </w:tc>
            </w:tr>
            <w:tr w14:paraId="6DFB5F6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80" w:type="pct"/>
                  <w:vMerge w:val="continue"/>
                  <w:tcBorders>
                    <w:tl2br w:val="nil"/>
                    <w:tr2bl w:val="nil"/>
                  </w:tcBorders>
                  <w:noWrap w:val="0"/>
                  <w:vAlign w:val="center"/>
                </w:tcPr>
                <w:p w14:paraId="7F66F2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Cs/>
                      <w:color w:val="000000"/>
                      <w:sz w:val="21"/>
                      <w:szCs w:val="21"/>
                    </w:rPr>
                  </w:pPr>
                </w:p>
              </w:tc>
              <w:tc>
                <w:tcPr>
                  <w:tcW w:w="717" w:type="pct"/>
                  <w:tcBorders>
                    <w:tl2br w:val="nil"/>
                    <w:tr2bl w:val="nil"/>
                  </w:tcBorders>
                  <w:noWrap w:val="0"/>
                  <w:vAlign w:val="center"/>
                </w:tcPr>
                <w:p w14:paraId="29BBB2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Cs/>
                      <w:color w:val="000000"/>
                      <w:sz w:val="21"/>
                      <w:szCs w:val="21"/>
                      <w:lang w:eastAsia="zh-CN"/>
                    </w:rPr>
                  </w:pPr>
                  <w:r>
                    <w:rPr>
                      <w:rFonts w:hint="default" w:ascii="Times New Roman" w:hAnsi="Times New Roman" w:eastAsia="宋体" w:cs="Times New Roman"/>
                      <w:bCs/>
                      <w:color w:val="000000"/>
                      <w:sz w:val="21"/>
                      <w:szCs w:val="21"/>
                      <w:lang w:eastAsia="zh-CN"/>
                    </w:rPr>
                    <w:t>固废治理</w:t>
                  </w:r>
                </w:p>
              </w:tc>
              <w:tc>
                <w:tcPr>
                  <w:tcW w:w="3036" w:type="pct"/>
                  <w:tcBorders>
                    <w:tl2br w:val="nil"/>
                    <w:tr2bl w:val="nil"/>
                  </w:tcBorders>
                  <w:noWrap w:val="0"/>
                  <w:vAlign w:val="center"/>
                </w:tcPr>
                <w:p w14:paraId="4B403B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Cs/>
                      <w:color w:val="000000"/>
                      <w:sz w:val="21"/>
                      <w:szCs w:val="21"/>
                      <w:lang w:val="en-US" w:eastAsia="zh-CN"/>
                    </w:rPr>
                  </w:pPr>
                  <w:r>
                    <w:rPr>
                      <w:rFonts w:hint="eastAsia" w:cs="Times New Roman"/>
                      <w:bCs/>
                      <w:color w:val="000000"/>
                      <w:sz w:val="21"/>
                      <w:szCs w:val="21"/>
                      <w:highlight w:val="none"/>
                      <w:lang w:val="en-US" w:eastAsia="zh-CN"/>
                    </w:rPr>
                    <w:t>生活垃圾</w:t>
                  </w:r>
                  <w:r>
                    <w:rPr>
                      <w:rFonts w:hint="default" w:ascii="Times New Roman" w:hAnsi="Times New Roman" w:eastAsia="宋体" w:cs="Times New Roman"/>
                      <w:bCs/>
                      <w:color w:val="000000"/>
                      <w:sz w:val="21"/>
                      <w:szCs w:val="21"/>
                      <w:highlight w:val="none"/>
                      <w:lang w:eastAsia="zh-CN"/>
                    </w:rPr>
                    <w:t>收集、</w:t>
                  </w:r>
                  <w:r>
                    <w:rPr>
                      <w:rFonts w:hint="eastAsia" w:cs="Times New Roman"/>
                      <w:bCs/>
                      <w:color w:val="000000"/>
                      <w:sz w:val="21"/>
                      <w:szCs w:val="21"/>
                      <w:highlight w:val="none"/>
                      <w:lang w:val="en-US" w:eastAsia="zh-CN"/>
                    </w:rPr>
                    <w:t>动物诊疗废物</w:t>
                  </w:r>
                  <w:r>
                    <w:rPr>
                      <w:rFonts w:hint="default" w:ascii="Times New Roman" w:hAnsi="Times New Roman" w:eastAsia="宋体" w:cs="Times New Roman"/>
                      <w:bCs/>
                      <w:color w:val="000000"/>
                      <w:sz w:val="21"/>
                      <w:szCs w:val="21"/>
                      <w:highlight w:val="none"/>
                      <w:lang w:eastAsia="zh-CN"/>
                    </w:rPr>
                    <w:t>收集处置</w:t>
                  </w:r>
                </w:p>
              </w:tc>
              <w:tc>
                <w:tcPr>
                  <w:tcW w:w="665" w:type="pct"/>
                  <w:tcBorders>
                    <w:tl2br w:val="nil"/>
                    <w:tr2bl w:val="nil"/>
                  </w:tcBorders>
                  <w:noWrap w:val="0"/>
                  <w:vAlign w:val="center"/>
                </w:tcPr>
                <w:p w14:paraId="50FCA3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Cs/>
                      <w:color w:val="000000"/>
                      <w:sz w:val="21"/>
                      <w:szCs w:val="21"/>
                      <w:lang w:val="en-US" w:eastAsia="zh-CN"/>
                    </w:rPr>
                  </w:pPr>
                  <w:r>
                    <w:rPr>
                      <w:rFonts w:hint="eastAsia" w:cs="Times New Roman"/>
                      <w:bCs/>
                      <w:color w:val="000000"/>
                      <w:sz w:val="21"/>
                      <w:szCs w:val="21"/>
                      <w:lang w:val="en-US" w:eastAsia="zh-CN"/>
                    </w:rPr>
                    <w:t>1</w:t>
                  </w:r>
                </w:p>
              </w:tc>
            </w:tr>
            <w:tr w14:paraId="53FF5C0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334" w:type="pct"/>
                  <w:gridSpan w:val="3"/>
                  <w:tcBorders>
                    <w:tl2br w:val="nil"/>
                    <w:tr2bl w:val="nil"/>
                  </w:tcBorders>
                  <w:noWrap w:val="0"/>
                  <w:vAlign w:val="center"/>
                </w:tcPr>
                <w:p w14:paraId="6D9E59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Cs/>
                      <w:color w:val="000000"/>
                      <w:sz w:val="21"/>
                      <w:szCs w:val="21"/>
                      <w:lang w:eastAsia="zh-CN"/>
                    </w:rPr>
                  </w:pPr>
                  <w:r>
                    <w:rPr>
                      <w:rFonts w:hint="default" w:ascii="Times New Roman" w:hAnsi="Times New Roman" w:eastAsia="宋体" w:cs="Times New Roman"/>
                      <w:bCs/>
                      <w:color w:val="000000"/>
                      <w:sz w:val="21"/>
                      <w:szCs w:val="21"/>
                      <w:lang w:eastAsia="zh-CN"/>
                    </w:rPr>
                    <w:t>合计</w:t>
                  </w:r>
                </w:p>
              </w:tc>
              <w:tc>
                <w:tcPr>
                  <w:tcW w:w="665" w:type="pct"/>
                  <w:tcBorders>
                    <w:tl2br w:val="nil"/>
                    <w:tr2bl w:val="nil"/>
                  </w:tcBorders>
                  <w:noWrap w:val="0"/>
                  <w:vAlign w:val="center"/>
                </w:tcPr>
                <w:p w14:paraId="27A196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Cs/>
                      <w:color w:val="000000"/>
                      <w:sz w:val="21"/>
                      <w:szCs w:val="21"/>
                      <w:lang w:val="en-US" w:eastAsia="zh-CN"/>
                    </w:rPr>
                  </w:pPr>
                  <w:r>
                    <w:rPr>
                      <w:rFonts w:hint="eastAsia" w:cs="Times New Roman"/>
                      <w:bCs/>
                      <w:color w:val="000000"/>
                      <w:sz w:val="21"/>
                      <w:szCs w:val="21"/>
                      <w:lang w:val="en-US" w:eastAsia="zh-CN"/>
                    </w:rPr>
                    <w:t>3.5</w:t>
                  </w:r>
                </w:p>
              </w:tc>
            </w:tr>
          </w:tbl>
          <w:p w14:paraId="68F0E02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cs="Times New Roman"/>
                <w:color w:val="000000"/>
                <w:lang w:val="en-US" w:eastAsia="zh-CN"/>
              </w:rPr>
            </w:pPr>
          </w:p>
        </w:tc>
      </w:tr>
      <w:tr w14:paraId="348B47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4" w:type="dxa"/>
            <w:tcBorders>
              <w:tl2br w:val="nil"/>
              <w:tr2bl w:val="nil"/>
            </w:tcBorders>
            <w:noWrap w:val="0"/>
            <w:vAlign w:val="center"/>
          </w:tcPr>
          <w:p w14:paraId="41C38786">
            <w:pPr>
              <w:pStyle w:val="27"/>
              <w:keepNext w:val="0"/>
              <w:keepLines w:val="0"/>
              <w:pageBreakBefore w:val="0"/>
              <w:suppressLineNumbers w:val="0"/>
              <w:topLinePunct w:val="0"/>
              <w:bidi w:val="0"/>
              <w:adjustRightInd w:val="0"/>
              <w:snapToGrid w:val="0"/>
              <w:spacing w:before="0" w:beforeAutospacing="0" w:after="0" w:afterAutospacing="0"/>
              <w:ind w:left="0" w:leftChars="0" w:right="0" w:firstLine="0" w:firstLineChars="0"/>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b/>
                <w:bCs/>
                <w:color w:val="000000"/>
                <w:sz w:val="24"/>
                <w:szCs w:val="24"/>
              </w:rPr>
              <w:t>工艺流程和产排污环节</w:t>
            </w:r>
          </w:p>
        </w:tc>
        <w:tc>
          <w:tcPr>
            <w:tcW w:w="8373" w:type="dxa"/>
            <w:tcBorders>
              <w:tl2br w:val="nil"/>
              <w:tr2bl w:val="nil"/>
            </w:tcBorders>
            <w:noWrap w:val="0"/>
            <w:vAlign w:val="top"/>
          </w:tcPr>
          <w:p w14:paraId="1229FD6D">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ind w:left="0" w:leftChars="0" w:right="0" w:rightChars="0"/>
              <w:jc w:val="both"/>
              <w:textAlignment w:val="auto"/>
              <w:rPr>
                <w:rFonts w:hint="default"/>
              </w:rPr>
            </w:pPr>
            <w:r>
              <w:rPr>
                <w:rFonts w:hint="eastAsia" w:cs="Times New Roman"/>
                <w:b/>
                <w:bCs/>
                <w:color w:val="000000"/>
                <w:sz w:val="24"/>
                <w:szCs w:val="24"/>
                <w:highlight w:val="none"/>
                <w:lang w:val="en-US" w:eastAsia="zh-CN"/>
              </w:rPr>
              <w:t>1、</w:t>
            </w:r>
            <w:r>
              <w:rPr>
                <w:rFonts w:hint="default" w:ascii="Times New Roman" w:hAnsi="Times New Roman" w:eastAsia="宋体" w:cs="Times New Roman"/>
                <w:b/>
                <w:bCs/>
                <w:color w:val="000000"/>
                <w:sz w:val="24"/>
                <w:szCs w:val="24"/>
                <w:highlight w:val="none"/>
                <w:lang w:val="en-US" w:eastAsia="zh-CN"/>
              </w:rPr>
              <w:t>运营期工艺流程</w:t>
            </w:r>
            <w:r>
              <w:rPr>
                <w:rFonts w:hint="default" w:ascii="Times New Roman" w:hAnsi="Times New Roman" w:eastAsia="宋体" w:cs="Times New Roman"/>
                <w:b/>
                <w:bCs/>
                <w:color w:val="000000"/>
                <w:sz w:val="24"/>
                <w:szCs w:val="24"/>
                <w:highlight w:val="none"/>
              </w:rPr>
              <w:t>及产污环节</w:t>
            </w:r>
          </w:p>
          <w:p w14:paraId="10B642A2">
            <w:pPr>
              <w:pStyle w:val="7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cs="Times New Roman"/>
                <w:color w:val="000000"/>
                <w:lang w:val="en-US" w:eastAsia="zh-CN"/>
              </w:rPr>
            </w:pPr>
            <w:r>
              <w:rPr>
                <w:rFonts w:hint="default" w:ascii="Times New Roman" w:hAnsi="Times New Roman" w:eastAsia="宋体" w:cs="Times New Roman"/>
                <w:b w:val="0"/>
                <w:bCs w:val="0"/>
                <w:color w:val="000000"/>
                <w:kern w:val="2"/>
                <w:sz w:val="24"/>
                <w:szCs w:val="24"/>
                <w:highlight w:val="none"/>
                <w:lang w:val="en-US" w:eastAsia="zh-CN" w:bidi="ar-SA"/>
              </w:rPr>
              <w:t>运营期工艺流程及产污环节</w:t>
            </w:r>
            <w:r>
              <w:rPr>
                <w:rFonts w:hint="eastAsia" w:ascii="Times New Roman" w:hAnsi="Times New Roman" w:eastAsia="宋体" w:cs="Times New Roman"/>
                <w:b w:val="0"/>
                <w:bCs w:val="0"/>
                <w:color w:val="000000"/>
                <w:kern w:val="2"/>
                <w:sz w:val="24"/>
                <w:szCs w:val="24"/>
                <w:highlight w:val="none"/>
                <w:lang w:val="en-US" w:eastAsia="zh-CN" w:bidi="ar-SA"/>
              </w:rPr>
              <w:t>图见图2</w:t>
            </w:r>
            <w:r>
              <w:rPr>
                <w:rFonts w:hint="eastAsia" w:ascii="Times New Roman" w:hAnsi="Times New Roman" w:cs="Times New Roman"/>
                <w:b w:val="0"/>
                <w:bCs w:val="0"/>
                <w:color w:val="000000"/>
                <w:kern w:val="2"/>
                <w:sz w:val="24"/>
                <w:szCs w:val="24"/>
                <w:highlight w:val="none"/>
                <w:lang w:val="en-US" w:eastAsia="zh-CN" w:bidi="ar-SA"/>
              </w:rPr>
              <w:t>-3</w:t>
            </w:r>
            <w:r>
              <w:rPr>
                <w:rFonts w:hint="eastAsia" w:ascii="Times New Roman" w:hAnsi="Times New Roman" w:eastAsia="宋体" w:cs="Times New Roman"/>
                <w:b w:val="0"/>
                <w:bCs w:val="0"/>
                <w:color w:val="000000"/>
                <w:kern w:val="2"/>
                <w:sz w:val="24"/>
                <w:szCs w:val="24"/>
                <w:highlight w:val="none"/>
                <w:lang w:val="en-US" w:eastAsia="zh-CN" w:bidi="ar-SA"/>
              </w:rPr>
              <w:t>。</w:t>
            </w:r>
          </w:p>
          <w:p w14:paraId="7DAAA4D5">
            <w:pPr>
              <w:pStyle w:val="76"/>
              <w:keepNext w:val="0"/>
              <w:keepLines w:val="0"/>
              <w:pageBreakBefore w:val="0"/>
              <w:suppressLineNumbers w:val="0"/>
              <w:topLinePunct w:val="0"/>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bCs/>
                <w:color w:val="000000"/>
                <w:sz w:val="21"/>
                <w:szCs w:val="21"/>
                <w:highlight w:val="yellow"/>
                <w:lang w:eastAsia="zh-CN"/>
              </w:rPr>
            </w:pPr>
            <w:r>
              <w:rPr>
                <w:rFonts w:hint="default" w:ascii="Times New Roman" w:hAnsi="Times New Roman" w:eastAsia="宋体" w:cs="Times New Roman"/>
                <w:b/>
                <w:bCs/>
                <w:color w:val="000000"/>
                <w:sz w:val="21"/>
                <w:szCs w:val="21"/>
                <w:highlight w:val="none"/>
                <w:lang w:eastAsia="zh-CN"/>
              </w:rPr>
              <w:drawing>
                <wp:inline distT="0" distB="0" distL="114300" distR="114300">
                  <wp:extent cx="4764405" cy="2738120"/>
                  <wp:effectExtent l="0" t="0" r="0" b="0"/>
                  <wp:docPr id="9" name="ECB019B1-382A-4266-B25C-5B523AA43C14-2" descr="C:/Users/Administrator/AppData/Local/Temp/wps.UoNJyT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B019B1-382A-4266-B25C-5B523AA43C14-2" descr="C:/Users/Administrator/AppData/Local/Temp/wps.UoNJyTwps"/>
                          <pic:cNvPicPr>
                            <a:picLocks noChangeAspect="1"/>
                          </pic:cNvPicPr>
                        </pic:nvPicPr>
                        <pic:blipFill>
                          <a:blip r:embed="rId11"/>
                          <a:stretch>
                            <a:fillRect/>
                          </a:stretch>
                        </pic:blipFill>
                        <pic:spPr>
                          <a:xfrm>
                            <a:off x="0" y="0"/>
                            <a:ext cx="4764405" cy="2738120"/>
                          </a:xfrm>
                          <a:prstGeom prst="rect">
                            <a:avLst/>
                          </a:prstGeom>
                          <a:noFill/>
                        </pic:spPr>
                      </pic:pic>
                    </a:graphicData>
                  </a:graphic>
                </wp:inline>
              </w:drawing>
            </w:r>
          </w:p>
          <w:p w14:paraId="56F9452D">
            <w:pPr>
              <w:pStyle w:val="76"/>
              <w:keepNext w:val="0"/>
              <w:keepLines w:val="0"/>
              <w:pageBreakBefore w:val="0"/>
              <w:suppressLineNumbers w:val="0"/>
              <w:topLinePunct w:val="0"/>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sz w:val="21"/>
                <w:szCs w:val="21"/>
                <w:highlight w:val="none"/>
                <w:lang w:eastAsia="zh-CN"/>
              </w:rPr>
              <w:t>图</w:t>
            </w:r>
            <w:r>
              <w:rPr>
                <w:rFonts w:hint="eastAsia" w:ascii="Times New Roman" w:hAnsi="Times New Roman" w:eastAsia="宋体" w:cs="Times New Roman"/>
                <w:b/>
                <w:bCs/>
                <w:color w:val="000000"/>
                <w:sz w:val="21"/>
                <w:szCs w:val="21"/>
                <w:highlight w:val="none"/>
                <w:lang w:val="en-US" w:eastAsia="zh-CN"/>
              </w:rPr>
              <w:t>2</w:t>
            </w:r>
            <w:r>
              <w:rPr>
                <w:rFonts w:hint="eastAsia" w:ascii="Times New Roman" w:hAnsi="Times New Roman" w:cs="Times New Roman"/>
                <w:b/>
                <w:bCs/>
                <w:color w:val="000000"/>
                <w:sz w:val="21"/>
                <w:szCs w:val="21"/>
                <w:highlight w:val="none"/>
                <w:lang w:val="en-US" w:eastAsia="zh-CN"/>
              </w:rPr>
              <w:t>-3</w:t>
            </w:r>
            <w:r>
              <w:rPr>
                <w:rFonts w:hint="default" w:ascii="Times New Roman" w:hAnsi="Times New Roman" w:eastAsia="宋体" w:cs="Times New Roman"/>
                <w:b/>
                <w:bCs/>
                <w:color w:val="000000"/>
                <w:sz w:val="21"/>
                <w:szCs w:val="21"/>
                <w:highlight w:val="none"/>
                <w:lang w:eastAsia="zh-CN"/>
              </w:rPr>
              <w:t>生产</w:t>
            </w:r>
            <w:r>
              <w:rPr>
                <w:rFonts w:hint="default" w:ascii="Times New Roman" w:hAnsi="Times New Roman" w:eastAsia="宋体" w:cs="Times New Roman"/>
                <w:b/>
                <w:bCs/>
                <w:color w:val="000000"/>
                <w:sz w:val="21"/>
                <w:szCs w:val="21"/>
                <w:highlight w:val="none"/>
              </w:rPr>
              <w:t>工艺</w:t>
            </w:r>
            <w:r>
              <w:rPr>
                <w:rFonts w:hint="default" w:ascii="Times New Roman" w:hAnsi="Times New Roman" w:eastAsia="宋体" w:cs="Times New Roman"/>
                <w:b/>
                <w:bCs/>
                <w:color w:val="000000"/>
                <w:sz w:val="21"/>
                <w:szCs w:val="21"/>
                <w:highlight w:val="none"/>
                <w:lang w:eastAsia="zh-CN"/>
              </w:rPr>
              <w:t>流程</w:t>
            </w:r>
            <w:r>
              <w:rPr>
                <w:rFonts w:hint="default" w:ascii="Times New Roman" w:hAnsi="Times New Roman" w:eastAsia="宋体" w:cs="Times New Roman"/>
                <w:b/>
                <w:bCs/>
                <w:color w:val="000000"/>
                <w:sz w:val="21"/>
                <w:szCs w:val="21"/>
                <w:highlight w:val="none"/>
              </w:rPr>
              <w:t>及产污</w:t>
            </w:r>
            <w:r>
              <w:rPr>
                <w:rFonts w:hint="default" w:ascii="Times New Roman" w:hAnsi="Times New Roman" w:eastAsia="宋体" w:cs="Times New Roman"/>
                <w:b/>
                <w:bCs/>
                <w:color w:val="000000"/>
                <w:sz w:val="21"/>
                <w:szCs w:val="21"/>
                <w:highlight w:val="none"/>
                <w:lang w:eastAsia="zh-CN"/>
              </w:rPr>
              <w:t>环节</w:t>
            </w:r>
            <w:r>
              <w:rPr>
                <w:rFonts w:hint="default" w:ascii="Times New Roman" w:hAnsi="Times New Roman" w:eastAsia="宋体" w:cs="Times New Roman"/>
                <w:b/>
                <w:bCs/>
                <w:color w:val="000000"/>
                <w:sz w:val="21"/>
                <w:szCs w:val="21"/>
                <w:highlight w:val="none"/>
              </w:rPr>
              <w:t>图</w:t>
            </w:r>
          </w:p>
          <w:p w14:paraId="3BB2C1F9">
            <w:pPr>
              <w:pStyle w:val="5"/>
              <w:suppressLineNumbers w:val="0"/>
              <w:bidi w:val="0"/>
              <w:spacing w:before="0" w:beforeAutospacing="0" w:after="0" w:afterAutospacing="0"/>
              <w:ind w:left="0" w:right="0"/>
              <w:rPr>
                <w:rFonts w:hint="default" w:ascii="Times New Roman" w:hAnsi="Times New Roman" w:eastAsia="宋体" w:cs="Times New Roman"/>
                <w:color w:val="000000"/>
                <w:highlight w:val="none"/>
                <w:lang w:val="en-US" w:eastAsia="zh-CN"/>
              </w:rPr>
            </w:pPr>
            <w:bookmarkStart w:id="15" w:name="_Toc15633"/>
            <w:r>
              <w:rPr>
                <w:rFonts w:hint="default" w:ascii="Times New Roman" w:hAnsi="Times New Roman" w:eastAsia="宋体" w:cs="Times New Roman"/>
                <w:color w:val="000000"/>
                <w:highlight w:val="none"/>
                <w:lang w:val="en-US" w:eastAsia="zh-CN"/>
              </w:rPr>
              <w:t>工艺流程简述：</w:t>
            </w:r>
            <w:bookmarkEnd w:id="15"/>
          </w:p>
          <w:p w14:paraId="53BDCA19">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w:t>
            </w:r>
            <w:r>
              <w:rPr>
                <w:rFonts w:hint="eastAsia" w:cs="Times New Roman"/>
                <w:lang w:val="en-US" w:eastAsia="zh-CN"/>
              </w:rPr>
              <w:t>宠物诊疗</w:t>
            </w:r>
          </w:p>
          <w:p w14:paraId="62E727FE">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基础检查</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医护人员对宠物进行预检，用到医用酒精棉进行消毒，</w:t>
            </w:r>
            <w:r>
              <w:rPr>
                <w:rFonts w:hint="eastAsia" w:cs="Times New Roman"/>
                <w:lang w:val="en-US" w:eastAsia="zh-CN"/>
              </w:rPr>
              <w:t>本工序产生的污染物为</w:t>
            </w:r>
            <w:r>
              <w:rPr>
                <w:rFonts w:hint="default" w:ascii="Times New Roman" w:hAnsi="Times New Roman" w:eastAsia="宋体" w:cs="Times New Roman"/>
                <w:lang w:val="en-US" w:eastAsia="zh-CN"/>
              </w:rPr>
              <w:t>使用后的酒精棉</w:t>
            </w:r>
            <w:r>
              <w:rPr>
                <w:rFonts w:hint="eastAsia" w:ascii="Times New Roman" w:hAnsi="Times New Roman" w:eastAsia="宋体" w:cs="Times New Roman"/>
                <w:lang w:val="en-US" w:eastAsia="zh-CN"/>
              </w:rPr>
              <w:t>等</w:t>
            </w:r>
            <w:r>
              <w:rPr>
                <w:rFonts w:hint="eastAsia" w:cs="Times New Roman"/>
                <w:lang w:val="en-US" w:eastAsia="zh-CN"/>
              </w:rPr>
              <w:t>动物诊疗废物</w:t>
            </w:r>
            <w:r>
              <w:rPr>
                <w:rFonts w:hint="default" w:ascii="Times New Roman" w:hAnsi="Times New Roman" w:eastAsia="宋体" w:cs="Times New Roman"/>
                <w:lang w:val="en-US" w:eastAsia="zh-CN"/>
              </w:rPr>
              <w:t>。</w:t>
            </w:r>
          </w:p>
          <w:p w14:paraId="3C598BFB">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化验诊断</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为宠物安排化验，主要为宠物进行血常规检查，且采用成品试剂，此外，建设单位购置</w:t>
            </w:r>
            <w:r>
              <w:rPr>
                <w:rFonts w:hint="default" w:ascii="Times New Roman" w:hAnsi="Times New Roman" w:eastAsia="宋体" w:cs="Times New Roman"/>
                <w:highlight w:val="none"/>
                <w:lang w:val="en-US" w:eastAsia="zh-CN"/>
              </w:rPr>
              <w:t>医用X摄影系统</w:t>
            </w:r>
            <w:r>
              <w:rPr>
                <w:rFonts w:hint="default" w:ascii="Times New Roman" w:hAnsi="Times New Roman" w:eastAsia="宋体" w:cs="Times New Roman"/>
                <w:lang w:val="en-US" w:eastAsia="zh-CN"/>
              </w:rPr>
              <w:t>，得到数字图像供医生观看</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由宠物医生依据化验结果，结合问诊</w:t>
            </w:r>
            <w:r>
              <w:rPr>
                <w:rFonts w:hint="eastAsia" w:cs="Times New Roman"/>
                <w:lang w:val="en-US" w:eastAsia="zh-CN"/>
              </w:rPr>
              <w:t>（</w:t>
            </w:r>
            <w:r>
              <w:rPr>
                <w:rFonts w:hint="default" w:ascii="Times New Roman" w:hAnsi="Times New Roman" w:eastAsia="宋体" w:cs="Times New Roman"/>
                <w:lang w:val="en-US" w:eastAsia="zh-CN"/>
              </w:rPr>
              <w:t>宠物主人</w:t>
            </w:r>
            <w:r>
              <w:rPr>
                <w:rFonts w:hint="eastAsia" w:cs="Times New Roman"/>
                <w:lang w:val="en-US" w:eastAsia="zh-CN"/>
              </w:rPr>
              <w:t>）</w:t>
            </w:r>
            <w:r>
              <w:rPr>
                <w:rFonts w:hint="default" w:ascii="Times New Roman" w:hAnsi="Times New Roman" w:eastAsia="宋体" w:cs="Times New Roman"/>
                <w:lang w:val="en-US" w:eastAsia="zh-CN"/>
              </w:rPr>
              <w:t>、触诊及听诊等得出诊断结果</w:t>
            </w:r>
            <w:r>
              <w:rPr>
                <w:rFonts w:hint="eastAsia" w:cs="Times New Roman"/>
                <w:lang w:val="en-US" w:eastAsia="zh-CN"/>
              </w:rPr>
              <w:t>，</w:t>
            </w:r>
            <w:r>
              <w:rPr>
                <w:rFonts w:hint="default" w:ascii="Times New Roman" w:hAnsi="Times New Roman" w:eastAsia="宋体" w:cs="Times New Roman"/>
                <w:lang w:val="en-US" w:eastAsia="zh-CN"/>
              </w:rPr>
              <w:t>制定具体治疗方案</w:t>
            </w:r>
            <w:r>
              <w:rPr>
                <w:rFonts w:hint="eastAsia" w:cs="Times New Roman"/>
                <w:lang w:val="en-US" w:eastAsia="zh-CN"/>
              </w:rPr>
              <w:t>（</w:t>
            </w:r>
            <w:r>
              <w:rPr>
                <w:rFonts w:hint="default" w:ascii="Times New Roman" w:hAnsi="Times New Roman" w:eastAsia="宋体" w:cs="Times New Roman"/>
                <w:lang w:val="en-US" w:eastAsia="zh-CN"/>
              </w:rPr>
              <w:t>主要为配药、输液和手术</w:t>
            </w:r>
            <w:r>
              <w:rPr>
                <w:rFonts w:hint="eastAsia" w:cs="Times New Roman"/>
                <w:lang w:val="en-US" w:eastAsia="zh-CN"/>
              </w:rPr>
              <w:t>）</w:t>
            </w:r>
            <w:r>
              <w:rPr>
                <w:rFonts w:hint="default" w:ascii="Times New Roman" w:hAnsi="Times New Roman" w:eastAsia="宋体" w:cs="Times New Roman"/>
                <w:lang w:val="en-US" w:eastAsia="zh-CN"/>
              </w:rPr>
              <w:t>。</w:t>
            </w:r>
            <w:r>
              <w:rPr>
                <w:rFonts w:hint="eastAsia" w:cs="Times New Roman"/>
                <w:lang w:val="en-US" w:eastAsia="zh-CN"/>
              </w:rPr>
              <w:t>本工序产生的污染物为</w:t>
            </w:r>
            <w:r>
              <w:rPr>
                <w:rFonts w:hint="default" w:ascii="Times New Roman" w:hAnsi="Times New Roman" w:eastAsia="宋体" w:cs="Times New Roman"/>
                <w:lang w:val="en-US" w:eastAsia="zh-CN"/>
              </w:rPr>
              <w:t>化验使用的一次性医疗</w:t>
            </w:r>
            <w:r>
              <w:rPr>
                <w:rFonts w:hint="eastAsia" w:cs="Times New Roman"/>
                <w:lang w:val="en-US" w:eastAsia="zh-CN"/>
              </w:rPr>
              <w:t>器械</w:t>
            </w:r>
            <w:r>
              <w:rPr>
                <w:rFonts w:hint="default" w:ascii="Times New Roman" w:hAnsi="Times New Roman" w:eastAsia="宋体" w:cs="Times New Roman"/>
                <w:lang w:val="en-US" w:eastAsia="zh-CN"/>
              </w:rPr>
              <w:t>、棉签、宠物血液、针管等</w:t>
            </w:r>
            <w:r>
              <w:rPr>
                <w:rFonts w:hint="eastAsia" w:cs="Times New Roman"/>
                <w:lang w:val="en-US" w:eastAsia="zh-CN"/>
              </w:rPr>
              <w:t>动物诊疗废物</w:t>
            </w:r>
            <w:r>
              <w:rPr>
                <w:rFonts w:hint="eastAsia" w:ascii="Times New Roman" w:hAnsi="Times New Roman" w:eastAsia="宋体" w:cs="Times New Roman"/>
                <w:lang w:val="en-US" w:eastAsia="zh-CN"/>
              </w:rPr>
              <w:t>及</w:t>
            </w:r>
            <w:r>
              <w:rPr>
                <w:rFonts w:hint="default" w:ascii="Times New Roman" w:hAnsi="Times New Roman" w:eastAsia="宋体" w:cs="Times New Roman"/>
                <w:lang w:val="en-US" w:eastAsia="zh-CN"/>
              </w:rPr>
              <w:t>化验时仪器清洗及宠物医生洗手等产生</w:t>
            </w:r>
            <w:r>
              <w:rPr>
                <w:rFonts w:hint="eastAsia" w:ascii="Times New Roman" w:hAnsi="Times New Roman" w:eastAsia="宋体" w:cs="Times New Roman"/>
                <w:lang w:val="en-US" w:eastAsia="zh-CN"/>
              </w:rPr>
              <w:t>的</w:t>
            </w:r>
            <w:r>
              <w:rPr>
                <w:rFonts w:hint="eastAsia" w:cs="Times New Roman"/>
                <w:lang w:val="en-US" w:eastAsia="zh-CN"/>
              </w:rPr>
              <w:t>宠物诊疗</w:t>
            </w:r>
            <w:r>
              <w:rPr>
                <w:rFonts w:hint="default" w:ascii="Times New Roman" w:hAnsi="Times New Roman" w:eastAsia="宋体" w:cs="Times New Roman"/>
                <w:lang w:val="en-US" w:eastAsia="zh-CN"/>
              </w:rPr>
              <w:t>废水。</w:t>
            </w:r>
          </w:p>
          <w:p w14:paraId="67DD4BB1">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配药、输液、手术：医生根据就诊结果，确定病情较轻，直接拿药或输液后离开，病情严重或有特殊要求的宠物需进行手术治疗，术后病情好转的宠物，拿药或输液后离开，未好转的宠物进行住院观察。</w:t>
            </w:r>
            <w:r>
              <w:rPr>
                <w:rFonts w:hint="eastAsia" w:cs="Times New Roman"/>
                <w:lang w:val="en-US" w:eastAsia="zh-CN"/>
              </w:rPr>
              <w:t>本工序产生的污染物为</w:t>
            </w:r>
            <w:r>
              <w:rPr>
                <w:rFonts w:hint="default" w:ascii="Times New Roman" w:hAnsi="Times New Roman" w:eastAsia="宋体" w:cs="Times New Roman"/>
                <w:lang w:val="en-US" w:eastAsia="zh-CN"/>
              </w:rPr>
              <w:t>手术过程中手术台上铺的医用纱布、垫料，手术过程中产生的血液、废弃医用棉花、宠物医生的一次性手套、输液及手术过程中的一次性注射器、缝合针</w:t>
            </w:r>
            <w:r>
              <w:rPr>
                <w:rFonts w:hint="eastAsia" w:ascii="Times New Roman" w:hAnsi="Times New Roman" w:eastAsia="宋体" w:cs="Times New Roman"/>
                <w:lang w:val="en-US" w:eastAsia="zh-CN"/>
              </w:rPr>
              <w:t>及</w:t>
            </w:r>
            <w:r>
              <w:rPr>
                <w:rFonts w:hint="default" w:ascii="Times New Roman" w:hAnsi="Times New Roman" w:eastAsia="宋体" w:cs="Times New Roman"/>
                <w:lang w:val="en-US" w:eastAsia="zh-CN"/>
              </w:rPr>
              <w:t>切除的</w:t>
            </w:r>
            <w:r>
              <w:rPr>
                <w:rFonts w:hint="eastAsia" w:ascii="Times New Roman" w:hAnsi="Times New Roman" w:eastAsia="宋体" w:cs="Times New Roman"/>
                <w:lang w:val="en-US" w:eastAsia="zh-CN"/>
              </w:rPr>
              <w:t>器官</w:t>
            </w:r>
            <w:r>
              <w:rPr>
                <w:rFonts w:hint="default" w:ascii="Times New Roman" w:hAnsi="Times New Roman" w:eastAsia="宋体" w:cs="Times New Roman"/>
                <w:lang w:val="en-US" w:eastAsia="zh-CN"/>
              </w:rPr>
              <w:t>组织等</w:t>
            </w:r>
            <w:r>
              <w:rPr>
                <w:rFonts w:hint="eastAsia" w:cs="Times New Roman"/>
                <w:lang w:val="en-US" w:eastAsia="zh-CN"/>
              </w:rPr>
              <w:t>动物诊疗废物</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宠物医生手术后的清洗</w:t>
            </w:r>
            <w:r>
              <w:rPr>
                <w:rFonts w:hint="eastAsia" w:ascii="Times New Roman" w:hAnsi="Times New Roman" w:eastAsia="宋体" w:cs="Times New Roman"/>
                <w:lang w:val="en-US" w:eastAsia="zh-CN"/>
              </w:rPr>
              <w:t>设备及洗手产生的</w:t>
            </w:r>
            <w:r>
              <w:rPr>
                <w:rFonts w:hint="eastAsia" w:cs="Times New Roman"/>
                <w:lang w:val="en-US" w:eastAsia="zh-CN"/>
              </w:rPr>
              <w:t>宠物诊疗</w:t>
            </w:r>
            <w:r>
              <w:rPr>
                <w:rFonts w:hint="default" w:ascii="Times New Roman" w:hAnsi="Times New Roman" w:eastAsia="宋体" w:cs="Times New Roman"/>
                <w:lang w:val="en-US" w:eastAsia="zh-CN"/>
              </w:rPr>
              <w:t>废水</w:t>
            </w:r>
            <w:r>
              <w:rPr>
                <w:rFonts w:hint="eastAsia" w:ascii="Times New Roman" w:hAnsi="Times New Roman" w:eastAsia="宋体" w:cs="Times New Roman"/>
                <w:lang w:val="en-US" w:eastAsia="zh-CN"/>
              </w:rPr>
              <w:t>及宠物偶发的叫声</w:t>
            </w:r>
            <w:r>
              <w:rPr>
                <w:rFonts w:hint="default" w:ascii="Times New Roman" w:hAnsi="Times New Roman" w:eastAsia="宋体" w:cs="Times New Roman"/>
                <w:lang w:val="en-US" w:eastAsia="zh-CN"/>
              </w:rPr>
              <w:t>。</w:t>
            </w:r>
          </w:p>
          <w:p w14:paraId="68D5FD4B">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住院观察</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主要为</w:t>
            </w:r>
            <w:r>
              <w:rPr>
                <w:rFonts w:hint="eastAsia" w:ascii="Times New Roman" w:hAnsi="Times New Roman" w:eastAsia="宋体" w:cs="Times New Roman"/>
                <w:lang w:val="en-US" w:eastAsia="zh-CN"/>
              </w:rPr>
              <w:t>治疗后需要进一步住院的</w:t>
            </w:r>
            <w:r>
              <w:rPr>
                <w:rFonts w:hint="default" w:ascii="Times New Roman" w:hAnsi="Times New Roman" w:eastAsia="宋体" w:cs="Times New Roman"/>
                <w:lang w:val="en-US" w:eastAsia="zh-CN"/>
              </w:rPr>
              <w:t>宠物提供住院服务，产生的污染物主要为棉球、纱布等</w:t>
            </w:r>
            <w:r>
              <w:rPr>
                <w:rFonts w:hint="eastAsia" w:cs="Times New Roman"/>
                <w:lang w:val="en-US" w:eastAsia="zh-CN"/>
              </w:rPr>
              <w:t>动物诊疗废物</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动物粪便</w:t>
            </w:r>
            <w:r>
              <w:rPr>
                <w:rFonts w:hint="eastAsia" w:ascii="Times New Roman" w:hAnsi="Times New Roman" w:eastAsia="宋体" w:cs="Times New Roman"/>
                <w:lang w:val="en-US" w:eastAsia="zh-CN"/>
              </w:rPr>
              <w:t>、尿垫</w:t>
            </w:r>
            <w:r>
              <w:rPr>
                <w:rFonts w:hint="eastAsia" w:cs="Times New Roman"/>
                <w:color w:val="auto"/>
                <w:sz w:val="24"/>
                <w:szCs w:val="24"/>
                <w:highlight w:val="none"/>
                <w:lang w:val="en-US" w:eastAsia="zh-CN"/>
              </w:rPr>
              <w:t>、排泄物散发的少量异味及</w:t>
            </w:r>
            <w:r>
              <w:rPr>
                <w:rFonts w:hint="eastAsia" w:ascii="Times New Roman" w:hAnsi="Times New Roman" w:eastAsia="宋体" w:cs="Times New Roman"/>
                <w:lang w:val="en-US" w:eastAsia="zh-CN"/>
              </w:rPr>
              <w:t>宠物偶发的叫声</w:t>
            </w:r>
            <w:r>
              <w:rPr>
                <w:rFonts w:hint="eastAsia" w:cs="Times New Roman"/>
                <w:color w:val="auto"/>
                <w:sz w:val="24"/>
                <w:szCs w:val="24"/>
                <w:highlight w:val="none"/>
                <w:lang w:val="en-US" w:eastAsia="zh-CN"/>
              </w:rPr>
              <w:t>。</w:t>
            </w:r>
          </w:p>
          <w:p w14:paraId="30D84BFB">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出院</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观察一段时间后，宠物恢复，离开医院。</w:t>
            </w:r>
            <w:r>
              <w:rPr>
                <w:rFonts w:hint="eastAsia" w:ascii="Times New Roman" w:hAnsi="Times New Roman" w:eastAsia="宋体" w:cs="Times New Roman"/>
                <w:lang w:val="en-US" w:eastAsia="zh-CN"/>
              </w:rPr>
              <w:t>（一般不会出现宠物死亡情况，若有宠物在治疗过程中因意外不幸死亡，尸体由宠物主带回妥善处理，本项目不进行宠物尸体处理。）</w:t>
            </w:r>
          </w:p>
          <w:p w14:paraId="2D5B0543">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w:t>
            </w:r>
            <w:r>
              <w:rPr>
                <w:rFonts w:hint="eastAsia" w:cs="Times New Roman"/>
                <w:lang w:val="en-US" w:eastAsia="zh-CN"/>
              </w:rPr>
              <w:t>2</w:t>
            </w:r>
            <w:r>
              <w:rPr>
                <w:rFonts w:hint="default" w:ascii="Times New Roman" w:hAnsi="Times New Roman" w:eastAsia="宋体" w:cs="Times New Roman"/>
                <w:lang w:val="en-US" w:eastAsia="zh-CN"/>
              </w:rPr>
              <w:t>）</w:t>
            </w:r>
            <w:r>
              <w:rPr>
                <w:rFonts w:hint="eastAsia" w:cs="Times New Roman"/>
                <w:lang w:val="en-US" w:eastAsia="zh-CN"/>
              </w:rPr>
              <w:t>疫苗接种</w:t>
            </w:r>
          </w:p>
          <w:p w14:paraId="231C217B">
            <w:pPr>
              <w:pStyle w:val="10"/>
              <w:keepNext w:val="0"/>
              <w:keepLines w:val="0"/>
              <w:suppressLineNumbers w:val="0"/>
              <w:spacing w:before="0" w:beforeAutospacing="0" w:after="0" w:afterAutospacing="0"/>
              <w:ind w:left="0" w:right="0"/>
              <w:rPr>
                <w:rFonts w:hint="eastAsia" w:ascii="Times New Roman" w:hAnsi="Times New Roman" w:eastAsia="宋体" w:cs="Times New Roman"/>
                <w:i w:val="0"/>
                <w:iCs w:val="0"/>
                <w:caps w:val="0"/>
                <w:color w:val="000000"/>
                <w:spacing w:val="0"/>
                <w:sz w:val="24"/>
                <w:szCs w:val="24"/>
                <w:shd w:val="clear" w:fill="FFFFFF"/>
                <w:lang w:val="en-US" w:eastAsia="zh-CN"/>
              </w:rPr>
            </w:pPr>
            <w:r>
              <w:rPr>
                <w:rFonts w:hint="default" w:ascii="Segoe UI" w:hAnsi="Segoe UI" w:eastAsia="Segoe UI" w:cs="Segoe UI"/>
                <w:i w:val="0"/>
                <w:iCs w:val="0"/>
                <w:caps w:val="0"/>
                <w:spacing w:val="0"/>
                <w:sz w:val="24"/>
                <w:szCs w:val="24"/>
                <w:shd w:val="clear" w:fill="FFFFFF"/>
              </w:rPr>
              <w:t>根据客户要求，对宠物进行狂犬病、犬瘟热病毒等疫苗的接种工作。</w:t>
            </w:r>
            <w:r>
              <w:rPr>
                <w:rFonts w:hint="eastAsia" w:cs="Times New Roman"/>
                <w:lang w:val="en-US" w:eastAsia="zh-CN"/>
              </w:rPr>
              <w:t>本工序产生的污染物为</w:t>
            </w:r>
            <w:r>
              <w:rPr>
                <w:rFonts w:hint="default" w:ascii="Segoe UI" w:hAnsi="Segoe UI" w:eastAsia="Segoe UI" w:cs="Segoe UI"/>
                <w:i w:val="0"/>
                <w:iCs w:val="0"/>
                <w:caps w:val="0"/>
                <w:spacing w:val="0"/>
                <w:sz w:val="24"/>
                <w:szCs w:val="24"/>
                <w:shd w:val="clear" w:fill="FFFFFF"/>
              </w:rPr>
              <w:t>废针管针头等</w:t>
            </w:r>
            <w:r>
              <w:rPr>
                <w:rFonts w:hint="eastAsia" w:ascii="Segoe UI" w:hAnsi="Segoe UI" w:eastAsia="宋体" w:cs="Segoe UI"/>
                <w:i w:val="0"/>
                <w:iCs w:val="0"/>
                <w:caps w:val="0"/>
                <w:spacing w:val="0"/>
                <w:sz w:val="24"/>
                <w:szCs w:val="24"/>
                <w:shd w:val="clear" w:fill="FFFFFF"/>
                <w:lang w:eastAsia="zh-CN"/>
              </w:rPr>
              <w:t>动物诊疗废物。</w:t>
            </w:r>
          </w:p>
          <w:p w14:paraId="5DC660B2">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w:t>
            </w:r>
            <w:r>
              <w:rPr>
                <w:rFonts w:hint="eastAsia" w:cs="Times New Roman"/>
                <w:lang w:val="en-US" w:eastAsia="zh-CN"/>
              </w:rPr>
              <w:t>3</w:t>
            </w:r>
            <w:r>
              <w:rPr>
                <w:rFonts w:hint="default" w:ascii="Times New Roman" w:hAnsi="Times New Roman" w:eastAsia="宋体" w:cs="Times New Roman"/>
                <w:lang w:val="en-US" w:eastAsia="zh-CN"/>
              </w:rPr>
              <w:t>）</w:t>
            </w:r>
            <w:r>
              <w:rPr>
                <w:rFonts w:hint="eastAsia" w:cs="Times New Roman"/>
                <w:lang w:val="en-US" w:eastAsia="zh-CN"/>
              </w:rPr>
              <w:t>宠物美容</w:t>
            </w:r>
          </w:p>
          <w:p w14:paraId="2CDC2F04">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洗浴</w:t>
            </w:r>
            <w:r>
              <w:rPr>
                <w:rFonts w:hint="eastAsia" w:cs="Times New Roman"/>
                <w:color w:val="auto"/>
                <w:highlight w:val="none"/>
                <w:lang w:val="en-US" w:eastAsia="zh-CN"/>
              </w:rPr>
              <w:t>：</w:t>
            </w:r>
            <w:r>
              <w:rPr>
                <w:rFonts w:hint="default" w:ascii="Times New Roman" w:hAnsi="Times New Roman" w:eastAsia="宋体" w:cs="Times New Roman"/>
                <w:color w:val="auto"/>
                <w:highlight w:val="none"/>
                <w:lang w:val="en-US" w:eastAsia="zh-CN"/>
              </w:rPr>
              <w:t>将宠物放入单独的洗浴间洗浴，使用洗护用品均为无磷型，宠物洗澡的时候，会有毛发遗留在浴缸里，浴缸里的塞子都设有过滤网，可以隔离毛发，产生的宠物毛发等</w:t>
            </w:r>
            <w:r>
              <w:rPr>
                <w:rFonts w:hint="eastAsia" w:cs="Times New Roman"/>
                <w:color w:val="auto"/>
                <w:highlight w:val="none"/>
                <w:lang w:val="en-US" w:eastAsia="zh-CN"/>
              </w:rPr>
              <w:t>美容废弃物</w:t>
            </w:r>
            <w:r>
              <w:rPr>
                <w:rFonts w:hint="default" w:ascii="Times New Roman" w:hAnsi="Times New Roman" w:eastAsia="宋体" w:cs="Times New Roman"/>
                <w:color w:val="auto"/>
                <w:highlight w:val="none"/>
                <w:lang w:val="en-US" w:eastAsia="zh-CN"/>
              </w:rPr>
              <w:t>作为</w:t>
            </w:r>
            <w:r>
              <w:rPr>
                <w:rFonts w:hint="eastAsia" w:cs="Times New Roman"/>
                <w:color w:val="auto"/>
                <w:highlight w:val="none"/>
                <w:lang w:val="en-US" w:eastAsia="zh-CN"/>
              </w:rPr>
              <w:t>一般固废</w:t>
            </w:r>
            <w:r>
              <w:rPr>
                <w:rFonts w:hint="default" w:ascii="Times New Roman" w:hAnsi="Times New Roman" w:eastAsia="宋体" w:cs="Times New Roman"/>
                <w:color w:val="auto"/>
                <w:highlight w:val="none"/>
                <w:lang w:val="en-US" w:eastAsia="zh-CN"/>
              </w:rPr>
              <w:t>收集处理，该工序产生</w:t>
            </w:r>
            <w:r>
              <w:rPr>
                <w:rFonts w:hint="eastAsia" w:cs="Times New Roman"/>
                <w:color w:val="auto"/>
                <w:highlight w:val="none"/>
                <w:lang w:val="en-US" w:eastAsia="zh-CN"/>
              </w:rPr>
              <w:t>宠物清洗</w:t>
            </w:r>
            <w:r>
              <w:rPr>
                <w:rFonts w:hint="default" w:ascii="Times New Roman" w:hAnsi="Times New Roman" w:eastAsia="宋体" w:cs="Times New Roman"/>
                <w:color w:val="auto"/>
                <w:highlight w:val="none"/>
                <w:lang w:val="en-US" w:eastAsia="zh-CN"/>
              </w:rPr>
              <w:t>废水。</w:t>
            </w:r>
          </w:p>
          <w:p w14:paraId="712C9FCE">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美容</w:t>
            </w:r>
            <w:r>
              <w:rPr>
                <w:rFonts w:hint="eastAsia" w:cs="Times New Roman"/>
                <w:color w:val="auto"/>
                <w:highlight w:val="none"/>
                <w:lang w:val="en-US" w:eastAsia="zh-CN"/>
              </w:rPr>
              <w:t>：</w:t>
            </w:r>
            <w:r>
              <w:rPr>
                <w:rFonts w:hint="default" w:ascii="Times New Roman" w:hAnsi="Times New Roman" w:eastAsia="宋体" w:cs="Times New Roman"/>
                <w:color w:val="auto"/>
                <w:highlight w:val="none"/>
                <w:lang w:val="en-US" w:eastAsia="zh-CN"/>
              </w:rPr>
              <w:t>洗浴结束后，用大风量吹风机</w:t>
            </w:r>
            <w:r>
              <w:rPr>
                <w:rFonts w:hint="eastAsia" w:cs="Times New Roman"/>
                <w:color w:val="auto"/>
                <w:highlight w:val="none"/>
                <w:lang w:val="en-US" w:eastAsia="zh-CN"/>
              </w:rPr>
              <w:t>或烘干机</w:t>
            </w:r>
            <w:r>
              <w:rPr>
                <w:rFonts w:hint="default" w:ascii="Times New Roman" w:hAnsi="Times New Roman" w:eastAsia="宋体" w:cs="Times New Roman"/>
                <w:color w:val="auto"/>
                <w:highlight w:val="none"/>
                <w:lang w:val="en-US" w:eastAsia="zh-CN"/>
              </w:rPr>
              <w:t>将动物毛</w:t>
            </w:r>
            <w:r>
              <w:rPr>
                <w:rFonts w:hint="eastAsia" w:cs="Times New Roman"/>
                <w:color w:val="auto"/>
                <w:highlight w:val="none"/>
                <w:lang w:val="en-US" w:eastAsia="zh-CN"/>
              </w:rPr>
              <w:t>发</w:t>
            </w:r>
            <w:r>
              <w:rPr>
                <w:rFonts w:hint="default" w:ascii="Times New Roman" w:hAnsi="Times New Roman" w:eastAsia="宋体" w:cs="Times New Roman"/>
                <w:color w:val="auto"/>
                <w:highlight w:val="none"/>
                <w:lang w:val="en-US" w:eastAsia="zh-CN"/>
              </w:rPr>
              <w:t>吹干，并进行动物毛、指甲的修剪以及眼睛、耳朵的相应护理等。美容过程产生动物毛、指甲、废棉签等</w:t>
            </w:r>
            <w:r>
              <w:rPr>
                <w:rFonts w:hint="eastAsia" w:cs="Times New Roman"/>
                <w:color w:val="auto"/>
                <w:highlight w:val="none"/>
                <w:lang w:val="en-US" w:eastAsia="zh-CN"/>
              </w:rPr>
              <w:t>美容废弃物作为一般固废收集处置</w:t>
            </w:r>
            <w:r>
              <w:rPr>
                <w:rFonts w:hint="default" w:ascii="Times New Roman" w:hAnsi="Times New Roman" w:eastAsia="宋体" w:cs="Times New Roman"/>
                <w:color w:val="auto"/>
                <w:highlight w:val="none"/>
                <w:lang w:val="en-US" w:eastAsia="zh-CN"/>
              </w:rPr>
              <w:t>。</w:t>
            </w:r>
          </w:p>
          <w:p w14:paraId="17556D46">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w:t>
            </w:r>
            <w:r>
              <w:rPr>
                <w:rFonts w:hint="eastAsia" w:cs="Times New Roman"/>
                <w:highlight w:val="none"/>
                <w:lang w:val="en-US" w:eastAsia="zh-CN"/>
              </w:rPr>
              <w:t>4</w:t>
            </w:r>
            <w:r>
              <w:rPr>
                <w:rFonts w:hint="default" w:ascii="Times New Roman" w:hAnsi="Times New Roman" w:eastAsia="宋体" w:cs="Times New Roman"/>
                <w:highlight w:val="none"/>
                <w:lang w:val="en-US" w:eastAsia="zh-CN"/>
              </w:rPr>
              <w:t>）</w:t>
            </w:r>
            <w:r>
              <w:rPr>
                <w:rFonts w:hint="eastAsia" w:cs="Times New Roman"/>
                <w:highlight w:val="none"/>
                <w:lang w:val="en-US" w:eastAsia="zh-CN"/>
              </w:rPr>
              <w:t>宠物寄养</w:t>
            </w:r>
          </w:p>
          <w:p w14:paraId="5145E5C7">
            <w:pPr>
              <w:pStyle w:val="103"/>
              <w:keepNext w:val="0"/>
              <w:keepLines w:val="0"/>
              <w:suppressLineNumbers w:val="0"/>
              <w:bidi w:val="0"/>
              <w:spacing w:before="0" w:beforeAutospacing="0" w:after="0" w:afterAutospacing="0"/>
              <w:ind w:left="0" w:right="0"/>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对短期出行不方便照顾宠物的主人</w:t>
            </w:r>
            <w:r>
              <w:rPr>
                <w:rFonts w:hint="eastAsia" w:ascii="Times New Roman" w:hAnsi="Times New Roman" w:cs="Times New Roman"/>
                <w:color w:val="auto"/>
                <w:sz w:val="24"/>
                <w:szCs w:val="24"/>
                <w:highlight w:val="none"/>
                <w:lang w:val="en-US" w:eastAsia="zh-CN"/>
              </w:rPr>
              <w:t>提供</w:t>
            </w:r>
            <w:r>
              <w:rPr>
                <w:rFonts w:hint="eastAsia" w:cs="Times New Roman"/>
                <w:color w:val="auto"/>
                <w:sz w:val="24"/>
                <w:szCs w:val="24"/>
                <w:highlight w:val="none"/>
                <w:lang w:val="en-US" w:eastAsia="zh-CN"/>
              </w:rPr>
              <w:t>宠物</w:t>
            </w:r>
            <w:r>
              <w:rPr>
                <w:rFonts w:hint="eastAsia" w:ascii="Times New Roman" w:hAnsi="Times New Roman" w:cs="Times New Roman"/>
                <w:color w:val="auto"/>
                <w:sz w:val="24"/>
                <w:szCs w:val="24"/>
                <w:highlight w:val="none"/>
                <w:lang w:val="en-US" w:eastAsia="zh-CN"/>
              </w:rPr>
              <w:t>短期寄养</w:t>
            </w:r>
            <w:r>
              <w:rPr>
                <w:rFonts w:hint="eastAsia" w:cs="Times New Roman"/>
                <w:color w:val="auto"/>
                <w:sz w:val="24"/>
                <w:szCs w:val="24"/>
                <w:highlight w:val="none"/>
                <w:lang w:val="en-US" w:eastAsia="zh-CN"/>
              </w:rPr>
              <w:t>服务</w:t>
            </w:r>
            <w:r>
              <w:rPr>
                <w:rFonts w:hint="eastAsia" w:ascii="Times New Roman" w:hAnsi="Times New Roman" w:cs="Times New Roman"/>
                <w:color w:val="auto"/>
                <w:sz w:val="24"/>
                <w:szCs w:val="24"/>
                <w:highlight w:val="none"/>
                <w:lang w:val="en-US" w:eastAsia="zh-CN"/>
              </w:rPr>
              <w:t>，产生的污染物主要为动物粪便</w:t>
            </w:r>
            <w:r>
              <w:rPr>
                <w:rFonts w:hint="eastAsia" w:cs="Times New Roman"/>
                <w:color w:val="auto"/>
                <w:sz w:val="24"/>
                <w:szCs w:val="24"/>
                <w:highlight w:val="none"/>
                <w:lang w:val="en-US" w:eastAsia="zh-CN"/>
              </w:rPr>
              <w:t>、尿垫</w:t>
            </w:r>
            <w:r>
              <w:rPr>
                <w:rFonts w:hint="eastAsia" w:ascii="Times New Roman" w:hAnsi="Times New Roman" w:eastAsia="宋体" w:cs="Times New Roman"/>
                <w:lang w:val="en-US" w:eastAsia="zh-CN"/>
              </w:rPr>
              <w:t>及宠物偶发的叫声</w:t>
            </w:r>
            <w:r>
              <w:rPr>
                <w:rFonts w:hint="eastAsia" w:cs="Times New Roman"/>
                <w:color w:val="auto"/>
                <w:sz w:val="24"/>
                <w:szCs w:val="24"/>
                <w:highlight w:val="none"/>
                <w:lang w:val="en-US" w:eastAsia="zh-CN"/>
              </w:rPr>
              <w:t>及排泄物散发的少量异味。</w:t>
            </w:r>
          </w:p>
          <w:p w14:paraId="10321FFC">
            <w:pPr>
              <w:pStyle w:val="103"/>
              <w:keepNext w:val="0"/>
              <w:keepLines w:val="0"/>
              <w:numPr>
                <w:ilvl w:val="0"/>
                <w:numId w:val="0"/>
              </w:numPr>
              <w:suppressLineNumbers w:val="0"/>
              <w:bidi w:val="0"/>
              <w:spacing w:before="0" w:beforeAutospacing="0" w:after="0" w:afterAutospacing="0"/>
              <w:ind w:left="0" w:leftChars="0" w:right="0" w:rightChars="0"/>
              <w:rPr>
                <w:rFonts w:hint="default"/>
                <w:b/>
                <w:bCs/>
              </w:rPr>
            </w:pPr>
            <w:r>
              <w:rPr>
                <w:rFonts w:hint="eastAsia" w:ascii="Times New Roman" w:hAnsi="Times New Roman" w:eastAsia="宋体" w:cs="Times New Roman"/>
                <w:b/>
                <w:bCs/>
                <w:color w:val="000000"/>
                <w:sz w:val="24"/>
                <w:szCs w:val="24"/>
                <w:highlight w:val="none"/>
                <w:lang w:val="en-US" w:eastAsia="zh-CN"/>
              </w:rPr>
              <w:t>2、诊疗废水</w:t>
            </w:r>
            <w:r>
              <w:rPr>
                <w:rFonts w:hint="default" w:ascii="Times New Roman" w:hAnsi="Times New Roman" w:eastAsia="宋体" w:cs="Times New Roman"/>
                <w:b/>
                <w:bCs/>
                <w:color w:val="000000"/>
                <w:sz w:val="24"/>
                <w:szCs w:val="24"/>
                <w:highlight w:val="none"/>
                <w:lang w:val="en-US" w:eastAsia="zh-CN"/>
              </w:rPr>
              <w:t>工艺流程</w:t>
            </w:r>
            <w:r>
              <w:rPr>
                <w:rFonts w:hint="eastAsia" w:ascii="Times New Roman" w:hAnsi="Times New Roman" w:eastAsia="宋体" w:cs="Times New Roman"/>
                <w:b/>
                <w:bCs/>
                <w:color w:val="000000"/>
                <w:sz w:val="24"/>
                <w:szCs w:val="24"/>
                <w:highlight w:val="none"/>
                <w:lang w:val="en-US" w:eastAsia="zh-CN"/>
              </w:rPr>
              <w:t>图</w:t>
            </w:r>
          </w:p>
          <w:p w14:paraId="1A6E0F6C">
            <w:pPr>
              <w:pStyle w:val="103"/>
              <w:keepNext w:val="0"/>
              <w:keepLines w:val="0"/>
              <w:numPr>
                <w:ilvl w:val="0"/>
                <w:numId w:val="0"/>
              </w:numPr>
              <w:suppressLineNumbers w:val="0"/>
              <w:bidi w:val="0"/>
              <w:spacing w:before="0" w:beforeAutospacing="0" w:after="0" w:afterAutospacing="0"/>
              <w:ind w:left="0" w:leftChars="0" w:right="0" w:rightChars="0"/>
              <w:rPr>
                <w:rFonts w:hint="default"/>
                <w:b/>
                <w:bCs/>
                <w:lang w:val="en-US" w:eastAsia="zh-CN"/>
              </w:rPr>
            </w:pPr>
            <w:r>
              <w:rPr>
                <w:rFonts w:hint="default"/>
                <w:b/>
                <w:bCs/>
                <w:lang w:val="en-US" w:eastAsia="zh-CN"/>
              </w:rPr>
              <w:drawing>
                <wp:inline distT="0" distB="0" distL="114300" distR="114300">
                  <wp:extent cx="4431665" cy="1588770"/>
                  <wp:effectExtent l="0" t="0" r="0" b="0"/>
                  <wp:docPr id="8" name="ECB019B1-382A-4266-B25C-5B523AA43C14-3" descr="C:/Users/MyPC/AppData/Local/Temp/wps.TzYjuG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CB019B1-382A-4266-B25C-5B523AA43C14-3" descr="C:/Users/MyPC/AppData/Local/Temp/wps.TzYjuGwps"/>
                          <pic:cNvPicPr>
                            <a:picLocks noChangeAspect="1"/>
                          </pic:cNvPicPr>
                        </pic:nvPicPr>
                        <pic:blipFill>
                          <a:blip r:embed="rId12"/>
                          <a:stretch>
                            <a:fillRect/>
                          </a:stretch>
                        </pic:blipFill>
                        <pic:spPr>
                          <a:xfrm>
                            <a:off x="0" y="0"/>
                            <a:ext cx="4431665" cy="1588770"/>
                          </a:xfrm>
                          <a:prstGeom prst="rect">
                            <a:avLst/>
                          </a:prstGeom>
                        </pic:spPr>
                      </pic:pic>
                    </a:graphicData>
                  </a:graphic>
                </wp:inline>
              </w:drawing>
            </w:r>
          </w:p>
          <w:p w14:paraId="42CCA36A">
            <w:pPr>
              <w:pStyle w:val="103"/>
              <w:keepNext w:val="0"/>
              <w:keepLines w:val="0"/>
              <w:numPr>
                <w:ilvl w:val="0"/>
                <w:numId w:val="0"/>
              </w:numPr>
              <w:suppressLineNumbers w:val="0"/>
              <w:bidi w:val="0"/>
              <w:spacing w:before="0" w:beforeAutospacing="0" w:after="0" w:afterAutospacing="0"/>
              <w:ind w:left="0" w:leftChars="0" w:right="0" w:rightChars="0"/>
              <w:jc w:val="center"/>
              <w:rPr>
                <w:rFonts w:hint="default"/>
                <w:b/>
                <w:bCs/>
                <w:lang w:val="en-US" w:eastAsia="zh-CN"/>
              </w:rPr>
            </w:pPr>
            <w:r>
              <w:rPr>
                <w:rFonts w:hint="default" w:ascii="Times New Roman" w:hAnsi="Times New Roman" w:eastAsia="宋体" w:cs="Times New Roman"/>
                <w:b/>
                <w:bCs/>
                <w:color w:val="000000"/>
                <w:sz w:val="21"/>
                <w:szCs w:val="21"/>
                <w:highlight w:val="none"/>
                <w:lang w:eastAsia="zh-CN"/>
              </w:rPr>
              <w:t>图</w:t>
            </w:r>
            <w:r>
              <w:rPr>
                <w:rFonts w:hint="eastAsia" w:ascii="Times New Roman" w:hAnsi="Times New Roman" w:eastAsia="宋体" w:cs="Times New Roman"/>
                <w:b/>
                <w:bCs/>
                <w:color w:val="000000"/>
                <w:sz w:val="21"/>
                <w:szCs w:val="21"/>
                <w:highlight w:val="none"/>
                <w:lang w:val="en-US" w:eastAsia="zh-CN"/>
              </w:rPr>
              <w:t>2</w:t>
            </w:r>
            <w:r>
              <w:rPr>
                <w:rFonts w:hint="eastAsia" w:ascii="Times New Roman" w:hAnsi="Times New Roman" w:cs="Times New Roman"/>
                <w:b/>
                <w:bCs/>
                <w:color w:val="000000"/>
                <w:sz w:val="21"/>
                <w:szCs w:val="21"/>
                <w:highlight w:val="none"/>
                <w:lang w:val="en-US" w:eastAsia="zh-CN"/>
              </w:rPr>
              <w:t>-4诊疗废水</w:t>
            </w:r>
            <w:r>
              <w:rPr>
                <w:rFonts w:hint="default" w:ascii="Times New Roman" w:hAnsi="Times New Roman" w:eastAsia="宋体" w:cs="Times New Roman"/>
                <w:b/>
                <w:bCs/>
                <w:color w:val="000000"/>
                <w:sz w:val="21"/>
                <w:szCs w:val="21"/>
                <w:highlight w:val="none"/>
              </w:rPr>
              <w:t>工艺</w:t>
            </w:r>
            <w:r>
              <w:rPr>
                <w:rFonts w:hint="default" w:ascii="Times New Roman" w:hAnsi="Times New Roman" w:eastAsia="宋体" w:cs="Times New Roman"/>
                <w:b/>
                <w:bCs/>
                <w:color w:val="000000"/>
                <w:sz w:val="21"/>
                <w:szCs w:val="21"/>
                <w:highlight w:val="none"/>
                <w:lang w:eastAsia="zh-CN"/>
              </w:rPr>
              <w:t>流程</w:t>
            </w:r>
            <w:r>
              <w:rPr>
                <w:rFonts w:hint="default" w:ascii="Times New Roman" w:hAnsi="Times New Roman" w:eastAsia="宋体" w:cs="Times New Roman"/>
                <w:b/>
                <w:bCs/>
                <w:color w:val="000000"/>
                <w:sz w:val="21"/>
                <w:szCs w:val="21"/>
                <w:highlight w:val="none"/>
              </w:rPr>
              <w:t>及产污</w:t>
            </w:r>
            <w:r>
              <w:rPr>
                <w:rFonts w:hint="default" w:ascii="Times New Roman" w:hAnsi="Times New Roman" w:eastAsia="宋体" w:cs="Times New Roman"/>
                <w:b/>
                <w:bCs/>
                <w:color w:val="000000"/>
                <w:sz w:val="21"/>
                <w:szCs w:val="21"/>
                <w:highlight w:val="none"/>
                <w:lang w:eastAsia="zh-CN"/>
              </w:rPr>
              <w:t>环节</w:t>
            </w:r>
            <w:r>
              <w:rPr>
                <w:rFonts w:hint="default" w:ascii="Times New Roman" w:hAnsi="Times New Roman" w:eastAsia="宋体" w:cs="Times New Roman"/>
                <w:b/>
                <w:bCs/>
                <w:color w:val="000000"/>
                <w:sz w:val="21"/>
                <w:szCs w:val="21"/>
                <w:highlight w:val="none"/>
              </w:rPr>
              <w:t>图</w:t>
            </w:r>
          </w:p>
          <w:p w14:paraId="7938EC8D">
            <w:pPr>
              <w:pStyle w:val="5"/>
              <w:suppressLineNumbers w:val="0"/>
              <w:bidi w:val="0"/>
              <w:spacing w:before="0" w:beforeAutospacing="0" w:after="0" w:afterAutospacing="0"/>
              <w:ind w:left="0" w:right="0"/>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color w:val="000000"/>
                <w:highlight w:val="none"/>
                <w:lang w:val="en-US" w:eastAsia="zh-CN"/>
              </w:rPr>
              <w:t>工艺流程简述：</w:t>
            </w:r>
          </w:p>
          <w:p w14:paraId="225F3C96">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诊疗室及手术室洗手池下方分别安装3台处理量为0.2t/h的小型废水治理设施（采取过滤+消毒工艺，污水消毒采用</w:t>
            </w:r>
            <w:r>
              <w:rPr>
                <w:rFonts w:hint="eastAsia" w:cs="Times New Roman"/>
                <w:b w:val="0"/>
                <w:bCs w:val="0"/>
                <w:sz w:val="24"/>
                <w:szCs w:val="24"/>
                <w:lang w:val="en-US" w:eastAsia="zh-CN"/>
              </w:rPr>
              <w:t>二氧化氯泡腾片</w:t>
            </w:r>
            <w:r>
              <w:rPr>
                <w:rFonts w:hint="default" w:ascii="Times New Roman" w:hAnsi="Times New Roman" w:eastAsia="宋体" w:cs="Times New Roman"/>
                <w:b w:val="0"/>
                <w:bCs w:val="0"/>
                <w:sz w:val="24"/>
                <w:szCs w:val="24"/>
                <w:lang w:val="en-US" w:eastAsia="zh-CN"/>
              </w:rPr>
              <w:t>消毒），动物诊疗废水经小型废水治理设施消毒处理后进入小区化粪池处理，纳入市政污水管网，最终进入库尔勒市南市区污水处理厂集中处理。宠物清洗废水和生活污水进入小区化粪池处理后，纳入市政污水管网，最终进入库尔勒市南市区污水处理厂集中处理。</w:t>
            </w:r>
          </w:p>
          <w:p w14:paraId="7C4096F5">
            <w:pPr>
              <w:keepNext w:val="0"/>
              <w:keepLines w:val="0"/>
              <w:suppressLineNumbers w:val="0"/>
              <w:adjustRightInd w:val="0"/>
              <w:snapToGrid w:val="0"/>
              <w:spacing w:before="0" w:beforeAutospacing="0" w:after="0" w:afterAutospacing="0" w:line="240" w:lineRule="auto"/>
              <w:ind w:left="0" w:right="0" w:firstLine="422" w:firstLineChars="200"/>
              <w:rPr>
                <w:rFonts w:hint="default"/>
                <w:b/>
                <w:bCs/>
                <w:sz w:val="21"/>
                <w:szCs w:val="21"/>
              </w:rPr>
            </w:pPr>
            <w:r>
              <w:rPr>
                <w:rFonts w:hint="eastAsia"/>
                <w:b/>
                <w:bCs/>
                <w:sz w:val="21"/>
                <w:szCs w:val="21"/>
              </w:rPr>
              <w:t>表2-</w:t>
            </w:r>
            <w:r>
              <w:rPr>
                <w:rFonts w:hint="eastAsia"/>
                <w:b/>
                <w:bCs/>
                <w:sz w:val="21"/>
                <w:szCs w:val="21"/>
                <w:lang w:val="en-US" w:eastAsia="zh-CN"/>
              </w:rPr>
              <w:t>8</w:t>
            </w:r>
            <w:r>
              <w:rPr>
                <w:rFonts w:hint="eastAsia"/>
                <w:b/>
                <w:bCs/>
                <w:sz w:val="21"/>
                <w:szCs w:val="21"/>
              </w:rPr>
              <w:t xml:space="preserve">                   </w:t>
            </w:r>
            <w:r>
              <w:rPr>
                <w:rFonts w:hint="eastAsia"/>
                <w:b/>
                <w:bCs/>
                <w:sz w:val="21"/>
                <w:szCs w:val="21"/>
                <w:lang w:val="en-US" w:eastAsia="zh-CN"/>
              </w:rPr>
              <w:t>排污节点一览表</w:t>
            </w:r>
          </w:p>
          <w:tbl>
            <w:tblPr>
              <w:tblStyle w:val="32"/>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711"/>
              <w:gridCol w:w="715"/>
              <w:gridCol w:w="1393"/>
              <w:gridCol w:w="1783"/>
              <w:gridCol w:w="1238"/>
              <w:gridCol w:w="1943"/>
            </w:tblGrid>
            <w:tr w14:paraId="3E7E77E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6" w:type="pct"/>
                  <w:vAlign w:val="center"/>
                </w:tcPr>
                <w:p w14:paraId="37BC7A6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r>
                    <w:rPr>
                      <w:rFonts w:hint="default"/>
                      <w:sz w:val="21"/>
                      <w:szCs w:val="21"/>
                    </w:rPr>
                    <w:t>污染类别</w:t>
                  </w:r>
                </w:p>
              </w:tc>
              <w:tc>
                <w:tcPr>
                  <w:tcW w:w="433" w:type="pct"/>
                  <w:vAlign w:val="center"/>
                </w:tcPr>
                <w:p w14:paraId="426D172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r>
                    <w:rPr>
                      <w:rFonts w:hint="eastAsia"/>
                      <w:sz w:val="21"/>
                      <w:szCs w:val="21"/>
                      <w:lang w:val="en-US" w:eastAsia="zh-CN"/>
                    </w:rPr>
                    <w:t>产污环节</w:t>
                  </w:r>
                </w:p>
              </w:tc>
              <w:tc>
                <w:tcPr>
                  <w:tcW w:w="1282" w:type="pct"/>
                  <w:gridSpan w:val="2"/>
                  <w:vAlign w:val="center"/>
                </w:tcPr>
                <w:p w14:paraId="0F5DA0B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r>
                    <w:rPr>
                      <w:rFonts w:hint="default"/>
                      <w:sz w:val="21"/>
                      <w:szCs w:val="21"/>
                    </w:rPr>
                    <w:t>污染物种类</w:t>
                  </w:r>
                </w:p>
              </w:tc>
              <w:tc>
                <w:tcPr>
                  <w:tcW w:w="1084" w:type="pct"/>
                  <w:vAlign w:val="center"/>
                </w:tcPr>
                <w:p w14:paraId="18D15F4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r>
                    <w:rPr>
                      <w:rFonts w:hint="eastAsia"/>
                      <w:sz w:val="21"/>
                      <w:szCs w:val="21"/>
                    </w:rPr>
                    <w:t>治理设置</w:t>
                  </w:r>
                </w:p>
              </w:tc>
              <w:tc>
                <w:tcPr>
                  <w:tcW w:w="753" w:type="pct"/>
                  <w:vAlign w:val="center"/>
                </w:tcPr>
                <w:p w14:paraId="68776BD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r>
                    <w:rPr>
                      <w:rFonts w:hint="default"/>
                      <w:sz w:val="21"/>
                      <w:szCs w:val="21"/>
                    </w:rPr>
                    <w:t>排放方式</w:t>
                  </w:r>
                </w:p>
              </w:tc>
              <w:tc>
                <w:tcPr>
                  <w:tcW w:w="1178" w:type="pct"/>
                  <w:vAlign w:val="center"/>
                </w:tcPr>
                <w:p w14:paraId="0D6B377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r>
                    <w:rPr>
                      <w:rFonts w:hint="eastAsia"/>
                      <w:sz w:val="21"/>
                      <w:szCs w:val="21"/>
                    </w:rPr>
                    <w:t>执行标准</w:t>
                  </w:r>
                </w:p>
              </w:tc>
            </w:tr>
            <w:tr w14:paraId="261319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6" w:type="pct"/>
                  <w:vMerge w:val="restart"/>
                  <w:vAlign w:val="center"/>
                </w:tcPr>
                <w:p w14:paraId="5184970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eastAsia="宋体"/>
                      <w:sz w:val="21"/>
                      <w:szCs w:val="21"/>
                      <w:lang w:val="en-US" w:eastAsia="zh-CN"/>
                    </w:rPr>
                  </w:pPr>
                  <w:r>
                    <w:rPr>
                      <w:rFonts w:hint="eastAsia"/>
                      <w:sz w:val="21"/>
                      <w:szCs w:val="21"/>
                      <w:lang w:val="en-US" w:eastAsia="zh-CN"/>
                    </w:rPr>
                    <w:t>废气</w:t>
                  </w:r>
                </w:p>
              </w:tc>
              <w:tc>
                <w:tcPr>
                  <w:tcW w:w="433" w:type="pct"/>
                  <w:vAlign w:val="center"/>
                </w:tcPr>
                <w:p w14:paraId="28EA9B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eastAsia="宋体"/>
                      <w:sz w:val="21"/>
                      <w:szCs w:val="21"/>
                      <w:lang w:val="en-US" w:eastAsia="zh-CN"/>
                    </w:rPr>
                  </w:pPr>
                  <w:r>
                    <w:rPr>
                      <w:rFonts w:hint="eastAsia"/>
                      <w:sz w:val="21"/>
                      <w:szCs w:val="21"/>
                      <w:lang w:val="en-US" w:eastAsia="zh-CN"/>
                    </w:rPr>
                    <w:t>宠物诊疗</w:t>
                  </w:r>
                </w:p>
              </w:tc>
              <w:tc>
                <w:tcPr>
                  <w:tcW w:w="1282" w:type="pct"/>
                  <w:gridSpan w:val="2"/>
                  <w:vAlign w:val="center"/>
                </w:tcPr>
                <w:p w14:paraId="2B88226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eastAsia="宋体"/>
                      <w:sz w:val="21"/>
                      <w:szCs w:val="21"/>
                      <w:lang w:val="en-US" w:eastAsia="zh-CN"/>
                    </w:rPr>
                  </w:pPr>
                  <w:r>
                    <w:rPr>
                      <w:rFonts w:hint="eastAsia"/>
                      <w:sz w:val="21"/>
                      <w:szCs w:val="21"/>
                      <w:lang w:val="en-US" w:eastAsia="zh-CN"/>
                    </w:rPr>
                    <w:t>臭气浓度</w:t>
                  </w:r>
                </w:p>
              </w:tc>
              <w:tc>
                <w:tcPr>
                  <w:tcW w:w="1084" w:type="pct"/>
                  <w:vMerge w:val="restart"/>
                  <w:vAlign w:val="center"/>
                </w:tcPr>
                <w:p w14:paraId="03A25C2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lang w:val="en-US"/>
                    </w:rPr>
                  </w:pPr>
                  <w:r>
                    <w:rPr>
                      <w:rFonts w:hint="default"/>
                      <w:sz w:val="21"/>
                      <w:szCs w:val="21"/>
                      <w:lang w:val="en-US" w:eastAsia="zh-CN"/>
                    </w:rPr>
                    <w:t>及时更换清理猫砂和狗笼内的排便排尿盒，废水在小型废水处理设施内停留时间极短且废水处理设施密闭，并定期使用除臭剂和紫外线消毒车对院内空气及污水处理设施进行消毒</w:t>
                  </w:r>
                </w:p>
              </w:tc>
              <w:tc>
                <w:tcPr>
                  <w:tcW w:w="753" w:type="pct"/>
                  <w:vMerge w:val="restart"/>
                  <w:vAlign w:val="center"/>
                </w:tcPr>
                <w:p w14:paraId="62D50D8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eastAsia="宋体"/>
                      <w:sz w:val="21"/>
                      <w:szCs w:val="21"/>
                      <w:lang w:val="en-US" w:eastAsia="zh-CN"/>
                    </w:rPr>
                  </w:pPr>
                  <w:r>
                    <w:rPr>
                      <w:rFonts w:hint="eastAsia"/>
                      <w:sz w:val="21"/>
                      <w:szCs w:val="21"/>
                      <w:lang w:val="en-US" w:eastAsia="zh-CN"/>
                    </w:rPr>
                    <w:t>无</w:t>
                  </w:r>
                  <w:r>
                    <w:rPr>
                      <w:rFonts w:hint="eastAsia"/>
                      <w:sz w:val="21"/>
                      <w:szCs w:val="21"/>
                    </w:rPr>
                    <w:t>组织</w:t>
                  </w:r>
                </w:p>
              </w:tc>
              <w:tc>
                <w:tcPr>
                  <w:tcW w:w="1178" w:type="pct"/>
                  <w:vMerge w:val="restart"/>
                  <w:vAlign w:val="center"/>
                </w:tcPr>
                <w:p w14:paraId="75A80F2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eastAsia="宋体"/>
                      <w:color w:val="000000"/>
                      <w:sz w:val="21"/>
                      <w:szCs w:val="21"/>
                      <w:lang w:eastAsia="zh-CN"/>
                    </w:rPr>
                  </w:pPr>
                  <w:r>
                    <w:rPr>
                      <w:rFonts w:hint="eastAsia"/>
                      <w:color w:val="000000"/>
                      <w:sz w:val="21"/>
                      <w:szCs w:val="21"/>
                    </w:rPr>
                    <w:t>《恶臭污染物排放标准》</w:t>
                  </w:r>
                  <w:r>
                    <w:rPr>
                      <w:rFonts w:hint="eastAsia"/>
                      <w:color w:val="000000"/>
                      <w:sz w:val="21"/>
                      <w:szCs w:val="21"/>
                      <w:lang w:eastAsia="zh-CN"/>
                    </w:rPr>
                    <w:t>（</w:t>
                  </w:r>
                  <w:r>
                    <w:rPr>
                      <w:rFonts w:hint="eastAsia"/>
                      <w:color w:val="000000"/>
                      <w:sz w:val="21"/>
                      <w:szCs w:val="21"/>
                    </w:rPr>
                    <w:t>GB14554-93</w:t>
                  </w:r>
                  <w:r>
                    <w:rPr>
                      <w:rFonts w:hint="eastAsia"/>
                      <w:color w:val="000000"/>
                      <w:sz w:val="21"/>
                      <w:szCs w:val="21"/>
                      <w:lang w:eastAsia="zh-CN"/>
                    </w:rPr>
                    <w:t>）</w:t>
                  </w:r>
                </w:p>
              </w:tc>
            </w:tr>
            <w:tr w14:paraId="4CC777C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6" w:type="pct"/>
                  <w:vMerge w:val="continue"/>
                  <w:vAlign w:val="center"/>
                </w:tcPr>
                <w:p w14:paraId="267DF4F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p>
              </w:tc>
              <w:tc>
                <w:tcPr>
                  <w:tcW w:w="433" w:type="pct"/>
                  <w:vAlign w:val="center"/>
                </w:tcPr>
                <w:p w14:paraId="28593F2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sz w:val="21"/>
                      <w:szCs w:val="21"/>
                      <w:lang w:val="en-US" w:eastAsia="zh-CN"/>
                    </w:rPr>
                  </w:pPr>
                  <w:r>
                    <w:rPr>
                      <w:rFonts w:hint="eastAsia"/>
                      <w:sz w:val="21"/>
                      <w:szCs w:val="21"/>
                      <w:lang w:val="en-US" w:eastAsia="zh-CN"/>
                    </w:rPr>
                    <w:t>宠物寄养</w:t>
                  </w:r>
                </w:p>
              </w:tc>
              <w:tc>
                <w:tcPr>
                  <w:tcW w:w="1282" w:type="pct"/>
                  <w:gridSpan w:val="2"/>
                  <w:vAlign w:val="center"/>
                </w:tcPr>
                <w:p w14:paraId="30D7E5D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sz w:val="21"/>
                      <w:szCs w:val="21"/>
                    </w:rPr>
                  </w:pPr>
                  <w:r>
                    <w:rPr>
                      <w:rFonts w:hint="eastAsia"/>
                      <w:sz w:val="21"/>
                      <w:szCs w:val="21"/>
                      <w:lang w:val="en-US" w:eastAsia="zh-CN"/>
                    </w:rPr>
                    <w:t>臭气浓度</w:t>
                  </w:r>
                </w:p>
              </w:tc>
              <w:tc>
                <w:tcPr>
                  <w:tcW w:w="1084" w:type="pct"/>
                  <w:vMerge w:val="continue"/>
                  <w:vAlign w:val="center"/>
                </w:tcPr>
                <w:p w14:paraId="1425AEE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lang w:val="en-US" w:eastAsia="zh-CN"/>
                    </w:rPr>
                  </w:pPr>
                </w:p>
              </w:tc>
              <w:tc>
                <w:tcPr>
                  <w:tcW w:w="753" w:type="pct"/>
                  <w:vMerge w:val="continue"/>
                  <w:vAlign w:val="center"/>
                </w:tcPr>
                <w:p w14:paraId="19F77B9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eastAsia="宋体"/>
                      <w:sz w:val="21"/>
                      <w:szCs w:val="21"/>
                      <w:lang w:val="en-US" w:eastAsia="zh-CN"/>
                    </w:rPr>
                  </w:pPr>
                </w:p>
              </w:tc>
              <w:tc>
                <w:tcPr>
                  <w:tcW w:w="1178" w:type="pct"/>
                  <w:vMerge w:val="continue"/>
                  <w:vAlign w:val="center"/>
                </w:tcPr>
                <w:p w14:paraId="64D63B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b w:val="0"/>
                      <w:bCs/>
                      <w:color w:val="000000"/>
                      <w:sz w:val="21"/>
                      <w:szCs w:val="21"/>
                      <w:lang w:eastAsia="zh-CN"/>
                    </w:rPr>
                  </w:pPr>
                </w:p>
              </w:tc>
            </w:tr>
            <w:tr w14:paraId="5A1113E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6" w:type="pct"/>
                  <w:vMerge w:val="restart"/>
                  <w:vAlign w:val="center"/>
                </w:tcPr>
                <w:p w14:paraId="555FB6E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r>
                    <w:rPr>
                      <w:rFonts w:hint="default"/>
                      <w:sz w:val="21"/>
                      <w:szCs w:val="21"/>
                    </w:rPr>
                    <w:t>废水</w:t>
                  </w:r>
                </w:p>
              </w:tc>
              <w:tc>
                <w:tcPr>
                  <w:tcW w:w="433" w:type="pct"/>
                  <w:vAlign w:val="center"/>
                </w:tcPr>
                <w:p w14:paraId="656C44A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eastAsia="宋体"/>
                      <w:sz w:val="21"/>
                      <w:szCs w:val="21"/>
                      <w:lang w:val="en-US" w:eastAsia="zh-CN"/>
                    </w:rPr>
                  </w:pPr>
                  <w:r>
                    <w:rPr>
                      <w:rFonts w:hint="eastAsia"/>
                      <w:sz w:val="21"/>
                      <w:szCs w:val="21"/>
                      <w:lang w:val="en-US" w:eastAsia="zh-CN"/>
                    </w:rPr>
                    <w:t>人员办公</w:t>
                  </w:r>
                </w:p>
              </w:tc>
              <w:tc>
                <w:tcPr>
                  <w:tcW w:w="435" w:type="pct"/>
                  <w:vAlign w:val="center"/>
                </w:tcPr>
                <w:p w14:paraId="31A0B6A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r>
                    <w:rPr>
                      <w:rFonts w:hint="default"/>
                      <w:sz w:val="21"/>
                      <w:szCs w:val="21"/>
                    </w:rPr>
                    <w:t>生活污水</w:t>
                  </w:r>
                </w:p>
              </w:tc>
              <w:tc>
                <w:tcPr>
                  <w:tcW w:w="847" w:type="pct"/>
                  <w:vAlign w:val="center"/>
                </w:tcPr>
                <w:p w14:paraId="0B11B4B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r>
                    <w:rPr>
                      <w:rFonts w:hint="default"/>
                      <w:sz w:val="21"/>
                      <w:szCs w:val="21"/>
                    </w:rPr>
                    <w:t>COD、BOD</w:t>
                  </w:r>
                  <w:r>
                    <w:rPr>
                      <w:rFonts w:hint="default"/>
                      <w:sz w:val="21"/>
                      <w:szCs w:val="21"/>
                      <w:vertAlign w:val="subscript"/>
                    </w:rPr>
                    <w:t>5</w:t>
                  </w:r>
                  <w:r>
                    <w:rPr>
                      <w:rFonts w:hint="default"/>
                      <w:sz w:val="21"/>
                      <w:szCs w:val="21"/>
                    </w:rPr>
                    <w:t>、NH</w:t>
                  </w:r>
                  <w:r>
                    <w:rPr>
                      <w:rFonts w:hint="default"/>
                      <w:sz w:val="21"/>
                      <w:szCs w:val="21"/>
                      <w:vertAlign w:val="subscript"/>
                    </w:rPr>
                    <w:t>3</w:t>
                  </w:r>
                  <w:r>
                    <w:rPr>
                      <w:rFonts w:hint="default"/>
                      <w:sz w:val="21"/>
                      <w:szCs w:val="21"/>
                    </w:rPr>
                    <w:t>-N、SS、pH</w:t>
                  </w:r>
                </w:p>
              </w:tc>
              <w:tc>
                <w:tcPr>
                  <w:tcW w:w="1084" w:type="pct"/>
                  <w:vAlign w:val="center"/>
                </w:tcPr>
                <w:p w14:paraId="439090B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r>
                    <w:rPr>
                      <w:rFonts w:hint="eastAsia"/>
                      <w:sz w:val="21"/>
                      <w:szCs w:val="21"/>
                    </w:rPr>
                    <w:t>/</w:t>
                  </w:r>
                </w:p>
              </w:tc>
              <w:tc>
                <w:tcPr>
                  <w:tcW w:w="753" w:type="pct"/>
                  <w:vAlign w:val="center"/>
                </w:tcPr>
                <w:p w14:paraId="7A2082A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eastAsia="宋体"/>
                      <w:sz w:val="21"/>
                      <w:szCs w:val="21"/>
                      <w:lang w:eastAsia="zh-CN"/>
                    </w:rPr>
                  </w:pPr>
                  <w:r>
                    <w:rPr>
                      <w:rFonts w:hint="eastAsia"/>
                      <w:sz w:val="21"/>
                      <w:szCs w:val="21"/>
                      <w:lang w:val="en-US" w:eastAsia="zh-CN"/>
                    </w:rPr>
                    <w:t>间断</w:t>
                  </w:r>
                </w:p>
              </w:tc>
              <w:tc>
                <w:tcPr>
                  <w:tcW w:w="1178" w:type="pct"/>
                  <w:vAlign w:val="center"/>
                </w:tcPr>
                <w:p w14:paraId="0E3FBA0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r>
                    <w:rPr>
                      <w:rFonts w:hint="eastAsia"/>
                      <w:sz w:val="21"/>
                      <w:szCs w:val="21"/>
                      <w:lang w:val="en-US" w:eastAsia="zh-CN"/>
                    </w:rPr>
                    <w:t>/</w:t>
                  </w:r>
                </w:p>
              </w:tc>
            </w:tr>
            <w:tr w14:paraId="41442B6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6" w:type="pct"/>
                  <w:vMerge w:val="continue"/>
                  <w:vAlign w:val="center"/>
                </w:tcPr>
                <w:p w14:paraId="3F14F34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p>
              </w:tc>
              <w:tc>
                <w:tcPr>
                  <w:tcW w:w="433" w:type="pct"/>
                  <w:vAlign w:val="center"/>
                </w:tcPr>
                <w:p w14:paraId="5EC437A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eastAsia="宋体"/>
                      <w:sz w:val="21"/>
                      <w:szCs w:val="21"/>
                      <w:lang w:val="en-US" w:eastAsia="zh-CN"/>
                    </w:rPr>
                  </w:pPr>
                  <w:r>
                    <w:rPr>
                      <w:rFonts w:hint="eastAsia"/>
                      <w:sz w:val="21"/>
                      <w:szCs w:val="21"/>
                      <w:lang w:val="en-US" w:eastAsia="zh-CN"/>
                    </w:rPr>
                    <w:t>宠物服务</w:t>
                  </w:r>
                </w:p>
              </w:tc>
              <w:tc>
                <w:tcPr>
                  <w:tcW w:w="435" w:type="pct"/>
                  <w:vAlign w:val="center"/>
                </w:tcPr>
                <w:p w14:paraId="339367C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eastAsia="宋体"/>
                      <w:sz w:val="21"/>
                      <w:szCs w:val="21"/>
                      <w:lang w:val="en-US" w:eastAsia="zh-CN"/>
                    </w:rPr>
                  </w:pPr>
                  <w:r>
                    <w:rPr>
                      <w:rFonts w:hint="eastAsia"/>
                      <w:sz w:val="21"/>
                      <w:szCs w:val="21"/>
                      <w:lang w:val="en-US" w:eastAsia="zh-CN"/>
                    </w:rPr>
                    <w:t>宠物诊疗废水、清洗废水</w:t>
                  </w:r>
                </w:p>
              </w:tc>
              <w:tc>
                <w:tcPr>
                  <w:tcW w:w="847" w:type="pct"/>
                  <w:vAlign w:val="center"/>
                </w:tcPr>
                <w:p w14:paraId="3BD8BED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r>
                    <w:rPr>
                      <w:rFonts w:hint="default"/>
                      <w:sz w:val="21"/>
                      <w:szCs w:val="21"/>
                    </w:rPr>
                    <w:t>COD、BOD</w:t>
                  </w:r>
                  <w:r>
                    <w:rPr>
                      <w:rFonts w:hint="default"/>
                      <w:sz w:val="21"/>
                      <w:szCs w:val="21"/>
                      <w:vertAlign w:val="subscript"/>
                    </w:rPr>
                    <w:t>5</w:t>
                  </w:r>
                  <w:r>
                    <w:rPr>
                      <w:rFonts w:hint="default"/>
                      <w:sz w:val="21"/>
                      <w:szCs w:val="21"/>
                    </w:rPr>
                    <w:t>、NH</w:t>
                  </w:r>
                  <w:r>
                    <w:rPr>
                      <w:rFonts w:hint="default"/>
                      <w:sz w:val="21"/>
                      <w:szCs w:val="21"/>
                      <w:vertAlign w:val="subscript"/>
                    </w:rPr>
                    <w:t>3</w:t>
                  </w:r>
                  <w:r>
                    <w:rPr>
                      <w:rFonts w:hint="default"/>
                      <w:sz w:val="21"/>
                      <w:szCs w:val="21"/>
                    </w:rPr>
                    <w:t>-N、SS、pH</w:t>
                  </w:r>
                  <w:r>
                    <w:rPr>
                      <w:rFonts w:hint="eastAsia"/>
                      <w:sz w:val="21"/>
                      <w:szCs w:val="21"/>
                      <w:lang w:eastAsia="zh-CN"/>
                    </w:rPr>
                    <w:t>、</w:t>
                  </w:r>
                  <w:r>
                    <w:rPr>
                      <w:rFonts w:hint="eastAsia"/>
                      <w:sz w:val="21"/>
                      <w:szCs w:val="21"/>
                      <w:lang w:val="en-US" w:eastAsia="zh-CN"/>
                    </w:rPr>
                    <w:t>总余氯、粪大肠杆菌</w:t>
                  </w:r>
                </w:p>
              </w:tc>
              <w:tc>
                <w:tcPr>
                  <w:tcW w:w="1084" w:type="pct"/>
                  <w:vAlign w:val="center"/>
                </w:tcPr>
                <w:p w14:paraId="12BC130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eastAsia="宋体"/>
                      <w:sz w:val="21"/>
                      <w:szCs w:val="21"/>
                      <w:lang w:val="en-US" w:eastAsia="zh-CN"/>
                    </w:rPr>
                  </w:pPr>
                  <w:r>
                    <w:rPr>
                      <w:rFonts w:hint="eastAsia"/>
                      <w:sz w:val="21"/>
                      <w:szCs w:val="21"/>
                      <w:lang w:val="en-US" w:eastAsia="zh-CN"/>
                    </w:rPr>
                    <w:t>3台小型废水处理设施</w:t>
                  </w:r>
                </w:p>
              </w:tc>
              <w:tc>
                <w:tcPr>
                  <w:tcW w:w="753" w:type="pct"/>
                  <w:vAlign w:val="center"/>
                </w:tcPr>
                <w:p w14:paraId="50EE072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eastAsia="宋体"/>
                      <w:sz w:val="24"/>
                      <w:szCs w:val="24"/>
                      <w:lang w:eastAsia="zh-CN"/>
                    </w:rPr>
                  </w:pPr>
                  <w:r>
                    <w:rPr>
                      <w:rFonts w:hint="eastAsia"/>
                      <w:sz w:val="21"/>
                      <w:szCs w:val="21"/>
                      <w:lang w:val="en-US" w:eastAsia="zh-CN"/>
                    </w:rPr>
                    <w:t>间断</w:t>
                  </w:r>
                </w:p>
              </w:tc>
              <w:tc>
                <w:tcPr>
                  <w:tcW w:w="1178" w:type="pct"/>
                  <w:vAlign w:val="center"/>
                </w:tcPr>
                <w:p w14:paraId="221F3C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lang w:eastAsia="zh-CN"/>
                    </w:rPr>
                  </w:pPr>
                  <w:r>
                    <w:rPr>
                      <w:rFonts w:hint="default"/>
                      <w:sz w:val="21"/>
                      <w:szCs w:val="21"/>
                      <w:lang w:val="en-US" w:eastAsia="zh-CN"/>
                    </w:rPr>
                    <w:t>《医疗机构水污染物排放标准》（GB18466-2005）表2中预处理标准限值</w:t>
                  </w:r>
                </w:p>
              </w:tc>
            </w:tr>
            <w:tr w14:paraId="3ABF83C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6" w:type="pct"/>
                  <w:vAlign w:val="center"/>
                </w:tcPr>
                <w:p w14:paraId="7667242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r>
                    <w:rPr>
                      <w:rFonts w:hint="default"/>
                      <w:sz w:val="21"/>
                      <w:szCs w:val="21"/>
                    </w:rPr>
                    <w:t>噪声</w:t>
                  </w:r>
                </w:p>
              </w:tc>
              <w:tc>
                <w:tcPr>
                  <w:tcW w:w="433" w:type="pct"/>
                  <w:vAlign w:val="center"/>
                </w:tcPr>
                <w:p w14:paraId="6D853A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eastAsia="宋体"/>
                      <w:sz w:val="21"/>
                      <w:szCs w:val="21"/>
                      <w:lang w:val="en-US" w:eastAsia="zh-CN"/>
                    </w:rPr>
                  </w:pPr>
                  <w:r>
                    <w:rPr>
                      <w:rFonts w:hint="eastAsia"/>
                      <w:sz w:val="21"/>
                      <w:szCs w:val="21"/>
                      <w:lang w:val="en-US" w:eastAsia="zh-CN"/>
                    </w:rPr>
                    <w:t>宠物诊疗</w:t>
                  </w:r>
                </w:p>
              </w:tc>
              <w:tc>
                <w:tcPr>
                  <w:tcW w:w="1282" w:type="pct"/>
                  <w:gridSpan w:val="2"/>
                  <w:vAlign w:val="center"/>
                </w:tcPr>
                <w:p w14:paraId="4D72229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r>
                    <w:rPr>
                      <w:rFonts w:hint="default"/>
                      <w:sz w:val="21"/>
                      <w:szCs w:val="21"/>
                    </w:rPr>
                    <w:t>Leq</w:t>
                  </w:r>
                  <w:r>
                    <w:rPr>
                      <w:rFonts w:hint="eastAsia"/>
                      <w:sz w:val="21"/>
                      <w:szCs w:val="21"/>
                      <w:lang w:eastAsia="zh-CN"/>
                    </w:rPr>
                    <w:t>（</w:t>
                  </w:r>
                  <w:r>
                    <w:rPr>
                      <w:rFonts w:hint="default"/>
                      <w:sz w:val="21"/>
                      <w:szCs w:val="21"/>
                    </w:rPr>
                    <w:t>A</w:t>
                  </w:r>
                  <w:r>
                    <w:rPr>
                      <w:rFonts w:hint="eastAsia"/>
                      <w:sz w:val="21"/>
                      <w:szCs w:val="21"/>
                      <w:lang w:eastAsia="zh-CN"/>
                    </w:rPr>
                    <w:t>）</w:t>
                  </w:r>
                </w:p>
              </w:tc>
              <w:tc>
                <w:tcPr>
                  <w:tcW w:w="1084" w:type="pct"/>
                  <w:vAlign w:val="center"/>
                </w:tcPr>
                <w:p w14:paraId="494BE46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r>
                    <w:rPr>
                      <w:rFonts w:hint="eastAsia"/>
                      <w:sz w:val="21"/>
                      <w:szCs w:val="21"/>
                      <w:lang w:val="en-US" w:eastAsia="zh-CN"/>
                    </w:rPr>
                    <w:t>采用低噪设备、</w:t>
                  </w:r>
                  <w:r>
                    <w:rPr>
                      <w:rFonts w:hint="default"/>
                      <w:sz w:val="21"/>
                      <w:szCs w:val="21"/>
                      <w:lang w:val="en-US" w:eastAsia="zh-CN"/>
                    </w:rPr>
                    <w:t>加强对宠物的管理，避免宠物处于饥饿状态，医院合理布局，采用墙体建筑</w:t>
                  </w:r>
                  <w:r>
                    <w:rPr>
                      <w:rFonts w:hint="eastAsia"/>
                      <w:sz w:val="21"/>
                      <w:szCs w:val="21"/>
                      <w:lang w:val="en-US" w:eastAsia="zh-CN"/>
                    </w:rPr>
                    <w:t>降噪</w:t>
                  </w:r>
                  <w:r>
                    <w:rPr>
                      <w:rFonts w:hint="default"/>
                      <w:sz w:val="21"/>
                      <w:szCs w:val="21"/>
                      <w:lang w:val="en-US" w:eastAsia="zh-CN"/>
                    </w:rPr>
                    <w:t>，夜间关闭门窗，减少宠物可能产生的噪声影响</w:t>
                  </w:r>
                </w:p>
              </w:tc>
              <w:tc>
                <w:tcPr>
                  <w:tcW w:w="753" w:type="pct"/>
                  <w:vAlign w:val="center"/>
                </w:tcPr>
                <w:p w14:paraId="414C83C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r>
                    <w:rPr>
                      <w:rFonts w:hint="default"/>
                      <w:sz w:val="21"/>
                      <w:szCs w:val="21"/>
                    </w:rPr>
                    <w:t>连续</w:t>
                  </w:r>
                </w:p>
              </w:tc>
              <w:tc>
                <w:tcPr>
                  <w:tcW w:w="1178" w:type="pct"/>
                  <w:vAlign w:val="center"/>
                </w:tcPr>
                <w:p w14:paraId="567C4D6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eastAsia="宋体"/>
                      <w:sz w:val="21"/>
                      <w:szCs w:val="21"/>
                      <w:lang w:val="en-US" w:eastAsia="zh-CN"/>
                    </w:rPr>
                  </w:pPr>
                  <w:r>
                    <w:rPr>
                      <w:rFonts w:hint="eastAsia"/>
                      <w:sz w:val="21"/>
                      <w:szCs w:val="21"/>
                    </w:rPr>
                    <w:t>《</w:t>
                  </w:r>
                  <w:r>
                    <w:rPr>
                      <w:rFonts w:hint="default"/>
                      <w:sz w:val="21"/>
                      <w:szCs w:val="21"/>
                    </w:rPr>
                    <w:t>工业企业厂界环境噪声排放标准》（GB 12348-2008）</w:t>
                  </w:r>
                  <w:r>
                    <w:rPr>
                      <w:rFonts w:hint="eastAsia"/>
                      <w:sz w:val="21"/>
                      <w:szCs w:val="21"/>
                      <w:lang w:val="en-US" w:eastAsia="zh-CN"/>
                    </w:rPr>
                    <w:t>2</w:t>
                  </w:r>
                  <w:r>
                    <w:rPr>
                      <w:rFonts w:hint="default"/>
                      <w:sz w:val="21"/>
                      <w:szCs w:val="21"/>
                    </w:rPr>
                    <w:t>类标准</w:t>
                  </w:r>
                </w:p>
              </w:tc>
            </w:tr>
            <w:tr w14:paraId="441E533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6" w:type="pct"/>
                  <w:vMerge w:val="restart"/>
                  <w:vAlign w:val="center"/>
                </w:tcPr>
                <w:p w14:paraId="573AA81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r>
                    <w:rPr>
                      <w:rFonts w:hint="default"/>
                      <w:sz w:val="21"/>
                      <w:szCs w:val="21"/>
                    </w:rPr>
                    <w:t>固废</w:t>
                  </w:r>
                </w:p>
              </w:tc>
              <w:tc>
                <w:tcPr>
                  <w:tcW w:w="433" w:type="pct"/>
                  <w:vMerge w:val="restart"/>
                  <w:vAlign w:val="center"/>
                </w:tcPr>
                <w:p w14:paraId="0B2CA59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eastAsia="宋体"/>
                      <w:sz w:val="21"/>
                      <w:szCs w:val="21"/>
                      <w:lang w:val="en-US" w:eastAsia="zh-CN"/>
                    </w:rPr>
                  </w:pPr>
                  <w:r>
                    <w:rPr>
                      <w:rFonts w:hint="eastAsia"/>
                      <w:sz w:val="21"/>
                      <w:szCs w:val="21"/>
                      <w:lang w:val="en-US" w:eastAsia="zh-CN"/>
                    </w:rPr>
                    <w:t>宠物服务</w:t>
                  </w:r>
                </w:p>
              </w:tc>
              <w:tc>
                <w:tcPr>
                  <w:tcW w:w="1282" w:type="pct"/>
                  <w:gridSpan w:val="2"/>
                  <w:vAlign w:val="center"/>
                </w:tcPr>
                <w:p w14:paraId="723744C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eastAsia="宋体"/>
                      <w:sz w:val="21"/>
                      <w:szCs w:val="21"/>
                      <w:lang w:val="en-US" w:eastAsia="zh-CN"/>
                    </w:rPr>
                  </w:pPr>
                  <w:r>
                    <w:rPr>
                      <w:rFonts w:hint="eastAsia"/>
                      <w:sz w:val="21"/>
                      <w:szCs w:val="21"/>
                      <w:lang w:val="en-US" w:eastAsia="zh-CN"/>
                    </w:rPr>
                    <w:t>宠物粪便、尿垫及美容废弃物</w:t>
                  </w:r>
                </w:p>
              </w:tc>
              <w:tc>
                <w:tcPr>
                  <w:tcW w:w="1084" w:type="pct"/>
                  <w:vAlign w:val="center"/>
                </w:tcPr>
                <w:p w14:paraId="1645B6F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sz w:val="21"/>
                      <w:szCs w:val="21"/>
                      <w:lang w:val="en-US" w:eastAsia="zh-CN"/>
                    </w:rPr>
                  </w:pPr>
                  <w:r>
                    <w:rPr>
                      <w:rFonts w:hint="eastAsia"/>
                      <w:sz w:val="21"/>
                      <w:szCs w:val="21"/>
                      <w:lang w:val="en-US" w:eastAsia="zh-CN"/>
                    </w:rPr>
                    <w:t>交由环卫部门统一清运</w:t>
                  </w:r>
                </w:p>
              </w:tc>
              <w:tc>
                <w:tcPr>
                  <w:tcW w:w="753" w:type="pct"/>
                  <w:vAlign w:val="center"/>
                </w:tcPr>
                <w:p w14:paraId="126767F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r>
                    <w:rPr>
                      <w:rFonts w:hint="default"/>
                      <w:sz w:val="21"/>
                      <w:szCs w:val="21"/>
                    </w:rPr>
                    <w:t>间歇</w:t>
                  </w:r>
                </w:p>
              </w:tc>
              <w:tc>
                <w:tcPr>
                  <w:tcW w:w="1178" w:type="pct"/>
                  <w:vAlign w:val="center"/>
                </w:tcPr>
                <w:p w14:paraId="1661020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r>
                    <w:rPr>
                      <w:rFonts w:hint="default"/>
                      <w:sz w:val="21"/>
                      <w:szCs w:val="21"/>
                    </w:rPr>
                    <w:t>《</w:t>
                  </w:r>
                  <w:r>
                    <w:rPr>
                      <w:rFonts w:hint="default"/>
                      <w:sz w:val="21"/>
                      <w:szCs w:val="21"/>
                      <w:lang w:val="en-US" w:eastAsia="zh-CN"/>
                    </w:rPr>
                    <w:t>中华人民共和国固体废物污染环境防治法</w:t>
                  </w:r>
                  <w:r>
                    <w:rPr>
                      <w:rFonts w:hint="default"/>
                      <w:sz w:val="21"/>
                      <w:szCs w:val="21"/>
                    </w:rPr>
                    <w:t>》</w:t>
                  </w:r>
                </w:p>
              </w:tc>
            </w:tr>
            <w:tr w14:paraId="7978150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6" w:type="pct"/>
                  <w:vMerge w:val="continue"/>
                  <w:vAlign w:val="center"/>
                </w:tcPr>
                <w:p w14:paraId="1F0B251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p>
              </w:tc>
              <w:tc>
                <w:tcPr>
                  <w:tcW w:w="433" w:type="pct"/>
                  <w:vMerge w:val="continue"/>
                  <w:vAlign w:val="center"/>
                </w:tcPr>
                <w:p w14:paraId="0CD8EC5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p>
              </w:tc>
              <w:tc>
                <w:tcPr>
                  <w:tcW w:w="1282" w:type="pct"/>
                  <w:gridSpan w:val="2"/>
                  <w:vAlign w:val="center"/>
                </w:tcPr>
                <w:p w14:paraId="5EB2133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eastAsia="宋体"/>
                      <w:sz w:val="21"/>
                      <w:szCs w:val="21"/>
                      <w:lang w:val="en-US" w:eastAsia="zh-CN"/>
                    </w:rPr>
                  </w:pPr>
                  <w:r>
                    <w:rPr>
                      <w:rFonts w:hint="eastAsia"/>
                      <w:sz w:val="21"/>
                      <w:szCs w:val="21"/>
                      <w:lang w:val="en-US" w:eastAsia="zh-CN"/>
                    </w:rPr>
                    <w:t>动物诊疗废物</w:t>
                  </w:r>
                </w:p>
              </w:tc>
              <w:tc>
                <w:tcPr>
                  <w:tcW w:w="1084" w:type="pct"/>
                  <w:vAlign w:val="center"/>
                </w:tcPr>
                <w:p w14:paraId="7435AB4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sz w:val="21"/>
                      <w:szCs w:val="21"/>
                      <w:lang w:val="en-US" w:eastAsia="zh-CN"/>
                    </w:rPr>
                  </w:pPr>
                  <w:r>
                    <w:rPr>
                      <w:rFonts w:hint="eastAsia"/>
                      <w:sz w:val="21"/>
                      <w:szCs w:val="21"/>
                      <w:lang w:val="en-US" w:eastAsia="zh-CN"/>
                    </w:rPr>
                    <w:t>按照医疗废物进行管理，收集至废物暂时贮存柜（箱），委托库尔勒天达环卫有限责任公司集中处置</w:t>
                  </w:r>
                </w:p>
              </w:tc>
              <w:tc>
                <w:tcPr>
                  <w:tcW w:w="753" w:type="pct"/>
                  <w:vAlign w:val="center"/>
                </w:tcPr>
                <w:p w14:paraId="1EDEF82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r>
                    <w:rPr>
                      <w:rFonts w:hint="default"/>
                      <w:sz w:val="21"/>
                      <w:szCs w:val="21"/>
                    </w:rPr>
                    <w:t>间歇</w:t>
                  </w:r>
                </w:p>
              </w:tc>
              <w:tc>
                <w:tcPr>
                  <w:tcW w:w="1178" w:type="pct"/>
                  <w:vAlign w:val="center"/>
                </w:tcPr>
                <w:p w14:paraId="1FA328A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r>
                    <w:rPr>
                      <w:rFonts w:hint="default"/>
                      <w:sz w:val="21"/>
                      <w:szCs w:val="21"/>
                      <w:lang w:val="en-US" w:eastAsia="zh-CN"/>
                    </w:rPr>
                    <w:t>《医院废物专用包装物、容器标准和警示标准》《医疗废物管理条例》</w:t>
                  </w:r>
                  <w:r>
                    <w:rPr>
                      <w:rFonts w:hint="default"/>
                      <w:sz w:val="21"/>
                      <w:szCs w:val="21"/>
                    </w:rPr>
                    <w:t>《危险废物贮存污染控制标准》（GB18597-2023）</w:t>
                  </w:r>
                </w:p>
              </w:tc>
            </w:tr>
          </w:tbl>
          <w:p w14:paraId="02D80D8C">
            <w:pPr>
              <w:pStyle w:val="103"/>
              <w:keepNext w:val="0"/>
              <w:keepLines w:val="0"/>
              <w:suppressLineNumbers w:val="0"/>
              <w:bidi w:val="0"/>
              <w:spacing w:before="0" w:beforeAutospacing="0" w:after="0" w:afterAutospacing="0"/>
              <w:ind w:left="0" w:leftChars="0" w:right="0" w:firstLine="0" w:firstLineChars="0"/>
              <w:rPr>
                <w:rFonts w:hint="default"/>
                <w:color w:val="auto"/>
                <w:highlight w:val="none"/>
                <w:lang w:val="en-US" w:eastAsia="zh-CN"/>
              </w:rPr>
            </w:pPr>
          </w:p>
        </w:tc>
      </w:tr>
      <w:tr w14:paraId="49A15F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4" w:type="dxa"/>
            <w:tcBorders>
              <w:tl2br w:val="nil"/>
              <w:tr2bl w:val="nil"/>
            </w:tcBorders>
            <w:noWrap w:val="0"/>
            <w:vAlign w:val="center"/>
          </w:tcPr>
          <w:p w14:paraId="1FD69D4C">
            <w:pPr>
              <w:pStyle w:val="2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b/>
                <w:bCs w:val="0"/>
                <w:color w:val="000000"/>
                <w:kern w:val="2"/>
                <w:sz w:val="24"/>
                <w:szCs w:val="24"/>
                <w:highlight w:val="none"/>
              </w:rPr>
              <w:t>与项目有关的</w:t>
            </w:r>
            <w:r>
              <w:rPr>
                <w:rFonts w:hint="default" w:ascii="Times New Roman" w:hAnsi="Times New Roman" w:eastAsia="宋体" w:cs="Times New Roman"/>
                <w:b/>
                <w:bCs w:val="0"/>
                <w:color w:val="000000"/>
                <w:kern w:val="2"/>
                <w:sz w:val="24"/>
                <w:szCs w:val="24"/>
              </w:rPr>
              <w:t>原有环境污染问题</w:t>
            </w:r>
          </w:p>
        </w:tc>
        <w:tc>
          <w:tcPr>
            <w:tcW w:w="8373" w:type="dxa"/>
            <w:tcBorders>
              <w:tl2br w:val="nil"/>
              <w:tr2bl w:val="nil"/>
            </w:tcBorders>
            <w:noWrap w:val="0"/>
            <w:vAlign w:val="top"/>
          </w:tcPr>
          <w:p w14:paraId="50C940FB">
            <w:pPr>
              <w:keepNext w:val="0"/>
              <w:keepLines w:val="0"/>
              <w:widowControl w:val="0"/>
              <w:numPr>
                <w:ilvl w:val="0"/>
                <w:numId w:val="4"/>
              </w:numPr>
              <w:suppressLineNumbers w:val="0"/>
              <w:adjustRightInd w:val="0"/>
              <w:snapToGrid w:val="0"/>
              <w:spacing w:before="0" w:beforeAutospacing="0" w:after="0" w:afterAutospacing="0" w:line="360" w:lineRule="auto"/>
              <w:ind w:left="0" w:right="0" w:firstLine="0" w:firstLineChars="0"/>
              <w:jc w:val="both"/>
              <w:rPr>
                <w:rFonts w:hint="eastAsia" w:ascii="Times New Roman" w:hAnsi="Times New Roman" w:eastAsia="宋体" w:cs="Times New Roman"/>
                <w:b/>
                <w:bCs/>
                <w:color w:val="000000"/>
                <w:kern w:val="2"/>
                <w:sz w:val="24"/>
                <w:szCs w:val="24"/>
                <w:lang w:val="en-US" w:eastAsia="zh-CN" w:bidi="ar-SA"/>
              </w:rPr>
            </w:pPr>
            <w:r>
              <w:rPr>
                <w:rFonts w:hint="eastAsia" w:cs="Times New Roman"/>
                <w:b/>
                <w:bCs/>
                <w:color w:val="000000"/>
                <w:kern w:val="2"/>
                <w:sz w:val="24"/>
                <w:szCs w:val="24"/>
                <w:lang w:val="en-US" w:eastAsia="zh-CN" w:bidi="ar-SA"/>
              </w:rPr>
              <w:t>项目环保手续情况</w:t>
            </w:r>
          </w:p>
          <w:p w14:paraId="1E1E3644">
            <w:pPr>
              <w:keepNext w:val="0"/>
              <w:keepLines w:val="0"/>
              <w:widowControl w:val="0"/>
              <w:numPr>
                <w:ilvl w:val="0"/>
                <w:numId w:val="0"/>
              </w:numPr>
              <w:suppressLineNumbers w:val="0"/>
              <w:adjustRightInd w:val="0"/>
              <w:snapToGrid w:val="0"/>
              <w:spacing w:before="0" w:beforeAutospacing="0" w:after="0" w:afterAutospacing="0" w:line="360" w:lineRule="auto"/>
              <w:ind w:left="0" w:right="0" w:firstLine="480" w:firstLineChars="200"/>
              <w:jc w:val="both"/>
              <w:rPr>
                <w:rFonts w:hint="eastAsia" w:ascii="Times New Roman" w:hAnsi="Times New Roman" w:eastAsia="宋体" w:cs="Times New Roman"/>
                <w:sz w:val="24"/>
              </w:rPr>
            </w:pPr>
            <w:r>
              <w:rPr>
                <w:rFonts w:hint="default" w:ascii="Times New Roman" w:hAnsi="Times New Roman" w:eastAsia="宋体" w:cs="Times New Roman"/>
                <w:snapToGrid w:val="0"/>
                <w:color w:val="000000"/>
                <w:spacing w:val="0"/>
                <w:kern w:val="0"/>
                <w:sz w:val="24"/>
                <w:szCs w:val="24"/>
                <w:highlight w:val="none"/>
                <w:lang w:val="en-US" w:eastAsia="zh-CN"/>
              </w:rPr>
              <w:t>库尔勒市康牧动物医院建设项目</w:t>
            </w:r>
            <w:r>
              <w:rPr>
                <w:rFonts w:hint="eastAsia" w:ascii="Times New Roman" w:hAnsi="Times New Roman" w:eastAsia="宋体" w:cs="Times New Roman"/>
                <w:sz w:val="24"/>
              </w:rPr>
              <w:t>于</w:t>
            </w:r>
            <w:r>
              <w:rPr>
                <w:rFonts w:hint="eastAsia" w:ascii="Times New Roman" w:hAnsi="Times New Roman" w:eastAsia="宋体" w:cs="Times New Roman"/>
                <w:sz w:val="24"/>
                <w:highlight w:val="none"/>
              </w:rPr>
              <w:t>2020年</w:t>
            </w:r>
            <w:r>
              <w:rPr>
                <w:rFonts w:hint="eastAsia" w:cs="Times New Roman"/>
                <w:sz w:val="24"/>
                <w:highlight w:val="none"/>
                <w:lang w:val="en-US" w:eastAsia="zh-CN"/>
              </w:rPr>
              <w:t>12</w:t>
            </w:r>
            <w:r>
              <w:rPr>
                <w:rFonts w:hint="eastAsia" w:ascii="Times New Roman" w:hAnsi="Times New Roman" w:eastAsia="宋体" w:cs="Times New Roman"/>
                <w:sz w:val="24"/>
                <w:highlight w:val="none"/>
              </w:rPr>
              <w:t>月</w:t>
            </w:r>
            <w:r>
              <w:rPr>
                <w:rFonts w:hint="eastAsia" w:ascii="Times New Roman" w:hAnsi="Times New Roman" w:eastAsia="宋体" w:cs="Times New Roman"/>
                <w:sz w:val="24"/>
              </w:rPr>
              <w:t>成立，位于</w:t>
            </w:r>
            <w:r>
              <w:rPr>
                <w:rFonts w:hint="eastAsia" w:ascii="Times New Roman" w:hAnsi="Times New Roman" w:eastAsia="宋体" w:cs="Times New Roman"/>
                <w:sz w:val="24"/>
                <w:lang w:val="en-US" w:eastAsia="zh-CN"/>
              </w:rPr>
              <w:t>新疆巴州库尔勒市铁克其乡迎宾路48号兴旺家园40栋1-2层19号</w:t>
            </w:r>
            <w:r>
              <w:rPr>
                <w:rFonts w:hint="eastAsia" w:ascii="Times New Roman" w:hAnsi="Times New Roman" w:eastAsia="宋体" w:cs="Times New Roman"/>
                <w:sz w:val="24"/>
              </w:rPr>
              <w:t>，该诊所</w:t>
            </w:r>
            <w:r>
              <w:rPr>
                <w:rFonts w:hint="eastAsia" w:ascii="Times New Roman" w:hAnsi="Times New Roman" w:eastAsia="宋体" w:cs="Times New Roman"/>
                <w:sz w:val="24"/>
                <w:highlight w:val="none"/>
              </w:rPr>
              <w:t>于 2021年</w:t>
            </w:r>
            <w:r>
              <w:rPr>
                <w:rFonts w:hint="eastAsia" w:cs="Times New Roman"/>
                <w:sz w:val="24"/>
                <w:highlight w:val="none"/>
                <w:lang w:val="en-US" w:eastAsia="zh-CN"/>
              </w:rPr>
              <w:t>2</w:t>
            </w:r>
            <w:r>
              <w:rPr>
                <w:rFonts w:hint="eastAsia" w:ascii="Times New Roman" w:hAnsi="Times New Roman" w:eastAsia="宋体" w:cs="Times New Roman"/>
                <w:sz w:val="24"/>
                <w:highlight w:val="none"/>
              </w:rPr>
              <w:t>月</w:t>
            </w:r>
            <w:r>
              <w:rPr>
                <w:rFonts w:hint="eastAsia" w:cs="Times New Roman"/>
                <w:sz w:val="24"/>
                <w:highlight w:val="none"/>
                <w:lang w:val="en-US" w:eastAsia="zh-CN"/>
              </w:rPr>
              <w:t>建成</w:t>
            </w:r>
            <w:r>
              <w:rPr>
                <w:rFonts w:hint="eastAsia" w:ascii="Times New Roman" w:hAnsi="Times New Roman" w:eastAsia="宋体" w:cs="Times New Roman"/>
                <w:sz w:val="24"/>
              </w:rPr>
              <w:t>，并从事动物疾病预防、诊疗、治疗和手术以及宠物用品销售等宠物服务经营活动。</w:t>
            </w:r>
          </w:p>
          <w:p w14:paraId="05A1D030">
            <w:pPr>
              <w:pStyle w:val="10"/>
              <w:keepNext w:val="0"/>
              <w:keepLines w:val="0"/>
              <w:suppressLineNumbers w:val="0"/>
              <w:spacing w:before="0" w:beforeAutospacing="0" w:after="0" w:afterAutospacing="0"/>
              <w:ind w:left="0" w:right="0"/>
              <w:jc w:val="both"/>
              <w:rPr>
                <w:rFonts w:hint="default" w:ascii="Times New Roman" w:hAnsi="Times New Roman" w:eastAsia="宋体" w:cs="Times New Roman"/>
                <w:b/>
                <w:bCs/>
                <w:color w:val="000000"/>
                <w:kern w:val="2"/>
                <w:sz w:val="24"/>
                <w:szCs w:val="24"/>
                <w:lang w:val="en-US" w:eastAsia="zh-CN" w:bidi="ar-SA"/>
              </w:rPr>
            </w:pPr>
            <w:r>
              <w:rPr>
                <w:rFonts w:hint="default"/>
                <w:lang w:val="en-US" w:eastAsia="zh-CN"/>
              </w:rPr>
              <w:t>本项目DR室配备一台</w:t>
            </w:r>
            <w:r>
              <w:rPr>
                <w:rFonts w:hint="eastAsia"/>
                <w:lang w:val="en-US" w:eastAsia="zh-CN"/>
              </w:rPr>
              <w:t>X射线装置</w:t>
            </w:r>
            <w:r>
              <w:rPr>
                <w:rFonts w:hint="default"/>
                <w:lang w:val="en-US" w:eastAsia="zh-CN"/>
              </w:rPr>
              <w:t>，属于Ш类射线装置，根据《放射性同位素与射线装置安全许可管理办法》</w:t>
            </w:r>
            <w:r>
              <w:rPr>
                <w:rFonts w:hint="eastAsia"/>
                <w:lang w:val="en-US" w:eastAsia="zh-CN"/>
              </w:rPr>
              <w:t>（</w:t>
            </w:r>
            <w:r>
              <w:rPr>
                <w:rFonts w:hint="default"/>
                <w:lang w:val="en-US" w:eastAsia="zh-CN"/>
              </w:rPr>
              <w:t>环保总局令第31号</w:t>
            </w:r>
            <w:r>
              <w:rPr>
                <w:rFonts w:hint="eastAsia"/>
                <w:lang w:val="en-US" w:eastAsia="zh-CN"/>
              </w:rPr>
              <w:t>）</w:t>
            </w:r>
            <w:r>
              <w:rPr>
                <w:rFonts w:hint="default"/>
                <w:lang w:val="en-US" w:eastAsia="zh-CN"/>
              </w:rPr>
              <w:t>，该设备已按要求填报登记表</w:t>
            </w:r>
            <w:r>
              <w:rPr>
                <w:rFonts w:hint="eastAsia"/>
                <w:lang w:val="en-US" w:eastAsia="zh-CN"/>
              </w:rPr>
              <w:t>（</w:t>
            </w:r>
            <w:r>
              <w:rPr>
                <w:rFonts w:hint="default"/>
                <w:lang w:val="en-US" w:eastAsia="zh-CN"/>
              </w:rPr>
              <w:t>备案号</w:t>
            </w:r>
            <w:r>
              <w:rPr>
                <w:rFonts w:hint="eastAsia"/>
                <w:lang w:val="en-US" w:eastAsia="zh-CN"/>
              </w:rPr>
              <w:t>：</w:t>
            </w:r>
            <w:r>
              <w:rPr>
                <w:rFonts w:hint="default"/>
                <w:lang w:val="en-US" w:eastAsia="zh-CN"/>
              </w:rPr>
              <w:t>202</w:t>
            </w:r>
            <w:r>
              <w:rPr>
                <w:rFonts w:hint="eastAsia"/>
                <w:lang w:val="en-US" w:eastAsia="zh-CN"/>
              </w:rPr>
              <w:t>565280100000051）</w:t>
            </w:r>
            <w:r>
              <w:rPr>
                <w:rFonts w:hint="default"/>
                <w:lang w:val="en-US" w:eastAsia="zh-CN"/>
              </w:rPr>
              <w:t>，本项目不在排污许可管理范围内，不需要办理排污许可手续</w:t>
            </w:r>
            <w:r>
              <w:rPr>
                <w:rFonts w:hint="eastAsia" w:cs="Times New Roman"/>
                <w:sz w:val="24"/>
                <w:lang w:eastAsia="zh-CN"/>
              </w:rPr>
              <w:t>，</w:t>
            </w:r>
            <w:r>
              <w:rPr>
                <w:rFonts w:hint="eastAsia" w:ascii="Times New Roman" w:hAnsi="Times New Roman" w:eastAsia="宋体" w:cs="Times New Roman"/>
                <w:sz w:val="24"/>
              </w:rPr>
              <w:t>现有项目运营至今未收到环保投诉。</w:t>
            </w:r>
          </w:p>
          <w:p w14:paraId="5F882455">
            <w:pPr>
              <w:keepNext w:val="0"/>
              <w:keepLines w:val="0"/>
              <w:widowControl/>
              <w:numPr>
                <w:ilvl w:val="0"/>
                <w:numId w:val="4"/>
              </w:numPr>
              <w:suppressLineNumbers w:val="0"/>
              <w:adjustRightInd w:val="0"/>
              <w:snapToGrid w:val="0"/>
              <w:spacing w:before="0" w:beforeAutospacing="0" w:after="0" w:afterAutospacing="0" w:line="360" w:lineRule="auto"/>
              <w:ind w:left="0" w:right="0"/>
              <w:jc w:val="left"/>
              <w:rPr>
                <w:rFonts w:hint="eastAsia" w:ascii="Times New Roman" w:hAnsi="Times New Roman" w:eastAsia="宋体" w:cs="Times New Roman"/>
                <w:b/>
                <w:bCs/>
                <w:color w:val="000000"/>
                <w:sz w:val="24"/>
              </w:rPr>
            </w:pPr>
            <w:r>
              <w:rPr>
                <w:rFonts w:hint="eastAsia" w:ascii="Times New Roman" w:hAnsi="Times New Roman" w:eastAsia="宋体" w:cs="Times New Roman"/>
                <w:b/>
                <w:bCs/>
                <w:color w:val="000000"/>
                <w:sz w:val="24"/>
              </w:rPr>
              <w:t>项目现有环境问题与整改措施</w:t>
            </w:r>
          </w:p>
          <w:p w14:paraId="2015131D">
            <w:pPr>
              <w:keepNext w:val="0"/>
              <w:keepLines w:val="0"/>
              <w:widowControl w:val="0"/>
              <w:suppressLineNumbers w:val="0"/>
              <w:topLinePunct/>
              <w:adjustRightInd w:val="0"/>
              <w:snapToGrid w:val="0"/>
              <w:spacing w:before="0" w:beforeAutospacing="0" w:after="0" w:afterAutospacing="0" w:line="360" w:lineRule="auto"/>
              <w:ind w:left="0" w:leftChars="0" w:right="0" w:firstLine="482" w:firstLineChars="200"/>
              <w:jc w:val="both"/>
              <w:textAlignment w:val="auto"/>
              <w:rPr>
                <w:rFonts w:hint="eastAsia" w:ascii="Times New Roman" w:hAnsi="Times New Roman" w:eastAsia="宋体" w:cs="Times New Roman"/>
                <w:b/>
                <w:bCs/>
                <w:color w:val="000000"/>
                <w:kern w:val="2"/>
                <w:sz w:val="24"/>
                <w:szCs w:val="24"/>
                <w:lang w:val="en-US" w:eastAsia="zh-CN" w:bidi="ar-SA"/>
              </w:rPr>
            </w:pPr>
            <w:r>
              <w:rPr>
                <w:rFonts w:hint="eastAsia" w:cs="Times New Roman"/>
                <w:b/>
                <w:bCs/>
                <w:color w:val="000000"/>
                <w:kern w:val="2"/>
                <w:sz w:val="24"/>
                <w:szCs w:val="24"/>
                <w:lang w:val="en-US" w:eastAsia="zh-CN" w:bidi="ar-SA"/>
              </w:rPr>
              <w:t>2.</w:t>
            </w:r>
            <w:r>
              <w:rPr>
                <w:rFonts w:hint="eastAsia" w:ascii="Times New Roman" w:hAnsi="Times New Roman" w:eastAsia="宋体" w:cs="Times New Roman"/>
                <w:b/>
                <w:bCs/>
                <w:color w:val="000000"/>
                <w:kern w:val="2"/>
                <w:sz w:val="24"/>
                <w:szCs w:val="24"/>
                <w:lang w:val="en-US" w:eastAsia="zh-CN" w:bidi="ar-SA"/>
              </w:rPr>
              <w:t>1现有环境问题</w:t>
            </w:r>
          </w:p>
          <w:p w14:paraId="5E50B479">
            <w:pPr>
              <w:keepNext w:val="0"/>
              <w:keepLines w:val="0"/>
              <w:widowControl w:val="0"/>
              <w:numPr>
                <w:ilvl w:val="0"/>
                <w:numId w:val="0"/>
              </w:numPr>
              <w:suppressLineNumbers w:val="0"/>
              <w:topLinePunct/>
              <w:adjustRightInd w:val="0"/>
              <w:snapToGrid w:val="0"/>
              <w:spacing w:before="0" w:beforeAutospacing="0" w:after="0" w:afterAutospacing="0" w:line="360" w:lineRule="auto"/>
              <w:ind w:left="0" w:right="0" w:firstLine="480" w:firstLineChars="200"/>
              <w:jc w:val="both"/>
              <w:textAlignment w:val="auto"/>
              <w:rPr>
                <w:rFonts w:hint="eastAsia" w:cs="Times New Roman"/>
                <w:color w:val="000000"/>
                <w:kern w:val="2"/>
                <w:sz w:val="24"/>
                <w:szCs w:val="24"/>
                <w:lang w:val="en-US" w:eastAsia="zh-CN" w:bidi="ar-SA"/>
              </w:rPr>
            </w:pPr>
            <w:r>
              <w:rPr>
                <w:rFonts w:hint="eastAsia" w:cs="Times New Roman"/>
                <w:color w:val="000000"/>
                <w:kern w:val="2"/>
                <w:sz w:val="24"/>
                <w:szCs w:val="24"/>
                <w:lang w:val="en-US" w:eastAsia="zh-CN" w:bidi="ar-SA"/>
              </w:rPr>
              <w:t>本项目已建成，根据现场勘查发现存在以下问题：</w:t>
            </w:r>
          </w:p>
          <w:p w14:paraId="14481118">
            <w:pPr>
              <w:keepNext w:val="0"/>
              <w:keepLines w:val="0"/>
              <w:widowControl w:val="0"/>
              <w:numPr>
                <w:ilvl w:val="0"/>
                <w:numId w:val="0"/>
              </w:numPr>
              <w:suppressLineNumbers w:val="0"/>
              <w:topLinePunct/>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000000"/>
                <w:kern w:val="2"/>
                <w:sz w:val="24"/>
                <w:szCs w:val="24"/>
                <w:lang w:val="en-US" w:eastAsia="zh-CN" w:bidi="ar-SA"/>
              </w:rPr>
            </w:pPr>
            <w:r>
              <w:rPr>
                <w:rFonts w:hint="eastAsia" w:cs="Times New Roman"/>
                <w:color w:val="000000"/>
                <w:kern w:val="2"/>
                <w:sz w:val="24"/>
                <w:szCs w:val="24"/>
                <w:lang w:val="en-US" w:eastAsia="zh-CN" w:bidi="ar-SA"/>
              </w:rPr>
              <w:t>（1）仅设置医疗废物暂存桶收集动物诊疗废物，未设置医疗废物专用暂时贮存柜（箱）或医疗废物暂时贮存库房。</w:t>
            </w:r>
          </w:p>
          <w:p w14:paraId="3887E413">
            <w:pPr>
              <w:keepNext w:val="0"/>
              <w:keepLines w:val="0"/>
              <w:widowControl w:val="0"/>
              <w:numPr>
                <w:ilvl w:val="0"/>
                <w:numId w:val="0"/>
              </w:numPr>
              <w:suppressLineNumbers w:val="0"/>
              <w:topLinePunct/>
              <w:adjustRightInd w:val="0"/>
              <w:snapToGrid w:val="0"/>
              <w:spacing w:before="0" w:beforeAutospacing="0" w:after="0" w:afterAutospacing="0" w:line="360" w:lineRule="auto"/>
              <w:ind w:left="0" w:right="0" w:firstLine="480" w:firstLineChars="200"/>
              <w:jc w:val="both"/>
              <w:textAlignment w:val="auto"/>
              <w:rPr>
                <w:rFonts w:hint="default"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（2）</w:t>
            </w:r>
            <w:r>
              <w:rPr>
                <w:rFonts w:hint="eastAsia" w:cs="Times New Roman"/>
                <w:color w:val="000000"/>
                <w:kern w:val="2"/>
                <w:sz w:val="24"/>
                <w:szCs w:val="24"/>
                <w:lang w:val="en-US" w:eastAsia="zh-CN" w:bidi="ar-SA"/>
              </w:rPr>
              <w:t>宠物诊疗废水未进行消毒预处理。</w:t>
            </w:r>
          </w:p>
          <w:p w14:paraId="082FA48B">
            <w:pPr>
              <w:keepNext w:val="0"/>
              <w:keepLines w:val="0"/>
              <w:widowControl w:val="0"/>
              <w:suppressLineNumbers w:val="0"/>
              <w:topLinePunct/>
              <w:adjustRightInd w:val="0"/>
              <w:snapToGrid w:val="0"/>
              <w:spacing w:before="0" w:beforeAutospacing="0" w:after="0" w:afterAutospacing="0" w:line="360" w:lineRule="auto"/>
              <w:ind w:left="0" w:leftChars="0" w:right="0" w:firstLine="482" w:firstLineChars="200"/>
              <w:jc w:val="both"/>
              <w:textAlignment w:val="auto"/>
              <w:rPr>
                <w:rFonts w:hint="eastAsia" w:ascii="Times New Roman" w:hAnsi="Times New Roman" w:eastAsia="宋体" w:cs="Times New Roman"/>
                <w:b/>
                <w:bCs/>
                <w:color w:val="000000"/>
                <w:kern w:val="2"/>
                <w:sz w:val="24"/>
                <w:szCs w:val="24"/>
                <w:lang w:val="en-US" w:eastAsia="zh-CN" w:bidi="ar-SA"/>
              </w:rPr>
            </w:pPr>
            <w:r>
              <w:rPr>
                <w:rFonts w:hint="eastAsia" w:cs="Times New Roman"/>
                <w:b/>
                <w:bCs/>
                <w:color w:val="000000"/>
                <w:kern w:val="2"/>
                <w:sz w:val="24"/>
                <w:szCs w:val="24"/>
                <w:lang w:val="en-US" w:eastAsia="zh-CN" w:bidi="ar-SA"/>
              </w:rPr>
              <w:t>2</w:t>
            </w:r>
            <w:r>
              <w:rPr>
                <w:rFonts w:hint="eastAsia" w:ascii="Times New Roman" w:hAnsi="Times New Roman" w:eastAsia="宋体" w:cs="Times New Roman"/>
                <w:b/>
                <w:bCs/>
                <w:color w:val="000000"/>
                <w:kern w:val="2"/>
                <w:sz w:val="24"/>
                <w:szCs w:val="24"/>
                <w:lang w:val="en-US" w:eastAsia="zh-CN" w:bidi="ar-SA"/>
              </w:rPr>
              <w:t>.2整改措施</w:t>
            </w:r>
          </w:p>
          <w:p w14:paraId="75AACFA2">
            <w:pPr>
              <w:keepNext w:val="0"/>
              <w:keepLines w:val="0"/>
              <w:pageBreakBefore w:val="0"/>
              <w:widowControl w:val="0"/>
              <w:numPr>
                <w:ilvl w:val="0"/>
                <w:numId w:val="0"/>
              </w:numPr>
              <w:suppressLineNumbers w:val="0"/>
              <w:kinsoku/>
              <w:wordWrap/>
              <w:overflowPunct/>
              <w:topLinePunct/>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000000"/>
                <w:kern w:val="2"/>
                <w:sz w:val="28"/>
                <w:szCs w:val="20"/>
                <w:lang w:val="en-US" w:eastAsia="zh-CN" w:bidi="ar-SA"/>
              </w:rPr>
            </w:pPr>
            <w:r>
              <w:rPr>
                <w:rFonts w:hint="default" w:ascii="Times New Roman" w:hAnsi="Times New Roman" w:eastAsia="宋体" w:cs="Times New Roman"/>
                <w:color w:val="000000"/>
                <w:kern w:val="2"/>
                <w:sz w:val="24"/>
                <w:szCs w:val="24"/>
                <w:lang w:val="en-US" w:eastAsia="zh-CN" w:bidi="ar-SA"/>
              </w:rPr>
              <w:t>（1）按照《危险废物污染防治技术政策》《医疗废物集中处置技术规范</w:t>
            </w:r>
            <w:r>
              <w:rPr>
                <w:rFonts w:hint="eastAsia" w:cs="Times New Roman"/>
                <w:color w:val="000000"/>
                <w:kern w:val="2"/>
                <w:sz w:val="24"/>
                <w:szCs w:val="24"/>
                <w:lang w:val="en-US" w:eastAsia="zh-CN" w:bidi="ar-SA"/>
              </w:rPr>
              <w:t>（</w:t>
            </w:r>
            <w:r>
              <w:rPr>
                <w:rFonts w:hint="default" w:ascii="Times New Roman" w:hAnsi="Times New Roman" w:eastAsia="宋体" w:cs="Times New Roman"/>
                <w:color w:val="000000"/>
                <w:kern w:val="2"/>
                <w:sz w:val="24"/>
                <w:szCs w:val="24"/>
                <w:lang w:val="en-US" w:eastAsia="zh-CN" w:bidi="ar-SA"/>
              </w:rPr>
              <w:t>试行》</w:t>
            </w:r>
            <w:r>
              <w:rPr>
                <w:rFonts w:hint="eastAsia" w:cs="Times New Roman"/>
                <w:color w:val="000000"/>
                <w:kern w:val="2"/>
                <w:sz w:val="24"/>
                <w:szCs w:val="24"/>
                <w:lang w:val="en-US" w:eastAsia="zh-CN" w:bidi="ar-SA"/>
              </w:rPr>
              <w:t>）</w:t>
            </w:r>
            <w:r>
              <w:rPr>
                <w:rFonts w:hint="default" w:ascii="Times New Roman" w:hAnsi="Times New Roman" w:eastAsia="宋体" w:cs="Times New Roman"/>
                <w:color w:val="000000"/>
                <w:kern w:val="2"/>
                <w:sz w:val="24"/>
                <w:szCs w:val="24"/>
                <w:lang w:val="en-US" w:eastAsia="zh-CN" w:bidi="ar-SA"/>
              </w:rPr>
              <w:t>和《危险废物贮存污染控制标准》</w:t>
            </w:r>
            <w:r>
              <w:rPr>
                <w:rFonts w:hint="eastAsia" w:cs="Times New Roman"/>
                <w:color w:val="000000"/>
                <w:kern w:val="2"/>
                <w:sz w:val="24"/>
                <w:szCs w:val="24"/>
                <w:lang w:val="en-US" w:eastAsia="zh-CN" w:bidi="ar-SA"/>
              </w:rPr>
              <w:t>（</w:t>
            </w:r>
            <w:r>
              <w:rPr>
                <w:rFonts w:hint="default" w:ascii="Times New Roman" w:hAnsi="Times New Roman" w:eastAsia="宋体" w:cs="Times New Roman"/>
                <w:color w:val="000000"/>
                <w:kern w:val="2"/>
                <w:sz w:val="24"/>
                <w:szCs w:val="24"/>
                <w:lang w:val="en-US" w:eastAsia="zh-CN" w:bidi="ar-SA"/>
              </w:rPr>
              <w:t>GB18597-2023</w:t>
            </w:r>
            <w:r>
              <w:rPr>
                <w:rFonts w:hint="eastAsia" w:cs="Times New Roman"/>
                <w:color w:val="000000"/>
                <w:kern w:val="2"/>
                <w:sz w:val="24"/>
                <w:szCs w:val="24"/>
                <w:lang w:val="en-US" w:eastAsia="zh-CN" w:bidi="ar-SA"/>
              </w:rPr>
              <w:t>）</w:t>
            </w:r>
            <w:r>
              <w:rPr>
                <w:rFonts w:hint="default" w:ascii="Times New Roman" w:hAnsi="Times New Roman" w:eastAsia="宋体" w:cs="Times New Roman"/>
                <w:color w:val="000000"/>
                <w:kern w:val="2"/>
                <w:sz w:val="24"/>
                <w:szCs w:val="24"/>
                <w:lang w:val="en-US" w:eastAsia="zh-CN" w:bidi="ar-SA"/>
              </w:rPr>
              <w:t>等要求</w:t>
            </w:r>
            <w:r>
              <w:rPr>
                <w:rFonts w:hint="eastAsia" w:ascii="Times New Roman" w:hAnsi="Times New Roman" w:eastAsia="宋体" w:cs="Times New Roman"/>
                <w:color w:val="000000"/>
                <w:kern w:val="2"/>
                <w:sz w:val="24"/>
                <w:szCs w:val="24"/>
                <w:lang w:val="en-US" w:eastAsia="zh-CN" w:bidi="ar-SA"/>
              </w:rPr>
              <w:t>，</w:t>
            </w:r>
            <w:r>
              <w:rPr>
                <w:rFonts w:hint="default" w:ascii="Times New Roman" w:hAnsi="Times New Roman" w:eastAsia="宋体" w:cs="Times New Roman"/>
                <w:color w:val="000000"/>
                <w:kern w:val="2"/>
                <w:sz w:val="24"/>
                <w:szCs w:val="24"/>
                <w:lang w:val="en-US" w:eastAsia="zh-CN" w:bidi="ar-SA"/>
              </w:rPr>
              <w:t>规范设置</w:t>
            </w:r>
            <w:r>
              <w:rPr>
                <w:rFonts w:hint="eastAsia" w:cs="Times New Roman"/>
                <w:color w:val="000000"/>
                <w:kern w:val="2"/>
                <w:sz w:val="24"/>
                <w:szCs w:val="24"/>
                <w:lang w:val="en-US" w:eastAsia="zh-CN" w:bidi="ar-SA"/>
              </w:rPr>
              <w:t>医疗废物专用暂时贮存柜（箱）</w:t>
            </w:r>
            <w:r>
              <w:rPr>
                <w:rFonts w:hint="default" w:ascii="Times New Roman" w:hAnsi="Times New Roman" w:eastAsia="宋体" w:cs="Times New Roman"/>
                <w:color w:val="000000"/>
                <w:kern w:val="2"/>
                <w:sz w:val="24"/>
                <w:szCs w:val="24"/>
                <w:lang w:val="en-US" w:eastAsia="zh-CN" w:bidi="ar-SA"/>
              </w:rPr>
              <w:t>并设置标识标牌</w:t>
            </w:r>
            <w:r>
              <w:rPr>
                <w:rFonts w:hint="eastAsia" w:ascii="Times New Roman" w:hAnsi="Times New Roman" w:eastAsia="宋体" w:cs="Times New Roman"/>
                <w:color w:val="000000"/>
                <w:kern w:val="2"/>
                <w:sz w:val="24"/>
                <w:szCs w:val="24"/>
                <w:lang w:val="en-US" w:eastAsia="zh-CN" w:bidi="ar-SA"/>
              </w:rPr>
              <w:t>。</w:t>
            </w:r>
          </w:p>
          <w:p w14:paraId="5C62B24F">
            <w:pPr>
              <w:keepNext w:val="0"/>
              <w:keepLines w:val="0"/>
              <w:pageBreakBefore w:val="0"/>
              <w:widowControl w:val="0"/>
              <w:numPr>
                <w:ilvl w:val="0"/>
                <w:numId w:val="0"/>
              </w:numPr>
              <w:suppressLineNumbers w:val="0"/>
              <w:kinsoku/>
              <w:wordWrap/>
              <w:overflowPunct/>
              <w:topLinePunct/>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（2）设置</w:t>
            </w:r>
            <w:r>
              <w:rPr>
                <w:rFonts w:hint="eastAsia" w:cs="Times New Roman"/>
                <w:color w:val="000000"/>
                <w:kern w:val="2"/>
                <w:sz w:val="24"/>
                <w:szCs w:val="24"/>
                <w:lang w:val="en-US" w:eastAsia="zh-CN" w:bidi="ar-SA"/>
              </w:rPr>
              <w:t>三台</w:t>
            </w:r>
            <w:r>
              <w:rPr>
                <w:rFonts w:hint="eastAsia" w:ascii="Times New Roman" w:hAnsi="Times New Roman" w:eastAsia="宋体" w:cs="Times New Roman"/>
                <w:color w:val="000000"/>
                <w:kern w:val="2"/>
                <w:sz w:val="24"/>
                <w:szCs w:val="24"/>
                <w:lang w:val="en-US" w:eastAsia="zh-CN" w:bidi="ar-SA"/>
              </w:rPr>
              <w:t>小型废水处理</w:t>
            </w:r>
            <w:r>
              <w:rPr>
                <w:rFonts w:hint="default" w:ascii="Times New Roman" w:hAnsi="Times New Roman" w:eastAsia="宋体" w:cs="Times New Roman"/>
                <w:color w:val="000000"/>
                <w:kern w:val="2"/>
                <w:sz w:val="24"/>
                <w:szCs w:val="24"/>
                <w:lang w:val="en-US" w:eastAsia="zh-CN" w:bidi="ar-SA"/>
              </w:rPr>
              <w:t>设施，用于收集处理化验室、手术室产生的</w:t>
            </w:r>
            <w:r>
              <w:rPr>
                <w:rFonts w:hint="eastAsia" w:cs="Times New Roman"/>
                <w:color w:val="000000"/>
                <w:kern w:val="2"/>
                <w:sz w:val="24"/>
                <w:szCs w:val="24"/>
                <w:lang w:val="en-US" w:eastAsia="zh-CN" w:bidi="ar-SA"/>
              </w:rPr>
              <w:t>宠物诊疗</w:t>
            </w:r>
            <w:r>
              <w:rPr>
                <w:rFonts w:hint="default" w:ascii="Times New Roman" w:hAnsi="Times New Roman" w:eastAsia="宋体" w:cs="Times New Roman"/>
                <w:color w:val="000000"/>
                <w:kern w:val="2"/>
                <w:sz w:val="24"/>
                <w:szCs w:val="24"/>
                <w:lang w:val="en-US" w:eastAsia="zh-CN" w:bidi="ar-SA"/>
              </w:rPr>
              <w:t>废水</w:t>
            </w:r>
            <w:r>
              <w:rPr>
                <w:rFonts w:hint="eastAsia" w:ascii="Times New Roman" w:hAnsi="Times New Roman" w:eastAsia="宋体" w:cs="Times New Roman"/>
                <w:color w:val="000000"/>
                <w:kern w:val="2"/>
                <w:sz w:val="24"/>
                <w:szCs w:val="24"/>
                <w:lang w:val="en-US" w:eastAsia="zh-CN" w:bidi="ar-SA"/>
              </w:rPr>
              <w:t>及清洗废水</w:t>
            </w:r>
            <w:r>
              <w:rPr>
                <w:rFonts w:hint="default" w:ascii="Times New Roman" w:hAnsi="Times New Roman" w:eastAsia="宋体" w:cs="Times New Roman"/>
                <w:color w:val="000000"/>
                <w:kern w:val="2"/>
                <w:sz w:val="24"/>
                <w:szCs w:val="24"/>
                <w:lang w:val="en-US" w:eastAsia="zh-CN" w:bidi="ar-SA"/>
              </w:rPr>
              <w:t>，对</w:t>
            </w:r>
            <w:r>
              <w:rPr>
                <w:rFonts w:hint="eastAsia" w:cs="Times New Roman"/>
                <w:color w:val="000000"/>
                <w:kern w:val="2"/>
                <w:sz w:val="24"/>
                <w:szCs w:val="24"/>
                <w:lang w:val="en-US" w:eastAsia="zh-CN" w:bidi="ar-SA"/>
              </w:rPr>
              <w:t>宠物诊疗</w:t>
            </w:r>
            <w:r>
              <w:rPr>
                <w:rFonts w:hint="default" w:ascii="Times New Roman" w:hAnsi="Times New Roman" w:eastAsia="宋体" w:cs="Times New Roman"/>
                <w:color w:val="000000"/>
                <w:kern w:val="2"/>
                <w:sz w:val="24"/>
                <w:szCs w:val="24"/>
                <w:lang w:val="en-US" w:eastAsia="zh-CN" w:bidi="ar-SA"/>
              </w:rPr>
              <w:t>废水进行消毒预处理</w:t>
            </w:r>
            <w:r>
              <w:rPr>
                <w:rFonts w:hint="eastAsia" w:ascii="Times New Roman" w:hAnsi="Times New Roman" w:eastAsia="宋体" w:cs="Times New Roman"/>
                <w:color w:val="000000"/>
                <w:kern w:val="2"/>
                <w:sz w:val="24"/>
                <w:szCs w:val="24"/>
                <w:lang w:val="en-US" w:eastAsia="zh-CN" w:bidi="ar-SA"/>
              </w:rPr>
              <w:t>。</w:t>
            </w:r>
          </w:p>
          <w:p w14:paraId="02C97DFC">
            <w:pPr>
              <w:pStyle w:val="2"/>
              <w:rPr>
                <w:rFonts w:hint="eastAsia" w:ascii="Times New Roman" w:hAnsi="Times New Roman" w:eastAsia="宋体" w:cs="Times New Roman"/>
                <w:color w:val="000000"/>
                <w:kern w:val="2"/>
                <w:sz w:val="24"/>
                <w:szCs w:val="24"/>
                <w:lang w:val="en-US" w:eastAsia="zh-CN" w:bidi="ar-SA"/>
              </w:rPr>
            </w:pPr>
          </w:p>
          <w:p w14:paraId="006687FD">
            <w:pPr>
              <w:keepNext w:val="0"/>
              <w:keepLines w:val="0"/>
              <w:suppressLineNumbers w:val="0"/>
              <w:spacing w:before="0" w:beforeAutospacing="0" w:after="0" w:afterAutospacing="0"/>
              <w:ind w:left="0" w:right="0"/>
              <w:rPr>
                <w:rFonts w:hint="eastAsia" w:ascii="Times New Roman" w:hAnsi="Times New Roman" w:eastAsia="宋体" w:cs="Times New Roman"/>
                <w:color w:val="000000"/>
                <w:kern w:val="2"/>
                <w:sz w:val="24"/>
                <w:szCs w:val="24"/>
                <w:lang w:val="en-US" w:eastAsia="zh-CN" w:bidi="ar-SA"/>
              </w:rPr>
            </w:pPr>
          </w:p>
          <w:p w14:paraId="173B6867">
            <w:pPr>
              <w:pStyle w:val="2"/>
              <w:rPr>
                <w:rFonts w:hint="eastAsia" w:ascii="Times New Roman" w:hAnsi="Times New Roman" w:eastAsia="宋体" w:cs="Times New Roman"/>
                <w:color w:val="000000"/>
                <w:kern w:val="2"/>
                <w:sz w:val="24"/>
                <w:szCs w:val="24"/>
                <w:lang w:val="en-US" w:eastAsia="zh-CN" w:bidi="ar-SA"/>
              </w:rPr>
            </w:pPr>
          </w:p>
          <w:p w14:paraId="3181066E">
            <w:pPr>
              <w:keepNext w:val="0"/>
              <w:keepLines w:val="0"/>
              <w:suppressLineNumbers w:val="0"/>
              <w:spacing w:before="0" w:beforeAutospacing="0" w:after="0" w:afterAutospacing="0"/>
              <w:ind w:left="0" w:right="0"/>
              <w:rPr>
                <w:rFonts w:hint="eastAsia" w:ascii="Times New Roman" w:hAnsi="Times New Roman" w:eastAsia="宋体" w:cs="Times New Roman"/>
                <w:color w:val="000000"/>
                <w:kern w:val="2"/>
                <w:sz w:val="24"/>
                <w:szCs w:val="24"/>
                <w:lang w:val="en-US" w:eastAsia="zh-CN" w:bidi="ar-SA"/>
              </w:rPr>
            </w:pPr>
          </w:p>
          <w:p w14:paraId="201FBE5F">
            <w:pPr>
              <w:keepNext w:val="0"/>
              <w:keepLines w:val="0"/>
              <w:suppressLineNumbers w:val="0"/>
              <w:spacing w:before="0" w:beforeAutospacing="0" w:after="0" w:afterAutospacing="0"/>
              <w:ind w:left="0" w:leftChars="0" w:right="0" w:firstLine="0" w:firstLineChars="0"/>
              <w:rPr>
                <w:rFonts w:hint="default"/>
                <w:lang w:val="en-US" w:eastAsia="zh-CN"/>
              </w:rPr>
            </w:pPr>
          </w:p>
        </w:tc>
      </w:tr>
    </w:tbl>
    <w:p w14:paraId="5DC28229">
      <w:pPr>
        <w:spacing w:line="360" w:lineRule="auto"/>
        <w:jc w:val="both"/>
        <w:outlineLvl w:val="9"/>
        <w:rPr>
          <w:rFonts w:eastAsia="黑体"/>
          <w:sz w:val="30"/>
        </w:rPr>
        <w:sectPr>
          <w:footerReference r:id="rId7"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p w14:paraId="15B5B65F">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center"/>
        <w:textAlignment w:val="auto"/>
        <w:outlineLvl w:val="0"/>
        <w:rPr>
          <w:rFonts w:ascii="黑体" w:hAnsi="黑体" w:eastAsia="黑体"/>
          <w:snapToGrid w:val="0"/>
          <w:sz w:val="30"/>
          <w:szCs w:val="30"/>
        </w:rPr>
      </w:pPr>
      <w:bookmarkStart w:id="16" w:name="_Toc5930"/>
      <w:r>
        <w:rPr>
          <w:rFonts w:hint="eastAsia" w:ascii="黑体" w:hAnsi="黑体" w:eastAsia="黑体"/>
          <w:snapToGrid w:val="0"/>
          <w:sz w:val="30"/>
          <w:szCs w:val="30"/>
        </w:rPr>
        <w:t>三、区域环境质量现状、环境保护目标及评价标准</w:t>
      </w:r>
      <w:bookmarkEnd w:id="16"/>
    </w:p>
    <w:tbl>
      <w:tblPr>
        <w:tblStyle w:val="3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08"/>
      </w:tblGrid>
      <w:tr w14:paraId="21849D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3" w:type="dxa"/>
            <w:tcBorders>
              <w:tl2br w:val="nil"/>
              <w:tr2bl w:val="nil"/>
            </w:tcBorders>
            <w:noWrap w:val="0"/>
            <w:vAlign w:val="center"/>
          </w:tcPr>
          <w:p w14:paraId="1B5841C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区域</w:t>
            </w:r>
          </w:p>
          <w:p w14:paraId="605A5EE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环境</w:t>
            </w:r>
          </w:p>
          <w:p w14:paraId="22494CC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质量</w:t>
            </w:r>
          </w:p>
          <w:p w14:paraId="6372B42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
                <w:bCs/>
                <w:color w:val="000000"/>
                <w:kern w:val="0"/>
                <w:sz w:val="24"/>
                <w:szCs w:val="24"/>
              </w:rPr>
              <w:t>现状</w:t>
            </w:r>
          </w:p>
        </w:tc>
        <w:tc>
          <w:tcPr>
            <w:tcW w:w="8608" w:type="dxa"/>
            <w:tcBorders>
              <w:tl2br w:val="nil"/>
              <w:tr2bl w:val="nil"/>
            </w:tcBorders>
            <w:noWrap w:val="0"/>
            <w:vAlign w:val="center"/>
          </w:tcPr>
          <w:p w14:paraId="7E7F3056">
            <w:pPr>
              <w:pStyle w:val="5"/>
              <w:suppressLineNumbers w:val="0"/>
              <w:bidi w:val="0"/>
              <w:spacing w:before="0" w:beforeAutospacing="0" w:after="0" w:afterAutospacing="0"/>
              <w:ind w:left="0" w:right="0"/>
              <w:rPr>
                <w:rFonts w:hint="default" w:ascii="Times New Roman" w:hAnsi="Times New Roman" w:eastAsia="宋体" w:cs="Times New Roman"/>
                <w:color w:val="000000"/>
              </w:rPr>
            </w:pPr>
            <w:bookmarkStart w:id="17" w:name="_Toc467057572"/>
            <w:bookmarkStart w:id="18" w:name="_Toc29722416"/>
            <w:bookmarkStart w:id="19" w:name="_Toc28472"/>
            <w:r>
              <w:rPr>
                <w:rFonts w:hint="default" w:ascii="Times New Roman" w:hAnsi="Times New Roman" w:eastAsia="宋体" w:cs="Times New Roman"/>
                <w:color w:val="000000"/>
                <w:lang w:val="en-US" w:eastAsia="zh-CN"/>
              </w:rPr>
              <w:t>1</w:t>
            </w:r>
            <w:r>
              <w:rPr>
                <w:rFonts w:hint="default" w:ascii="Times New Roman" w:hAnsi="Times New Roman" w:eastAsia="宋体" w:cs="Times New Roman"/>
                <w:color w:val="000000"/>
              </w:rPr>
              <w:t>、大气环境质量现状</w:t>
            </w:r>
            <w:bookmarkEnd w:id="17"/>
            <w:bookmarkEnd w:id="18"/>
            <w:bookmarkEnd w:id="19"/>
          </w:p>
          <w:p w14:paraId="02DAC4C4">
            <w:pPr>
              <w:pStyle w:val="5"/>
              <w:suppressLineNumbers w:val="0"/>
              <w:bidi w:val="0"/>
              <w:spacing w:before="0" w:beforeAutospacing="0" w:after="0" w:afterAutospacing="0"/>
              <w:ind w:left="0" w:right="0"/>
              <w:rPr>
                <w:rFonts w:hint="default" w:ascii="Times New Roman" w:hAnsi="Times New Roman" w:eastAsia="宋体" w:cs="Times New Roman"/>
                <w:color w:val="000000"/>
              </w:rPr>
            </w:pPr>
            <w:bookmarkStart w:id="20" w:name="_Toc18622"/>
            <w:r>
              <w:rPr>
                <w:rFonts w:hint="default" w:ascii="Times New Roman" w:hAnsi="Times New Roman" w:eastAsia="宋体" w:cs="Times New Roman"/>
                <w:color w:val="000000"/>
              </w:rPr>
              <w:t>1.1基本污染物达标区判定</w:t>
            </w:r>
          </w:p>
          <w:p w14:paraId="72155EFE">
            <w:pPr>
              <w:keepNext w:val="0"/>
              <w:keepLines w:val="0"/>
              <w:suppressLineNumbers w:val="0"/>
              <w:spacing w:before="0" w:beforeAutospacing="0" w:after="0" w:afterAutospacing="0" w:line="360" w:lineRule="auto"/>
              <w:ind w:left="0" w:right="0" w:firstLine="48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本次环境空气质量现</w:t>
            </w:r>
            <w:r>
              <w:rPr>
                <w:rFonts w:hint="default" w:ascii="Times New Roman" w:hAnsi="Times New Roman" w:eastAsia="宋体" w:cs="Times New Roman"/>
                <w:color w:val="000000"/>
                <w:sz w:val="24"/>
                <w:szCs w:val="24"/>
              </w:rPr>
              <w:t>状采用</w:t>
            </w:r>
            <w:r>
              <w:rPr>
                <w:rFonts w:hint="default" w:ascii="Times New Roman" w:hAnsi="Times New Roman" w:eastAsia="宋体" w:cs="Times New Roman"/>
                <w:color w:val="000000"/>
                <w:sz w:val="24"/>
                <w:szCs w:val="24"/>
                <w:lang w:val="en-US" w:eastAsia="zh-CN"/>
              </w:rPr>
              <w:t>库尔勒市棉纺厂</w:t>
            </w:r>
            <w:r>
              <w:rPr>
                <w:rFonts w:hint="default" w:ascii="Times New Roman" w:hAnsi="Times New Roman" w:eastAsia="宋体" w:cs="Times New Roman"/>
                <w:color w:val="000000"/>
                <w:sz w:val="24"/>
                <w:szCs w:val="24"/>
                <w:lang w:eastAsia="zh-CN"/>
              </w:rPr>
              <w:t>自动监测站</w:t>
            </w:r>
            <w:r>
              <w:rPr>
                <w:rFonts w:hint="default" w:ascii="Times New Roman" w:hAnsi="Times New Roman" w:cs="Times New Roman"/>
                <w:color w:val="000000"/>
                <w:sz w:val="24"/>
                <w:szCs w:val="24"/>
                <w:lang w:val="en-US" w:eastAsia="zh-CN"/>
              </w:rPr>
              <w:t>202</w:t>
            </w:r>
            <w:r>
              <w:rPr>
                <w:rFonts w:hint="eastAsia" w:cs="Times New Roman"/>
                <w:color w:val="000000"/>
                <w:sz w:val="24"/>
                <w:szCs w:val="24"/>
                <w:lang w:val="en-US" w:eastAsia="zh-CN"/>
              </w:rPr>
              <w:t>4</w:t>
            </w:r>
            <w:r>
              <w:rPr>
                <w:rFonts w:hint="default" w:ascii="Times New Roman" w:hAnsi="Times New Roman" w:cs="Times New Roman"/>
                <w:color w:val="000000"/>
                <w:sz w:val="24"/>
                <w:szCs w:val="24"/>
              </w:rPr>
              <w:t>年SO</w:t>
            </w:r>
            <w:r>
              <w:rPr>
                <w:rFonts w:hint="default" w:ascii="Times New Roman" w:hAnsi="Times New Roman" w:cs="Times New Roman"/>
                <w:color w:val="000000"/>
                <w:sz w:val="24"/>
                <w:szCs w:val="24"/>
                <w:vertAlign w:val="subscript"/>
              </w:rPr>
              <w:t>2</w:t>
            </w:r>
            <w:r>
              <w:rPr>
                <w:rFonts w:hint="default" w:ascii="Times New Roman" w:hAnsi="Times New Roman" w:cs="Times New Roman"/>
                <w:color w:val="000000"/>
                <w:sz w:val="24"/>
                <w:szCs w:val="24"/>
              </w:rPr>
              <w:t>、NO</w:t>
            </w:r>
            <w:r>
              <w:rPr>
                <w:rFonts w:hint="default" w:ascii="Times New Roman" w:hAnsi="Times New Roman" w:cs="Times New Roman"/>
                <w:color w:val="000000"/>
                <w:sz w:val="24"/>
                <w:szCs w:val="24"/>
                <w:vertAlign w:val="subscript"/>
              </w:rPr>
              <w:t>2</w:t>
            </w:r>
            <w:r>
              <w:rPr>
                <w:rFonts w:hint="default" w:ascii="Times New Roman" w:hAnsi="Times New Roman" w:cs="Times New Roman"/>
                <w:color w:val="000000"/>
                <w:sz w:val="24"/>
                <w:szCs w:val="24"/>
              </w:rPr>
              <w:t>、CO、O</w:t>
            </w:r>
            <w:r>
              <w:rPr>
                <w:rFonts w:hint="default" w:ascii="Times New Roman" w:hAnsi="Times New Roman" w:cs="Times New Roman"/>
                <w:color w:val="000000"/>
                <w:sz w:val="24"/>
                <w:szCs w:val="24"/>
                <w:vertAlign w:val="subscript"/>
              </w:rPr>
              <w:t>3</w:t>
            </w:r>
            <w:r>
              <w:rPr>
                <w:rFonts w:hint="default" w:ascii="Times New Roman" w:hAnsi="Times New Roman" w:cs="Times New Roman"/>
                <w:color w:val="000000"/>
                <w:sz w:val="24"/>
                <w:szCs w:val="24"/>
              </w:rPr>
              <w:t>、PM</w:t>
            </w:r>
            <w:r>
              <w:rPr>
                <w:rFonts w:hint="default" w:ascii="Times New Roman" w:hAnsi="Times New Roman" w:cs="Times New Roman"/>
                <w:color w:val="000000"/>
                <w:sz w:val="24"/>
                <w:szCs w:val="24"/>
                <w:vertAlign w:val="subscript"/>
              </w:rPr>
              <w:t>10</w:t>
            </w:r>
            <w:r>
              <w:rPr>
                <w:rFonts w:hint="default" w:ascii="Times New Roman" w:hAnsi="Times New Roman" w:cs="Times New Roman"/>
                <w:color w:val="000000"/>
                <w:sz w:val="24"/>
                <w:szCs w:val="24"/>
              </w:rPr>
              <w:t>、PM</w:t>
            </w:r>
            <w:r>
              <w:rPr>
                <w:rFonts w:hint="default" w:ascii="Times New Roman" w:hAnsi="Times New Roman" w:cs="Times New Roman"/>
                <w:color w:val="000000"/>
                <w:sz w:val="24"/>
                <w:szCs w:val="24"/>
                <w:vertAlign w:val="subscript"/>
              </w:rPr>
              <w:t>2.5</w:t>
            </w:r>
            <w:r>
              <w:rPr>
                <w:rFonts w:hint="default" w:ascii="Times New Roman" w:hAnsi="Times New Roman" w:cs="Times New Roman"/>
                <w:color w:val="000000"/>
                <w:sz w:val="24"/>
                <w:szCs w:val="24"/>
              </w:rPr>
              <w:t>等六项基本污染物环境空气质量现状数据，详见下表</w:t>
            </w:r>
            <w:r>
              <w:rPr>
                <w:rFonts w:hint="eastAsia" w:cs="Times New Roman"/>
                <w:color w:val="000000"/>
                <w:sz w:val="24"/>
                <w:szCs w:val="24"/>
                <w:lang w:val="en-US" w:eastAsia="zh-CN"/>
              </w:rPr>
              <w:t>3-1</w:t>
            </w:r>
            <w:r>
              <w:rPr>
                <w:rFonts w:hint="default" w:ascii="Times New Roman" w:hAnsi="Times New Roman" w:cs="Times New Roman"/>
                <w:color w:val="000000"/>
                <w:sz w:val="24"/>
                <w:szCs w:val="24"/>
              </w:rPr>
              <w:t>。</w:t>
            </w:r>
          </w:p>
          <w:p w14:paraId="0DC7A6C9">
            <w:pPr>
              <w:keepNext/>
              <w:keepLines w:val="0"/>
              <w:pageBreakBefore w:val="0"/>
              <w:widowControl/>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422" w:firstLineChars="200"/>
              <w:jc w:val="both"/>
              <w:textAlignment w:val="auto"/>
              <w:rPr>
                <w:rFonts w:hint="default" w:ascii="Times New Roman" w:hAnsi="Times New Roman" w:eastAsia="宋体" w:cs="Times New Roman"/>
                <w:b/>
                <w:bCs/>
                <w:color w:val="000000" w:themeColor="text1"/>
                <w:spacing w:val="0"/>
                <w:kern w:val="0"/>
                <w:positio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spacing w:val="0"/>
                <w:kern w:val="0"/>
                <w:position w:val="0"/>
                <w:sz w:val="21"/>
                <w:szCs w:val="21"/>
                <w:highlight w:val="none"/>
                <w:lang w:val="en-US" w:eastAsia="zh-CN" w:bidi="ar"/>
                <w14:textFill>
                  <w14:solidFill>
                    <w14:schemeClr w14:val="tx1"/>
                  </w14:solidFill>
                </w14:textFill>
              </w:rPr>
              <w:t>表</w:t>
            </w:r>
            <w:r>
              <w:rPr>
                <w:rFonts w:hint="eastAsia" w:cs="Times New Roman"/>
                <w:b/>
                <w:bCs/>
                <w:color w:val="000000" w:themeColor="text1"/>
                <w:spacing w:val="0"/>
                <w:kern w:val="0"/>
                <w:position w:val="0"/>
                <w:sz w:val="21"/>
                <w:szCs w:val="21"/>
                <w:highlight w:val="none"/>
                <w:lang w:val="en-US" w:eastAsia="zh-CN" w:bidi="ar"/>
                <w14:textFill>
                  <w14:solidFill>
                    <w14:schemeClr w14:val="tx1"/>
                  </w14:solidFill>
                </w14:textFill>
              </w:rPr>
              <w:t>3</w:t>
            </w:r>
            <w:r>
              <w:rPr>
                <w:rFonts w:hint="default" w:ascii="Times New Roman" w:hAnsi="Times New Roman" w:eastAsia="宋体" w:cs="Times New Roman"/>
                <w:b/>
                <w:bCs/>
                <w:color w:val="000000" w:themeColor="text1"/>
                <w:spacing w:val="0"/>
                <w:kern w:val="0"/>
                <w:position w:val="0"/>
                <w:sz w:val="21"/>
                <w:szCs w:val="21"/>
                <w:highlight w:val="none"/>
                <w:lang w:val="en-US" w:eastAsia="zh-CN" w:bidi="ar"/>
                <w14:textFill>
                  <w14:solidFill>
                    <w14:schemeClr w14:val="tx1"/>
                  </w14:solidFill>
                </w14:textFill>
              </w:rPr>
              <w:t>-1        库尔勒市棉纺厂</w:t>
            </w:r>
            <w:r>
              <w:rPr>
                <w:rFonts w:hint="eastAsia" w:ascii="Times New Roman" w:hAnsi="Times New Roman" w:eastAsia="宋体" w:cs="Times New Roman"/>
                <w:b/>
                <w:bCs/>
                <w:color w:val="000000" w:themeColor="text1"/>
                <w:spacing w:val="0"/>
                <w:kern w:val="0"/>
                <w:position w:val="0"/>
                <w:sz w:val="21"/>
                <w:szCs w:val="21"/>
                <w:highlight w:val="none"/>
                <w:lang w:val="en-US" w:eastAsia="zh-CN" w:bidi="ar"/>
                <w14:textFill>
                  <w14:solidFill>
                    <w14:schemeClr w14:val="tx1"/>
                  </w14:solidFill>
                </w14:textFill>
              </w:rPr>
              <w:t>2024年</w:t>
            </w:r>
            <w:r>
              <w:rPr>
                <w:rFonts w:hint="default" w:ascii="Times New Roman" w:hAnsi="Times New Roman" w:eastAsia="宋体" w:cs="Times New Roman"/>
                <w:b/>
                <w:bCs/>
                <w:color w:val="000000" w:themeColor="text1"/>
                <w:spacing w:val="0"/>
                <w:kern w:val="0"/>
                <w:position w:val="0"/>
                <w:sz w:val="21"/>
                <w:szCs w:val="21"/>
                <w:highlight w:val="none"/>
                <w:lang w:val="en-US" w:eastAsia="zh-CN" w:bidi="ar"/>
                <w14:textFill>
                  <w14:solidFill>
                    <w14:schemeClr w14:val="tx1"/>
                  </w14:solidFill>
                </w14:textFill>
              </w:rPr>
              <w:t>环境空气质量数据</w:t>
            </w:r>
          </w:p>
          <w:tbl>
            <w:tblPr>
              <w:tblStyle w:val="32"/>
              <w:tblW w:w="5000" w:type="pct"/>
              <w:tblInd w:w="17"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2401"/>
              <w:gridCol w:w="1362"/>
              <w:gridCol w:w="1796"/>
              <w:gridCol w:w="861"/>
              <w:gridCol w:w="753"/>
            </w:tblGrid>
            <w:tr w14:paraId="40B44FB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6" w:type="pct"/>
                  <w:tcBorders>
                    <w:tl2br w:val="nil"/>
                    <w:tr2bl w:val="nil"/>
                  </w:tcBorders>
                  <w:noWrap w:val="0"/>
                  <w:vAlign w:val="center"/>
                </w:tcPr>
                <w:p w14:paraId="2D41BD05">
                  <w:pPr>
                    <w:keepNext/>
                    <w:keepLines w:val="0"/>
                    <w:pageBreakBefore w:val="0"/>
                    <w:widowControl/>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r>
                    <w:rPr>
                      <w:rFonts w:hint="default" w:ascii="Times New Roman" w:hAnsi="Times New Roman" w:eastAsia="宋体" w:cs="Times New Roman"/>
                      <w:b w:val="0"/>
                      <w:bCs w:val="0"/>
                      <w:spacing w:val="0"/>
                      <w:kern w:val="2"/>
                      <w:position w:val="0"/>
                      <w:sz w:val="21"/>
                      <w:szCs w:val="21"/>
                      <w:lang w:val="en-US" w:eastAsia="zh-CN" w:bidi="ar-SA"/>
                    </w:rPr>
                    <w:t>污染物</w:t>
                  </w:r>
                </w:p>
              </w:tc>
              <w:tc>
                <w:tcPr>
                  <w:tcW w:w="1430" w:type="pct"/>
                  <w:tcBorders>
                    <w:tl2br w:val="nil"/>
                    <w:tr2bl w:val="nil"/>
                  </w:tcBorders>
                  <w:noWrap w:val="0"/>
                  <w:vAlign w:val="center"/>
                </w:tcPr>
                <w:p w14:paraId="2E32C421">
                  <w:pPr>
                    <w:keepNext/>
                    <w:keepLines w:val="0"/>
                    <w:pageBreakBefore w:val="0"/>
                    <w:widowControl/>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r>
                    <w:rPr>
                      <w:rFonts w:hint="default" w:ascii="Times New Roman" w:hAnsi="Times New Roman" w:eastAsia="宋体" w:cs="Times New Roman"/>
                      <w:b w:val="0"/>
                      <w:bCs w:val="0"/>
                      <w:spacing w:val="0"/>
                      <w:kern w:val="2"/>
                      <w:position w:val="0"/>
                      <w:sz w:val="21"/>
                      <w:szCs w:val="21"/>
                      <w:lang w:val="en-US" w:eastAsia="zh-CN" w:bidi="ar-SA"/>
                    </w:rPr>
                    <w:t>评价项目</w:t>
                  </w:r>
                </w:p>
              </w:tc>
              <w:tc>
                <w:tcPr>
                  <w:tcW w:w="811" w:type="pct"/>
                  <w:tcBorders>
                    <w:tl2br w:val="nil"/>
                    <w:tr2bl w:val="nil"/>
                  </w:tcBorders>
                  <w:noWrap w:val="0"/>
                  <w:vAlign w:val="center"/>
                </w:tcPr>
                <w:p w14:paraId="29216B44">
                  <w:pPr>
                    <w:keepNext/>
                    <w:keepLines w:val="0"/>
                    <w:pageBreakBefore w:val="0"/>
                    <w:widowControl/>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r>
                    <w:rPr>
                      <w:rFonts w:hint="default" w:ascii="Times New Roman" w:hAnsi="Times New Roman" w:eastAsia="宋体" w:cs="Times New Roman"/>
                      <w:b w:val="0"/>
                      <w:bCs w:val="0"/>
                      <w:spacing w:val="0"/>
                      <w:kern w:val="2"/>
                      <w:position w:val="0"/>
                      <w:sz w:val="21"/>
                      <w:szCs w:val="21"/>
                      <w:lang w:val="en-US" w:eastAsia="zh-CN" w:bidi="ar-SA"/>
                    </w:rPr>
                    <w:t>浓度（μg/m</w:t>
                  </w:r>
                  <w:r>
                    <w:rPr>
                      <w:rFonts w:hint="default" w:ascii="Times New Roman" w:hAnsi="Times New Roman" w:eastAsia="宋体" w:cs="Times New Roman"/>
                      <w:b w:val="0"/>
                      <w:bCs w:val="0"/>
                      <w:spacing w:val="0"/>
                      <w:kern w:val="2"/>
                      <w:position w:val="0"/>
                      <w:sz w:val="21"/>
                      <w:szCs w:val="21"/>
                      <w:vertAlign w:val="superscript"/>
                      <w:lang w:val="en-US" w:eastAsia="zh-CN" w:bidi="ar-SA"/>
                    </w:rPr>
                    <w:t>3</w:t>
                  </w:r>
                  <w:r>
                    <w:rPr>
                      <w:rFonts w:hint="default" w:ascii="Times New Roman" w:hAnsi="Times New Roman" w:eastAsia="宋体" w:cs="Times New Roman"/>
                      <w:b w:val="0"/>
                      <w:bCs w:val="0"/>
                      <w:spacing w:val="0"/>
                      <w:kern w:val="2"/>
                      <w:position w:val="0"/>
                      <w:sz w:val="21"/>
                      <w:szCs w:val="21"/>
                      <w:lang w:val="en-US" w:eastAsia="zh-CN" w:bidi="ar-SA"/>
                    </w:rPr>
                    <w:t>）</w:t>
                  </w:r>
                </w:p>
              </w:tc>
              <w:tc>
                <w:tcPr>
                  <w:tcW w:w="1070" w:type="pct"/>
                  <w:tcBorders>
                    <w:tl2br w:val="nil"/>
                    <w:tr2bl w:val="nil"/>
                  </w:tcBorders>
                  <w:noWrap w:val="0"/>
                  <w:vAlign w:val="center"/>
                </w:tcPr>
                <w:p w14:paraId="3DD3B54B">
                  <w:pPr>
                    <w:keepNext/>
                    <w:keepLines w:val="0"/>
                    <w:pageBreakBefore w:val="0"/>
                    <w:widowControl/>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r>
                    <w:rPr>
                      <w:rFonts w:hint="default" w:ascii="Times New Roman" w:hAnsi="Times New Roman" w:eastAsia="宋体" w:cs="Times New Roman"/>
                      <w:b w:val="0"/>
                      <w:bCs w:val="0"/>
                      <w:spacing w:val="0"/>
                      <w:kern w:val="2"/>
                      <w:position w:val="0"/>
                      <w:sz w:val="21"/>
                      <w:szCs w:val="21"/>
                      <w:lang w:val="en-US" w:eastAsia="zh-CN" w:bidi="ar-SA"/>
                    </w:rPr>
                    <w:t>标准（二级）（μg/m</w:t>
                  </w:r>
                  <w:r>
                    <w:rPr>
                      <w:rFonts w:hint="default" w:ascii="Times New Roman" w:hAnsi="Times New Roman" w:eastAsia="宋体" w:cs="Times New Roman"/>
                      <w:b w:val="0"/>
                      <w:bCs w:val="0"/>
                      <w:spacing w:val="0"/>
                      <w:kern w:val="2"/>
                      <w:position w:val="0"/>
                      <w:sz w:val="21"/>
                      <w:szCs w:val="21"/>
                      <w:vertAlign w:val="superscript"/>
                      <w:lang w:val="en-US" w:eastAsia="zh-CN" w:bidi="ar-SA"/>
                    </w:rPr>
                    <w:t>3</w:t>
                  </w:r>
                  <w:r>
                    <w:rPr>
                      <w:rFonts w:hint="default" w:ascii="Times New Roman" w:hAnsi="Times New Roman" w:eastAsia="宋体" w:cs="Times New Roman"/>
                      <w:b w:val="0"/>
                      <w:bCs w:val="0"/>
                      <w:spacing w:val="0"/>
                      <w:kern w:val="2"/>
                      <w:position w:val="0"/>
                      <w:sz w:val="21"/>
                      <w:szCs w:val="21"/>
                      <w:lang w:val="en-US" w:eastAsia="zh-CN" w:bidi="ar-SA"/>
                    </w:rPr>
                    <w:t>）</w:t>
                  </w:r>
                </w:p>
              </w:tc>
              <w:tc>
                <w:tcPr>
                  <w:tcW w:w="512" w:type="pct"/>
                  <w:tcBorders>
                    <w:tl2br w:val="nil"/>
                    <w:tr2bl w:val="nil"/>
                  </w:tcBorders>
                  <w:noWrap w:val="0"/>
                  <w:vAlign w:val="center"/>
                </w:tcPr>
                <w:p w14:paraId="7E7243DB">
                  <w:pPr>
                    <w:keepNext/>
                    <w:keepLines w:val="0"/>
                    <w:pageBreakBefore w:val="0"/>
                    <w:widowControl/>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r>
                    <w:rPr>
                      <w:rFonts w:hint="default" w:ascii="Times New Roman" w:hAnsi="Times New Roman" w:eastAsia="宋体" w:cs="Times New Roman"/>
                      <w:b w:val="0"/>
                      <w:bCs w:val="0"/>
                      <w:spacing w:val="0"/>
                      <w:kern w:val="2"/>
                      <w:position w:val="0"/>
                      <w:sz w:val="21"/>
                      <w:szCs w:val="21"/>
                      <w:lang w:val="en-US" w:eastAsia="zh-CN" w:bidi="ar-SA"/>
                    </w:rPr>
                    <w:t>占标率%</w:t>
                  </w:r>
                </w:p>
              </w:tc>
              <w:tc>
                <w:tcPr>
                  <w:tcW w:w="448" w:type="pct"/>
                  <w:tcBorders>
                    <w:tl2br w:val="nil"/>
                    <w:tr2bl w:val="nil"/>
                  </w:tcBorders>
                  <w:noWrap w:val="0"/>
                  <w:vAlign w:val="center"/>
                </w:tcPr>
                <w:p w14:paraId="08CB208A">
                  <w:pPr>
                    <w:keepNext/>
                    <w:keepLines w:val="0"/>
                    <w:pageBreakBefore w:val="0"/>
                    <w:widowControl/>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r>
                    <w:rPr>
                      <w:rFonts w:hint="default" w:ascii="Times New Roman" w:hAnsi="Times New Roman" w:eastAsia="宋体" w:cs="Times New Roman"/>
                      <w:b w:val="0"/>
                      <w:bCs w:val="0"/>
                      <w:spacing w:val="0"/>
                      <w:kern w:val="2"/>
                      <w:position w:val="0"/>
                      <w:sz w:val="21"/>
                      <w:szCs w:val="21"/>
                      <w:lang w:val="en-US" w:eastAsia="zh-CN" w:bidi="ar-SA"/>
                    </w:rPr>
                    <w:t>达标情况</w:t>
                  </w:r>
                </w:p>
              </w:tc>
            </w:tr>
            <w:tr w14:paraId="380BB0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6" w:type="pct"/>
                  <w:vMerge w:val="restart"/>
                  <w:tcBorders>
                    <w:tl2br w:val="nil"/>
                    <w:tr2bl w:val="nil"/>
                  </w:tcBorders>
                  <w:noWrap w:val="0"/>
                  <w:vAlign w:val="center"/>
                </w:tcPr>
                <w:p w14:paraId="2BF6062A">
                  <w:pPr>
                    <w:keepNext/>
                    <w:keepLines w:val="0"/>
                    <w:pageBreakBefore w:val="0"/>
                    <w:widowControl/>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r>
                    <w:rPr>
                      <w:rFonts w:hint="default" w:ascii="Times New Roman" w:hAnsi="Times New Roman" w:eastAsia="宋体" w:cs="Times New Roman"/>
                      <w:b w:val="0"/>
                      <w:bCs w:val="0"/>
                      <w:spacing w:val="0"/>
                      <w:kern w:val="2"/>
                      <w:position w:val="0"/>
                      <w:sz w:val="21"/>
                      <w:szCs w:val="21"/>
                      <w:lang w:val="en-US" w:eastAsia="zh-CN" w:bidi="ar-SA"/>
                    </w:rPr>
                    <w:t>SO</w:t>
                  </w:r>
                  <w:r>
                    <w:rPr>
                      <w:rFonts w:hint="default" w:ascii="Times New Roman" w:hAnsi="Times New Roman" w:eastAsia="宋体" w:cs="Times New Roman"/>
                      <w:b w:val="0"/>
                      <w:bCs w:val="0"/>
                      <w:spacing w:val="0"/>
                      <w:kern w:val="2"/>
                      <w:position w:val="0"/>
                      <w:sz w:val="21"/>
                      <w:szCs w:val="21"/>
                      <w:vertAlign w:val="subscript"/>
                      <w:lang w:val="en-US" w:eastAsia="zh-CN" w:bidi="ar-SA"/>
                    </w:rPr>
                    <w:t>2</w:t>
                  </w:r>
                </w:p>
              </w:tc>
              <w:tc>
                <w:tcPr>
                  <w:tcW w:w="1430" w:type="pct"/>
                  <w:tcBorders>
                    <w:tl2br w:val="nil"/>
                    <w:tr2bl w:val="nil"/>
                  </w:tcBorders>
                  <w:noWrap w:val="0"/>
                  <w:vAlign w:val="center"/>
                </w:tcPr>
                <w:p w14:paraId="2B4547B2">
                  <w:pPr>
                    <w:keepNext/>
                    <w:keepLines w:val="0"/>
                    <w:pageBreakBefore w:val="0"/>
                    <w:widowControl/>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r>
                    <w:rPr>
                      <w:rFonts w:hint="default" w:ascii="Times New Roman" w:hAnsi="Times New Roman" w:eastAsia="宋体" w:cs="Times New Roman"/>
                      <w:b w:val="0"/>
                      <w:bCs w:val="0"/>
                      <w:spacing w:val="0"/>
                      <w:kern w:val="2"/>
                      <w:position w:val="0"/>
                      <w:sz w:val="21"/>
                      <w:szCs w:val="21"/>
                      <w:lang w:val="en-US" w:eastAsia="zh-CN" w:bidi="ar-SA"/>
                    </w:rPr>
                    <w:t>年平均</w:t>
                  </w:r>
                </w:p>
              </w:tc>
              <w:tc>
                <w:tcPr>
                  <w:tcW w:w="811" w:type="pct"/>
                  <w:tcBorders>
                    <w:tl2br w:val="nil"/>
                    <w:tr2bl w:val="nil"/>
                  </w:tcBorders>
                  <w:noWrap w:val="0"/>
                  <w:vAlign w:val="center"/>
                </w:tcPr>
                <w:p w14:paraId="398B359A">
                  <w:pPr>
                    <w:keepNext/>
                    <w:keepLines w:val="0"/>
                    <w:pageBreakBefore w:val="0"/>
                    <w:widowControl/>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r>
                    <w:rPr>
                      <w:rFonts w:hint="default" w:ascii="Times New Roman" w:hAnsi="Times New Roman" w:eastAsia="宋体" w:cs="Times New Roman"/>
                      <w:b w:val="0"/>
                      <w:bCs w:val="0"/>
                      <w:spacing w:val="0"/>
                      <w:kern w:val="2"/>
                      <w:position w:val="0"/>
                      <w:sz w:val="21"/>
                      <w:szCs w:val="21"/>
                      <w:lang w:val="en-US" w:eastAsia="zh-CN" w:bidi="ar-SA"/>
                    </w:rPr>
                    <w:t>3.9</w:t>
                  </w:r>
                </w:p>
              </w:tc>
              <w:tc>
                <w:tcPr>
                  <w:tcW w:w="1070" w:type="pct"/>
                  <w:tcBorders>
                    <w:tl2br w:val="nil"/>
                    <w:tr2bl w:val="nil"/>
                  </w:tcBorders>
                  <w:noWrap w:val="0"/>
                  <w:vAlign w:val="center"/>
                </w:tcPr>
                <w:p w14:paraId="6A11CA27">
                  <w:pPr>
                    <w:keepNext/>
                    <w:keepLines w:val="0"/>
                    <w:pageBreakBefore w:val="0"/>
                    <w:widowControl/>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r>
                    <w:rPr>
                      <w:rFonts w:hint="default" w:ascii="Times New Roman" w:hAnsi="Times New Roman" w:eastAsia="宋体" w:cs="Times New Roman"/>
                      <w:b w:val="0"/>
                      <w:bCs w:val="0"/>
                      <w:spacing w:val="0"/>
                      <w:kern w:val="2"/>
                      <w:position w:val="0"/>
                      <w:sz w:val="21"/>
                      <w:szCs w:val="21"/>
                      <w:lang w:val="en-US" w:eastAsia="zh-CN" w:bidi="ar-SA"/>
                    </w:rPr>
                    <w:t>60</w:t>
                  </w:r>
                </w:p>
              </w:tc>
              <w:tc>
                <w:tcPr>
                  <w:tcW w:w="512" w:type="pct"/>
                  <w:tcBorders>
                    <w:tl2br w:val="nil"/>
                    <w:tr2bl w:val="nil"/>
                  </w:tcBorders>
                  <w:noWrap w:val="0"/>
                  <w:vAlign w:val="center"/>
                </w:tcPr>
                <w:p w14:paraId="01E831D3">
                  <w:pPr>
                    <w:keepNext/>
                    <w:keepLines w:val="0"/>
                    <w:pageBreakBefore w:val="0"/>
                    <w:widowControl/>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r>
                    <w:rPr>
                      <w:rFonts w:hint="default" w:ascii="Times New Roman" w:hAnsi="Times New Roman" w:eastAsia="宋体" w:cs="Times New Roman"/>
                      <w:b w:val="0"/>
                      <w:bCs w:val="0"/>
                      <w:spacing w:val="0"/>
                      <w:kern w:val="2"/>
                      <w:position w:val="0"/>
                      <w:sz w:val="21"/>
                      <w:szCs w:val="21"/>
                      <w:lang w:val="en-US" w:eastAsia="zh-CN" w:bidi="ar-SA"/>
                    </w:rPr>
                    <w:t>6.5</w:t>
                  </w:r>
                </w:p>
              </w:tc>
              <w:tc>
                <w:tcPr>
                  <w:tcW w:w="448" w:type="pct"/>
                  <w:tcBorders>
                    <w:tl2br w:val="nil"/>
                    <w:tr2bl w:val="nil"/>
                  </w:tcBorders>
                  <w:noWrap w:val="0"/>
                  <w:vAlign w:val="center"/>
                </w:tcPr>
                <w:p w14:paraId="7072DCA2">
                  <w:pPr>
                    <w:keepNext/>
                    <w:keepLines w:val="0"/>
                    <w:pageBreakBefore w:val="0"/>
                    <w:widowControl/>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r>
                    <w:rPr>
                      <w:rFonts w:hint="default" w:ascii="Times New Roman" w:hAnsi="Times New Roman" w:eastAsia="宋体" w:cs="Times New Roman"/>
                      <w:b w:val="0"/>
                      <w:bCs w:val="0"/>
                      <w:spacing w:val="0"/>
                      <w:kern w:val="2"/>
                      <w:position w:val="0"/>
                      <w:sz w:val="21"/>
                      <w:szCs w:val="21"/>
                      <w:lang w:val="en-US" w:eastAsia="zh-CN" w:bidi="ar-SA"/>
                    </w:rPr>
                    <w:t>达标</w:t>
                  </w:r>
                </w:p>
              </w:tc>
            </w:tr>
            <w:tr w14:paraId="09BCBCD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6" w:type="pct"/>
                  <w:vMerge w:val="continue"/>
                  <w:tcBorders>
                    <w:tl2br w:val="nil"/>
                    <w:tr2bl w:val="nil"/>
                  </w:tcBorders>
                  <w:noWrap w:val="0"/>
                  <w:vAlign w:val="center"/>
                </w:tcPr>
                <w:p w14:paraId="4735B600">
                  <w:pPr>
                    <w:keepNext/>
                    <w:keepLines w:val="0"/>
                    <w:pageBreakBefore w:val="0"/>
                    <w:widowControl/>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p>
              </w:tc>
              <w:tc>
                <w:tcPr>
                  <w:tcW w:w="1430" w:type="pct"/>
                  <w:tcBorders>
                    <w:tl2br w:val="nil"/>
                    <w:tr2bl w:val="nil"/>
                  </w:tcBorders>
                  <w:noWrap w:val="0"/>
                  <w:vAlign w:val="center"/>
                </w:tcPr>
                <w:p w14:paraId="352AE1C3">
                  <w:pPr>
                    <w:keepNext/>
                    <w:keepLines w:val="0"/>
                    <w:pageBreakBefore w:val="0"/>
                    <w:widowControl/>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r>
                    <w:rPr>
                      <w:rFonts w:hint="default" w:ascii="Times New Roman" w:hAnsi="Times New Roman" w:eastAsia="宋体" w:cs="Times New Roman"/>
                      <w:b w:val="0"/>
                      <w:bCs w:val="0"/>
                      <w:spacing w:val="0"/>
                      <w:kern w:val="2"/>
                      <w:position w:val="0"/>
                      <w:sz w:val="21"/>
                      <w:szCs w:val="21"/>
                      <w:lang w:val="en-US" w:eastAsia="zh-CN" w:bidi="ar-SA"/>
                    </w:rPr>
                    <w:t>24h平均第98百分位数</w:t>
                  </w:r>
                </w:p>
              </w:tc>
              <w:tc>
                <w:tcPr>
                  <w:tcW w:w="811" w:type="pct"/>
                  <w:tcBorders>
                    <w:tl2br w:val="nil"/>
                    <w:tr2bl w:val="nil"/>
                  </w:tcBorders>
                  <w:noWrap w:val="0"/>
                  <w:vAlign w:val="center"/>
                </w:tcPr>
                <w:p w14:paraId="30599B35">
                  <w:pPr>
                    <w:keepNext/>
                    <w:keepLines w:val="0"/>
                    <w:pageBreakBefore w:val="0"/>
                    <w:widowControl/>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r>
                    <w:rPr>
                      <w:rFonts w:hint="default" w:ascii="Times New Roman" w:hAnsi="Times New Roman" w:eastAsia="宋体" w:cs="Times New Roman"/>
                      <w:b w:val="0"/>
                      <w:bCs w:val="0"/>
                      <w:spacing w:val="0"/>
                      <w:kern w:val="2"/>
                      <w:position w:val="0"/>
                      <w:sz w:val="21"/>
                      <w:szCs w:val="21"/>
                      <w:lang w:val="en-US" w:eastAsia="zh-CN" w:bidi="ar-SA"/>
                    </w:rPr>
                    <w:t>7</w:t>
                  </w:r>
                </w:p>
              </w:tc>
              <w:tc>
                <w:tcPr>
                  <w:tcW w:w="1070" w:type="pct"/>
                  <w:tcBorders>
                    <w:tl2br w:val="nil"/>
                    <w:tr2bl w:val="nil"/>
                  </w:tcBorders>
                  <w:noWrap w:val="0"/>
                  <w:vAlign w:val="center"/>
                </w:tcPr>
                <w:p w14:paraId="1EDA53DE">
                  <w:pPr>
                    <w:keepNext/>
                    <w:keepLines w:val="0"/>
                    <w:pageBreakBefore w:val="0"/>
                    <w:widowControl/>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r>
                    <w:rPr>
                      <w:rFonts w:hint="default" w:ascii="Times New Roman" w:hAnsi="Times New Roman" w:eastAsia="宋体" w:cs="Times New Roman"/>
                      <w:b w:val="0"/>
                      <w:bCs w:val="0"/>
                      <w:spacing w:val="0"/>
                      <w:kern w:val="2"/>
                      <w:position w:val="0"/>
                      <w:sz w:val="21"/>
                      <w:szCs w:val="21"/>
                      <w:lang w:val="en-US" w:eastAsia="zh-CN" w:bidi="ar-SA"/>
                    </w:rPr>
                    <w:t>150</w:t>
                  </w:r>
                </w:p>
              </w:tc>
              <w:tc>
                <w:tcPr>
                  <w:tcW w:w="512" w:type="pct"/>
                  <w:tcBorders>
                    <w:tl2br w:val="nil"/>
                    <w:tr2bl w:val="nil"/>
                  </w:tcBorders>
                  <w:noWrap w:val="0"/>
                  <w:vAlign w:val="center"/>
                </w:tcPr>
                <w:p w14:paraId="182A846C">
                  <w:pPr>
                    <w:keepNext/>
                    <w:keepLines w:val="0"/>
                    <w:pageBreakBefore w:val="0"/>
                    <w:widowControl/>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r>
                    <w:rPr>
                      <w:rFonts w:hint="default" w:ascii="Times New Roman" w:hAnsi="Times New Roman" w:eastAsia="宋体" w:cs="Times New Roman"/>
                      <w:b w:val="0"/>
                      <w:bCs w:val="0"/>
                      <w:spacing w:val="0"/>
                      <w:kern w:val="2"/>
                      <w:position w:val="0"/>
                      <w:sz w:val="21"/>
                      <w:szCs w:val="21"/>
                      <w:lang w:val="en-US" w:eastAsia="zh-CN" w:bidi="ar-SA"/>
                    </w:rPr>
                    <w:t>4.7</w:t>
                  </w:r>
                </w:p>
              </w:tc>
              <w:tc>
                <w:tcPr>
                  <w:tcW w:w="448" w:type="pct"/>
                  <w:tcBorders>
                    <w:tl2br w:val="nil"/>
                    <w:tr2bl w:val="nil"/>
                  </w:tcBorders>
                  <w:noWrap w:val="0"/>
                  <w:vAlign w:val="center"/>
                </w:tcPr>
                <w:p w14:paraId="4CD44653">
                  <w:pPr>
                    <w:keepNext/>
                    <w:keepLines w:val="0"/>
                    <w:pageBreakBefore w:val="0"/>
                    <w:widowControl/>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r>
                    <w:rPr>
                      <w:rFonts w:hint="default" w:ascii="Times New Roman" w:hAnsi="Times New Roman" w:eastAsia="宋体" w:cs="Times New Roman"/>
                      <w:b w:val="0"/>
                      <w:bCs w:val="0"/>
                      <w:spacing w:val="0"/>
                      <w:kern w:val="2"/>
                      <w:position w:val="0"/>
                      <w:sz w:val="21"/>
                      <w:szCs w:val="21"/>
                      <w:lang w:val="en-US" w:eastAsia="zh-CN" w:bidi="ar-SA"/>
                    </w:rPr>
                    <w:t>达标</w:t>
                  </w:r>
                </w:p>
              </w:tc>
            </w:tr>
            <w:tr w14:paraId="475C716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6" w:type="pct"/>
                  <w:vMerge w:val="restart"/>
                  <w:tcBorders>
                    <w:tl2br w:val="nil"/>
                    <w:tr2bl w:val="nil"/>
                  </w:tcBorders>
                  <w:noWrap w:val="0"/>
                  <w:vAlign w:val="center"/>
                </w:tcPr>
                <w:p w14:paraId="62F80F85">
                  <w:pPr>
                    <w:keepNext/>
                    <w:keepLines w:val="0"/>
                    <w:pageBreakBefore w:val="0"/>
                    <w:widowControl/>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r>
                    <w:rPr>
                      <w:rFonts w:hint="default" w:ascii="Times New Roman" w:hAnsi="Times New Roman" w:eastAsia="宋体" w:cs="Times New Roman"/>
                      <w:b w:val="0"/>
                      <w:bCs w:val="0"/>
                      <w:spacing w:val="0"/>
                      <w:kern w:val="2"/>
                      <w:position w:val="0"/>
                      <w:sz w:val="21"/>
                      <w:szCs w:val="21"/>
                      <w:lang w:val="en-US" w:eastAsia="zh-CN" w:bidi="ar-SA"/>
                    </w:rPr>
                    <w:t>NO</w:t>
                  </w:r>
                  <w:r>
                    <w:rPr>
                      <w:rFonts w:hint="default" w:ascii="Times New Roman" w:hAnsi="Times New Roman" w:eastAsia="宋体" w:cs="Times New Roman"/>
                      <w:b w:val="0"/>
                      <w:bCs w:val="0"/>
                      <w:spacing w:val="0"/>
                      <w:kern w:val="2"/>
                      <w:position w:val="0"/>
                      <w:sz w:val="21"/>
                      <w:szCs w:val="21"/>
                      <w:vertAlign w:val="subscript"/>
                      <w:lang w:val="en-US" w:eastAsia="zh-CN" w:bidi="ar-SA"/>
                    </w:rPr>
                    <w:t>2</w:t>
                  </w:r>
                </w:p>
              </w:tc>
              <w:tc>
                <w:tcPr>
                  <w:tcW w:w="1430" w:type="pct"/>
                  <w:tcBorders>
                    <w:tl2br w:val="nil"/>
                    <w:tr2bl w:val="nil"/>
                  </w:tcBorders>
                  <w:noWrap w:val="0"/>
                  <w:vAlign w:val="center"/>
                </w:tcPr>
                <w:p w14:paraId="106CE909">
                  <w:pPr>
                    <w:keepNext/>
                    <w:keepLines w:val="0"/>
                    <w:pageBreakBefore w:val="0"/>
                    <w:widowControl/>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r>
                    <w:rPr>
                      <w:rFonts w:hint="default" w:ascii="Times New Roman" w:hAnsi="Times New Roman" w:eastAsia="宋体" w:cs="Times New Roman"/>
                      <w:b w:val="0"/>
                      <w:bCs w:val="0"/>
                      <w:spacing w:val="0"/>
                      <w:kern w:val="2"/>
                      <w:position w:val="0"/>
                      <w:sz w:val="21"/>
                      <w:szCs w:val="21"/>
                      <w:lang w:val="en-US" w:eastAsia="zh-CN" w:bidi="ar-SA"/>
                    </w:rPr>
                    <w:t>年平均</w:t>
                  </w:r>
                </w:p>
              </w:tc>
              <w:tc>
                <w:tcPr>
                  <w:tcW w:w="811" w:type="pct"/>
                  <w:tcBorders>
                    <w:tl2br w:val="nil"/>
                    <w:tr2bl w:val="nil"/>
                  </w:tcBorders>
                  <w:noWrap w:val="0"/>
                  <w:vAlign w:val="center"/>
                </w:tcPr>
                <w:p w14:paraId="7EE884FB">
                  <w:pPr>
                    <w:keepNext/>
                    <w:keepLines w:val="0"/>
                    <w:pageBreakBefore w:val="0"/>
                    <w:widowControl/>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r>
                    <w:rPr>
                      <w:rFonts w:hint="default" w:ascii="Times New Roman" w:hAnsi="Times New Roman" w:eastAsia="宋体" w:cs="Times New Roman"/>
                      <w:b w:val="0"/>
                      <w:bCs w:val="0"/>
                      <w:spacing w:val="0"/>
                      <w:kern w:val="2"/>
                      <w:position w:val="0"/>
                      <w:sz w:val="21"/>
                      <w:szCs w:val="21"/>
                      <w:lang w:val="en-US" w:eastAsia="zh-CN" w:bidi="ar-SA"/>
                    </w:rPr>
                    <w:t>25</w:t>
                  </w:r>
                </w:p>
              </w:tc>
              <w:tc>
                <w:tcPr>
                  <w:tcW w:w="1070" w:type="pct"/>
                  <w:tcBorders>
                    <w:tl2br w:val="nil"/>
                    <w:tr2bl w:val="nil"/>
                  </w:tcBorders>
                  <w:noWrap w:val="0"/>
                  <w:vAlign w:val="center"/>
                </w:tcPr>
                <w:p w14:paraId="4F333152">
                  <w:pPr>
                    <w:keepNext/>
                    <w:keepLines w:val="0"/>
                    <w:pageBreakBefore w:val="0"/>
                    <w:widowControl/>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r>
                    <w:rPr>
                      <w:rFonts w:hint="default" w:ascii="Times New Roman" w:hAnsi="Times New Roman" w:eastAsia="宋体" w:cs="Times New Roman"/>
                      <w:b w:val="0"/>
                      <w:bCs w:val="0"/>
                      <w:spacing w:val="0"/>
                      <w:kern w:val="2"/>
                      <w:position w:val="0"/>
                      <w:sz w:val="21"/>
                      <w:szCs w:val="21"/>
                      <w:lang w:val="en-US" w:eastAsia="zh-CN" w:bidi="ar-SA"/>
                    </w:rPr>
                    <w:t>40</w:t>
                  </w:r>
                </w:p>
              </w:tc>
              <w:tc>
                <w:tcPr>
                  <w:tcW w:w="512" w:type="pct"/>
                  <w:tcBorders>
                    <w:tl2br w:val="nil"/>
                    <w:tr2bl w:val="nil"/>
                  </w:tcBorders>
                  <w:noWrap w:val="0"/>
                  <w:vAlign w:val="center"/>
                </w:tcPr>
                <w:p w14:paraId="0CCEAECA">
                  <w:pPr>
                    <w:keepNext/>
                    <w:keepLines w:val="0"/>
                    <w:pageBreakBefore w:val="0"/>
                    <w:widowControl/>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r>
                    <w:rPr>
                      <w:rFonts w:hint="default" w:ascii="Times New Roman" w:hAnsi="Times New Roman" w:eastAsia="宋体" w:cs="Times New Roman"/>
                      <w:b w:val="0"/>
                      <w:bCs w:val="0"/>
                      <w:spacing w:val="0"/>
                      <w:kern w:val="2"/>
                      <w:position w:val="0"/>
                      <w:sz w:val="21"/>
                      <w:szCs w:val="21"/>
                      <w:lang w:val="en-US" w:eastAsia="zh-CN" w:bidi="ar-SA"/>
                    </w:rPr>
                    <w:t>62.5</w:t>
                  </w:r>
                </w:p>
              </w:tc>
              <w:tc>
                <w:tcPr>
                  <w:tcW w:w="448" w:type="pct"/>
                  <w:tcBorders>
                    <w:tl2br w:val="nil"/>
                    <w:tr2bl w:val="nil"/>
                  </w:tcBorders>
                  <w:noWrap w:val="0"/>
                  <w:vAlign w:val="center"/>
                </w:tcPr>
                <w:p w14:paraId="3CFB15B2">
                  <w:pPr>
                    <w:keepNext/>
                    <w:keepLines w:val="0"/>
                    <w:pageBreakBefore w:val="0"/>
                    <w:widowControl/>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r>
                    <w:rPr>
                      <w:rFonts w:hint="default" w:ascii="Times New Roman" w:hAnsi="Times New Roman" w:eastAsia="宋体" w:cs="Times New Roman"/>
                      <w:b w:val="0"/>
                      <w:bCs w:val="0"/>
                      <w:spacing w:val="0"/>
                      <w:kern w:val="2"/>
                      <w:position w:val="0"/>
                      <w:sz w:val="21"/>
                      <w:szCs w:val="21"/>
                      <w:lang w:val="en-US" w:eastAsia="zh-CN" w:bidi="ar-SA"/>
                    </w:rPr>
                    <w:t>达标</w:t>
                  </w:r>
                </w:p>
              </w:tc>
            </w:tr>
            <w:tr w14:paraId="3654219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6" w:type="pct"/>
                  <w:vMerge w:val="continue"/>
                  <w:tcBorders>
                    <w:tl2br w:val="nil"/>
                    <w:tr2bl w:val="nil"/>
                  </w:tcBorders>
                  <w:noWrap w:val="0"/>
                  <w:vAlign w:val="center"/>
                </w:tcPr>
                <w:p w14:paraId="3A84CB05">
                  <w:pPr>
                    <w:keepNext/>
                    <w:keepLines w:val="0"/>
                    <w:pageBreakBefore w:val="0"/>
                    <w:widowControl/>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p>
              </w:tc>
              <w:tc>
                <w:tcPr>
                  <w:tcW w:w="1430" w:type="pct"/>
                  <w:tcBorders>
                    <w:tl2br w:val="nil"/>
                    <w:tr2bl w:val="nil"/>
                  </w:tcBorders>
                  <w:noWrap w:val="0"/>
                  <w:vAlign w:val="center"/>
                </w:tcPr>
                <w:p w14:paraId="231CCF04">
                  <w:pPr>
                    <w:keepNext/>
                    <w:keepLines w:val="0"/>
                    <w:pageBreakBefore w:val="0"/>
                    <w:widowControl/>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r>
                    <w:rPr>
                      <w:rFonts w:hint="default" w:ascii="Times New Roman" w:hAnsi="Times New Roman" w:eastAsia="宋体" w:cs="Times New Roman"/>
                      <w:b w:val="0"/>
                      <w:bCs w:val="0"/>
                      <w:spacing w:val="0"/>
                      <w:kern w:val="2"/>
                      <w:position w:val="0"/>
                      <w:sz w:val="21"/>
                      <w:szCs w:val="21"/>
                      <w:lang w:val="en-US" w:eastAsia="zh-CN" w:bidi="ar-SA"/>
                    </w:rPr>
                    <w:t>24h平均第98百分位数</w:t>
                  </w:r>
                </w:p>
              </w:tc>
              <w:tc>
                <w:tcPr>
                  <w:tcW w:w="811" w:type="pct"/>
                  <w:tcBorders>
                    <w:tl2br w:val="nil"/>
                    <w:tr2bl w:val="nil"/>
                  </w:tcBorders>
                  <w:noWrap w:val="0"/>
                  <w:vAlign w:val="center"/>
                </w:tcPr>
                <w:p w14:paraId="733B8786">
                  <w:pPr>
                    <w:keepNext/>
                    <w:keepLines w:val="0"/>
                    <w:pageBreakBefore w:val="0"/>
                    <w:widowControl/>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r>
                    <w:rPr>
                      <w:rFonts w:hint="default" w:ascii="Times New Roman" w:hAnsi="Times New Roman" w:eastAsia="宋体" w:cs="Times New Roman"/>
                      <w:b w:val="0"/>
                      <w:bCs w:val="0"/>
                      <w:spacing w:val="0"/>
                      <w:kern w:val="2"/>
                      <w:position w:val="0"/>
                      <w:sz w:val="21"/>
                      <w:szCs w:val="21"/>
                      <w:lang w:val="en-US" w:eastAsia="zh-CN" w:bidi="ar-SA"/>
                    </w:rPr>
                    <w:t>58</w:t>
                  </w:r>
                </w:p>
              </w:tc>
              <w:tc>
                <w:tcPr>
                  <w:tcW w:w="1070" w:type="pct"/>
                  <w:tcBorders>
                    <w:tl2br w:val="nil"/>
                    <w:tr2bl w:val="nil"/>
                  </w:tcBorders>
                  <w:noWrap w:val="0"/>
                  <w:vAlign w:val="center"/>
                </w:tcPr>
                <w:p w14:paraId="6D85D260">
                  <w:pPr>
                    <w:keepNext/>
                    <w:keepLines w:val="0"/>
                    <w:pageBreakBefore w:val="0"/>
                    <w:widowControl/>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r>
                    <w:rPr>
                      <w:rFonts w:hint="default" w:ascii="Times New Roman" w:hAnsi="Times New Roman" w:eastAsia="宋体" w:cs="Times New Roman"/>
                      <w:b w:val="0"/>
                      <w:bCs w:val="0"/>
                      <w:spacing w:val="0"/>
                      <w:kern w:val="2"/>
                      <w:position w:val="0"/>
                      <w:sz w:val="21"/>
                      <w:szCs w:val="21"/>
                      <w:lang w:val="en-US" w:eastAsia="zh-CN" w:bidi="ar-SA"/>
                    </w:rPr>
                    <w:t>80</w:t>
                  </w:r>
                </w:p>
              </w:tc>
              <w:tc>
                <w:tcPr>
                  <w:tcW w:w="512" w:type="pct"/>
                  <w:tcBorders>
                    <w:tl2br w:val="nil"/>
                    <w:tr2bl w:val="nil"/>
                  </w:tcBorders>
                  <w:noWrap w:val="0"/>
                  <w:vAlign w:val="center"/>
                </w:tcPr>
                <w:p w14:paraId="5677E098">
                  <w:pPr>
                    <w:keepNext/>
                    <w:keepLines w:val="0"/>
                    <w:pageBreakBefore w:val="0"/>
                    <w:widowControl/>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r>
                    <w:rPr>
                      <w:rFonts w:hint="default" w:ascii="Times New Roman" w:hAnsi="Times New Roman" w:eastAsia="宋体" w:cs="Times New Roman"/>
                      <w:b w:val="0"/>
                      <w:bCs w:val="0"/>
                      <w:spacing w:val="0"/>
                      <w:kern w:val="2"/>
                      <w:position w:val="0"/>
                      <w:sz w:val="21"/>
                      <w:szCs w:val="21"/>
                      <w:lang w:val="en-US" w:eastAsia="zh-CN" w:bidi="ar-SA"/>
                    </w:rPr>
                    <w:t>72.5</w:t>
                  </w:r>
                </w:p>
              </w:tc>
              <w:tc>
                <w:tcPr>
                  <w:tcW w:w="448" w:type="pct"/>
                  <w:tcBorders>
                    <w:tl2br w:val="nil"/>
                    <w:tr2bl w:val="nil"/>
                  </w:tcBorders>
                  <w:noWrap w:val="0"/>
                  <w:vAlign w:val="center"/>
                </w:tcPr>
                <w:p w14:paraId="639E9400">
                  <w:pPr>
                    <w:keepNext/>
                    <w:keepLines w:val="0"/>
                    <w:pageBreakBefore w:val="0"/>
                    <w:widowControl/>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r>
                    <w:rPr>
                      <w:rFonts w:hint="default" w:ascii="Times New Roman" w:hAnsi="Times New Roman" w:eastAsia="宋体" w:cs="Times New Roman"/>
                      <w:b w:val="0"/>
                      <w:bCs w:val="0"/>
                      <w:spacing w:val="0"/>
                      <w:kern w:val="2"/>
                      <w:position w:val="0"/>
                      <w:sz w:val="21"/>
                      <w:szCs w:val="21"/>
                      <w:lang w:val="en-US" w:eastAsia="zh-CN" w:bidi="ar-SA"/>
                    </w:rPr>
                    <w:t>达标</w:t>
                  </w:r>
                </w:p>
              </w:tc>
            </w:tr>
            <w:tr w14:paraId="1F4BB0A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6" w:type="pct"/>
                  <w:tcBorders>
                    <w:tl2br w:val="nil"/>
                    <w:tr2bl w:val="nil"/>
                  </w:tcBorders>
                  <w:noWrap w:val="0"/>
                  <w:vAlign w:val="center"/>
                </w:tcPr>
                <w:p w14:paraId="1F670E4F">
                  <w:pPr>
                    <w:keepNext/>
                    <w:keepLines w:val="0"/>
                    <w:pageBreakBefore w:val="0"/>
                    <w:widowControl/>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r>
                    <w:rPr>
                      <w:rFonts w:hint="default" w:ascii="Times New Roman" w:hAnsi="Times New Roman" w:eastAsia="宋体" w:cs="Times New Roman"/>
                      <w:b w:val="0"/>
                      <w:bCs w:val="0"/>
                      <w:spacing w:val="0"/>
                      <w:kern w:val="2"/>
                      <w:position w:val="0"/>
                      <w:sz w:val="21"/>
                      <w:szCs w:val="21"/>
                      <w:lang w:val="en-US" w:eastAsia="zh-CN" w:bidi="ar-SA"/>
                    </w:rPr>
                    <w:t>CO（mg/m</w:t>
                  </w:r>
                  <w:r>
                    <w:rPr>
                      <w:rFonts w:hint="default" w:ascii="Times New Roman" w:hAnsi="Times New Roman" w:eastAsia="宋体" w:cs="Times New Roman"/>
                      <w:b w:val="0"/>
                      <w:bCs w:val="0"/>
                      <w:spacing w:val="0"/>
                      <w:kern w:val="2"/>
                      <w:position w:val="0"/>
                      <w:sz w:val="21"/>
                      <w:szCs w:val="21"/>
                      <w:vertAlign w:val="superscript"/>
                      <w:lang w:val="en-US" w:eastAsia="zh-CN" w:bidi="ar-SA"/>
                    </w:rPr>
                    <w:t>3）</w:t>
                  </w:r>
                </w:p>
              </w:tc>
              <w:tc>
                <w:tcPr>
                  <w:tcW w:w="1430" w:type="pct"/>
                  <w:tcBorders>
                    <w:tl2br w:val="nil"/>
                    <w:tr2bl w:val="nil"/>
                  </w:tcBorders>
                  <w:noWrap w:val="0"/>
                  <w:vAlign w:val="center"/>
                </w:tcPr>
                <w:p w14:paraId="2D4C19DB">
                  <w:pPr>
                    <w:keepNext/>
                    <w:keepLines w:val="0"/>
                    <w:pageBreakBefore w:val="0"/>
                    <w:widowControl/>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r>
                    <w:rPr>
                      <w:rFonts w:hint="default" w:ascii="Times New Roman" w:hAnsi="Times New Roman" w:eastAsia="宋体" w:cs="Times New Roman"/>
                      <w:b w:val="0"/>
                      <w:bCs w:val="0"/>
                      <w:spacing w:val="0"/>
                      <w:kern w:val="2"/>
                      <w:position w:val="0"/>
                      <w:sz w:val="21"/>
                      <w:szCs w:val="21"/>
                      <w:lang w:val="en-US" w:eastAsia="zh-CN" w:bidi="ar-SA"/>
                    </w:rPr>
                    <w:t>24h平均第95百分位数</w:t>
                  </w:r>
                </w:p>
              </w:tc>
              <w:tc>
                <w:tcPr>
                  <w:tcW w:w="811" w:type="pct"/>
                  <w:tcBorders>
                    <w:tl2br w:val="nil"/>
                    <w:tr2bl w:val="nil"/>
                  </w:tcBorders>
                  <w:noWrap w:val="0"/>
                  <w:vAlign w:val="center"/>
                </w:tcPr>
                <w:p w14:paraId="0350D98D">
                  <w:pPr>
                    <w:keepNext/>
                    <w:keepLines w:val="0"/>
                    <w:pageBreakBefore w:val="0"/>
                    <w:widowControl/>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r>
                    <w:rPr>
                      <w:rFonts w:hint="default" w:ascii="Times New Roman" w:hAnsi="Times New Roman" w:eastAsia="宋体" w:cs="Times New Roman"/>
                      <w:b w:val="0"/>
                      <w:bCs w:val="0"/>
                      <w:spacing w:val="0"/>
                      <w:kern w:val="2"/>
                      <w:position w:val="0"/>
                      <w:sz w:val="21"/>
                      <w:szCs w:val="21"/>
                      <w:lang w:val="en-US" w:eastAsia="zh-CN" w:bidi="ar-SA"/>
                    </w:rPr>
                    <w:t>0.9</w:t>
                  </w:r>
                </w:p>
              </w:tc>
              <w:tc>
                <w:tcPr>
                  <w:tcW w:w="1070" w:type="pct"/>
                  <w:tcBorders>
                    <w:tl2br w:val="nil"/>
                    <w:tr2bl w:val="nil"/>
                  </w:tcBorders>
                  <w:noWrap w:val="0"/>
                  <w:vAlign w:val="center"/>
                </w:tcPr>
                <w:p w14:paraId="592CBB1A">
                  <w:pPr>
                    <w:keepNext/>
                    <w:keepLines w:val="0"/>
                    <w:pageBreakBefore w:val="0"/>
                    <w:widowControl/>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r>
                    <w:rPr>
                      <w:rFonts w:hint="default" w:ascii="Times New Roman" w:hAnsi="Times New Roman" w:eastAsia="宋体" w:cs="Times New Roman"/>
                      <w:b w:val="0"/>
                      <w:bCs w:val="0"/>
                      <w:spacing w:val="0"/>
                      <w:kern w:val="2"/>
                      <w:position w:val="0"/>
                      <w:sz w:val="21"/>
                      <w:szCs w:val="21"/>
                      <w:lang w:val="en-US" w:eastAsia="zh-CN" w:bidi="ar-SA"/>
                    </w:rPr>
                    <w:t>4</w:t>
                  </w:r>
                </w:p>
              </w:tc>
              <w:tc>
                <w:tcPr>
                  <w:tcW w:w="512" w:type="pct"/>
                  <w:tcBorders>
                    <w:tl2br w:val="nil"/>
                    <w:tr2bl w:val="nil"/>
                  </w:tcBorders>
                  <w:noWrap w:val="0"/>
                  <w:vAlign w:val="center"/>
                </w:tcPr>
                <w:p w14:paraId="23D2F8A9">
                  <w:pPr>
                    <w:keepNext/>
                    <w:keepLines w:val="0"/>
                    <w:pageBreakBefore w:val="0"/>
                    <w:widowControl/>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r>
                    <w:rPr>
                      <w:rFonts w:hint="default" w:ascii="Times New Roman" w:hAnsi="Times New Roman" w:eastAsia="宋体" w:cs="Times New Roman"/>
                      <w:b w:val="0"/>
                      <w:bCs w:val="0"/>
                      <w:spacing w:val="0"/>
                      <w:kern w:val="2"/>
                      <w:position w:val="0"/>
                      <w:sz w:val="21"/>
                      <w:szCs w:val="21"/>
                      <w:lang w:val="en-US" w:eastAsia="zh-CN" w:bidi="ar-SA"/>
                    </w:rPr>
                    <w:t>22.5</w:t>
                  </w:r>
                </w:p>
              </w:tc>
              <w:tc>
                <w:tcPr>
                  <w:tcW w:w="448" w:type="pct"/>
                  <w:tcBorders>
                    <w:tl2br w:val="nil"/>
                    <w:tr2bl w:val="nil"/>
                  </w:tcBorders>
                  <w:noWrap w:val="0"/>
                  <w:vAlign w:val="center"/>
                </w:tcPr>
                <w:p w14:paraId="31E01206">
                  <w:pPr>
                    <w:keepNext/>
                    <w:keepLines w:val="0"/>
                    <w:pageBreakBefore w:val="0"/>
                    <w:widowControl/>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r>
                    <w:rPr>
                      <w:rFonts w:hint="default" w:ascii="Times New Roman" w:hAnsi="Times New Roman" w:eastAsia="宋体" w:cs="Times New Roman"/>
                      <w:b w:val="0"/>
                      <w:bCs w:val="0"/>
                      <w:spacing w:val="0"/>
                      <w:kern w:val="2"/>
                      <w:position w:val="0"/>
                      <w:sz w:val="21"/>
                      <w:szCs w:val="21"/>
                      <w:lang w:val="en-US" w:eastAsia="zh-CN" w:bidi="ar-SA"/>
                    </w:rPr>
                    <w:t>达标</w:t>
                  </w:r>
                </w:p>
              </w:tc>
            </w:tr>
            <w:tr w14:paraId="61FC1DB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6" w:type="pct"/>
                  <w:tcBorders>
                    <w:tl2br w:val="nil"/>
                    <w:tr2bl w:val="nil"/>
                  </w:tcBorders>
                  <w:noWrap w:val="0"/>
                  <w:vAlign w:val="center"/>
                </w:tcPr>
                <w:p w14:paraId="34574C70">
                  <w:pPr>
                    <w:keepNext/>
                    <w:keepLines w:val="0"/>
                    <w:pageBreakBefore w:val="0"/>
                    <w:widowControl/>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r>
                    <w:rPr>
                      <w:rFonts w:hint="default" w:ascii="Times New Roman" w:hAnsi="Times New Roman" w:eastAsia="宋体" w:cs="Times New Roman"/>
                      <w:b w:val="0"/>
                      <w:bCs w:val="0"/>
                      <w:spacing w:val="0"/>
                      <w:kern w:val="2"/>
                      <w:position w:val="0"/>
                      <w:sz w:val="21"/>
                      <w:szCs w:val="21"/>
                      <w:lang w:val="en-US" w:eastAsia="zh-CN" w:bidi="ar-SA"/>
                    </w:rPr>
                    <w:t>O</w:t>
                  </w:r>
                  <w:r>
                    <w:rPr>
                      <w:rFonts w:hint="default" w:ascii="Times New Roman" w:hAnsi="Times New Roman" w:eastAsia="宋体" w:cs="Times New Roman"/>
                      <w:b w:val="0"/>
                      <w:bCs w:val="0"/>
                      <w:spacing w:val="0"/>
                      <w:kern w:val="2"/>
                      <w:position w:val="0"/>
                      <w:sz w:val="21"/>
                      <w:szCs w:val="21"/>
                      <w:vertAlign w:val="subscript"/>
                      <w:lang w:val="en-US" w:eastAsia="zh-CN" w:bidi="ar-SA"/>
                    </w:rPr>
                    <w:t>3</w:t>
                  </w:r>
                </w:p>
              </w:tc>
              <w:tc>
                <w:tcPr>
                  <w:tcW w:w="1430" w:type="pct"/>
                  <w:tcBorders>
                    <w:tl2br w:val="nil"/>
                    <w:tr2bl w:val="nil"/>
                  </w:tcBorders>
                  <w:noWrap w:val="0"/>
                  <w:vAlign w:val="center"/>
                </w:tcPr>
                <w:p w14:paraId="649225B8">
                  <w:pPr>
                    <w:keepNext/>
                    <w:keepLines w:val="0"/>
                    <w:pageBreakBefore w:val="0"/>
                    <w:widowControl/>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r>
                    <w:rPr>
                      <w:rFonts w:hint="default" w:ascii="Times New Roman" w:hAnsi="Times New Roman" w:eastAsia="宋体" w:cs="Times New Roman"/>
                      <w:b w:val="0"/>
                      <w:bCs w:val="0"/>
                      <w:spacing w:val="0"/>
                      <w:kern w:val="2"/>
                      <w:position w:val="0"/>
                      <w:sz w:val="21"/>
                      <w:szCs w:val="21"/>
                      <w:lang w:val="en-US" w:eastAsia="zh-CN" w:bidi="ar-SA"/>
                    </w:rPr>
                    <w:t>最大8小时滑动平均值的第90百分位数</w:t>
                  </w:r>
                </w:p>
              </w:tc>
              <w:tc>
                <w:tcPr>
                  <w:tcW w:w="811" w:type="pct"/>
                  <w:tcBorders>
                    <w:tl2br w:val="nil"/>
                    <w:tr2bl w:val="nil"/>
                  </w:tcBorders>
                  <w:noWrap w:val="0"/>
                  <w:vAlign w:val="center"/>
                </w:tcPr>
                <w:p w14:paraId="1E165B56">
                  <w:pPr>
                    <w:keepNext/>
                    <w:keepLines w:val="0"/>
                    <w:pageBreakBefore w:val="0"/>
                    <w:widowControl/>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r>
                    <w:rPr>
                      <w:rFonts w:hint="default" w:ascii="Times New Roman" w:hAnsi="Times New Roman" w:eastAsia="宋体" w:cs="Times New Roman"/>
                      <w:b w:val="0"/>
                      <w:bCs w:val="0"/>
                      <w:spacing w:val="0"/>
                      <w:kern w:val="2"/>
                      <w:position w:val="0"/>
                      <w:sz w:val="21"/>
                      <w:szCs w:val="21"/>
                      <w:lang w:val="en-US" w:eastAsia="zh-CN" w:bidi="ar-SA"/>
                    </w:rPr>
                    <w:t>120</w:t>
                  </w:r>
                </w:p>
              </w:tc>
              <w:tc>
                <w:tcPr>
                  <w:tcW w:w="1070" w:type="pct"/>
                  <w:tcBorders>
                    <w:tl2br w:val="nil"/>
                    <w:tr2bl w:val="nil"/>
                  </w:tcBorders>
                  <w:noWrap w:val="0"/>
                  <w:vAlign w:val="center"/>
                </w:tcPr>
                <w:p w14:paraId="6343FF98">
                  <w:pPr>
                    <w:keepNext/>
                    <w:keepLines w:val="0"/>
                    <w:pageBreakBefore w:val="0"/>
                    <w:widowControl/>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r>
                    <w:rPr>
                      <w:rFonts w:hint="default" w:ascii="Times New Roman" w:hAnsi="Times New Roman" w:eastAsia="宋体" w:cs="Times New Roman"/>
                      <w:b w:val="0"/>
                      <w:bCs w:val="0"/>
                      <w:spacing w:val="0"/>
                      <w:kern w:val="2"/>
                      <w:position w:val="0"/>
                      <w:sz w:val="21"/>
                      <w:szCs w:val="21"/>
                      <w:lang w:val="en-US" w:eastAsia="zh-CN" w:bidi="ar-SA"/>
                    </w:rPr>
                    <w:t>160</w:t>
                  </w:r>
                </w:p>
              </w:tc>
              <w:tc>
                <w:tcPr>
                  <w:tcW w:w="512" w:type="pct"/>
                  <w:tcBorders>
                    <w:tl2br w:val="nil"/>
                    <w:tr2bl w:val="nil"/>
                  </w:tcBorders>
                  <w:noWrap w:val="0"/>
                  <w:vAlign w:val="center"/>
                </w:tcPr>
                <w:p w14:paraId="1966C837">
                  <w:pPr>
                    <w:keepNext/>
                    <w:keepLines w:val="0"/>
                    <w:pageBreakBefore w:val="0"/>
                    <w:widowControl/>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r>
                    <w:rPr>
                      <w:rFonts w:hint="default" w:ascii="Times New Roman" w:hAnsi="Times New Roman" w:eastAsia="宋体" w:cs="Times New Roman"/>
                      <w:b w:val="0"/>
                      <w:bCs w:val="0"/>
                      <w:spacing w:val="0"/>
                      <w:kern w:val="2"/>
                      <w:position w:val="0"/>
                      <w:sz w:val="21"/>
                      <w:szCs w:val="21"/>
                      <w:lang w:val="en-US" w:eastAsia="zh-CN" w:bidi="ar-SA"/>
                    </w:rPr>
                    <w:t>75</w:t>
                  </w:r>
                </w:p>
              </w:tc>
              <w:tc>
                <w:tcPr>
                  <w:tcW w:w="448" w:type="pct"/>
                  <w:tcBorders>
                    <w:tl2br w:val="nil"/>
                    <w:tr2bl w:val="nil"/>
                  </w:tcBorders>
                  <w:noWrap w:val="0"/>
                  <w:vAlign w:val="center"/>
                </w:tcPr>
                <w:p w14:paraId="55EECC8C">
                  <w:pPr>
                    <w:keepNext/>
                    <w:keepLines w:val="0"/>
                    <w:pageBreakBefore w:val="0"/>
                    <w:widowControl/>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r>
                    <w:rPr>
                      <w:rFonts w:hint="default" w:ascii="Times New Roman" w:hAnsi="Times New Roman" w:eastAsia="宋体" w:cs="Times New Roman"/>
                      <w:b w:val="0"/>
                      <w:bCs w:val="0"/>
                      <w:spacing w:val="0"/>
                      <w:kern w:val="2"/>
                      <w:position w:val="0"/>
                      <w:sz w:val="21"/>
                      <w:szCs w:val="21"/>
                      <w:lang w:val="en-US" w:eastAsia="zh-CN" w:bidi="ar-SA"/>
                    </w:rPr>
                    <w:t>达标</w:t>
                  </w:r>
                </w:p>
              </w:tc>
            </w:tr>
            <w:tr w14:paraId="3823950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6" w:type="pct"/>
                  <w:vMerge w:val="restart"/>
                  <w:tcBorders>
                    <w:tl2br w:val="nil"/>
                    <w:tr2bl w:val="nil"/>
                  </w:tcBorders>
                  <w:noWrap w:val="0"/>
                  <w:vAlign w:val="center"/>
                </w:tcPr>
                <w:p w14:paraId="1C3B3D4F">
                  <w:pPr>
                    <w:keepNext/>
                    <w:keepLines w:val="0"/>
                    <w:pageBreakBefore w:val="0"/>
                    <w:widowControl/>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r>
                    <w:rPr>
                      <w:rFonts w:hint="default" w:ascii="Times New Roman" w:hAnsi="Times New Roman" w:eastAsia="宋体" w:cs="Times New Roman"/>
                      <w:b w:val="0"/>
                      <w:bCs w:val="0"/>
                      <w:spacing w:val="0"/>
                      <w:kern w:val="2"/>
                      <w:position w:val="0"/>
                      <w:sz w:val="21"/>
                      <w:szCs w:val="21"/>
                      <w:lang w:val="en-US" w:eastAsia="zh-CN" w:bidi="ar-SA"/>
                    </w:rPr>
                    <w:t>PM</w:t>
                  </w:r>
                  <w:r>
                    <w:rPr>
                      <w:rFonts w:hint="default" w:ascii="Times New Roman" w:hAnsi="Times New Roman" w:eastAsia="宋体" w:cs="Times New Roman"/>
                      <w:b w:val="0"/>
                      <w:bCs w:val="0"/>
                      <w:spacing w:val="0"/>
                      <w:kern w:val="2"/>
                      <w:position w:val="0"/>
                      <w:sz w:val="21"/>
                      <w:szCs w:val="21"/>
                      <w:vertAlign w:val="subscript"/>
                      <w:lang w:val="en-US" w:eastAsia="zh-CN" w:bidi="ar-SA"/>
                    </w:rPr>
                    <w:t>10</w:t>
                  </w:r>
                </w:p>
              </w:tc>
              <w:tc>
                <w:tcPr>
                  <w:tcW w:w="1430" w:type="pct"/>
                  <w:tcBorders>
                    <w:tl2br w:val="nil"/>
                    <w:tr2bl w:val="nil"/>
                  </w:tcBorders>
                  <w:noWrap w:val="0"/>
                  <w:vAlign w:val="center"/>
                </w:tcPr>
                <w:p w14:paraId="46AE7863">
                  <w:pPr>
                    <w:keepNext/>
                    <w:keepLines w:val="0"/>
                    <w:pageBreakBefore w:val="0"/>
                    <w:widowControl/>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r>
                    <w:rPr>
                      <w:rFonts w:hint="default" w:ascii="Times New Roman" w:hAnsi="Times New Roman" w:eastAsia="宋体" w:cs="Times New Roman"/>
                      <w:b w:val="0"/>
                      <w:bCs w:val="0"/>
                      <w:spacing w:val="0"/>
                      <w:kern w:val="2"/>
                      <w:position w:val="0"/>
                      <w:sz w:val="21"/>
                      <w:szCs w:val="21"/>
                      <w:lang w:val="en-US" w:eastAsia="zh-CN" w:bidi="ar-SA"/>
                    </w:rPr>
                    <w:t>年平均</w:t>
                  </w:r>
                </w:p>
              </w:tc>
              <w:tc>
                <w:tcPr>
                  <w:tcW w:w="811" w:type="pct"/>
                  <w:tcBorders>
                    <w:tl2br w:val="nil"/>
                    <w:tr2bl w:val="nil"/>
                  </w:tcBorders>
                  <w:noWrap w:val="0"/>
                  <w:vAlign w:val="center"/>
                </w:tcPr>
                <w:p w14:paraId="470ECCD4">
                  <w:pPr>
                    <w:keepNext/>
                    <w:keepLines w:val="0"/>
                    <w:pageBreakBefore w:val="0"/>
                    <w:widowControl/>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r>
                    <w:rPr>
                      <w:rFonts w:hint="default" w:ascii="Times New Roman" w:hAnsi="Times New Roman" w:eastAsia="宋体" w:cs="Times New Roman"/>
                      <w:b w:val="0"/>
                      <w:bCs w:val="0"/>
                      <w:spacing w:val="0"/>
                      <w:kern w:val="2"/>
                      <w:position w:val="0"/>
                      <w:sz w:val="21"/>
                      <w:szCs w:val="21"/>
                      <w:lang w:val="en-US" w:eastAsia="zh-CN" w:bidi="ar-SA"/>
                    </w:rPr>
                    <w:t>149</w:t>
                  </w:r>
                </w:p>
              </w:tc>
              <w:tc>
                <w:tcPr>
                  <w:tcW w:w="1070" w:type="pct"/>
                  <w:tcBorders>
                    <w:tl2br w:val="nil"/>
                    <w:tr2bl w:val="nil"/>
                  </w:tcBorders>
                  <w:noWrap w:val="0"/>
                  <w:vAlign w:val="center"/>
                </w:tcPr>
                <w:p w14:paraId="528F14D6">
                  <w:pPr>
                    <w:keepNext/>
                    <w:keepLines w:val="0"/>
                    <w:pageBreakBefore w:val="0"/>
                    <w:widowControl/>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r>
                    <w:rPr>
                      <w:rFonts w:hint="default" w:ascii="Times New Roman" w:hAnsi="Times New Roman" w:eastAsia="宋体" w:cs="Times New Roman"/>
                      <w:b w:val="0"/>
                      <w:bCs w:val="0"/>
                      <w:spacing w:val="0"/>
                      <w:kern w:val="2"/>
                      <w:position w:val="0"/>
                      <w:sz w:val="21"/>
                      <w:szCs w:val="21"/>
                      <w:lang w:val="en-US" w:eastAsia="zh-CN" w:bidi="ar-SA"/>
                    </w:rPr>
                    <w:t>70</w:t>
                  </w:r>
                </w:p>
              </w:tc>
              <w:tc>
                <w:tcPr>
                  <w:tcW w:w="512" w:type="pct"/>
                  <w:tcBorders>
                    <w:tl2br w:val="nil"/>
                    <w:tr2bl w:val="nil"/>
                  </w:tcBorders>
                  <w:noWrap w:val="0"/>
                  <w:vAlign w:val="center"/>
                </w:tcPr>
                <w:p w14:paraId="0C2F04A3">
                  <w:pPr>
                    <w:keepNext/>
                    <w:keepLines w:val="0"/>
                    <w:pageBreakBefore w:val="0"/>
                    <w:widowControl/>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r>
                    <w:rPr>
                      <w:rFonts w:hint="default" w:ascii="Times New Roman" w:hAnsi="Times New Roman" w:eastAsia="宋体" w:cs="Times New Roman"/>
                      <w:b w:val="0"/>
                      <w:bCs w:val="0"/>
                      <w:spacing w:val="0"/>
                      <w:kern w:val="2"/>
                      <w:position w:val="0"/>
                      <w:sz w:val="21"/>
                      <w:szCs w:val="21"/>
                      <w:lang w:val="en-US" w:eastAsia="zh-CN" w:bidi="ar-SA"/>
                    </w:rPr>
                    <w:t>212.9</w:t>
                  </w:r>
                </w:p>
              </w:tc>
              <w:tc>
                <w:tcPr>
                  <w:tcW w:w="448" w:type="pct"/>
                  <w:tcBorders>
                    <w:tl2br w:val="nil"/>
                    <w:tr2bl w:val="nil"/>
                  </w:tcBorders>
                  <w:noWrap w:val="0"/>
                  <w:vAlign w:val="center"/>
                </w:tcPr>
                <w:p w14:paraId="70712A9F">
                  <w:pPr>
                    <w:keepNext/>
                    <w:keepLines w:val="0"/>
                    <w:pageBreakBefore w:val="0"/>
                    <w:widowControl/>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r>
                    <w:rPr>
                      <w:rFonts w:hint="default" w:ascii="Times New Roman" w:hAnsi="Times New Roman" w:eastAsia="宋体" w:cs="Times New Roman"/>
                      <w:b w:val="0"/>
                      <w:bCs w:val="0"/>
                      <w:spacing w:val="0"/>
                      <w:kern w:val="2"/>
                      <w:position w:val="0"/>
                      <w:sz w:val="21"/>
                      <w:szCs w:val="21"/>
                      <w:lang w:val="en-US" w:eastAsia="zh-CN" w:bidi="ar-SA"/>
                    </w:rPr>
                    <w:t>不达标</w:t>
                  </w:r>
                </w:p>
              </w:tc>
            </w:tr>
            <w:tr w14:paraId="6E8ECF3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6" w:type="pct"/>
                  <w:vMerge w:val="continue"/>
                  <w:tcBorders>
                    <w:tl2br w:val="nil"/>
                    <w:tr2bl w:val="nil"/>
                  </w:tcBorders>
                  <w:noWrap w:val="0"/>
                  <w:vAlign w:val="center"/>
                </w:tcPr>
                <w:p w14:paraId="07CECB59">
                  <w:pPr>
                    <w:keepNext/>
                    <w:keepLines w:val="0"/>
                    <w:pageBreakBefore w:val="0"/>
                    <w:widowControl/>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p>
              </w:tc>
              <w:tc>
                <w:tcPr>
                  <w:tcW w:w="1430" w:type="pct"/>
                  <w:tcBorders>
                    <w:tl2br w:val="nil"/>
                    <w:tr2bl w:val="nil"/>
                  </w:tcBorders>
                  <w:noWrap w:val="0"/>
                  <w:vAlign w:val="center"/>
                </w:tcPr>
                <w:p w14:paraId="5F764BA6">
                  <w:pPr>
                    <w:keepNext/>
                    <w:keepLines w:val="0"/>
                    <w:pageBreakBefore w:val="0"/>
                    <w:widowControl/>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r>
                    <w:rPr>
                      <w:rFonts w:hint="default" w:ascii="Times New Roman" w:hAnsi="Times New Roman" w:eastAsia="宋体" w:cs="Times New Roman"/>
                      <w:b w:val="0"/>
                      <w:bCs w:val="0"/>
                      <w:spacing w:val="0"/>
                      <w:kern w:val="2"/>
                      <w:position w:val="0"/>
                      <w:sz w:val="21"/>
                      <w:szCs w:val="21"/>
                      <w:lang w:val="en-US" w:eastAsia="zh-CN" w:bidi="ar-SA"/>
                    </w:rPr>
                    <w:t>24h平均第95百分位数</w:t>
                  </w:r>
                </w:p>
              </w:tc>
              <w:tc>
                <w:tcPr>
                  <w:tcW w:w="811" w:type="pct"/>
                  <w:tcBorders>
                    <w:tl2br w:val="nil"/>
                    <w:tr2bl w:val="nil"/>
                  </w:tcBorders>
                  <w:noWrap w:val="0"/>
                  <w:vAlign w:val="center"/>
                </w:tcPr>
                <w:p w14:paraId="05ECACD0">
                  <w:pPr>
                    <w:keepNext/>
                    <w:keepLines w:val="0"/>
                    <w:pageBreakBefore w:val="0"/>
                    <w:widowControl/>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r>
                    <w:rPr>
                      <w:rFonts w:hint="default" w:ascii="Times New Roman" w:hAnsi="Times New Roman" w:eastAsia="宋体" w:cs="Times New Roman"/>
                      <w:b w:val="0"/>
                      <w:bCs w:val="0"/>
                      <w:spacing w:val="0"/>
                      <w:kern w:val="2"/>
                      <w:position w:val="0"/>
                      <w:sz w:val="21"/>
                      <w:szCs w:val="21"/>
                      <w:lang w:val="en-US" w:eastAsia="zh-CN" w:bidi="ar-SA"/>
                    </w:rPr>
                    <w:t>451</w:t>
                  </w:r>
                </w:p>
              </w:tc>
              <w:tc>
                <w:tcPr>
                  <w:tcW w:w="1070" w:type="pct"/>
                  <w:tcBorders>
                    <w:tl2br w:val="nil"/>
                    <w:tr2bl w:val="nil"/>
                  </w:tcBorders>
                  <w:noWrap w:val="0"/>
                  <w:vAlign w:val="center"/>
                </w:tcPr>
                <w:p w14:paraId="6C74230F">
                  <w:pPr>
                    <w:keepNext/>
                    <w:keepLines w:val="0"/>
                    <w:pageBreakBefore w:val="0"/>
                    <w:widowControl/>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r>
                    <w:rPr>
                      <w:rFonts w:hint="default" w:ascii="Times New Roman" w:hAnsi="Times New Roman" w:eastAsia="宋体" w:cs="Times New Roman"/>
                      <w:b w:val="0"/>
                      <w:bCs w:val="0"/>
                      <w:spacing w:val="0"/>
                      <w:kern w:val="2"/>
                      <w:position w:val="0"/>
                      <w:sz w:val="21"/>
                      <w:szCs w:val="21"/>
                      <w:lang w:val="en-US" w:eastAsia="zh-CN" w:bidi="ar-SA"/>
                    </w:rPr>
                    <w:t>150</w:t>
                  </w:r>
                </w:p>
              </w:tc>
              <w:tc>
                <w:tcPr>
                  <w:tcW w:w="512" w:type="pct"/>
                  <w:tcBorders>
                    <w:tl2br w:val="nil"/>
                    <w:tr2bl w:val="nil"/>
                  </w:tcBorders>
                  <w:noWrap w:val="0"/>
                  <w:vAlign w:val="center"/>
                </w:tcPr>
                <w:p w14:paraId="39B3E077">
                  <w:pPr>
                    <w:keepNext/>
                    <w:keepLines w:val="0"/>
                    <w:pageBreakBefore w:val="0"/>
                    <w:widowControl/>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r>
                    <w:rPr>
                      <w:rFonts w:hint="default" w:ascii="Times New Roman" w:hAnsi="Times New Roman" w:eastAsia="宋体" w:cs="Times New Roman"/>
                      <w:b w:val="0"/>
                      <w:bCs w:val="0"/>
                      <w:spacing w:val="0"/>
                      <w:kern w:val="2"/>
                      <w:position w:val="0"/>
                      <w:sz w:val="21"/>
                      <w:szCs w:val="21"/>
                      <w:lang w:val="en-US" w:eastAsia="zh-CN" w:bidi="ar-SA"/>
                    </w:rPr>
                    <w:t>300.7</w:t>
                  </w:r>
                </w:p>
              </w:tc>
              <w:tc>
                <w:tcPr>
                  <w:tcW w:w="448" w:type="pct"/>
                  <w:tcBorders>
                    <w:tl2br w:val="nil"/>
                    <w:tr2bl w:val="nil"/>
                  </w:tcBorders>
                  <w:noWrap w:val="0"/>
                  <w:vAlign w:val="center"/>
                </w:tcPr>
                <w:p w14:paraId="4BA9F805">
                  <w:pPr>
                    <w:keepNext/>
                    <w:keepLines w:val="0"/>
                    <w:pageBreakBefore w:val="0"/>
                    <w:widowControl/>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r>
                    <w:rPr>
                      <w:rFonts w:hint="default" w:ascii="Times New Roman" w:hAnsi="Times New Roman" w:eastAsia="宋体" w:cs="Times New Roman"/>
                      <w:b w:val="0"/>
                      <w:bCs w:val="0"/>
                      <w:spacing w:val="0"/>
                      <w:kern w:val="2"/>
                      <w:position w:val="0"/>
                      <w:sz w:val="21"/>
                      <w:szCs w:val="21"/>
                      <w:lang w:val="en-US" w:eastAsia="zh-CN" w:bidi="ar-SA"/>
                    </w:rPr>
                    <w:t>不达标</w:t>
                  </w:r>
                </w:p>
              </w:tc>
            </w:tr>
            <w:tr w14:paraId="0C9CE31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6" w:type="pct"/>
                  <w:vMerge w:val="restart"/>
                  <w:tcBorders>
                    <w:tl2br w:val="nil"/>
                    <w:tr2bl w:val="nil"/>
                  </w:tcBorders>
                  <w:noWrap w:val="0"/>
                  <w:vAlign w:val="center"/>
                </w:tcPr>
                <w:p w14:paraId="112E04CA">
                  <w:pPr>
                    <w:keepNext/>
                    <w:keepLines w:val="0"/>
                    <w:pageBreakBefore w:val="0"/>
                    <w:widowControl/>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r>
                    <w:rPr>
                      <w:rFonts w:hint="default" w:ascii="Times New Roman" w:hAnsi="Times New Roman" w:eastAsia="宋体" w:cs="Times New Roman"/>
                      <w:b w:val="0"/>
                      <w:bCs w:val="0"/>
                      <w:spacing w:val="0"/>
                      <w:kern w:val="2"/>
                      <w:position w:val="0"/>
                      <w:sz w:val="21"/>
                      <w:szCs w:val="21"/>
                      <w:lang w:val="en-US" w:eastAsia="zh-CN" w:bidi="ar-SA"/>
                    </w:rPr>
                    <w:t>PM</w:t>
                  </w:r>
                  <w:r>
                    <w:rPr>
                      <w:rFonts w:hint="default" w:ascii="Times New Roman" w:hAnsi="Times New Roman" w:eastAsia="宋体" w:cs="Times New Roman"/>
                      <w:b w:val="0"/>
                      <w:bCs w:val="0"/>
                      <w:spacing w:val="0"/>
                      <w:kern w:val="2"/>
                      <w:position w:val="0"/>
                      <w:sz w:val="21"/>
                      <w:szCs w:val="21"/>
                      <w:vertAlign w:val="subscript"/>
                      <w:lang w:val="en-US" w:eastAsia="zh-CN" w:bidi="ar-SA"/>
                    </w:rPr>
                    <w:t>2.5</w:t>
                  </w:r>
                </w:p>
              </w:tc>
              <w:tc>
                <w:tcPr>
                  <w:tcW w:w="1430" w:type="pct"/>
                  <w:tcBorders>
                    <w:tl2br w:val="nil"/>
                    <w:tr2bl w:val="nil"/>
                  </w:tcBorders>
                  <w:noWrap w:val="0"/>
                  <w:vAlign w:val="center"/>
                </w:tcPr>
                <w:p w14:paraId="79E772D4">
                  <w:pPr>
                    <w:keepNext/>
                    <w:keepLines w:val="0"/>
                    <w:pageBreakBefore w:val="0"/>
                    <w:widowControl/>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r>
                    <w:rPr>
                      <w:rFonts w:hint="default" w:ascii="Times New Roman" w:hAnsi="Times New Roman" w:eastAsia="宋体" w:cs="Times New Roman"/>
                      <w:b w:val="0"/>
                      <w:bCs w:val="0"/>
                      <w:spacing w:val="0"/>
                      <w:kern w:val="2"/>
                      <w:position w:val="0"/>
                      <w:sz w:val="21"/>
                      <w:szCs w:val="21"/>
                      <w:lang w:val="en-US" w:eastAsia="zh-CN" w:bidi="ar-SA"/>
                    </w:rPr>
                    <w:t>年平均</w:t>
                  </w:r>
                </w:p>
              </w:tc>
              <w:tc>
                <w:tcPr>
                  <w:tcW w:w="811" w:type="pct"/>
                  <w:tcBorders>
                    <w:tl2br w:val="nil"/>
                    <w:tr2bl w:val="nil"/>
                  </w:tcBorders>
                  <w:noWrap w:val="0"/>
                  <w:vAlign w:val="center"/>
                </w:tcPr>
                <w:p w14:paraId="21585A79">
                  <w:pPr>
                    <w:keepNext/>
                    <w:keepLines w:val="0"/>
                    <w:pageBreakBefore w:val="0"/>
                    <w:widowControl/>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r>
                    <w:rPr>
                      <w:rFonts w:hint="default" w:ascii="Times New Roman" w:hAnsi="Times New Roman" w:eastAsia="宋体" w:cs="Times New Roman"/>
                      <w:b w:val="0"/>
                      <w:bCs w:val="0"/>
                      <w:spacing w:val="0"/>
                      <w:kern w:val="2"/>
                      <w:position w:val="0"/>
                      <w:sz w:val="21"/>
                      <w:szCs w:val="21"/>
                      <w:lang w:val="en-US" w:eastAsia="zh-CN" w:bidi="ar-SA"/>
                    </w:rPr>
                    <w:t>37</w:t>
                  </w:r>
                </w:p>
              </w:tc>
              <w:tc>
                <w:tcPr>
                  <w:tcW w:w="1070" w:type="pct"/>
                  <w:tcBorders>
                    <w:tl2br w:val="nil"/>
                    <w:tr2bl w:val="nil"/>
                  </w:tcBorders>
                  <w:noWrap w:val="0"/>
                  <w:vAlign w:val="center"/>
                </w:tcPr>
                <w:p w14:paraId="6D5633C5">
                  <w:pPr>
                    <w:keepNext/>
                    <w:keepLines w:val="0"/>
                    <w:pageBreakBefore w:val="0"/>
                    <w:widowControl/>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r>
                    <w:rPr>
                      <w:rFonts w:hint="default" w:ascii="Times New Roman" w:hAnsi="Times New Roman" w:eastAsia="宋体" w:cs="Times New Roman"/>
                      <w:b w:val="0"/>
                      <w:bCs w:val="0"/>
                      <w:spacing w:val="0"/>
                      <w:kern w:val="2"/>
                      <w:position w:val="0"/>
                      <w:sz w:val="21"/>
                      <w:szCs w:val="21"/>
                      <w:lang w:val="en-US" w:eastAsia="zh-CN" w:bidi="ar-SA"/>
                    </w:rPr>
                    <w:t>35</w:t>
                  </w:r>
                </w:p>
              </w:tc>
              <w:tc>
                <w:tcPr>
                  <w:tcW w:w="512" w:type="pct"/>
                  <w:tcBorders>
                    <w:tl2br w:val="nil"/>
                    <w:tr2bl w:val="nil"/>
                  </w:tcBorders>
                  <w:noWrap w:val="0"/>
                  <w:vAlign w:val="center"/>
                </w:tcPr>
                <w:p w14:paraId="2A3D4EA4">
                  <w:pPr>
                    <w:keepNext/>
                    <w:keepLines w:val="0"/>
                    <w:pageBreakBefore w:val="0"/>
                    <w:widowControl/>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r>
                    <w:rPr>
                      <w:rFonts w:hint="default" w:ascii="Times New Roman" w:hAnsi="Times New Roman" w:eastAsia="宋体" w:cs="Times New Roman"/>
                      <w:b w:val="0"/>
                      <w:bCs w:val="0"/>
                      <w:spacing w:val="0"/>
                      <w:kern w:val="2"/>
                      <w:position w:val="0"/>
                      <w:sz w:val="21"/>
                      <w:szCs w:val="21"/>
                      <w:lang w:val="en-US" w:eastAsia="zh-CN" w:bidi="ar-SA"/>
                    </w:rPr>
                    <w:t>105.7</w:t>
                  </w:r>
                </w:p>
              </w:tc>
              <w:tc>
                <w:tcPr>
                  <w:tcW w:w="448" w:type="pct"/>
                  <w:tcBorders>
                    <w:tl2br w:val="nil"/>
                    <w:tr2bl w:val="nil"/>
                  </w:tcBorders>
                  <w:noWrap w:val="0"/>
                  <w:vAlign w:val="center"/>
                </w:tcPr>
                <w:p w14:paraId="4431A164">
                  <w:pPr>
                    <w:keepNext/>
                    <w:keepLines w:val="0"/>
                    <w:pageBreakBefore w:val="0"/>
                    <w:widowControl/>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r>
                    <w:rPr>
                      <w:rFonts w:hint="default" w:ascii="Times New Roman" w:hAnsi="Times New Roman" w:eastAsia="宋体" w:cs="Times New Roman"/>
                      <w:b w:val="0"/>
                      <w:bCs w:val="0"/>
                      <w:spacing w:val="0"/>
                      <w:kern w:val="2"/>
                      <w:position w:val="0"/>
                      <w:sz w:val="21"/>
                      <w:szCs w:val="21"/>
                      <w:lang w:val="en-US" w:eastAsia="zh-CN" w:bidi="ar-SA"/>
                    </w:rPr>
                    <w:t>不达标</w:t>
                  </w:r>
                </w:p>
              </w:tc>
            </w:tr>
            <w:tr w14:paraId="15DB60C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6" w:type="pct"/>
                  <w:vMerge w:val="continue"/>
                  <w:tcBorders>
                    <w:tl2br w:val="nil"/>
                    <w:tr2bl w:val="nil"/>
                  </w:tcBorders>
                  <w:noWrap w:val="0"/>
                  <w:vAlign w:val="center"/>
                </w:tcPr>
                <w:p w14:paraId="6A1E6525">
                  <w:pPr>
                    <w:keepNext/>
                    <w:keepLines w:val="0"/>
                    <w:pageBreakBefore w:val="0"/>
                    <w:widowControl/>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p>
              </w:tc>
              <w:tc>
                <w:tcPr>
                  <w:tcW w:w="1430" w:type="pct"/>
                  <w:tcBorders>
                    <w:tl2br w:val="nil"/>
                    <w:tr2bl w:val="nil"/>
                  </w:tcBorders>
                  <w:noWrap w:val="0"/>
                  <w:vAlign w:val="center"/>
                </w:tcPr>
                <w:p w14:paraId="25FC55B1">
                  <w:pPr>
                    <w:keepNext/>
                    <w:keepLines w:val="0"/>
                    <w:pageBreakBefore w:val="0"/>
                    <w:widowControl/>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r>
                    <w:rPr>
                      <w:rFonts w:hint="default" w:ascii="Times New Roman" w:hAnsi="Times New Roman" w:eastAsia="宋体" w:cs="Times New Roman"/>
                      <w:b w:val="0"/>
                      <w:bCs w:val="0"/>
                      <w:spacing w:val="0"/>
                      <w:kern w:val="2"/>
                      <w:position w:val="0"/>
                      <w:sz w:val="21"/>
                      <w:szCs w:val="21"/>
                      <w:lang w:val="en-US" w:eastAsia="zh-CN" w:bidi="ar-SA"/>
                    </w:rPr>
                    <w:t>24h平均第95百分位数</w:t>
                  </w:r>
                </w:p>
              </w:tc>
              <w:tc>
                <w:tcPr>
                  <w:tcW w:w="811" w:type="pct"/>
                  <w:tcBorders>
                    <w:tl2br w:val="nil"/>
                    <w:tr2bl w:val="nil"/>
                  </w:tcBorders>
                  <w:noWrap w:val="0"/>
                  <w:vAlign w:val="center"/>
                </w:tcPr>
                <w:p w14:paraId="10C3E459">
                  <w:pPr>
                    <w:keepNext/>
                    <w:keepLines w:val="0"/>
                    <w:pageBreakBefore w:val="0"/>
                    <w:widowControl/>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r>
                    <w:rPr>
                      <w:rFonts w:hint="default" w:ascii="Times New Roman" w:hAnsi="Times New Roman" w:eastAsia="宋体" w:cs="Times New Roman"/>
                      <w:b w:val="0"/>
                      <w:bCs w:val="0"/>
                      <w:spacing w:val="0"/>
                      <w:kern w:val="2"/>
                      <w:position w:val="0"/>
                      <w:sz w:val="21"/>
                      <w:szCs w:val="21"/>
                      <w:lang w:val="en-US" w:eastAsia="zh-CN" w:bidi="ar-SA"/>
                    </w:rPr>
                    <w:t>82</w:t>
                  </w:r>
                </w:p>
              </w:tc>
              <w:tc>
                <w:tcPr>
                  <w:tcW w:w="1070" w:type="pct"/>
                  <w:tcBorders>
                    <w:tl2br w:val="nil"/>
                    <w:tr2bl w:val="nil"/>
                  </w:tcBorders>
                  <w:noWrap w:val="0"/>
                  <w:vAlign w:val="center"/>
                </w:tcPr>
                <w:p w14:paraId="75FDD016">
                  <w:pPr>
                    <w:keepNext/>
                    <w:keepLines w:val="0"/>
                    <w:pageBreakBefore w:val="0"/>
                    <w:widowControl/>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r>
                    <w:rPr>
                      <w:rFonts w:hint="default" w:ascii="Times New Roman" w:hAnsi="Times New Roman" w:eastAsia="宋体" w:cs="Times New Roman"/>
                      <w:b w:val="0"/>
                      <w:bCs w:val="0"/>
                      <w:spacing w:val="0"/>
                      <w:kern w:val="2"/>
                      <w:position w:val="0"/>
                      <w:sz w:val="21"/>
                      <w:szCs w:val="21"/>
                      <w:lang w:val="en-US" w:eastAsia="zh-CN" w:bidi="ar-SA"/>
                    </w:rPr>
                    <w:t>75</w:t>
                  </w:r>
                </w:p>
              </w:tc>
              <w:tc>
                <w:tcPr>
                  <w:tcW w:w="512" w:type="pct"/>
                  <w:tcBorders>
                    <w:tl2br w:val="nil"/>
                    <w:tr2bl w:val="nil"/>
                  </w:tcBorders>
                  <w:noWrap w:val="0"/>
                  <w:vAlign w:val="center"/>
                </w:tcPr>
                <w:p w14:paraId="227DFEE7">
                  <w:pPr>
                    <w:keepNext/>
                    <w:keepLines w:val="0"/>
                    <w:pageBreakBefore w:val="0"/>
                    <w:widowControl/>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r>
                    <w:rPr>
                      <w:rFonts w:hint="default" w:ascii="Times New Roman" w:hAnsi="Times New Roman" w:eastAsia="宋体" w:cs="Times New Roman"/>
                      <w:b w:val="0"/>
                      <w:bCs w:val="0"/>
                      <w:spacing w:val="0"/>
                      <w:kern w:val="2"/>
                      <w:position w:val="0"/>
                      <w:sz w:val="21"/>
                      <w:szCs w:val="21"/>
                      <w:lang w:val="en-US" w:eastAsia="zh-CN" w:bidi="ar-SA"/>
                    </w:rPr>
                    <w:t>109.3</w:t>
                  </w:r>
                </w:p>
              </w:tc>
              <w:tc>
                <w:tcPr>
                  <w:tcW w:w="448" w:type="pct"/>
                  <w:tcBorders>
                    <w:tl2br w:val="nil"/>
                    <w:tr2bl w:val="nil"/>
                  </w:tcBorders>
                  <w:noWrap w:val="0"/>
                  <w:vAlign w:val="center"/>
                </w:tcPr>
                <w:p w14:paraId="2CFAB914">
                  <w:pPr>
                    <w:keepNext/>
                    <w:keepLines w:val="0"/>
                    <w:pageBreakBefore w:val="0"/>
                    <w:widowControl/>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r>
                    <w:rPr>
                      <w:rFonts w:hint="default" w:ascii="Times New Roman" w:hAnsi="Times New Roman" w:eastAsia="宋体" w:cs="Times New Roman"/>
                      <w:b w:val="0"/>
                      <w:bCs w:val="0"/>
                      <w:spacing w:val="0"/>
                      <w:kern w:val="2"/>
                      <w:position w:val="0"/>
                      <w:sz w:val="21"/>
                      <w:szCs w:val="21"/>
                      <w:lang w:val="en-US" w:eastAsia="zh-CN" w:bidi="ar-SA"/>
                    </w:rPr>
                    <w:t>不达标</w:t>
                  </w:r>
                </w:p>
              </w:tc>
            </w:tr>
          </w:tbl>
          <w:p w14:paraId="1FC29847">
            <w:pPr>
              <w:pStyle w:val="13"/>
              <w:keepNext w:val="0"/>
              <w:keepLines w:val="0"/>
              <w:widowControl w:val="0"/>
              <w:numPr>
                <w:ilvl w:val="0"/>
                <w:numId w:val="0"/>
              </w:numPr>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eastAsia="宋体" w:cs="Times New Roman"/>
              </w:rPr>
            </w:pPr>
            <w:r>
              <w:rPr>
                <w:rFonts w:hint="default" w:ascii="Times New Roman" w:hAnsi="Times New Roman" w:eastAsia="宋体" w:cs="Times New Roman"/>
                <w:color w:val="000000" w:themeColor="text1"/>
                <w:spacing w:val="0"/>
                <w:kern w:val="0"/>
                <w:position w:val="0"/>
                <w:sz w:val="24"/>
                <w:szCs w:val="24"/>
                <w:lang w:val="en-US" w:eastAsia="zh-CN" w:bidi="ar-SA"/>
                <w14:textFill>
                  <w14:solidFill>
                    <w14:schemeClr w14:val="tx1"/>
                  </w14:solidFill>
                </w14:textFill>
              </w:rPr>
              <w:t>库尔勒市棉纺厂自动监测站2024年空气质量监测总天数为3</w:t>
            </w:r>
            <w:r>
              <w:rPr>
                <w:rFonts w:hint="eastAsia" w:cs="Times New Roman"/>
                <w:color w:val="000000" w:themeColor="text1"/>
                <w:spacing w:val="0"/>
                <w:kern w:val="0"/>
                <w:position w:val="0"/>
                <w:sz w:val="24"/>
                <w:szCs w:val="24"/>
                <w:lang w:val="en-US" w:eastAsia="zh-CN" w:bidi="ar-SA"/>
                <w14:textFill>
                  <w14:solidFill>
                    <w14:schemeClr w14:val="tx1"/>
                  </w14:solidFill>
                </w14:textFill>
              </w:rPr>
              <w:t>66</w:t>
            </w:r>
            <w:r>
              <w:rPr>
                <w:rFonts w:hint="default" w:ascii="Times New Roman" w:hAnsi="Times New Roman" w:eastAsia="宋体" w:cs="Times New Roman"/>
                <w:color w:val="000000" w:themeColor="text1"/>
                <w:spacing w:val="0"/>
                <w:kern w:val="0"/>
                <w:position w:val="0"/>
                <w:sz w:val="24"/>
                <w:szCs w:val="24"/>
                <w:lang w:val="en-US" w:eastAsia="zh-CN" w:bidi="ar-SA"/>
                <w14:textFill>
                  <w14:solidFill>
                    <w14:schemeClr w14:val="tx1"/>
                  </w14:solidFill>
                </w14:textFill>
              </w:rPr>
              <w:t>天，原因受沙尘天气影响，PM</w:t>
            </w:r>
            <w:r>
              <w:rPr>
                <w:rFonts w:hint="default" w:ascii="Times New Roman" w:hAnsi="Times New Roman" w:eastAsia="宋体" w:cs="Times New Roman"/>
                <w:color w:val="000000" w:themeColor="text1"/>
                <w:spacing w:val="0"/>
                <w:kern w:val="0"/>
                <w:position w:val="0"/>
                <w:sz w:val="24"/>
                <w:szCs w:val="24"/>
                <w:vertAlign w:val="subscript"/>
                <w:lang w:val="en-US" w:eastAsia="zh-CN" w:bidi="ar-SA"/>
                <w14:textFill>
                  <w14:solidFill>
                    <w14:schemeClr w14:val="tx1"/>
                  </w14:solidFill>
                </w14:textFill>
              </w:rPr>
              <w:t>10</w:t>
            </w:r>
            <w:r>
              <w:rPr>
                <w:rFonts w:hint="default" w:ascii="Times New Roman" w:hAnsi="Times New Roman" w:eastAsia="宋体" w:cs="Times New Roman"/>
                <w:color w:val="000000" w:themeColor="text1"/>
                <w:spacing w:val="0"/>
                <w:kern w:val="0"/>
                <w:position w:val="0"/>
                <w:sz w:val="24"/>
                <w:szCs w:val="24"/>
                <w:vertAlign w:val="baseline"/>
                <w:lang w:val="en-US" w:eastAsia="zh-CN" w:bidi="ar-SA"/>
                <w14:textFill>
                  <w14:solidFill>
                    <w14:schemeClr w14:val="tx1"/>
                  </w14:solidFill>
                </w14:textFill>
              </w:rPr>
              <w:t>、PM</w:t>
            </w:r>
            <w:r>
              <w:rPr>
                <w:rFonts w:hint="default" w:ascii="Times New Roman" w:hAnsi="Times New Roman" w:eastAsia="宋体" w:cs="Times New Roman"/>
                <w:color w:val="000000" w:themeColor="text1"/>
                <w:spacing w:val="0"/>
                <w:kern w:val="0"/>
                <w:position w:val="0"/>
                <w:sz w:val="24"/>
                <w:szCs w:val="24"/>
                <w:vertAlign w:val="subscript"/>
                <w:lang w:val="en-US" w:eastAsia="zh-CN" w:bidi="ar-SA"/>
                <w14:textFill>
                  <w14:solidFill>
                    <w14:schemeClr w14:val="tx1"/>
                  </w14:solidFill>
                </w14:textFill>
              </w:rPr>
              <w:t>2.5</w:t>
            </w:r>
            <w:r>
              <w:rPr>
                <w:rFonts w:hint="default" w:ascii="Times New Roman" w:hAnsi="Times New Roman" w:eastAsia="宋体" w:cs="Times New Roman"/>
                <w:color w:val="000000" w:themeColor="text1"/>
                <w:spacing w:val="0"/>
                <w:kern w:val="0"/>
                <w:position w:val="0"/>
                <w:sz w:val="24"/>
                <w:szCs w:val="24"/>
                <w:lang w:val="en-US" w:eastAsia="zh-CN" w:bidi="ar-SA"/>
                <w14:textFill>
                  <w14:solidFill>
                    <w14:schemeClr w14:val="tx1"/>
                  </w14:solidFill>
                </w14:textFill>
              </w:rPr>
              <w:t>年平均及24h平均第95百分位数浓度超过《环境空气质量标准》（GB3095-2012）二级标准，SO</w:t>
            </w:r>
            <w:r>
              <w:rPr>
                <w:rFonts w:hint="default" w:ascii="Times New Roman" w:hAnsi="Times New Roman" w:eastAsia="宋体" w:cs="Times New Roman"/>
                <w:color w:val="000000" w:themeColor="text1"/>
                <w:spacing w:val="0"/>
                <w:kern w:val="0"/>
                <w:position w:val="0"/>
                <w:sz w:val="24"/>
                <w:szCs w:val="24"/>
                <w:vertAlign w:val="subscript"/>
                <w:lang w:val="en-US" w:eastAsia="zh-CN" w:bidi="ar-SA"/>
                <w14:textFill>
                  <w14:solidFill>
                    <w14:schemeClr w14:val="tx1"/>
                  </w14:solidFill>
                </w14:textFill>
              </w:rPr>
              <w:t>2</w:t>
            </w:r>
            <w:r>
              <w:rPr>
                <w:rFonts w:hint="default" w:ascii="Times New Roman" w:hAnsi="Times New Roman" w:eastAsia="宋体" w:cs="Times New Roman"/>
                <w:color w:val="000000" w:themeColor="text1"/>
                <w:spacing w:val="0"/>
                <w:kern w:val="0"/>
                <w:position w:val="0"/>
                <w:sz w:val="24"/>
                <w:szCs w:val="24"/>
                <w:lang w:val="en-US" w:eastAsia="zh-CN" w:bidi="ar-SA"/>
                <w14:textFill>
                  <w14:solidFill>
                    <w14:schemeClr w14:val="tx1"/>
                  </w14:solidFill>
                </w14:textFill>
              </w:rPr>
              <w:t>、NO</w:t>
            </w:r>
            <w:r>
              <w:rPr>
                <w:rFonts w:hint="default" w:ascii="Times New Roman" w:hAnsi="Times New Roman" w:eastAsia="宋体" w:cs="Times New Roman"/>
                <w:color w:val="000000" w:themeColor="text1"/>
                <w:spacing w:val="0"/>
                <w:kern w:val="0"/>
                <w:position w:val="0"/>
                <w:sz w:val="24"/>
                <w:szCs w:val="24"/>
                <w:vertAlign w:val="subscript"/>
                <w:lang w:val="en-US" w:eastAsia="zh-CN" w:bidi="ar-SA"/>
                <w14:textFill>
                  <w14:solidFill>
                    <w14:schemeClr w14:val="tx1"/>
                  </w14:solidFill>
                </w14:textFill>
              </w:rPr>
              <w:t>2</w:t>
            </w:r>
            <w:r>
              <w:rPr>
                <w:rFonts w:hint="default" w:ascii="Times New Roman" w:hAnsi="Times New Roman" w:eastAsia="宋体" w:cs="Times New Roman"/>
                <w:color w:val="000000" w:themeColor="text1"/>
                <w:spacing w:val="0"/>
                <w:kern w:val="0"/>
                <w:position w:val="0"/>
                <w:sz w:val="24"/>
                <w:szCs w:val="24"/>
                <w:lang w:val="en-US" w:eastAsia="zh-CN" w:bidi="ar-SA"/>
                <w14:textFill>
                  <w14:solidFill>
                    <w14:schemeClr w14:val="tx1"/>
                  </w14:solidFill>
                </w14:textFill>
              </w:rPr>
              <w:t>、CO、O</w:t>
            </w:r>
            <w:r>
              <w:rPr>
                <w:rFonts w:hint="default" w:ascii="Times New Roman" w:hAnsi="Times New Roman" w:eastAsia="宋体" w:cs="Times New Roman"/>
                <w:color w:val="000000" w:themeColor="text1"/>
                <w:spacing w:val="0"/>
                <w:kern w:val="0"/>
                <w:position w:val="0"/>
                <w:sz w:val="24"/>
                <w:szCs w:val="24"/>
                <w:vertAlign w:val="subscript"/>
                <w:lang w:val="en-US" w:eastAsia="zh-CN" w:bidi="ar-SA"/>
                <w14:textFill>
                  <w14:solidFill>
                    <w14:schemeClr w14:val="tx1"/>
                  </w14:solidFill>
                </w14:textFill>
              </w:rPr>
              <w:t>3</w:t>
            </w:r>
            <w:r>
              <w:rPr>
                <w:rFonts w:hint="default" w:ascii="Times New Roman" w:hAnsi="Times New Roman" w:eastAsia="宋体" w:cs="Times New Roman"/>
                <w:color w:val="000000" w:themeColor="text1"/>
                <w:spacing w:val="0"/>
                <w:kern w:val="0"/>
                <w:position w:val="0"/>
                <w:sz w:val="24"/>
                <w:szCs w:val="24"/>
                <w:lang w:val="en-US" w:eastAsia="zh-CN" w:bidi="ar-SA"/>
                <w14:textFill>
                  <w14:solidFill>
                    <w14:schemeClr w14:val="tx1"/>
                  </w14:solidFill>
                </w14:textFill>
              </w:rPr>
              <w:t>等其他监测指标均满足二级标准，因此判断本项目所在区域为不达标区。</w:t>
            </w:r>
          </w:p>
          <w:p w14:paraId="20DF4BED">
            <w:pPr>
              <w:keepNext w:val="0"/>
              <w:keepLines w:val="0"/>
              <w:suppressLineNumbers w:val="0"/>
              <w:spacing w:before="0" w:beforeAutospacing="0" w:after="0" w:afterAutospacing="0"/>
              <w:ind w:left="0" w:leftChars="0" w:right="0" w:firstLine="0" w:firstLineChars="0"/>
              <w:rPr>
                <w:rFonts w:hint="default" w:ascii="Times New Roman" w:hAnsi="Times New Roman" w:eastAsia="宋体" w:cs="Times New Roman"/>
                <w:b/>
                <w:bCs/>
                <w:color w:val="000000"/>
                <w:kern w:val="2"/>
                <w:sz w:val="24"/>
                <w:szCs w:val="32"/>
                <w:lang w:val="en-US" w:eastAsia="zh-CN" w:bidi="ar-SA"/>
              </w:rPr>
            </w:pPr>
            <w:r>
              <w:rPr>
                <w:rFonts w:hint="eastAsia" w:ascii="Times New Roman" w:hAnsi="Times New Roman" w:eastAsia="宋体" w:cs="Times New Roman"/>
                <w:b/>
                <w:bCs/>
                <w:color w:val="000000"/>
                <w:kern w:val="0"/>
                <w:sz w:val="24"/>
                <w:szCs w:val="24"/>
                <w:lang w:val="en-US" w:eastAsia="zh-CN" w:bidi="ar"/>
              </w:rPr>
              <w:t>2</w:t>
            </w:r>
            <w:r>
              <w:rPr>
                <w:rFonts w:hint="default" w:ascii="Times New Roman" w:hAnsi="Times New Roman" w:eastAsia="宋体" w:cs="Times New Roman"/>
                <w:b/>
                <w:bCs/>
                <w:color w:val="000000"/>
                <w:kern w:val="2"/>
                <w:sz w:val="24"/>
                <w:szCs w:val="32"/>
                <w:lang w:val="en-US" w:eastAsia="zh-CN" w:bidi="ar-SA"/>
              </w:rPr>
              <w:t>、地表水环境质量</w:t>
            </w:r>
            <w:bookmarkEnd w:id="20"/>
          </w:p>
          <w:p w14:paraId="2C8C966E">
            <w:pPr>
              <w:keepNext w:val="0"/>
              <w:keepLines w:val="0"/>
              <w:suppressLineNumbers w:val="0"/>
              <w:bidi w:val="0"/>
              <w:spacing w:before="0" w:beforeAutospacing="0" w:after="0" w:afterAutospacing="0" w:line="360" w:lineRule="auto"/>
              <w:ind w:left="0" w:right="0" w:firstLine="480" w:firstLineChars="200"/>
              <w:rPr>
                <w:rFonts w:hint="eastAsia" w:ascii="Times New Roman" w:hAnsi="Times New Roman" w:eastAsia="宋体" w:cs="Times New Roman"/>
                <w:color w:val="000000"/>
                <w:sz w:val="24"/>
                <w:szCs w:val="24"/>
                <w:lang w:val="en-US" w:eastAsia="zh-CN"/>
              </w:rPr>
            </w:pPr>
            <w:bookmarkStart w:id="21" w:name="_Toc27865"/>
            <w:r>
              <w:rPr>
                <w:rFonts w:hint="eastAsia" w:ascii="Times New Roman" w:hAnsi="Times New Roman" w:eastAsia="宋体" w:cs="Times New Roman"/>
                <w:color w:val="000000"/>
                <w:sz w:val="24"/>
                <w:szCs w:val="24"/>
                <w:lang w:val="en-US" w:eastAsia="zh-CN"/>
              </w:rPr>
              <w:t>根据《2024年巴音郭楞蒙古自治州生态环境状况公报》可知：2024年，全州地表水监测的31个考核断面（点位）中，Ⅰ~Ⅲ类优良水质断面（点位）占比90.3%，无Ⅳ类水质。6条主要河流19个监测断面中Ⅰ~Ⅲ类优良水质断面占100%，3个重要湖泊（水库）12个监测点位中Ⅰ~Ⅲ类优良水质断面占75%，无劣Ⅴ类水体，湖泊水质影响因子为化学需氧量。</w:t>
            </w:r>
          </w:p>
          <w:p w14:paraId="39F2E2CD">
            <w:pPr>
              <w:keepNext w:val="0"/>
              <w:keepLines w:val="0"/>
              <w:suppressLineNumbers w:val="0"/>
              <w:bidi w:val="0"/>
              <w:spacing w:before="0" w:beforeAutospacing="0" w:after="0" w:afterAutospacing="0" w:line="360" w:lineRule="auto"/>
              <w:ind w:left="0" w:right="0" w:firstLine="480" w:firstLineChars="200"/>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距离项目区最近的地表水体</w:t>
            </w:r>
            <w:r>
              <w:rPr>
                <w:rFonts w:hint="eastAsia" w:cs="Times New Roman"/>
                <w:color w:val="000000"/>
                <w:sz w:val="24"/>
                <w:szCs w:val="24"/>
                <w:lang w:val="en-US" w:eastAsia="zh-CN"/>
              </w:rPr>
              <w:t>库塔干</w:t>
            </w:r>
            <w:r>
              <w:rPr>
                <w:rFonts w:hint="eastAsia" w:ascii="Times New Roman" w:hAnsi="Times New Roman" w:eastAsia="宋体" w:cs="Times New Roman"/>
                <w:color w:val="000000"/>
                <w:sz w:val="24"/>
                <w:szCs w:val="24"/>
                <w:lang w:val="en-US" w:eastAsia="zh-CN"/>
              </w:rPr>
              <w:t>渠，为孔雀河的支流，位于项目区</w:t>
            </w:r>
            <w:r>
              <w:rPr>
                <w:rFonts w:hint="eastAsia" w:cs="Times New Roman"/>
                <w:color w:val="000000"/>
                <w:sz w:val="24"/>
                <w:szCs w:val="24"/>
                <w:highlight w:val="none"/>
                <w:lang w:val="en-US" w:eastAsia="zh-CN"/>
              </w:rPr>
              <w:t>东</w:t>
            </w:r>
            <w:r>
              <w:rPr>
                <w:rFonts w:hint="eastAsia" w:ascii="Times New Roman" w:hAnsi="Times New Roman" w:eastAsia="宋体" w:cs="Times New Roman"/>
                <w:color w:val="000000"/>
                <w:sz w:val="24"/>
                <w:szCs w:val="24"/>
                <w:highlight w:val="none"/>
                <w:lang w:val="en-US" w:eastAsia="zh-CN"/>
              </w:rPr>
              <w:t>侧</w:t>
            </w:r>
            <w:r>
              <w:rPr>
                <w:rFonts w:hint="eastAsia" w:cs="Times New Roman"/>
                <w:color w:val="000000"/>
                <w:sz w:val="24"/>
                <w:szCs w:val="24"/>
                <w:highlight w:val="none"/>
                <w:lang w:val="en-US" w:eastAsia="zh-CN"/>
              </w:rPr>
              <w:t>1.4</w:t>
            </w:r>
            <w:r>
              <w:rPr>
                <w:rFonts w:hint="eastAsia" w:ascii="Times New Roman" w:hAnsi="Times New Roman" w:eastAsia="宋体" w:cs="Times New Roman"/>
                <w:color w:val="000000"/>
                <w:sz w:val="24"/>
                <w:szCs w:val="24"/>
                <w:highlight w:val="none"/>
                <w:lang w:val="en-US" w:eastAsia="zh-CN"/>
              </w:rPr>
              <w:t>km</w:t>
            </w:r>
            <w:r>
              <w:rPr>
                <w:rFonts w:hint="eastAsia" w:ascii="Times New Roman" w:hAnsi="Times New Roman" w:eastAsia="宋体" w:cs="Times New Roman"/>
                <w:color w:val="000000"/>
                <w:sz w:val="24"/>
                <w:szCs w:val="24"/>
                <w:lang w:val="en-US" w:eastAsia="zh-CN"/>
              </w:rPr>
              <w:t>处，孔雀河水质可满足《地表水环境质量标准》（GB3838-2002）中Ⅲ类水质标准</w:t>
            </w:r>
            <w:r>
              <w:rPr>
                <w:rFonts w:hint="eastAsia" w:ascii="Times New Roman" w:hAnsi="Times New Roman" w:eastAsia="宋体" w:cs="Times New Roman"/>
                <w:color w:val="000000"/>
                <w:sz w:val="24"/>
                <w:szCs w:val="24"/>
                <w:highlight w:val="none"/>
                <w:lang w:val="en-US" w:eastAsia="zh-CN"/>
              </w:rPr>
              <w:t>。</w:t>
            </w:r>
          </w:p>
          <w:p w14:paraId="03C11FE5">
            <w:pPr>
              <w:pStyle w:val="5"/>
              <w:suppressLineNumbers w:val="0"/>
              <w:bidi w:val="0"/>
              <w:spacing w:before="0" w:beforeAutospacing="0" w:after="0" w:afterAutospacing="0"/>
              <w:ind w:left="0" w:right="0"/>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3、声环境质量现状</w:t>
            </w:r>
            <w:bookmarkEnd w:id="21"/>
          </w:p>
          <w:p w14:paraId="676E6AE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lang w:val="en-US" w:eastAsia="zh-CN"/>
              </w:rPr>
              <w:t>项目周边50m范围内声环境敏感目标为兴旺家园小区，本次对项目区声敏感点处声环境质量进行调查。</w:t>
            </w:r>
          </w:p>
          <w:p w14:paraId="407279F3">
            <w:pPr>
              <w:pStyle w:val="6"/>
              <w:keepNext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default" w:ascii="Times New Roman" w:hAnsi="Times New Roman" w:eastAsia="宋体" w:cs="Times New Roman"/>
                <w:bCs/>
                <w:sz w:val="24"/>
                <w:szCs w:val="24"/>
              </w:rPr>
            </w:pPr>
            <w:bookmarkStart w:id="22" w:name="_Toc361044238"/>
            <w:bookmarkStart w:id="23" w:name="_Toc359250053"/>
            <w:bookmarkStart w:id="24" w:name="_Toc329596227"/>
            <w:r>
              <w:rPr>
                <w:rFonts w:hint="default" w:ascii="Times New Roman" w:hAnsi="Times New Roman" w:eastAsia="宋体" w:cs="Times New Roman"/>
                <w:bCs/>
                <w:sz w:val="24"/>
                <w:szCs w:val="24"/>
                <w:lang w:val="en-US" w:eastAsia="zh-CN"/>
              </w:rPr>
              <w:t>3.1</w:t>
            </w:r>
            <w:r>
              <w:rPr>
                <w:rFonts w:hint="default" w:ascii="Times New Roman" w:hAnsi="Times New Roman" w:eastAsia="宋体" w:cs="Times New Roman"/>
                <w:bCs/>
                <w:sz w:val="24"/>
                <w:szCs w:val="24"/>
              </w:rPr>
              <w:t>监测布点</w:t>
            </w:r>
            <w:bookmarkEnd w:id="22"/>
            <w:bookmarkEnd w:id="23"/>
            <w:bookmarkEnd w:id="24"/>
          </w:p>
          <w:p w14:paraId="19EAB65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highlight w:val="none"/>
                <w:lang w:val="en-US" w:eastAsia="zh-CN"/>
              </w:rPr>
            </w:pPr>
            <w:bookmarkStart w:id="25" w:name="_Toc143254457"/>
            <w:bookmarkStart w:id="26" w:name="_Toc143252033"/>
            <w:bookmarkStart w:id="27" w:name="_Toc329596228"/>
            <w:r>
              <w:rPr>
                <w:rFonts w:hint="default" w:ascii="Times New Roman" w:hAnsi="Times New Roman" w:eastAsia="宋体" w:cs="Times New Roman"/>
                <w:sz w:val="24"/>
                <w:szCs w:val="24"/>
                <w:highlight w:val="none"/>
              </w:rPr>
              <w:t>本项目噪声现状监测主要为</w:t>
            </w:r>
            <w:r>
              <w:rPr>
                <w:rFonts w:hint="default" w:ascii="Times New Roman" w:hAnsi="Times New Roman" w:eastAsia="宋体" w:cs="Times New Roman"/>
                <w:sz w:val="24"/>
                <w:szCs w:val="24"/>
                <w:highlight w:val="none"/>
                <w:lang w:eastAsia="zh-CN"/>
              </w:rPr>
              <w:t>调查敏感点处声环境质量，在项目区</w:t>
            </w:r>
            <w:r>
              <w:rPr>
                <w:rFonts w:hint="default" w:ascii="Times New Roman" w:hAnsi="Times New Roman" w:eastAsia="宋体" w:cs="Times New Roman"/>
                <w:sz w:val="24"/>
                <w:szCs w:val="24"/>
                <w:highlight w:val="none"/>
                <w:lang w:val="en-US" w:eastAsia="zh-CN"/>
              </w:rPr>
              <w:t>东北侧设置1个监测点，在项目区西南侧设置</w:t>
            </w:r>
            <w:r>
              <w:rPr>
                <w:rFonts w:hint="eastAsia" w:ascii="Times New Roman" w:hAnsi="Times New Roman" w:eastAsia="宋体" w:cs="Times New Roman"/>
                <w:sz w:val="24"/>
                <w:szCs w:val="24"/>
                <w:highlight w:val="none"/>
                <w:lang w:val="en-US" w:eastAsia="zh-CN"/>
              </w:rPr>
              <w:t>1</w:t>
            </w:r>
            <w:r>
              <w:rPr>
                <w:rFonts w:hint="default" w:ascii="Times New Roman" w:hAnsi="Times New Roman" w:eastAsia="宋体" w:cs="Times New Roman"/>
                <w:sz w:val="24"/>
                <w:szCs w:val="24"/>
                <w:highlight w:val="none"/>
                <w:lang w:val="en-US" w:eastAsia="zh-CN"/>
              </w:rPr>
              <w:t>个监测点位，</w:t>
            </w:r>
            <w:r>
              <w:rPr>
                <w:rFonts w:hint="default" w:ascii="Times New Roman" w:hAnsi="Times New Roman" w:eastAsia="宋体" w:cs="Times New Roman"/>
                <w:sz w:val="24"/>
                <w:szCs w:val="24"/>
                <w:highlight w:val="none"/>
              </w:rPr>
              <w:t>监测点位见</w:t>
            </w:r>
            <w:r>
              <w:rPr>
                <w:rFonts w:hint="default" w:ascii="Times New Roman" w:hAnsi="Times New Roman" w:eastAsia="宋体" w:cs="Times New Roman"/>
                <w:b w:val="0"/>
                <w:bCs w:val="0"/>
                <w:sz w:val="24"/>
                <w:szCs w:val="24"/>
                <w:highlight w:val="none"/>
              </w:rPr>
              <w:t>附图</w:t>
            </w:r>
            <w:r>
              <w:rPr>
                <w:rFonts w:hint="default" w:ascii="Times New Roman" w:hAnsi="Times New Roman" w:eastAsia="宋体" w:cs="Times New Roman"/>
                <w:b w:val="0"/>
                <w:bCs w:val="0"/>
                <w:sz w:val="24"/>
                <w:szCs w:val="24"/>
                <w:highlight w:val="none"/>
                <w:lang w:val="en-US" w:eastAsia="zh-CN"/>
              </w:rPr>
              <w:t>4</w:t>
            </w:r>
            <w:r>
              <w:rPr>
                <w:rFonts w:hint="default" w:ascii="Times New Roman" w:hAnsi="Times New Roman" w:eastAsia="宋体" w:cs="Times New Roman"/>
                <w:sz w:val="24"/>
                <w:szCs w:val="24"/>
                <w:highlight w:val="none"/>
              </w:rPr>
              <w:t>监测</w:t>
            </w:r>
            <w:r>
              <w:rPr>
                <w:rFonts w:hint="default" w:ascii="Times New Roman" w:hAnsi="Times New Roman" w:eastAsia="宋体" w:cs="Times New Roman"/>
                <w:sz w:val="24"/>
                <w:szCs w:val="24"/>
                <w:highlight w:val="none"/>
                <w:lang w:eastAsia="zh-CN"/>
              </w:rPr>
              <w:t>点位图</w:t>
            </w:r>
            <w:r>
              <w:rPr>
                <w:rFonts w:hint="default" w:ascii="Times New Roman" w:hAnsi="Times New Roman" w:eastAsia="宋体" w:cs="Times New Roman"/>
                <w:sz w:val="24"/>
                <w:szCs w:val="24"/>
                <w:highlight w:val="none"/>
              </w:rPr>
              <w:t>。</w:t>
            </w:r>
          </w:p>
          <w:p w14:paraId="62026266">
            <w:pPr>
              <w:pStyle w:val="6"/>
              <w:keepNext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default" w:ascii="Times New Roman" w:hAnsi="Times New Roman" w:eastAsia="宋体" w:cs="Times New Roman"/>
                <w:bCs/>
                <w:sz w:val="24"/>
                <w:szCs w:val="24"/>
              </w:rPr>
            </w:pPr>
            <w:bookmarkStart w:id="28" w:name="_Toc359250054"/>
            <w:bookmarkStart w:id="29" w:name="_Toc361044239"/>
            <w:r>
              <w:rPr>
                <w:rFonts w:hint="default" w:ascii="Times New Roman" w:hAnsi="Times New Roman" w:eastAsia="宋体" w:cs="Times New Roman"/>
                <w:bCs/>
                <w:sz w:val="24"/>
                <w:szCs w:val="24"/>
                <w:lang w:val="en-US" w:eastAsia="zh-CN"/>
              </w:rPr>
              <w:t>3.2</w:t>
            </w:r>
            <w:r>
              <w:rPr>
                <w:rFonts w:hint="default" w:ascii="Times New Roman" w:hAnsi="Times New Roman" w:eastAsia="宋体" w:cs="Times New Roman"/>
                <w:bCs/>
                <w:sz w:val="24"/>
                <w:szCs w:val="24"/>
              </w:rPr>
              <w:t>监测时段及监测方法</w:t>
            </w:r>
            <w:bookmarkEnd w:id="28"/>
            <w:bookmarkEnd w:id="29"/>
          </w:p>
          <w:bookmarkEnd w:id="25"/>
          <w:bookmarkEnd w:id="26"/>
          <w:bookmarkEnd w:id="27"/>
          <w:p w14:paraId="251417C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监测时</w:t>
            </w:r>
            <w:r>
              <w:rPr>
                <w:rFonts w:hint="default" w:ascii="Times New Roman" w:hAnsi="Times New Roman" w:eastAsia="宋体" w:cs="Times New Roman"/>
                <w:sz w:val="24"/>
                <w:szCs w:val="24"/>
                <w:highlight w:val="none"/>
              </w:rPr>
              <w:t>间</w:t>
            </w:r>
            <w:r>
              <w:rPr>
                <w:rFonts w:hint="default" w:ascii="Times New Roman" w:hAnsi="Times New Roman" w:eastAsia="宋体" w:cs="Times New Roman"/>
                <w:sz w:val="24"/>
                <w:szCs w:val="24"/>
                <w:highlight w:val="none"/>
                <w:lang w:val="en-US" w:eastAsia="zh-CN"/>
              </w:rPr>
              <w:t>202</w:t>
            </w:r>
            <w:r>
              <w:rPr>
                <w:rFonts w:hint="eastAsia" w:cs="Times New Roman"/>
                <w:sz w:val="24"/>
                <w:szCs w:val="24"/>
                <w:highlight w:val="none"/>
                <w:lang w:val="en-US" w:eastAsia="zh-CN"/>
              </w:rPr>
              <w:t>5</w:t>
            </w:r>
            <w:r>
              <w:rPr>
                <w:rFonts w:hint="default" w:ascii="Times New Roman" w:hAnsi="Times New Roman" w:eastAsia="宋体" w:cs="Times New Roman"/>
                <w:sz w:val="24"/>
                <w:szCs w:val="24"/>
                <w:highlight w:val="none"/>
              </w:rPr>
              <w:t>年</w:t>
            </w:r>
            <w:r>
              <w:rPr>
                <w:rFonts w:hint="eastAsia" w:cs="Times New Roman"/>
                <w:sz w:val="24"/>
                <w:szCs w:val="24"/>
                <w:highlight w:val="none"/>
                <w:lang w:val="en-US" w:eastAsia="zh-CN"/>
              </w:rPr>
              <w:t>6</w:t>
            </w:r>
            <w:r>
              <w:rPr>
                <w:rFonts w:hint="default" w:ascii="Times New Roman" w:hAnsi="Times New Roman" w:eastAsia="宋体" w:cs="Times New Roman"/>
                <w:sz w:val="24"/>
                <w:szCs w:val="24"/>
                <w:highlight w:val="none"/>
              </w:rPr>
              <w:t>月</w:t>
            </w:r>
            <w:r>
              <w:rPr>
                <w:rFonts w:hint="eastAsia" w:cs="Times New Roman"/>
                <w:sz w:val="24"/>
                <w:szCs w:val="24"/>
                <w:highlight w:val="none"/>
                <w:lang w:val="en-US" w:eastAsia="zh-CN"/>
              </w:rPr>
              <w:t>10</w:t>
            </w:r>
            <w:r>
              <w:rPr>
                <w:rFonts w:hint="default" w:ascii="Times New Roman" w:hAnsi="Times New Roman" w:eastAsia="宋体" w:cs="Times New Roman"/>
                <w:sz w:val="24"/>
                <w:szCs w:val="24"/>
                <w:highlight w:val="none"/>
              </w:rPr>
              <w:t>日，评价</w:t>
            </w:r>
            <w:r>
              <w:rPr>
                <w:rFonts w:hint="default" w:ascii="Times New Roman" w:hAnsi="Times New Roman" w:eastAsia="宋体" w:cs="Times New Roman"/>
                <w:sz w:val="24"/>
                <w:szCs w:val="24"/>
              </w:rPr>
              <w:t>单位分昼间和夜间两时段进行了监测。监测方法采用《声环境质量标准》（GB3096-2008）中的有关规定进行监测。</w:t>
            </w:r>
          </w:p>
          <w:p w14:paraId="39DEB464">
            <w:pPr>
              <w:pStyle w:val="6"/>
              <w:keepNext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default" w:ascii="Times New Roman" w:hAnsi="Times New Roman" w:eastAsia="宋体" w:cs="Times New Roman"/>
                <w:bCs/>
                <w:sz w:val="24"/>
                <w:szCs w:val="24"/>
              </w:rPr>
            </w:pPr>
            <w:bookmarkStart w:id="30" w:name="_Toc329596229"/>
            <w:bookmarkStart w:id="31" w:name="_Toc361044240"/>
            <w:bookmarkStart w:id="32" w:name="_Toc359250055"/>
            <w:bookmarkStart w:id="33" w:name="_Toc143252035"/>
            <w:bookmarkStart w:id="34" w:name="_Toc143254459"/>
            <w:r>
              <w:rPr>
                <w:rFonts w:hint="default" w:ascii="Times New Roman" w:hAnsi="Times New Roman" w:eastAsia="宋体" w:cs="Times New Roman"/>
                <w:bCs/>
                <w:sz w:val="24"/>
                <w:szCs w:val="24"/>
                <w:lang w:val="en-US" w:eastAsia="zh-CN"/>
              </w:rPr>
              <w:t>3.3</w:t>
            </w:r>
            <w:r>
              <w:rPr>
                <w:rFonts w:hint="default" w:ascii="Times New Roman" w:hAnsi="Times New Roman" w:eastAsia="宋体" w:cs="Times New Roman"/>
                <w:bCs/>
                <w:sz w:val="24"/>
                <w:szCs w:val="24"/>
              </w:rPr>
              <w:t>评价标准</w:t>
            </w:r>
            <w:bookmarkEnd w:id="30"/>
            <w:bookmarkEnd w:id="31"/>
            <w:bookmarkEnd w:id="32"/>
            <w:bookmarkEnd w:id="33"/>
            <w:bookmarkEnd w:id="34"/>
          </w:p>
          <w:p w14:paraId="08F7C63F">
            <w:pPr>
              <w:pStyle w:val="10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val="0"/>
                <w:kern w:val="2"/>
                <w:sz w:val="24"/>
                <w:szCs w:val="24"/>
                <w:lang w:val="en-US" w:eastAsia="zh-CN" w:bidi="ar-SA"/>
              </w:rPr>
              <w:t>本项目周边50m范围内声环境敏感目标为兴旺家园小区内居民住宅及办公楼，根据《库尔勒市声环境功能区划》，本项目声环境功能区分类属于</w:t>
            </w:r>
            <w:r>
              <w:rPr>
                <w:rFonts w:hint="eastAsia" w:ascii="Times New Roman" w:hAnsi="Times New Roman" w:eastAsia="宋体" w:cs="Times New Roman"/>
                <w:b w:val="0"/>
                <w:kern w:val="2"/>
                <w:sz w:val="24"/>
                <w:szCs w:val="24"/>
                <w:lang w:val="en-US" w:eastAsia="zh-CN" w:bidi="ar-SA"/>
              </w:rPr>
              <w:t>2</w:t>
            </w:r>
            <w:r>
              <w:rPr>
                <w:rFonts w:hint="default" w:ascii="Times New Roman" w:hAnsi="Times New Roman" w:eastAsia="宋体" w:cs="Times New Roman"/>
                <w:b w:val="0"/>
                <w:kern w:val="2"/>
                <w:sz w:val="24"/>
                <w:szCs w:val="24"/>
                <w:lang w:val="en-US" w:eastAsia="zh-CN" w:bidi="ar-SA"/>
              </w:rPr>
              <w:t>类区，本项目执行《声环境质量标准》（GB3096-2008）</w:t>
            </w:r>
            <w:r>
              <w:rPr>
                <w:rFonts w:hint="eastAsia" w:ascii="Times New Roman" w:hAnsi="Times New Roman" w:eastAsia="宋体" w:cs="Times New Roman"/>
                <w:b w:val="0"/>
                <w:kern w:val="2"/>
                <w:sz w:val="24"/>
                <w:szCs w:val="24"/>
                <w:lang w:val="en-US" w:eastAsia="zh-CN" w:bidi="ar-SA"/>
              </w:rPr>
              <w:t>2</w:t>
            </w:r>
            <w:r>
              <w:rPr>
                <w:rFonts w:hint="default" w:ascii="Times New Roman" w:hAnsi="Times New Roman" w:eastAsia="宋体" w:cs="Times New Roman"/>
                <w:b w:val="0"/>
                <w:kern w:val="2"/>
                <w:sz w:val="24"/>
                <w:szCs w:val="24"/>
                <w:lang w:val="en-US" w:eastAsia="zh-CN" w:bidi="ar-SA"/>
              </w:rPr>
              <w:t>类标准。</w:t>
            </w:r>
          </w:p>
          <w:p w14:paraId="5D57DE89">
            <w:pPr>
              <w:pStyle w:val="10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42" w:firstLineChars="200"/>
              <w:textAlignment w:val="auto"/>
              <w:rPr>
                <w:rFonts w:hint="eastAsia" w:ascii="Times New Roman" w:hAnsi="Times New Roman" w:eastAsia="宋体" w:cs="Times New Roman"/>
                <w:sz w:val="21"/>
                <w:szCs w:val="21"/>
                <w:lang w:eastAsia="zh-CN"/>
              </w:rPr>
            </w:pPr>
            <w:r>
              <w:rPr>
                <w:rStyle w:val="109"/>
                <w:rFonts w:hint="default" w:ascii="Times New Roman" w:hAnsi="Times New Roman" w:eastAsia="宋体" w:cs="Times New Roman"/>
                <w:b/>
                <w:sz w:val="21"/>
                <w:szCs w:val="21"/>
              </w:rPr>
              <w:t>表</w:t>
            </w:r>
            <w:r>
              <w:rPr>
                <w:rStyle w:val="109"/>
                <w:rFonts w:hint="eastAsia" w:cs="Times New Roman"/>
                <w:b/>
                <w:sz w:val="21"/>
                <w:szCs w:val="21"/>
                <w:lang w:val="en-US" w:eastAsia="zh-CN"/>
              </w:rPr>
              <w:t>3-2</w:t>
            </w:r>
            <w:r>
              <w:rPr>
                <w:rStyle w:val="109"/>
                <w:rFonts w:hint="default" w:ascii="Times New Roman" w:hAnsi="Times New Roman" w:eastAsia="宋体" w:cs="Times New Roman"/>
                <w:b/>
                <w:sz w:val="21"/>
                <w:szCs w:val="21"/>
              </w:rPr>
              <w:t xml:space="preserve">       声环境质量标准             </w:t>
            </w:r>
            <w:r>
              <w:rPr>
                <w:rStyle w:val="109"/>
                <w:rFonts w:hint="default" w:ascii="Times New Roman" w:hAnsi="Times New Roman" w:eastAsia="宋体" w:cs="Times New Roman"/>
                <w:b/>
                <w:sz w:val="21"/>
                <w:szCs w:val="21"/>
                <w:lang w:val="en-US" w:eastAsia="zh-CN"/>
              </w:rPr>
              <w:t xml:space="preserve">   </w:t>
            </w:r>
            <w:r>
              <w:rPr>
                <w:rStyle w:val="109"/>
                <w:rFonts w:hint="default" w:ascii="Times New Roman" w:hAnsi="Times New Roman" w:eastAsia="宋体" w:cs="Times New Roman"/>
                <w:b/>
                <w:sz w:val="21"/>
                <w:szCs w:val="21"/>
              </w:rPr>
              <w:t xml:space="preserve"> 等效声级：</w:t>
            </w:r>
            <w:r>
              <w:rPr>
                <w:rFonts w:hint="default" w:ascii="Times New Roman" w:hAnsi="Times New Roman" w:eastAsia="宋体" w:cs="Times New Roman"/>
                <w:sz w:val="21"/>
                <w:szCs w:val="21"/>
              </w:rPr>
              <w:t>dB</w:t>
            </w:r>
            <w:r>
              <w:rPr>
                <w:rFonts w:hint="eastAsia" w:cs="Times New Roman"/>
                <w:sz w:val="21"/>
                <w:szCs w:val="21"/>
                <w:lang w:eastAsia="zh-CN"/>
              </w:rPr>
              <w:t>（</w:t>
            </w:r>
            <w:r>
              <w:rPr>
                <w:rFonts w:hint="default" w:ascii="Times New Roman" w:hAnsi="Times New Roman" w:eastAsia="宋体" w:cs="Times New Roman"/>
                <w:sz w:val="21"/>
                <w:szCs w:val="21"/>
              </w:rPr>
              <w:t>A</w:t>
            </w:r>
            <w:r>
              <w:rPr>
                <w:rFonts w:hint="eastAsia" w:cs="Times New Roman"/>
                <w:sz w:val="21"/>
                <w:szCs w:val="21"/>
                <w:lang w:eastAsia="zh-CN"/>
              </w:rPr>
              <w:t>）</w:t>
            </w:r>
          </w:p>
          <w:tbl>
            <w:tblPr>
              <w:tblStyle w:val="31"/>
              <w:tblW w:w="8312" w:type="dxa"/>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524"/>
              <w:gridCol w:w="2689"/>
              <w:gridCol w:w="3099"/>
            </w:tblGrid>
            <w:tr w14:paraId="1CBA2BCC">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0" w:hRule="atLeast"/>
              </w:trPr>
              <w:tc>
                <w:tcPr>
                  <w:tcW w:w="2524" w:type="dxa"/>
                  <w:noWrap w:val="0"/>
                  <w:vAlign w:val="center"/>
                </w:tcPr>
                <w:p w14:paraId="7E904B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类别</w:t>
                  </w:r>
                </w:p>
              </w:tc>
              <w:tc>
                <w:tcPr>
                  <w:tcW w:w="2689" w:type="dxa"/>
                  <w:noWrap w:val="0"/>
                  <w:vAlign w:val="center"/>
                </w:tcPr>
                <w:p w14:paraId="6D1EA6B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昼间</w:t>
                  </w:r>
                </w:p>
              </w:tc>
              <w:tc>
                <w:tcPr>
                  <w:tcW w:w="3099" w:type="dxa"/>
                  <w:noWrap w:val="0"/>
                  <w:vAlign w:val="center"/>
                </w:tcPr>
                <w:p w14:paraId="37D1FF3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夜间</w:t>
                  </w:r>
                </w:p>
              </w:tc>
            </w:tr>
            <w:tr w14:paraId="2FF005CF">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7" w:hRule="atLeast"/>
              </w:trPr>
              <w:tc>
                <w:tcPr>
                  <w:tcW w:w="2524" w:type="dxa"/>
                  <w:noWrap w:val="0"/>
                  <w:vAlign w:val="center"/>
                </w:tcPr>
                <w:p w14:paraId="1BF2B2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center"/>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类</w:t>
                  </w:r>
                </w:p>
              </w:tc>
              <w:tc>
                <w:tcPr>
                  <w:tcW w:w="2689" w:type="dxa"/>
                  <w:noWrap w:val="0"/>
                  <w:vAlign w:val="center"/>
                </w:tcPr>
                <w:p w14:paraId="17334D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60</w:t>
                  </w:r>
                </w:p>
              </w:tc>
              <w:tc>
                <w:tcPr>
                  <w:tcW w:w="3099" w:type="dxa"/>
                  <w:noWrap w:val="0"/>
                  <w:vAlign w:val="center"/>
                </w:tcPr>
                <w:p w14:paraId="343AE81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50</w:t>
                  </w:r>
                </w:p>
              </w:tc>
            </w:tr>
          </w:tbl>
          <w:p w14:paraId="4041CD29">
            <w:pPr>
              <w:pStyle w:val="6"/>
              <w:keepNext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default" w:ascii="Times New Roman" w:hAnsi="Times New Roman" w:eastAsia="宋体" w:cs="Times New Roman"/>
                <w:bCs/>
                <w:sz w:val="24"/>
                <w:szCs w:val="24"/>
              </w:rPr>
            </w:pPr>
            <w:bookmarkStart w:id="35" w:name="_Toc361044242"/>
            <w:bookmarkStart w:id="36" w:name="_Toc329596231"/>
            <w:bookmarkStart w:id="37" w:name="_Toc359250057"/>
            <w:r>
              <w:rPr>
                <w:rFonts w:hint="default" w:ascii="Times New Roman" w:hAnsi="Times New Roman" w:eastAsia="宋体" w:cs="Times New Roman"/>
                <w:bCs/>
                <w:sz w:val="24"/>
                <w:szCs w:val="24"/>
                <w:lang w:val="en-US" w:eastAsia="zh-CN"/>
              </w:rPr>
              <w:t>3.4</w:t>
            </w:r>
            <w:r>
              <w:rPr>
                <w:rFonts w:hint="default" w:ascii="Times New Roman" w:hAnsi="Times New Roman" w:eastAsia="宋体" w:cs="Times New Roman"/>
                <w:bCs/>
                <w:sz w:val="24"/>
                <w:szCs w:val="24"/>
              </w:rPr>
              <w:t>现状监测结果及评价结果</w:t>
            </w:r>
            <w:bookmarkEnd w:id="35"/>
            <w:bookmarkEnd w:id="36"/>
            <w:bookmarkEnd w:id="37"/>
          </w:p>
          <w:p w14:paraId="040CD22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本次环评</w:t>
            </w:r>
            <w:r>
              <w:rPr>
                <w:rFonts w:hint="default" w:ascii="Times New Roman" w:hAnsi="Times New Roman" w:eastAsia="宋体" w:cs="Times New Roman"/>
                <w:bCs/>
                <w:sz w:val="24"/>
                <w:szCs w:val="24"/>
                <w:highlight w:val="none"/>
              </w:rPr>
              <w:t>噪声环境质量现状监测及评价结果</w:t>
            </w:r>
            <w:r>
              <w:rPr>
                <w:rFonts w:hint="default" w:ascii="Times New Roman" w:hAnsi="Times New Roman" w:eastAsia="宋体" w:cs="Times New Roman"/>
                <w:sz w:val="24"/>
                <w:szCs w:val="24"/>
                <w:highlight w:val="none"/>
              </w:rPr>
              <w:t>见表</w:t>
            </w:r>
            <w:r>
              <w:rPr>
                <w:rFonts w:hint="default" w:ascii="Times New Roman" w:hAnsi="Times New Roman" w:eastAsia="宋体" w:cs="Times New Roman"/>
                <w:sz w:val="24"/>
                <w:szCs w:val="24"/>
                <w:highlight w:val="none"/>
                <w:lang w:val="en-US" w:eastAsia="zh-CN"/>
              </w:rPr>
              <w:t>15</w:t>
            </w:r>
            <w:r>
              <w:rPr>
                <w:rFonts w:hint="default" w:ascii="Times New Roman" w:hAnsi="Times New Roman" w:eastAsia="宋体" w:cs="Times New Roman"/>
                <w:sz w:val="24"/>
                <w:szCs w:val="24"/>
                <w:highlight w:val="none"/>
              </w:rPr>
              <w:t>。</w:t>
            </w:r>
          </w:p>
          <w:p w14:paraId="059E597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92" w:firstLineChars="196"/>
              <w:textAlignment w:val="auto"/>
              <w:rPr>
                <w:rStyle w:val="109"/>
                <w:rFonts w:hint="eastAsia" w:ascii="Times New Roman" w:hAnsi="Times New Roman" w:eastAsia="宋体" w:cs="Times New Roman"/>
                <w:lang w:val="en-US" w:eastAsia="zh-CN"/>
              </w:rPr>
            </w:pPr>
            <w:r>
              <w:rPr>
                <w:rStyle w:val="109"/>
                <w:rFonts w:hint="default" w:ascii="Times New Roman" w:hAnsi="Times New Roman" w:eastAsia="宋体" w:cs="Times New Roman"/>
                <w:szCs w:val="21"/>
              </w:rPr>
              <w:t>表</w:t>
            </w:r>
            <w:r>
              <w:rPr>
                <w:rStyle w:val="109"/>
                <w:rFonts w:hint="eastAsia" w:cs="Times New Roman"/>
                <w:szCs w:val="21"/>
                <w:lang w:val="en-US" w:eastAsia="zh-CN"/>
              </w:rPr>
              <w:t>3-3</w:t>
            </w:r>
            <w:r>
              <w:rPr>
                <w:rStyle w:val="109"/>
                <w:rFonts w:hint="default" w:ascii="Times New Roman" w:hAnsi="Times New Roman" w:eastAsia="宋体" w:cs="Times New Roman"/>
                <w:szCs w:val="21"/>
              </w:rPr>
              <w:t xml:space="preserve">  </w:t>
            </w:r>
            <w:r>
              <w:rPr>
                <w:rStyle w:val="109"/>
                <w:rFonts w:hint="eastAsia" w:cs="Times New Roman"/>
                <w:szCs w:val="21"/>
                <w:lang w:val="en-US" w:eastAsia="zh-CN"/>
              </w:rPr>
              <w:t xml:space="preserve"> </w:t>
            </w:r>
            <w:r>
              <w:rPr>
                <w:rStyle w:val="109"/>
                <w:rFonts w:hint="default" w:ascii="Times New Roman" w:hAnsi="Times New Roman" w:eastAsia="宋体" w:cs="Times New Roman"/>
                <w:szCs w:val="21"/>
              </w:rPr>
              <w:t xml:space="preserve"> </w:t>
            </w:r>
            <w:r>
              <w:rPr>
                <w:rStyle w:val="109"/>
                <w:rFonts w:hint="default" w:ascii="Times New Roman" w:hAnsi="Times New Roman" w:eastAsia="宋体" w:cs="Times New Roman"/>
                <w:b/>
                <w:caps w:val="0"/>
                <w:smallCaps/>
                <w:spacing w:val="-6"/>
                <w:sz w:val="24"/>
                <w:szCs w:val="21"/>
              </w:rPr>
              <w:t>项目区声环境质量现状监测结果及评价结果表</w:t>
            </w:r>
            <w:r>
              <w:rPr>
                <w:rStyle w:val="109"/>
                <w:rFonts w:hint="default" w:ascii="Times New Roman" w:hAnsi="Times New Roman" w:eastAsia="宋体" w:cs="Times New Roman"/>
                <w:szCs w:val="21"/>
              </w:rPr>
              <w:t xml:space="preserve"> </w:t>
            </w:r>
            <w:r>
              <w:rPr>
                <w:rStyle w:val="109"/>
                <w:rFonts w:hint="eastAsia" w:cs="Times New Roman"/>
                <w:szCs w:val="21"/>
                <w:lang w:val="en-US" w:eastAsia="zh-CN"/>
              </w:rPr>
              <w:t xml:space="preserve">  </w:t>
            </w:r>
            <w:r>
              <w:rPr>
                <w:rStyle w:val="109"/>
                <w:rFonts w:hint="default" w:ascii="Times New Roman" w:hAnsi="Times New Roman" w:eastAsia="宋体" w:cs="Times New Roman"/>
                <w:szCs w:val="21"/>
              </w:rPr>
              <w:t xml:space="preserve"> 等效声级：</w:t>
            </w:r>
            <w:r>
              <w:rPr>
                <w:rFonts w:hint="default" w:ascii="Times New Roman"/>
                <w:b/>
                <w:bCs/>
                <w:sz w:val="21"/>
                <w:szCs w:val="21"/>
              </w:rPr>
              <w:t>dB</w:t>
            </w:r>
            <w:r>
              <w:rPr>
                <w:rFonts w:hint="eastAsia"/>
                <w:b/>
                <w:bCs/>
                <w:sz w:val="21"/>
                <w:szCs w:val="21"/>
                <w:lang w:eastAsia="zh-CN"/>
              </w:rPr>
              <w:t>（</w:t>
            </w:r>
            <w:r>
              <w:rPr>
                <w:rFonts w:hint="default" w:ascii="Times New Roman"/>
                <w:b/>
                <w:bCs/>
                <w:sz w:val="21"/>
                <w:szCs w:val="21"/>
              </w:rPr>
              <w:t>A</w:t>
            </w:r>
            <w:r>
              <w:rPr>
                <w:rFonts w:hint="eastAsia"/>
                <w:b/>
                <w:bCs/>
                <w:sz w:val="21"/>
                <w:szCs w:val="21"/>
                <w:lang w:eastAsia="zh-CN"/>
              </w:rPr>
              <w:t>）</w:t>
            </w:r>
          </w:p>
          <w:tbl>
            <w:tblPr>
              <w:tblStyle w:val="31"/>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430"/>
              <w:gridCol w:w="771"/>
              <w:gridCol w:w="1081"/>
              <w:gridCol w:w="1316"/>
              <w:gridCol w:w="868"/>
              <w:gridCol w:w="873"/>
              <w:gridCol w:w="891"/>
              <w:gridCol w:w="881"/>
            </w:tblGrid>
            <w:tr w14:paraId="5D00DAF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1" w:type="pct"/>
                  <w:vMerge w:val="restart"/>
                  <w:noWrap w:val="0"/>
                  <w:vAlign w:val="center"/>
                </w:tcPr>
                <w:p w14:paraId="72887C65">
                  <w:pPr>
                    <w:pStyle w:val="16"/>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kern w:val="0"/>
                      <w:sz w:val="21"/>
                      <w:szCs w:val="21"/>
                      <w:lang w:val="en-US" w:eastAsia="zh-CN"/>
                    </w:rPr>
                  </w:pPr>
                  <w:r>
                    <w:rPr>
                      <w:rFonts w:hint="default" w:ascii="Times New Roman" w:hAnsi="Times New Roman" w:eastAsia="宋体" w:cs="Times New Roman"/>
                      <w:snapToGrid w:val="0"/>
                      <w:kern w:val="0"/>
                      <w:sz w:val="21"/>
                      <w:szCs w:val="21"/>
                      <w:lang w:val="en-US" w:eastAsia="zh-CN"/>
                    </w:rPr>
                    <w:t>监测时间</w:t>
                  </w:r>
                </w:p>
              </w:tc>
              <w:tc>
                <w:tcPr>
                  <w:tcW w:w="256" w:type="pct"/>
                  <w:vMerge w:val="restart"/>
                  <w:noWrap w:val="0"/>
                  <w:vAlign w:val="center"/>
                </w:tcPr>
                <w:p w14:paraId="77C250F4">
                  <w:pPr>
                    <w:pStyle w:val="16"/>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监测点</w:t>
                  </w:r>
                </w:p>
              </w:tc>
              <w:tc>
                <w:tcPr>
                  <w:tcW w:w="459" w:type="pct"/>
                  <w:vMerge w:val="restart"/>
                  <w:noWrap w:val="0"/>
                  <w:vAlign w:val="center"/>
                </w:tcPr>
                <w:p w14:paraId="21211865">
                  <w:pPr>
                    <w:pStyle w:val="16"/>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lang w:val="en-US" w:eastAsia="zh-CN"/>
                    </w:rPr>
                    <w:t>相对场址方位</w:t>
                  </w:r>
                </w:p>
              </w:tc>
              <w:tc>
                <w:tcPr>
                  <w:tcW w:w="1428" w:type="pct"/>
                  <w:gridSpan w:val="2"/>
                  <w:noWrap w:val="0"/>
                  <w:vAlign w:val="center"/>
                </w:tcPr>
                <w:p w14:paraId="16B2C6D1">
                  <w:pPr>
                    <w:pStyle w:val="16"/>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监测值</w:t>
                  </w:r>
                </w:p>
              </w:tc>
              <w:tc>
                <w:tcPr>
                  <w:tcW w:w="1037" w:type="pct"/>
                  <w:gridSpan w:val="2"/>
                  <w:noWrap w:val="0"/>
                  <w:vAlign w:val="center"/>
                </w:tcPr>
                <w:p w14:paraId="28D470A3">
                  <w:pPr>
                    <w:pStyle w:val="16"/>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标准值</w:t>
                  </w:r>
                </w:p>
              </w:tc>
              <w:tc>
                <w:tcPr>
                  <w:tcW w:w="1056" w:type="pct"/>
                  <w:gridSpan w:val="2"/>
                  <w:noWrap w:val="0"/>
                  <w:vAlign w:val="center"/>
                </w:tcPr>
                <w:p w14:paraId="7EC3E3CD">
                  <w:pPr>
                    <w:pStyle w:val="16"/>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评价结论</w:t>
                  </w:r>
                </w:p>
              </w:tc>
            </w:tr>
            <w:tr w14:paraId="6EE3281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1" w:type="pct"/>
                  <w:vMerge w:val="continue"/>
                  <w:noWrap w:val="0"/>
                  <w:vAlign w:val="center"/>
                </w:tcPr>
                <w:p w14:paraId="7721885D">
                  <w:pPr>
                    <w:pStyle w:val="16"/>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kern w:val="0"/>
                      <w:sz w:val="21"/>
                      <w:szCs w:val="21"/>
                    </w:rPr>
                  </w:pPr>
                </w:p>
              </w:tc>
              <w:tc>
                <w:tcPr>
                  <w:tcW w:w="256" w:type="pct"/>
                  <w:vMerge w:val="continue"/>
                  <w:noWrap w:val="0"/>
                  <w:vAlign w:val="center"/>
                </w:tcPr>
                <w:p w14:paraId="2D15D83A">
                  <w:pPr>
                    <w:pStyle w:val="16"/>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kern w:val="0"/>
                      <w:sz w:val="21"/>
                      <w:szCs w:val="21"/>
                    </w:rPr>
                  </w:pPr>
                </w:p>
              </w:tc>
              <w:tc>
                <w:tcPr>
                  <w:tcW w:w="459" w:type="pct"/>
                  <w:vMerge w:val="continue"/>
                  <w:noWrap w:val="0"/>
                  <w:vAlign w:val="center"/>
                </w:tcPr>
                <w:p w14:paraId="43765F9B">
                  <w:pPr>
                    <w:pStyle w:val="16"/>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kern w:val="0"/>
                      <w:sz w:val="21"/>
                      <w:szCs w:val="21"/>
                    </w:rPr>
                  </w:pPr>
                </w:p>
              </w:tc>
              <w:tc>
                <w:tcPr>
                  <w:tcW w:w="644" w:type="pct"/>
                  <w:noWrap w:val="0"/>
                  <w:vAlign w:val="center"/>
                </w:tcPr>
                <w:p w14:paraId="293D3456">
                  <w:pPr>
                    <w:pStyle w:val="16"/>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snapToGrid w:val="0"/>
                      <w:kern w:val="0"/>
                      <w:sz w:val="21"/>
                      <w:szCs w:val="21"/>
                      <w:lang w:eastAsia="zh-CN"/>
                    </w:rPr>
                  </w:pPr>
                  <w:r>
                    <w:rPr>
                      <w:rFonts w:hint="default" w:ascii="Times New Roman" w:hAnsi="Times New Roman" w:eastAsia="宋体" w:cs="Times New Roman"/>
                      <w:snapToGrid w:val="0"/>
                      <w:kern w:val="0"/>
                      <w:sz w:val="21"/>
                      <w:szCs w:val="21"/>
                    </w:rPr>
                    <w:t>昼间</w:t>
                  </w:r>
                  <w:r>
                    <w:rPr>
                      <w:rFonts w:hint="default" w:ascii="Times New Roman" w:hAnsi="Times New Roman" w:eastAsia="宋体" w:cs="Times New Roman"/>
                      <w:sz w:val="21"/>
                      <w:szCs w:val="21"/>
                    </w:rPr>
                    <w:t>dB</w:t>
                  </w:r>
                  <w:r>
                    <w:rPr>
                      <w:rFonts w:hint="eastAsia" w:ascii="Times New Roman" w:cs="Times New Roman"/>
                      <w:sz w:val="21"/>
                      <w:szCs w:val="21"/>
                      <w:lang w:eastAsia="zh-CN"/>
                    </w:rPr>
                    <w:t>（</w:t>
                  </w:r>
                  <w:r>
                    <w:rPr>
                      <w:rFonts w:hint="default" w:ascii="Times New Roman" w:hAnsi="Times New Roman" w:eastAsia="宋体" w:cs="Times New Roman"/>
                      <w:sz w:val="21"/>
                      <w:szCs w:val="21"/>
                    </w:rPr>
                    <w:t>A</w:t>
                  </w:r>
                  <w:r>
                    <w:rPr>
                      <w:rFonts w:hint="eastAsia" w:ascii="Times New Roman" w:cs="Times New Roman"/>
                      <w:sz w:val="21"/>
                      <w:szCs w:val="21"/>
                      <w:lang w:eastAsia="zh-CN"/>
                    </w:rPr>
                    <w:t>）</w:t>
                  </w:r>
                </w:p>
              </w:tc>
              <w:tc>
                <w:tcPr>
                  <w:tcW w:w="784" w:type="pct"/>
                  <w:noWrap w:val="0"/>
                  <w:vAlign w:val="center"/>
                </w:tcPr>
                <w:p w14:paraId="25C5BCAB">
                  <w:pPr>
                    <w:pStyle w:val="16"/>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snapToGrid w:val="0"/>
                      <w:kern w:val="0"/>
                      <w:sz w:val="21"/>
                      <w:szCs w:val="21"/>
                      <w:lang w:eastAsia="zh-CN"/>
                    </w:rPr>
                  </w:pPr>
                  <w:r>
                    <w:rPr>
                      <w:rFonts w:hint="default" w:ascii="Times New Roman" w:hAnsi="Times New Roman" w:eastAsia="宋体" w:cs="Times New Roman"/>
                      <w:snapToGrid w:val="0"/>
                      <w:kern w:val="0"/>
                      <w:sz w:val="21"/>
                      <w:szCs w:val="21"/>
                    </w:rPr>
                    <w:t>夜间</w:t>
                  </w:r>
                  <w:r>
                    <w:rPr>
                      <w:rFonts w:hint="default" w:ascii="Times New Roman" w:hAnsi="Times New Roman" w:eastAsia="宋体" w:cs="Times New Roman"/>
                      <w:sz w:val="21"/>
                      <w:szCs w:val="21"/>
                    </w:rPr>
                    <w:t>dB</w:t>
                  </w:r>
                  <w:r>
                    <w:rPr>
                      <w:rFonts w:hint="eastAsia" w:ascii="Times New Roman" w:cs="Times New Roman"/>
                      <w:sz w:val="21"/>
                      <w:szCs w:val="21"/>
                      <w:lang w:eastAsia="zh-CN"/>
                    </w:rPr>
                    <w:t>（</w:t>
                  </w:r>
                  <w:r>
                    <w:rPr>
                      <w:rFonts w:hint="default" w:ascii="Times New Roman" w:hAnsi="Times New Roman" w:eastAsia="宋体" w:cs="Times New Roman"/>
                      <w:sz w:val="21"/>
                      <w:szCs w:val="21"/>
                    </w:rPr>
                    <w:t>A</w:t>
                  </w:r>
                  <w:r>
                    <w:rPr>
                      <w:rFonts w:hint="eastAsia" w:ascii="Times New Roman" w:cs="Times New Roman"/>
                      <w:sz w:val="21"/>
                      <w:szCs w:val="21"/>
                      <w:lang w:eastAsia="zh-CN"/>
                    </w:rPr>
                    <w:t>）</w:t>
                  </w:r>
                </w:p>
              </w:tc>
              <w:tc>
                <w:tcPr>
                  <w:tcW w:w="517" w:type="pct"/>
                  <w:noWrap w:val="0"/>
                  <w:vAlign w:val="center"/>
                </w:tcPr>
                <w:p w14:paraId="7A93EB29">
                  <w:pPr>
                    <w:pStyle w:val="16"/>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snapToGrid w:val="0"/>
                      <w:kern w:val="0"/>
                      <w:sz w:val="21"/>
                      <w:szCs w:val="21"/>
                      <w:lang w:eastAsia="zh-CN"/>
                    </w:rPr>
                  </w:pPr>
                  <w:r>
                    <w:rPr>
                      <w:rFonts w:hint="default" w:ascii="Times New Roman" w:hAnsi="Times New Roman" w:eastAsia="宋体" w:cs="Times New Roman"/>
                      <w:snapToGrid w:val="0"/>
                      <w:kern w:val="0"/>
                      <w:sz w:val="21"/>
                      <w:szCs w:val="21"/>
                    </w:rPr>
                    <w:t>昼间</w:t>
                  </w:r>
                  <w:r>
                    <w:rPr>
                      <w:rFonts w:hint="default" w:ascii="Times New Roman" w:hAnsi="Times New Roman" w:eastAsia="宋体" w:cs="Times New Roman"/>
                      <w:sz w:val="21"/>
                      <w:szCs w:val="21"/>
                    </w:rPr>
                    <w:t>dB</w:t>
                  </w:r>
                  <w:r>
                    <w:rPr>
                      <w:rFonts w:hint="eastAsia" w:ascii="Times New Roman" w:cs="Times New Roman"/>
                      <w:sz w:val="21"/>
                      <w:szCs w:val="21"/>
                      <w:lang w:eastAsia="zh-CN"/>
                    </w:rPr>
                    <w:t>（</w:t>
                  </w:r>
                  <w:r>
                    <w:rPr>
                      <w:rFonts w:hint="default" w:ascii="Times New Roman" w:hAnsi="Times New Roman" w:eastAsia="宋体" w:cs="Times New Roman"/>
                      <w:sz w:val="21"/>
                      <w:szCs w:val="21"/>
                    </w:rPr>
                    <w:t>A</w:t>
                  </w:r>
                  <w:r>
                    <w:rPr>
                      <w:rFonts w:hint="eastAsia" w:ascii="Times New Roman" w:cs="Times New Roman"/>
                      <w:sz w:val="21"/>
                      <w:szCs w:val="21"/>
                      <w:lang w:eastAsia="zh-CN"/>
                    </w:rPr>
                    <w:t>）</w:t>
                  </w:r>
                </w:p>
              </w:tc>
              <w:tc>
                <w:tcPr>
                  <w:tcW w:w="520" w:type="pct"/>
                  <w:noWrap w:val="0"/>
                  <w:vAlign w:val="center"/>
                </w:tcPr>
                <w:p w14:paraId="44CCB19C">
                  <w:pPr>
                    <w:pStyle w:val="16"/>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snapToGrid w:val="0"/>
                      <w:kern w:val="0"/>
                      <w:sz w:val="21"/>
                      <w:szCs w:val="21"/>
                      <w:lang w:eastAsia="zh-CN"/>
                    </w:rPr>
                  </w:pPr>
                  <w:r>
                    <w:rPr>
                      <w:rFonts w:hint="default" w:ascii="Times New Roman" w:hAnsi="Times New Roman" w:eastAsia="宋体" w:cs="Times New Roman"/>
                      <w:snapToGrid w:val="0"/>
                      <w:kern w:val="0"/>
                      <w:sz w:val="21"/>
                      <w:szCs w:val="21"/>
                    </w:rPr>
                    <w:t>夜间</w:t>
                  </w:r>
                  <w:r>
                    <w:rPr>
                      <w:rFonts w:hint="default" w:ascii="Times New Roman" w:hAnsi="Times New Roman" w:eastAsia="宋体" w:cs="Times New Roman"/>
                      <w:sz w:val="21"/>
                      <w:szCs w:val="21"/>
                    </w:rPr>
                    <w:t>dB</w:t>
                  </w:r>
                  <w:r>
                    <w:rPr>
                      <w:rFonts w:hint="eastAsia" w:ascii="Times New Roman" w:cs="Times New Roman"/>
                      <w:sz w:val="21"/>
                      <w:szCs w:val="21"/>
                      <w:lang w:eastAsia="zh-CN"/>
                    </w:rPr>
                    <w:t>（</w:t>
                  </w:r>
                  <w:r>
                    <w:rPr>
                      <w:rFonts w:hint="default" w:ascii="Times New Roman" w:hAnsi="Times New Roman" w:eastAsia="宋体" w:cs="Times New Roman"/>
                      <w:sz w:val="21"/>
                      <w:szCs w:val="21"/>
                    </w:rPr>
                    <w:t>A</w:t>
                  </w:r>
                  <w:r>
                    <w:rPr>
                      <w:rFonts w:hint="eastAsia" w:ascii="Times New Roman" w:cs="Times New Roman"/>
                      <w:sz w:val="21"/>
                      <w:szCs w:val="21"/>
                      <w:lang w:eastAsia="zh-CN"/>
                    </w:rPr>
                    <w:t>）</w:t>
                  </w:r>
                </w:p>
              </w:tc>
              <w:tc>
                <w:tcPr>
                  <w:tcW w:w="531" w:type="pct"/>
                  <w:noWrap w:val="0"/>
                  <w:vAlign w:val="center"/>
                </w:tcPr>
                <w:p w14:paraId="69F3A613">
                  <w:pPr>
                    <w:pStyle w:val="16"/>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snapToGrid w:val="0"/>
                      <w:kern w:val="0"/>
                      <w:sz w:val="21"/>
                      <w:szCs w:val="21"/>
                      <w:lang w:eastAsia="zh-CN"/>
                    </w:rPr>
                  </w:pPr>
                  <w:r>
                    <w:rPr>
                      <w:rFonts w:hint="default" w:ascii="Times New Roman" w:hAnsi="Times New Roman" w:eastAsia="宋体" w:cs="Times New Roman"/>
                      <w:snapToGrid w:val="0"/>
                      <w:kern w:val="0"/>
                      <w:sz w:val="21"/>
                      <w:szCs w:val="21"/>
                    </w:rPr>
                    <w:t>昼间</w:t>
                  </w:r>
                  <w:r>
                    <w:rPr>
                      <w:rFonts w:hint="default" w:ascii="Times New Roman" w:hAnsi="Times New Roman" w:eastAsia="宋体" w:cs="Times New Roman"/>
                      <w:sz w:val="21"/>
                      <w:szCs w:val="21"/>
                    </w:rPr>
                    <w:t>dB</w:t>
                  </w:r>
                  <w:r>
                    <w:rPr>
                      <w:rFonts w:hint="eastAsia" w:ascii="Times New Roman" w:cs="Times New Roman"/>
                      <w:sz w:val="21"/>
                      <w:szCs w:val="21"/>
                      <w:lang w:eastAsia="zh-CN"/>
                    </w:rPr>
                    <w:t>（</w:t>
                  </w:r>
                  <w:r>
                    <w:rPr>
                      <w:rFonts w:hint="default" w:ascii="Times New Roman" w:hAnsi="Times New Roman" w:eastAsia="宋体" w:cs="Times New Roman"/>
                      <w:sz w:val="21"/>
                      <w:szCs w:val="21"/>
                    </w:rPr>
                    <w:t>A</w:t>
                  </w:r>
                  <w:r>
                    <w:rPr>
                      <w:rFonts w:hint="eastAsia" w:ascii="Times New Roman" w:cs="Times New Roman"/>
                      <w:sz w:val="21"/>
                      <w:szCs w:val="21"/>
                      <w:lang w:eastAsia="zh-CN"/>
                    </w:rPr>
                    <w:t>）</w:t>
                  </w:r>
                </w:p>
              </w:tc>
              <w:tc>
                <w:tcPr>
                  <w:tcW w:w="525" w:type="pct"/>
                  <w:noWrap w:val="0"/>
                  <w:vAlign w:val="center"/>
                </w:tcPr>
                <w:p w14:paraId="1FFC04FF">
                  <w:pPr>
                    <w:pStyle w:val="16"/>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snapToGrid w:val="0"/>
                      <w:kern w:val="0"/>
                      <w:sz w:val="21"/>
                      <w:szCs w:val="21"/>
                      <w:lang w:eastAsia="zh-CN"/>
                    </w:rPr>
                  </w:pPr>
                  <w:r>
                    <w:rPr>
                      <w:rFonts w:hint="default" w:ascii="Times New Roman" w:hAnsi="Times New Roman" w:eastAsia="宋体" w:cs="Times New Roman"/>
                      <w:snapToGrid w:val="0"/>
                      <w:kern w:val="0"/>
                      <w:sz w:val="21"/>
                      <w:szCs w:val="21"/>
                    </w:rPr>
                    <w:t>夜间</w:t>
                  </w:r>
                  <w:r>
                    <w:rPr>
                      <w:rFonts w:hint="default" w:ascii="Times New Roman" w:hAnsi="Times New Roman" w:eastAsia="宋体" w:cs="Times New Roman"/>
                      <w:sz w:val="21"/>
                      <w:szCs w:val="21"/>
                    </w:rPr>
                    <w:t>dB</w:t>
                  </w:r>
                  <w:r>
                    <w:rPr>
                      <w:rFonts w:hint="eastAsia" w:ascii="Times New Roman" w:cs="Times New Roman"/>
                      <w:sz w:val="21"/>
                      <w:szCs w:val="21"/>
                      <w:lang w:eastAsia="zh-CN"/>
                    </w:rPr>
                    <w:t>（</w:t>
                  </w:r>
                  <w:r>
                    <w:rPr>
                      <w:rFonts w:hint="default" w:ascii="Times New Roman" w:hAnsi="Times New Roman" w:eastAsia="宋体" w:cs="Times New Roman"/>
                      <w:sz w:val="21"/>
                      <w:szCs w:val="21"/>
                    </w:rPr>
                    <w:t>A</w:t>
                  </w:r>
                  <w:r>
                    <w:rPr>
                      <w:rFonts w:hint="eastAsia" w:ascii="Times New Roman" w:cs="Times New Roman"/>
                      <w:sz w:val="21"/>
                      <w:szCs w:val="21"/>
                      <w:lang w:eastAsia="zh-CN"/>
                    </w:rPr>
                    <w:t>）</w:t>
                  </w:r>
                </w:p>
              </w:tc>
            </w:tr>
            <w:tr w14:paraId="417666C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1" w:type="pct"/>
                  <w:noWrap w:val="0"/>
                  <w:vAlign w:val="center"/>
                </w:tcPr>
                <w:p w14:paraId="6C73F41E">
                  <w:pPr>
                    <w:pStyle w:val="16"/>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kern w:val="0"/>
                      <w:sz w:val="21"/>
                      <w:szCs w:val="21"/>
                      <w:highlight w:val="none"/>
                      <w:lang w:val="en-US" w:eastAsia="zh-CN"/>
                    </w:rPr>
                  </w:pPr>
                  <w:r>
                    <w:rPr>
                      <w:rFonts w:hint="default" w:ascii="Times New Roman" w:hAnsi="Times New Roman" w:eastAsia="宋体" w:cs="Times New Roman"/>
                      <w:snapToGrid w:val="0"/>
                      <w:kern w:val="0"/>
                      <w:sz w:val="21"/>
                      <w:szCs w:val="21"/>
                      <w:highlight w:val="none"/>
                      <w:lang w:val="en-US" w:eastAsia="zh-CN"/>
                    </w:rPr>
                    <w:t>202</w:t>
                  </w:r>
                  <w:r>
                    <w:rPr>
                      <w:rFonts w:hint="eastAsia" w:ascii="Times New Roman" w:cs="Times New Roman"/>
                      <w:snapToGrid w:val="0"/>
                      <w:kern w:val="0"/>
                      <w:sz w:val="21"/>
                      <w:szCs w:val="21"/>
                      <w:highlight w:val="none"/>
                      <w:lang w:val="en-US" w:eastAsia="zh-CN"/>
                    </w:rPr>
                    <w:t>5</w:t>
                  </w:r>
                  <w:r>
                    <w:rPr>
                      <w:rFonts w:hint="default" w:ascii="Times New Roman" w:hAnsi="Times New Roman" w:eastAsia="宋体" w:cs="Times New Roman"/>
                      <w:snapToGrid w:val="0"/>
                      <w:kern w:val="0"/>
                      <w:sz w:val="21"/>
                      <w:szCs w:val="21"/>
                      <w:highlight w:val="none"/>
                      <w:lang w:val="en-US" w:eastAsia="zh-CN"/>
                    </w:rPr>
                    <w:t>.0</w:t>
                  </w:r>
                  <w:r>
                    <w:rPr>
                      <w:rFonts w:hint="eastAsia" w:ascii="Times New Roman" w:cs="Times New Roman"/>
                      <w:snapToGrid w:val="0"/>
                      <w:kern w:val="0"/>
                      <w:sz w:val="21"/>
                      <w:szCs w:val="21"/>
                      <w:highlight w:val="none"/>
                      <w:lang w:val="en-US" w:eastAsia="zh-CN"/>
                    </w:rPr>
                    <w:t>6</w:t>
                  </w:r>
                  <w:r>
                    <w:rPr>
                      <w:rFonts w:hint="default" w:ascii="Times New Roman" w:hAnsi="Times New Roman" w:eastAsia="宋体" w:cs="Times New Roman"/>
                      <w:snapToGrid w:val="0"/>
                      <w:kern w:val="0"/>
                      <w:sz w:val="21"/>
                      <w:szCs w:val="21"/>
                      <w:highlight w:val="none"/>
                      <w:lang w:val="en-US" w:eastAsia="zh-CN"/>
                    </w:rPr>
                    <w:t>.</w:t>
                  </w:r>
                  <w:r>
                    <w:rPr>
                      <w:rFonts w:hint="eastAsia" w:ascii="Times New Roman" w:cs="Times New Roman"/>
                      <w:snapToGrid w:val="0"/>
                      <w:kern w:val="0"/>
                      <w:sz w:val="21"/>
                      <w:szCs w:val="21"/>
                      <w:highlight w:val="none"/>
                      <w:lang w:val="en-US" w:eastAsia="zh-CN"/>
                    </w:rPr>
                    <w:t>10</w:t>
                  </w:r>
                </w:p>
              </w:tc>
              <w:tc>
                <w:tcPr>
                  <w:tcW w:w="256" w:type="pct"/>
                  <w:noWrap w:val="0"/>
                  <w:vAlign w:val="center"/>
                </w:tcPr>
                <w:p w14:paraId="685E7025">
                  <w:pPr>
                    <w:pStyle w:val="16"/>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kern w:val="0"/>
                      <w:sz w:val="21"/>
                      <w:szCs w:val="21"/>
                      <w:highlight w:val="none"/>
                      <w:lang w:val="en-US" w:eastAsia="zh-CN"/>
                    </w:rPr>
                  </w:pPr>
                  <w:r>
                    <w:rPr>
                      <w:rFonts w:hint="default" w:ascii="Times New Roman" w:hAnsi="Times New Roman" w:eastAsia="宋体" w:cs="Times New Roman"/>
                      <w:snapToGrid w:val="0"/>
                      <w:kern w:val="0"/>
                      <w:sz w:val="21"/>
                      <w:szCs w:val="21"/>
                      <w:highlight w:val="none"/>
                      <w:lang w:val="en-US" w:eastAsia="zh-CN"/>
                    </w:rPr>
                    <w:t>1#敏感点</w:t>
                  </w:r>
                </w:p>
              </w:tc>
              <w:tc>
                <w:tcPr>
                  <w:tcW w:w="459" w:type="pct"/>
                  <w:noWrap w:val="0"/>
                  <w:vAlign w:val="center"/>
                </w:tcPr>
                <w:p w14:paraId="7BEBEDEE">
                  <w:pPr>
                    <w:pStyle w:val="16"/>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kern w:val="0"/>
                      <w:sz w:val="21"/>
                      <w:szCs w:val="21"/>
                      <w:highlight w:val="none"/>
                      <w:lang w:val="en-US" w:eastAsia="zh-CN"/>
                    </w:rPr>
                  </w:pPr>
                  <w:r>
                    <w:rPr>
                      <w:rFonts w:hint="default" w:ascii="Times New Roman" w:hAnsi="Times New Roman" w:eastAsia="宋体" w:cs="Times New Roman"/>
                      <w:snapToGrid w:val="0"/>
                      <w:kern w:val="0"/>
                      <w:sz w:val="21"/>
                      <w:szCs w:val="21"/>
                      <w:highlight w:val="none"/>
                      <w:lang w:val="en-US" w:eastAsia="zh-CN"/>
                    </w:rPr>
                    <w:t>东北侧</w:t>
                  </w:r>
                </w:p>
              </w:tc>
              <w:tc>
                <w:tcPr>
                  <w:tcW w:w="644" w:type="pct"/>
                  <w:noWrap w:val="0"/>
                  <w:vAlign w:val="center"/>
                </w:tcPr>
                <w:p w14:paraId="12E3C59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kern w:val="0"/>
                      <w:sz w:val="21"/>
                      <w:szCs w:val="21"/>
                      <w:highlight w:val="none"/>
                      <w:lang w:val="en-US" w:eastAsia="zh-CN"/>
                    </w:rPr>
                  </w:pPr>
                  <w:r>
                    <w:rPr>
                      <w:rFonts w:hint="eastAsia" w:cs="Times New Roman"/>
                      <w:color w:val="auto"/>
                      <w:szCs w:val="21"/>
                      <w:highlight w:val="none"/>
                      <w:lang w:val="en-US" w:eastAsia="zh-CN"/>
                    </w:rPr>
                    <w:t>48</w:t>
                  </w:r>
                </w:p>
              </w:tc>
              <w:tc>
                <w:tcPr>
                  <w:tcW w:w="784" w:type="pct"/>
                  <w:noWrap w:val="0"/>
                  <w:vAlign w:val="center"/>
                </w:tcPr>
                <w:p w14:paraId="0C189D7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kern w:val="0"/>
                      <w:sz w:val="21"/>
                      <w:szCs w:val="21"/>
                      <w:highlight w:val="none"/>
                      <w:lang w:val="en-US" w:eastAsia="zh-CN"/>
                    </w:rPr>
                  </w:pPr>
                  <w:r>
                    <w:rPr>
                      <w:rFonts w:hint="eastAsia" w:cs="Times New Roman"/>
                      <w:color w:val="auto"/>
                      <w:szCs w:val="21"/>
                      <w:highlight w:val="none"/>
                      <w:lang w:val="en-US" w:eastAsia="zh-CN"/>
                    </w:rPr>
                    <w:t>43</w:t>
                  </w:r>
                </w:p>
              </w:tc>
              <w:tc>
                <w:tcPr>
                  <w:tcW w:w="517" w:type="pct"/>
                  <w:noWrap w:val="0"/>
                  <w:vAlign w:val="center"/>
                </w:tcPr>
                <w:p w14:paraId="7C819F7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kern w:val="0"/>
                      <w:sz w:val="21"/>
                      <w:szCs w:val="21"/>
                      <w:lang w:val="en-US" w:eastAsia="zh-CN"/>
                    </w:rPr>
                  </w:pPr>
                  <w:r>
                    <w:rPr>
                      <w:rFonts w:hint="eastAsia" w:ascii="Times New Roman" w:hAnsi="Times New Roman" w:eastAsia="宋体" w:cs="Times New Roman"/>
                      <w:lang w:val="en-US" w:eastAsia="zh-CN"/>
                    </w:rPr>
                    <w:t>60</w:t>
                  </w:r>
                </w:p>
              </w:tc>
              <w:tc>
                <w:tcPr>
                  <w:tcW w:w="520" w:type="pct"/>
                  <w:noWrap w:val="0"/>
                  <w:vAlign w:val="center"/>
                </w:tcPr>
                <w:p w14:paraId="4B4DB8D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kern w:val="0"/>
                      <w:sz w:val="21"/>
                      <w:szCs w:val="21"/>
                      <w:lang w:val="en-US" w:eastAsia="zh-CN"/>
                    </w:rPr>
                  </w:pPr>
                  <w:r>
                    <w:rPr>
                      <w:rFonts w:hint="eastAsia" w:ascii="Times New Roman" w:hAnsi="Times New Roman" w:eastAsia="宋体" w:cs="Times New Roman"/>
                      <w:lang w:val="en-US" w:eastAsia="zh-CN"/>
                    </w:rPr>
                    <w:t>50</w:t>
                  </w:r>
                </w:p>
              </w:tc>
              <w:tc>
                <w:tcPr>
                  <w:tcW w:w="531" w:type="pct"/>
                  <w:noWrap w:val="0"/>
                  <w:vAlign w:val="center"/>
                </w:tcPr>
                <w:p w14:paraId="11BB8685">
                  <w:pPr>
                    <w:pStyle w:val="16"/>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达标</w:t>
                  </w:r>
                </w:p>
              </w:tc>
              <w:tc>
                <w:tcPr>
                  <w:tcW w:w="525" w:type="pct"/>
                  <w:noWrap w:val="0"/>
                  <w:vAlign w:val="center"/>
                </w:tcPr>
                <w:p w14:paraId="574DC32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kern w:val="0"/>
                      <w:szCs w:val="21"/>
                    </w:rPr>
                  </w:pPr>
                  <w:r>
                    <w:rPr>
                      <w:rFonts w:hint="default" w:ascii="Times New Roman" w:hAnsi="Times New Roman" w:eastAsia="宋体" w:cs="Times New Roman"/>
                      <w:snapToGrid w:val="0"/>
                      <w:kern w:val="0"/>
                      <w:szCs w:val="21"/>
                    </w:rPr>
                    <w:t>达标</w:t>
                  </w:r>
                </w:p>
              </w:tc>
            </w:tr>
          </w:tbl>
          <w:p w14:paraId="0B3F8AA6">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cs="宋体"/>
                <w:kern w:val="0"/>
                <w:sz w:val="24"/>
                <w:szCs w:val="24"/>
                <w:highlight w:val="none"/>
                <w:lang w:val="en-US" w:eastAsia="zh-CN"/>
              </w:rPr>
            </w:pPr>
            <w:r>
              <w:rPr>
                <w:rFonts w:hint="eastAsia" w:ascii="Times New Roman" w:hAnsi="Times New Roman" w:eastAsia="宋体" w:cs="Times New Roman"/>
                <w:b w:val="0"/>
                <w:kern w:val="2"/>
                <w:sz w:val="24"/>
                <w:szCs w:val="24"/>
                <w:lang w:val="en-US" w:eastAsia="zh-CN" w:bidi="ar-SA"/>
              </w:rPr>
              <w:t>本项目</w:t>
            </w:r>
            <w:r>
              <w:rPr>
                <w:rFonts w:hint="eastAsia" w:ascii="Times New Roman"/>
                <w:sz w:val="24"/>
                <w:lang w:eastAsia="zh-CN"/>
              </w:rPr>
              <w:t>声环境敏感点处声环境质量</w:t>
            </w:r>
            <w:r>
              <w:rPr>
                <w:rFonts w:hint="eastAsia" w:ascii="Times New Roman" w:hAnsi="Times New Roman" w:eastAsia="宋体" w:cs="Times New Roman"/>
                <w:b w:val="0"/>
                <w:kern w:val="2"/>
                <w:sz w:val="24"/>
                <w:szCs w:val="24"/>
                <w:lang w:val="en-US" w:eastAsia="zh-CN" w:bidi="ar-SA"/>
              </w:rPr>
              <w:t>可满足《声环境质量标准》（GB3096-2008）</w:t>
            </w:r>
            <w:r>
              <w:rPr>
                <w:rFonts w:hint="eastAsia" w:cs="Times New Roman"/>
                <w:b w:val="0"/>
                <w:kern w:val="2"/>
                <w:sz w:val="24"/>
                <w:szCs w:val="24"/>
                <w:lang w:val="en-US" w:eastAsia="zh-CN" w:bidi="ar-SA"/>
              </w:rPr>
              <w:t>2</w:t>
            </w:r>
            <w:r>
              <w:rPr>
                <w:rFonts w:hint="eastAsia" w:ascii="Times New Roman" w:hAnsi="Times New Roman" w:eastAsia="宋体" w:cs="Times New Roman"/>
                <w:b w:val="0"/>
                <w:kern w:val="2"/>
                <w:sz w:val="24"/>
                <w:szCs w:val="24"/>
                <w:lang w:val="en-US" w:eastAsia="zh-CN" w:bidi="ar-SA"/>
              </w:rPr>
              <w:t>类标准</w:t>
            </w:r>
            <w:r>
              <w:rPr>
                <w:rFonts w:hint="eastAsia" w:cs="Times New Roman"/>
                <w:b w:val="0"/>
                <w:kern w:val="2"/>
                <w:sz w:val="24"/>
                <w:szCs w:val="24"/>
                <w:lang w:val="en-US" w:eastAsia="zh-CN" w:bidi="ar-SA"/>
              </w:rPr>
              <w:t>。</w:t>
            </w:r>
          </w:p>
          <w:p w14:paraId="68B4E177">
            <w:pPr>
              <w:pStyle w:val="5"/>
              <w:suppressLineNumbers w:val="0"/>
              <w:bidi w:val="0"/>
              <w:spacing w:before="0" w:beforeAutospacing="0" w:after="0" w:afterAutospacing="0"/>
              <w:ind w:left="0" w:right="0"/>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4、生态环境现状</w:t>
            </w:r>
          </w:p>
          <w:p w14:paraId="666F464C">
            <w:pPr>
              <w:pStyle w:val="10"/>
              <w:keepNext w:val="0"/>
              <w:keepLines w:val="0"/>
              <w:suppressLineNumbers w:val="0"/>
              <w:spacing w:before="0" w:beforeAutospacing="0" w:after="0" w:afterAutospacing="0"/>
              <w:ind w:left="0" w:right="0"/>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本项目位于库尔勒市城建区内，不涉及生态环境保护目标，故不进行生态现状调查。</w:t>
            </w:r>
          </w:p>
          <w:p w14:paraId="1BA6EAEB">
            <w:pPr>
              <w:pStyle w:val="5"/>
              <w:suppressLineNumbers w:val="0"/>
              <w:bidi w:val="0"/>
              <w:spacing w:before="0" w:beforeAutospacing="0" w:after="0" w:afterAutospacing="0"/>
              <w:ind w:left="0" w:right="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5、</w:t>
            </w:r>
            <w:r>
              <w:rPr>
                <w:rFonts w:hint="default" w:ascii="Times New Roman" w:hAnsi="Times New Roman" w:eastAsia="宋体" w:cs="Times New Roman"/>
                <w:highlight w:val="none"/>
                <w:lang w:val="en-US" w:eastAsia="zh-CN"/>
              </w:rPr>
              <w:t>地下水、土壤环境现状</w:t>
            </w:r>
          </w:p>
          <w:p w14:paraId="67EC3A9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rPr>
            </w:pPr>
            <w:r>
              <w:rPr>
                <w:rFonts w:hint="default" w:ascii="Times New Roman" w:hAnsi="Times New Roman" w:eastAsia="宋体" w:cs="Times New Roman"/>
                <w:color w:val="000000"/>
                <w:lang w:val="en-US" w:eastAsia="zh-CN"/>
              </w:rPr>
              <w:t>根据《建设项目环境影响报告表编制技术指南（污染影响类）（试行）》：“地下水、土壤环境，原则上不开展环境质量现状调查，建设项目存在土壤、地下水环境污染途径的，应结合污染源、保护目标分布情况开展现状调查以留作背景值”。项目在设计过程中已经按照《危险废物贮存污染控制标准》（GB18597-2023）设计了防渗措施，正常工况下不存在地下水污染途径。故不开展地下水及土壤现状调查。</w:t>
            </w:r>
          </w:p>
          <w:p w14:paraId="1AAE76C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left"/>
              <w:textAlignment w:val="auto"/>
              <w:rPr>
                <w:rFonts w:hint="default" w:ascii="Times New Roman" w:hAnsi="Times New Roman" w:eastAsia="宋体" w:cs="Times New Roman"/>
                <w:b/>
                <w:bCs/>
                <w:kern w:val="2"/>
                <w:sz w:val="24"/>
                <w:szCs w:val="32"/>
                <w:lang w:val="en-US" w:eastAsia="zh-CN" w:bidi="ar-SA"/>
              </w:rPr>
            </w:pPr>
            <w:r>
              <w:rPr>
                <w:rFonts w:hint="default" w:ascii="Times New Roman" w:hAnsi="Times New Roman" w:eastAsia="宋体" w:cs="Times New Roman"/>
                <w:b/>
                <w:bCs/>
                <w:kern w:val="2"/>
                <w:sz w:val="24"/>
                <w:szCs w:val="32"/>
                <w:lang w:val="en-US" w:eastAsia="zh-CN" w:bidi="ar-SA"/>
              </w:rPr>
              <w:t>6</w:t>
            </w:r>
            <w:r>
              <w:rPr>
                <w:rFonts w:hint="eastAsia" w:ascii="Times New Roman" w:hAnsi="Times New Roman" w:eastAsia="宋体" w:cs="Times New Roman"/>
                <w:b/>
                <w:bCs/>
                <w:kern w:val="2"/>
                <w:sz w:val="24"/>
                <w:szCs w:val="32"/>
                <w:lang w:val="en-US" w:eastAsia="zh-CN" w:bidi="ar-SA"/>
              </w:rPr>
              <w:t>、</w:t>
            </w:r>
            <w:r>
              <w:rPr>
                <w:rFonts w:hint="default" w:ascii="Times New Roman" w:hAnsi="Times New Roman" w:eastAsia="宋体" w:cs="Times New Roman"/>
                <w:b/>
                <w:bCs/>
                <w:kern w:val="2"/>
                <w:sz w:val="24"/>
                <w:szCs w:val="32"/>
                <w:lang w:val="en-US" w:eastAsia="zh-CN" w:bidi="ar-SA"/>
              </w:rPr>
              <w:t>土地沙化现状</w:t>
            </w:r>
          </w:p>
          <w:p w14:paraId="03A57EB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lang w:val="en-US" w:eastAsia="zh-CN"/>
              </w:rPr>
            </w:pPr>
            <w:r>
              <w:rPr>
                <w:rFonts w:hint="default"/>
                <w:lang w:val="en-US" w:eastAsia="zh-CN"/>
              </w:rPr>
              <w:t>根据《新疆第六次沙化监测报告》本项目位于新疆巴州库尔勒市铁克其乡迎宾路48号兴旺家园40栋1-2层19号</w:t>
            </w:r>
            <w:r>
              <w:rPr>
                <w:rFonts w:hint="eastAsia"/>
                <w:lang w:eastAsia="zh-CN"/>
              </w:rPr>
              <w:t>，</w:t>
            </w:r>
            <w:r>
              <w:rPr>
                <w:rFonts w:hint="default"/>
                <w:lang w:val="en-US" w:eastAsia="zh-CN"/>
              </w:rPr>
              <w:t>不属于沙化土地</w:t>
            </w:r>
            <w:r>
              <w:rPr>
                <w:rFonts w:hint="eastAsia"/>
                <w:lang w:eastAsia="zh-CN"/>
              </w:rPr>
              <w:t>，</w:t>
            </w:r>
            <w:r>
              <w:rPr>
                <w:rFonts w:hint="eastAsia"/>
                <w:lang w:val="en-US" w:eastAsia="zh-CN"/>
              </w:rPr>
              <w:t>详见</w:t>
            </w:r>
            <w:r>
              <w:rPr>
                <w:rFonts w:hint="eastAsia"/>
                <w:highlight w:val="none"/>
                <w:lang w:val="en-US" w:eastAsia="zh-CN"/>
              </w:rPr>
              <w:t>附图5</w:t>
            </w:r>
            <w:r>
              <w:rPr>
                <w:rFonts w:hint="eastAsia"/>
                <w:lang w:val="en-US" w:eastAsia="zh-CN"/>
              </w:rPr>
              <w:t>。</w:t>
            </w:r>
          </w:p>
        </w:tc>
      </w:tr>
      <w:tr w14:paraId="7D7263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3" w:type="dxa"/>
            <w:tcBorders>
              <w:tl2br w:val="nil"/>
              <w:tr2bl w:val="nil"/>
            </w:tcBorders>
            <w:noWrap w:val="0"/>
            <w:vAlign w:val="center"/>
          </w:tcPr>
          <w:p w14:paraId="4494927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环境</w:t>
            </w:r>
          </w:p>
          <w:p w14:paraId="0B0F043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保护</w:t>
            </w:r>
          </w:p>
          <w:p w14:paraId="321F8C3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color w:val="000000"/>
                <w:kern w:val="0"/>
                <w:szCs w:val="24"/>
              </w:rPr>
            </w:pPr>
            <w:r>
              <w:rPr>
                <w:rFonts w:hint="default" w:ascii="Times New Roman" w:hAnsi="Times New Roman" w:eastAsia="宋体" w:cs="Times New Roman"/>
                <w:b/>
                <w:bCs/>
                <w:color w:val="000000"/>
                <w:kern w:val="0"/>
                <w:sz w:val="24"/>
                <w:szCs w:val="24"/>
              </w:rPr>
              <w:t>目标</w:t>
            </w:r>
          </w:p>
        </w:tc>
        <w:tc>
          <w:tcPr>
            <w:tcW w:w="8608" w:type="dxa"/>
            <w:tcBorders>
              <w:tl2br w:val="nil"/>
              <w:tr2bl w:val="nil"/>
            </w:tcBorders>
            <w:noWrap w:val="0"/>
            <w:vAlign w:val="center"/>
          </w:tcPr>
          <w:p w14:paraId="7DFE74A2">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56" w:firstLineChars="200"/>
              <w:textAlignment w:val="auto"/>
              <w:rPr>
                <w:rFonts w:hint="default" w:ascii="Times New Roman" w:hAnsi="Times New Roman" w:eastAsia="宋体" w:cs="Times New Roman"/>
                <w:bCs/>
                <w:color w:val="auto"/>
                <w:spacing w:val="-6"/>
                <w:sz w:val="24"/>
                <w:szCs w:val="24"/>
                <w:lang w:val="en-US" w:eastAsia="zh-CN"/>
              </w:rPr>
            </w:pPr>
            <w:r>
              <w:rPr>
                <w:rFonts w:hint="eastAsia" w:ascii="Times New Roman" w:hAnsi="Times New Roman" w:eastAsia="宋体" w:cs="Times New Roman"/>
                <w:bCs/>
                <w:color w:val="auto"/>
                <w:spacing w:val="-6"/>
                <w:sz w:val="24"/>
                <w:szCs w:val="24"/>
                <w:lang w:val="en-US" w:eastAsia="zh-CN"/>
              </w:rPr>
              <w:t>项目周边50m范围内声环境敏感目标为</w:t>
            </w:r>
            <w:r>
              <w:rPr>
                <w:rFonts w:hint="eastAsia" w:eastAsia="宋体" w:cs="Times New Roman"/>
                <w:bCs/>
                <w:color w:val="auto"/>
                <w:spacing w:val="-6"/>
                <w:sz w:val="24"/>
                <w:szCs w:val="24"/>
                <w:lang w:val="en-US" w:eastAsia="zh-CN"/>
              </w:rPr>
              <w:t>兴旺家园</w:t>
            </w:r>
            <w:r>
              <w:rPr>
                <w:rFonts w:hint="eastAsia" w:ascii="Times New Roman" w:hAnsi="Times New Roman" w:eastAsia="宋体" w:cs="Times New Roman"/>
                <w:bCs/>
                <w:color w:val="auto"/>
                <w:spacing w:val="-6"/>
                <w:sz w:val="24"/>
                <w:szCs w:val="24"/>
                <w:lang w:val="en-US" w:eastAsia="zh-CN"/>
              </w:rPr>
              <w:t>小区，项目周边500m范围内大气环境敏感目标为</w:t>
            </w:r>
            <w:r>
              <w:rPr>
                <w:rFonts w:hint="eastAsia" w:cs="Times New Roman"/>
                <w:bCs/>
                <w:color w:val="auto"/>
                <w:spacing w:val="-6"/>
                <w:sz w:val="24"/>
                <w:szCs w:val="24"/>
                <w:lang w:val="en-US" w:eastAsia="zh-CN"/>
              </w:rPr>
              <w:t>和合家园、御园公馆、</w:t>
            </w:r>
            <w:r>
              <w:rPr>
                <w:rFonts w:hint="eastAsia" w:eastAsia="宋体" w:cs="Times New Roman"/>
                <w:bCs/>
                <w:color w:val="auto"/>
                <w:spacing w:val="-6"/>
                <w:sz w:val="24"/>
                <w:szCs w:val="24"/>
                <w:lang w:val="en-US" w:eastAsia="zh-CN"/>
              </w:rPr>
              <w:t>兴旺家园小区</w:t>
            </w:r>
            <w:r>
              <w:rPr>
                <w:rFonts w:hint="eastAsia" w:cs="Times New Roman"/>
                <w:bCs/>
                <w:color w:val="auto"/>
                <w:spacing w:val="-6"/>
                <w:sz w:val="24"/>
                <w:szCs w:val="24"/>
                <w:lang w:val="en-US" w:eastAsia="zh-CN"/>
              </w:rPr>
              <w:t>、园林宾馆、库尔勒市党校、46号小区及阿西木萨依甫</w:t>
            </w:r>
            <w:r>
              <w:rPr>
                <w:rFonts w:hint="default" w:ascii="Times New Roman" w:hAnsi="Times New Roman" w:eastAsia="宋体" w:cs="Times New Roman"/>
                <w:bCs/>
                <w:color w:val="auto"/>
                <w:spacing w:val="-6"/>
                <w:sz w:val="24"/>
                <w:szCs w:val="24"/>
                <w:lang w:val="en-US" w:eastAsia="zh-CN"/>
              </w:rPr>
              <w:t>买里村</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库尔勒市政府及法之苑</w:t>
            </w:r>
            <w:r>
              <w:rPr>
                <w:rFonts w:hint="eastAsia" w:ascii="Times New Roman" w:hAnsi="Times New Roman" w:eastAsia="宋体" w:cs="Times New Roman"/>
                <w:bCs/>
                <w:color w:val="auto"/>
                <w:spacing w:val="-6"/>
                <w:sz w:val="24"/>
                <w:szCs w:val="24"/>
                <w:lang w:val="en-US" w:eastAsia="zh-CN"/>
              </w:rPr>
              <w:t>，</w:t>
            </w:r>
            <w:r>
              <w:rPr>
                <w:rFonts w:hint="default" w:ascii="Times New Roman" w:hAnsi="Times New Roman" w:eastAsia="宋体" w:cs="Times New Roman"/>
                <w:bCs/>
                <w:color w:val="auto"/>
                <w:spacing w:val="-6"/>
                <w:sz w:val="24"/>
                <w:szCs w:val="24"/>
                <w:lang w:eastAsia="zh-CN"/>
              </w:rPr>
              <w:t>本项目</w:t>
            </w:r>
            <w:r>
              <w:rPr>
                <w:rFonts w:hint="default" w:ascii="Times New Roman" w:hAnsi="Times New Roman" w:eastAsia="宋体" w:cs="Times New Roman"/>
                <w:bCs/>
                <w:color w:val="auto"/>
                <w:spacing w:val="-6"/>
                <w:sz w:val="24"/>
                <w:szCs w:val="24"/>
                <w:lang w:val="en-US" w:eastAsia="zh-CN"/>
              </w:rPr>
              <w:t>环境敏感保护目标见下表</w:t>
            </w:r>
            <w:r>
              <w:rPr>
                <w:rFonts w:hint="eastAsia" w:cs="Times New Roman"/>
                <w:bCs/>
                <w:color w:val="auto"/>
                <w:spacing w:val="-6"/>
                <w:sz w:val="24"/>
                <w:szCs w:val="24"/>
                <w:lang w:val="en-US" w:eastAsia="zh-CN"/>
              </w:rPr>
              <w:t>，详见附图6、7。</w:t>
            </w:r>
          </w:p>
          <w:p w14:paraId="00D4D1FE">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2" w:firstLineChars="200"/>
              <w:jc w:val="both"/>
              <w:textAlignment w:val="auto"/>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表</w:t>
            </w:r>
            <w:r>
              <w:rPr>
                <w:rFonts w:hint="eastAsia" w:cs="Times New Roman"/>
                <w:b/>
                <w:bCs w:val="0"/>
                <w:color w:val="auto"/>
                <w:sz w:val="21"/>
                <w:szCs w:val="21"/>
                <w:lang w:val="en-US" w:eastAsia="zh-CN"/>
              </w:rPr>
              <w:t>3-4</w:t>
            </w:r>
            <w:r>
              <w:rPr>
                <w:rFonts w:hint="default" w:ascii="Times New Roman" w:hAnsi="Times New Roman" w:eastAsia="宋体" w:cs="Times New Roman"/>
                <w:b/>
                <w:bCs w:val="0"/>
                <w:color w:val="auto"/>
                <w:sz w:val="21"/>
                <w:szCs w:val="21"/>
                <w:lang w:val="en-US" w:eastAsia="zh-CN"/>
              </w:rPr>
              <w:t xml:space="preserve">           主要环境敏感点及保护目标</w:t>
            </w:r>
          </w:p>
          <w:tbl>
            <w:tblPr>
              <w:tblStyle w:val="32"/>
              <w:tblW w:w="477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7"/>
              <w:gridCol w:w="909"/>
              <w:gridCol w:w="763"/>
              <w:gridCol w:w="1049"/>
              <w:gridCol w:w="805"/>
              <w:gridCol w:w="558"/>
              <w:gridCol w:w="565"/>
              <w:gridCol w:w="602"/>
              <w:gridCol w:w="2342"/>
            </w:tblGrid>
            <w:tr w14:paraId="637C9B4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6" w:type="pct"/>
                  <w:vMerge w:val="restart"/>
                  <w:tcBorders>
                    <w:tl2br w:val="nil"/>
                    <w:tr2bl w:val="nil"/>
                  </w:tcBorders>
                  <w:vAlign w:val="center"/>
                </w:tcPr>
                <w:p w14:paraId="1B4DD59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序号</w:t>
                  </w:r>
                </w:p>
              </w:tc>
              <w:tc>
                <w:tcPr>
                  <w:tcW w:w="566" w:type="pct"/>
                  <w:vMerge w:val="restart"/>
                  <w:tcBorders>
                    <w:tl2br w:val="nil"/>
                    <w:tr2bl w:val="nil"/>
                  </w:tcBorders>
                  <w:vAlign w:val="center"/>
                </w:tcPr>
                <w:p w14:paraId="6364D85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eastAsia="zh-CN"/>
                    </w:rPr>
                    <w:t>环境敏感保护目标名称</w:t>
                  </w:r>
                </w:p>
              </w:tc>
              <w:tc>
                <w:tcPr>
                  <w:tcW w:w="1129" w:type="pct"/>
                  <w:gridSpan w:val="2"/>
                  <w:tcBorders>
                    <w:tl2br w:val="nil"/>
                    <w:tr2bl w:val="nil"/>
                  </w:tcBorders>
                  <w:vAlign w:val="center"/>
                </w:tcPr>
                <w:p w14:paraId="62C2819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坐标</w:t>
                  </w:r>
                </w:p>
              </w:tc>
              <w:tc>
                <w:tcPr>
                  <w:tcW w:w="501" w:type="pct"/>
                  <w:vMerge w:val="restart"/>
                  <w:tcBorders>
                    <w:tl2br w:val="nil"/>
                    <w:tr2bl w:val="nil"/>
                  </w:tcBorders>
                  <w:vAlign w:val="center"/>
                </w:tcPr>
                <w:p w14:paraId="54356AE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保护内容</w:t>
                  </w:r>
                </w:p>
              </w:tc>
              <w:tc>
                <w:tcPr>
                  <w:tcW w:w="347" w:type="pct"/>
                  <w:vMerge w:val="restart"/>
                  <w:tcBorders>
                    <w:tl2br w:val="nil"/>
                    <w:tr2bl w:val="nil"/>
                  </w:tcBorders>
                  <w:vAlign w:val="center"/>
                </w:tcPr>
                <w:p w14:paraId="4D52CE4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相对场址方位</w:t>
                  </w:r>
                </w:p>
              </w:tc>
              <w:tc>
                <w:tcPr>
                  <w:tcW w:w="352" w:type="pct"/>
                  <w:vMerge w:val="restart"/>
                  <w:tcBorders>
                    <w:tl2br w:val="nil"/>
                    <w:tr2bl w:val="nil"/>
                  </w:tcBorders>
                  <w:vAlign w:val="center"/>
                </w:tcPr>
                <w:p w14:paraId="091E8E3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auto"/>
                      <w:sz w:val="21"/>
                      <w:szCs w:val="21"/>
                      <w:highlight w:val="none"/>
                    </w:rPr>
                    <w:t>相对距离/m</w:t>
                  </w:r>
                </w:p>
              </w:tc>
              <w:tc>
                <w:tcPr>
                  <w:tcW w:w="375" w:type="pct"/>
                  <w:vMerge w:val="restart"/>
                  <w:tcBorders>
                    <w:tl2br w:val="nil"/>
                    <w:tr2bl w:val="nil"/>
                  </w:tcBorders>
                  <w:vAlign w:val="center"/>
                </w:tcPr>
                <w:p w14:paraId="674D1DA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规模（人）</w:t>
                  </w:r>
                </w:p>
              </w:tc>
              <w:tc>
                <w:tcPr>
                  <w:tcW w:w="1460" w:type="pct"/>
                  <w:vMerge w:val="restart"/>
                  <w:tcBorders>
                    <w:tl2br w:val="nil"/>
                    <w:tr2bl w:val="nil"/>
                  </w:tcBorders>
                  <w:vAlign w:val="center"/>
                </w:tcPr>
                <w:p w14:paraId="7F22E9B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环境功能</w:t>
                  </w:r>
                </w:p>
              </w:tc>
            </w:tr>
            <w:tr w14:paraId="69BF1BE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6" w:type="pct"/>
                  <w:vMerge w:val="continue"/>
                  <w:tcBorders>
                    <w:tl2br w:val="nil"/>
                    <w:tr2bl w:val="nil"/>
                  </w:tcBorders>
                  <w:vAlign w:val="center"/>
                </w:tcPr>
                <w:p w14:paraId="1C39FCC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p>
              </w:tc>
              <w:tc>
                <w:tcPr>
                  <w:tcW w:w="566" w:type="pct"/>
                  <w:vMerge w:val="continue"/>
                  <w:tcBorders>
                    <w:tl2br w:val="nil"/>
                    <w:tr2bl w:val="nil"/>
                  </w:tcBorders>
                  <w:vAlign w:val="center"/>
                </w:tcPr>
                <w:p w14:paraId="6B7BC61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p>
              </w:tc>
              <w:tc>
                <w:tcPr>
                  <w:tcW w:w="475" w:type="pct"/>
                  <w:tcBorders>
                    <w:tl2br w:val="nil"/>
                    <w:tr2bl w:val="nil"/>
                  </w:tcBorders>
                  <w:vAlign w:val="center"/>
                </w:tcPr>
                <w:p w14:paraId="72547F4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经度</w:t>
                  </w:r>
                </w:p>
              </w:tc>
              <w:tc>
                <w:tcPr>
                  <w:tcW w:w="653" w:type="pct"/>
                  <w:tcBorders>
                    <w:tl2br w:val="nil"/>
                    <w:tr2bl w:val="nil"/>
                  </w:tcBorders>
                  <w:vAlign w:val="center"/>
                </w:tcPr>
                <w:p w14:paraId="65FAB50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纬度</w:t>
                  </w:r>
                </w:p>
              </w:tc>
              <w:tc>
                <w:tcPr>
                  <w:tcW w:w="501" w:type="pct"/>
                  <w:vMerge w:val="continue"/>
                  <w:tcBorders>
                    <w:tl2br w:val="nil"/>
                    <w:tr2bl w:val="nil"/>
                  </w:tcBorders>
                  <w:vAlign w:val="center"/>
                </w:tcPr>
                <w:p w14:paraId="31643A8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p>
              </w:tc>
              <w:tc>
                <w:tcPr>
                  <w:tcW w:w="347" w:type="pct"/>
                  <w:vMerge w:val="continue"/>
                  <w:tcBorders>
                    <w:tl2br w:val="nil"/>
                    <w:tr2bl w:val="nil"/>
                  </w:tcBorders>
                  <w:vAlign w:val="center"/>
                </w:tcPr>
                <w:p w14:paraId="4B1E649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p>
              </w:tc>
              <w:tc>
                <w:tcPr>
                  <w:tcW w:w="352" w:type="pct"/>
                  <w:vMerge w:val="continue"/>
                  <w:tcBorders>
                    <w:tl2br w:val="nil"/>
                    <w:tr2bl w:val="nil"/>
                  </w:tcBorders>
                  <w:vAlign w:val="center"/>
                </w:tcPr>
                <w:p w14:paraId="5B08446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p>
              </w:tc>
              <w:tc>
                <w:tcPr>
                  <w:tcW w:w="375" w:type="pct"/>
                  <w:vMerge w:val="continue"/>
                  <w:tcBorders>
                    <w:tl2br w:val="nil"/>
                    <w:tr2bl w:val="nil"/>
                  </w:tcBorders>
                  <w:vAlign w:val="center"/>
                </w:tcPr>
                <w:p w14:paraId="67F9D1E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p>
              </w:tc>
              <w:tc>
                <w:tcPr>
                  <w:tcW w:w="1460" w:type="pct"/>
                  <w:vMerge w:val="continue"/>
                  <w:tcBorders>
                    <w:tl2br w:val="nil"/>
                    <w:tr2bl w:val="nil"/>
                  </w:tcBorders>
                  <w:vAlign w:val="center"/>
                </w:tcPr>
                <w:p w14:paraId="55F49F1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p>
              </w:tc>
            </w:tr>
            <w:tr w14:paraId="08879D5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6" w:type="pct"/>
                  <w:tcBorders>
                    <w:tl2br w:val="nil"/>
                    <w:tr2bl w:val="nil"/>
                  </w:tcBorders>
                  <w:vAlign w:val="center"/>
                </w:tcPr>
                <w:p w14:paraId="3AC9F1B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1</w:t>
                  </w:r>
                </w:p>
              </w:tc>
              <w:tc>
                <w:tcPr>
                  <w:tcW w:w="566" w:type="pct"/>
                  <w:tcBorders>
                    <w:tl2br w:val="nil"/>
                    <w:tr2bl w:val="nil"/>
                  </w:tcBorders>
                  <w:vAlign w:val="center"/>
                </w:tcPr>
                <w:p w14:paraId="1BFB86B9">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兴旺家园小区</w:t>
                  </w:r>
                </w:p>
              </w:tc>
              <w:tc>
                <w:tcPr>
                  <w:tcW w:w="475" w:type="pct"/>
                  <w:tcBorders>
                    <w:tl2br w:val="nil"/>
                    <w:tr2bl w:val="nil"/>
                  </w:tcBorders>
                  <w:vAlign w:val="center"/>
                </w:tcPr>
                <w:p w14:paraId="45105B30">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86°9′57.433″</w:t>
                  </w:r>
                </w:p>
              </w:tc>
              <w:tc>
                <w:tcPr>
                  <w:tcW w:w="653" w:type="pct"/>
                  <w:tcBorders>
                    <w:tl2br w:val="nil"/>
                    <w:tr2bl w:val="nil"/>
                  </w:tcBorders>
                  <w:vAlign w:val="center"/>
                </w:tcPr>
                <w:p w14:paraId="0E878DB4">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41°43′25.992″</w:t>
                  </w:r>
                </w:p>
              </w:tc>
              <w:tc>
                <w:tcPr>
                  <w:tcW w:w="501" w:type="pct"/>
                  <w:tcBorders>
                    <w:tl2br w:val="nil"/>
                    <w:tr2bl w:val="nil"/>
                  </w:tcBorders>
                  <w:vAlign w:val="center"/>
                </w:tcPr>
                <w:p w14:paraId="5AC9F29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eastAsia"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人群</w:t>
                  </w:r>
                </w:p>
              </w:tc>
              <w:tc>
                <w:tcPr>
                  <w:tcW w:w="347" w:type="pct"/>
                  <w:tcBorders>
                    <w:tl2br w:val="nil"/>
                    <w:tr2bl w:val="nil"/>
                  </w:tcBorders>
                  <w:vAlign w:val="center"/>
                </w:tcPr>
                <w:p w14:paraId="2415419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sz w:val="21"/>
                      <w:szCs w:val="21"/>
                      <w:highlight w:val="none"/>
                      <w:lang w:val="en-US" w:eastAsia="zh-CN"/>
                    </w:rPr>
                    <w:t>西侧</w:t>
                  </w:r>
                </w:p>
              </w:tc>
              <w:tc>
                <w:tcPr>
                  <w:tcW w:w="352" w:type="pct"/>
                  <w:tcBorders>
                    <w:tl2br w:val="nil"/>
                    <w:tr2bl w:val="nil"/>
                  </w:tcBorders>
                  <w:vAlign w:val="center"/>
                </w:tcPr>
                <w:p w14:paraId="0401427C">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eastAsia"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20</w:t>
                  </w:r>
                </w:p>
              </w:tc>
              <w:tc>
                <w:tcPr>
                  <w:tcW w:w="375" w:type="pct"/>
                  <w:tcBorders>
                    <w:tl2br w:val="nil"/>
                    <w:tr2bl w:val="nil"/>
                  </w:tcBorders>
                  <w:vAlign w:val="center"/>
                </w:tcPr>
                <w:p w14:paraId="0E641EA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eastAsia"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3000</w:t>
                  </w:r>
                </w:p>
              </w:tc>
              <w:tc>
                <w:tcPr>
                  <w:tcW w:w="1460" w:type="pct"/>
                  <w:tcBorders>
                    <w:tl2br w:val="nil"/>
                    <w:tr2bl w:val="nil"/>
                  </w:tcBorders>
                  <w:vAlign w:val="center"/>
                </w:tcPr>
                <w:p w14:paraId="71343BF6">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sz w:val="21"/>
                      <w:szCs w:val="21"/>
                      <w:highlight w:val="none"/>
                    </w:rPr>
                    <w:t>《声环境质量标准标准》（GB3096-2008）的</w:t>
                  </w:r>
                  <w:r>
                    <w:rPr>
                      <w:rFonts w:hint="eastAsia" w:cs="Times New Roman"/>
                      <w:color w:val="000000"/>
                      <w:sz w:val="21"/>
                      <w:szCs w:val="21"/>
                      <w:highlight w:val="none"/>
                      <w:lang w:val="en-US" w:eastAsia="zh-CN"/>
                    </w:rPr>
                    <w:t>2</w:t>
                  </w:r>
                  <w:r>
                    <w:rPr>
                      <w:rFonts w:hint="default" w:ascii="Times New Roman" w:hAnsi="Times New Roman" w:eastAsia="宋体" w:cs="Times New Roman"/>
                      <w:color w:val="000000"/>
                      <w:sz w:val="21"/>
                      <w:szCs w:val="21"/>
                      <w:highlight w:val="none"/>
                    </w:rPr>
                    <w:t>类标准</w:t>
                  </w:r>
                  <w:r>
                    <w:rPr>
                      <w:rFonts w:hint="eastAsia"/>
                      <w:highlight w:val="none"/>
                      <w:lang w:eastAsia="zh-CN"/>
                    </w:rPr>
                    <w:t>、</w:t>
                  </w:r>
                  <w:r>
                    <w:rPr>
                      <w:rFonts w:hint="default" w:ascii="Times New Roman" w:hAnsi="Times New Roman" w:eastAsia="宋体" w:cs="Times New Roman"/>
                      <w:color w:val="000000"/>
                      <w:sz w:val="21"/>
                      <w:szCs w:val="21"/>
                      <w:highlight w:val="none"/>
                    </w:rPr>
                    <w:t>《环境空气质量标准》（GB3095-2012）中二级标准</w:t>
                  </w:r>
                </w:p>
              </w:tc>
            </w:tr>
            <w:tr w14:paraId="5D002FA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266" w:type="pct"/>
                  <w:tcBorders>
                    <w:tl2br w:val="nil"/>
                    <w:tr2bl w:val="nil"/>
                  </w:tcBorders>
                  <w:vAlign w:val="center"/>
                </w:tcPr>
                <w:p w14:paraId="7CE3DF1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2</w:t>
                  </w:r>
                </w:p>
              </w:tc>
              <w:tc>
                <w:tcPr>
                  <w:tcW w:w="566" w:type="pct"/>
                  <w:tcBorders>
                    <w:tl2br w:val="nil"/>
                    <w:tr2bl w:val="nil"/>
                  </w:tcBorders>
                  <w:vAlign w:val="center"/>
                </w:tcPr>
                <w:p w14:paraId="744F492B">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eastAsia" w:cs="Times New Roman"/>
                      <w:sz w:val="21"/>
                      <w:szCs w:val="21"/>
                      <w:highlight w:val="none"/>
                      <w:lang w:val="en-US" w:eastAsia="zh-CN"/>
                    </w:rPr>
                    <w:t>御园公馆</w:t>
                  </w:r>
                </w:p>
              </w:tc>
              <w:tc>
                <w:tcPr>
                  <w:tcW w:w="475" w:type="pct"/>
                  <w:tcBorders>
                    <w:tl2br w:val="nil"/>
                    <w:tr2bl w:val="nil"/>
                  </w:tcBorders>
                  <w:vAlign w:val="center"/>
                </w:tcPr>
                <w:p w14:paraId="6D83A7AF">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86°9′54.402″</w:t>
                  </w:r>
                </w:p>
              </w:tc>
              <w:tc>
                <w:tcPr>
                  <w:tcW w:w="653" w:type="pct"/>
                  <w:tcBorders>
                    <w:tl2br w:val="nil"/>
                    <w:tr2bl w:val="nil"/>
                  </w:tcBorders>
                  <w:vAlign w:val="center"/>
                </w:tcPr>
                <w:p w14:paraId="662CF123">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41°43′20.064″</w:t>
                  </w:r>
                </w:p>
              </w:tc>
              <w:tc>
                <w:tcPr>
                  <w:tcW w:w="501" w:type="pct"/>
                  <w:tcBorders>
                    <w:tl2br w:val="nil"/>
                    <w:tr2bl w:val="nil"/>
                  </w:tcBorders>
                  <w:vAlign w:val="center"/>
                </w:tcPr>
                <w:p w14:paraId="319B6D6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eastAsia"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人群</w:t>
                  </w:r>
                </w:p>
              </w:tc>
              <w:tc>
                <w:tcPr>
                  <w:tcW w:w="347" w:type="pct"/>
                  <w:tcBorders>
                    <w:tl2br w:val="nil"/>
                    <w:tr2bl w:val="nil"/>
                  </w:tcBorders>
                  <w:vAlign w:val="center"/>
                </w:tcPr>
                <w:p w14:paraId="1A9C2A8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sz w:val="21"/>
                      <w:szCs w:val="21"/>
                      <w:highlight w:val="none"/>
                      <w:lang w:val="en-US" w:eastAsia="zh-CN"/>
                    </w:rPr>
                    <w:t>西</w:t>
                  </w:r>
                  <w:r>
                    <w:rPr>
                      <w:rFonts w:hint="eastAsia" w:cs="Times New Roman"/>
                      <w:color w:val="000000"/>
                      <w:sz w:val="21"/>
                      <w:szCs w:val="21"/>
                      <w:highlight w:val="none"/>
                      <w:lang w:val="en-US" w:eastAsia="zh-CN"/>
                    </w:rPr>
                    <w:t>南</w:t>
                  </w:r>
                  <w:r>
                    <w:rPr>
                      <w:rFonts w:hint="default" w:ascii="Times New Roman" w:hAnsi="Times New Roman" w:eastAsia="宋体" w:cs="Times New Roman"/>
                      <w:color w:val="000000"/>
                      <w:sz w:val="21"/>
                      <w:szCs w:val="21"/>
                      <w:highlight w:val="none"/>
                      <w:lang w:val="en-US" w:eastAsia="zh-CN"/>
                    </w:rPr>
                    <w:t>侧</w:t>
                  </w:r>
                </w:p>
              </w:tc>
              <w:tc>
                <w:tcPr>
                  <w:tcW w:w="352" w:type="pct"/>
                  <w:tcBorders>
                    <w:tl2br w:val="nil"/>
                    <w:tr2bl w:val="nil"/>
                  </w:tcBorders>
                  <w:vAlign w:val="center"/>
                </w:tcPr>
                <w:p w14:paraId="20BE0D9E">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eastAsia" w:cs="Times New Roman"/>
                      <w:color w:val="000000"/>
                      <w:sz w:val="21"/>
                      <w:szCs w:val="21"/>
                      <w:highlight w:val="none"/>
                      <w:lang w:val="en-US" w:eastAsia="zh-CN"/>
                    </w:rPr>
                    <w:t>163</w:t>
                  </w:r>
                </w:p>
              </w:tc>
              <w:tc>
                <w:tcPr>
                  <w:tcW w:w="375" w:type="pct"/>
                  <w:tcBorders>
                    <w:tl2br w:val="nil"/>
                    <w:tr2bl w:val="nil"/>
                  </w:tcBorders>
                  <w:vAlign w:val="center"/>
                </w:tcPr>
                <w:p w14:paraId="534FA90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eastAsia"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1000</w:t>
                  </w:r>
                </w:p>
              </w:tc>
              <w:tc>
                <w:tcPr>
                  <w:tcW w:w="1460" w:type="pct"/>
                  <w:tcBorders>
                    <w:tl2br w:val="nil"/>
                    <w:tr2bl w:val="nil"/>
                  </w:tcBorders>
                  <w:vAlign w:val="center"/>
                </w:tcPr>
                <w:p w14:paraId="586066D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sz w:val="21"/>
                      <w:szCs w:val="21"/>
                      <w:highlight w:val="none"/>
                    </w:rPr>
                    <w:t>《环境空气质量标准》（GB3095-2012）中二级标准</w:t>
                  </w:r>
                </w:p>
              </w:tc>
            </w:tr>
            <w:tr w14:paraId="29CC2A2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6" w:type="pct"/>
                  <w:tcBorders>
                    <w:tl2br w:val="nil"/>
                    <w:tr2bl w:val="nil"/>
                  </w:tcBorders>
                  <w:vAlign w:val="center"/>
                </w:tcPr>
                <w:p w14:paraId="64903A3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eastAsia"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3</w:t>
                  </w:r>
                </w:p>
              </w:tc>
              <w:tc>
                <w:tcPr>
                  <w:tcW w:w="566" w:type="pct"/>
                  <w:tcBorders>
                    <w:tl2br w:val="nil"/>
                    <w:tr2bl w:val="nil"/>
                  </w:tcBorders>
                  <w:vAlign w:val="center"/>
                </w:tcPr>
                <w:p w14:paraId="5AC83B09">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和合家园</w:t>
                  </w:r>
                </w:p>
              </w:tc>
              <w:tc>
                <w:tcPr>
                  <w:tcW w:w="475" w:type="pct"/>
                  <w:tcBorders>
                    <w:tl2br w:val="nil"/>
                    <w:tr2bl w:val="nil"/>
                  </w:tcBorders>
                  <w:shd w:val="clear" w:color="auto" w:fill="auto"/>
                  <w:vAlign w:val="center"/>
                </w:tcPr>
                <w:p w14:paraId="2B0D2D7B">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86°10′4.057″</w:t>
                  </w:r>
                </w:p>
              </w:tc>
              <w:tc>
                <w:tcPr>
                  <w:tcW w:w="653" w:type="pct"/>
                  <w:tcBorders>
                    <w:tl2br w:val="nil"/>
                    <w:tr2bl w:val="nil"/>
                  </w:tcBorders>
                  <w:shd w:val="clear" w:color="auto" w:fill="auto"/>
                  <w:vAlign w:val="center"/>
                </w:tcPr>
                <w:p w14:paraId="0733B4D4">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41°43′22.381″</w:t>
                  </w:r>
                </w:p>
              </w:tc>
              <w:tc>
                <w:tcPr>
                  <w:tcW w:w="501" w:type="pct"/>
                  <w:tcBorders>
                    <w:tl2br w:val="nil"/>
                    <w:tr2bl w:val="nil"/>
                  </w:tcBorders>
                  <w:vAlign w:val="center"/>
                </w:tcPr>
                <w:p w14:paraId="43773BD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highlight w:val="yellow"/>
                    </w:rPr>
                  </w:pPr>
                  <w:r>
                    <w:rPr>
                      <w:rFonts w:hint="eastAsia"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人群</w:t>
                  </w:r>
                </w:p>
              </w:tc>
              <w:tc>
                <w:tcPr>
                  <w:tcW w:w="347" w:type="pct"/>
                  <w:tcBorders>
                    <w:tl2br w:val="nil"/>
                    <w:tr2bl w:val="nil"/>
                  </w:tcBorders>
                  <w:vAlign w:val="center"/>
                </w:tcPr>
                <w:p w14:paraId="0C7D4E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东侧</w:t>
                  </w:r>
                </w:p>
              </w:tc>
              <w:tc>
                <w:tcPr>
                  <w:tcW w:w="352" w:type="pct"/>
                  <w:tcBorders>
                    <w:tl2br w:val="nil"/>
                    <w:tr2bl w:val="nil"/>
                  </w:tcBorders>
                  <w:vAlign w:val="center"/>
                </w:tcPr>
                <w:p w14:paraId="1D1D3F85">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162</w:t>
                  </w:r>
                </w:p>
              </w:tc>
              <w:tc>
                <w:tcPr>
                  <w:tcW w:w="375" w:type="pct"/>
                  <w:tcBorders>
                    <w:tl2br w:val="nil"/>
                    <w:tr2bl w:val="nil"/>
                  </w:tcBorders>
                  <w:vAlign w:val="center"/>
                </w:tcPr>
                <w:p w14:paraId="7CF67F5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eastAsia"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4000</w:t>
                  </w:r>
                </w:p>
              </w:tc>
              <w:tc>
                <w:tcPr>
                  <w:tcW w:w="1460" w:type="pct"/>
                  <w:tcBorders>
                    <w:tl2br w:val="nil"/>
                    <w:tr2bl w:val="nil"/>
                  </w:tcBorders>
                  <w:vAlign w:val="center"/>
                </w:tcPr>
                <w:p w14:paraId="634BC23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highlight w:val="yellow"/>
                    </w:rPr>
                  </w:pPr>
                  <w:r>
                    <w:rPr>
                      <w:rFonts w:hint="default" w:ascii="Times New Roman" w:hAnsi="Times New Roman" w:eastAsia="宋体" w:cs="Times New Roman"/>
                      <w:color w:val="000000"/>
                      <w:sz w:val="21"/>
                      <w:szCs w:val="21"/>
                      <w:highlight w:val="none"/>
                    </w:rPr>
                    <w:t>《环境空气质量标准》（GB3095-2012）中二级标准</w:t>
                  </w:r>
                </w:p>
              </w:tc>
            </w:tr>
            <w:tr w14:paraId="2288C54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6" w:type="pct"/>
                  <w:tcBorders>
                    <w:tl2br w:val="nil"/>
                    <w:tr2bl w:val="nil"/>
                  </w:tcBorders>
                  <w:vAlign w:val="center"/>
                </w:tcPr>
                <w:p w14:paraId="0CB5407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eastAsia"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4</w:t>
                  </w:r>
                </w:p>
              </w:tc>
              <w:tc>
                <w:tcPr>
                  <w:tcW w:w="566" w:type="pct"/>
                  <w:tcBorders>
                    <w:tl2br w:val="nil"/>
                    <w:tr2bl w:val="nil"/>
                  </w:tcBorders>
                  <w:vAlign w:val="center"/>
                </w:tcPr>
                <w:p w14:paraId="7CE52AD7">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cs="Times New Roman"/>
                      <w:color w:val="000000" w:themeColor="text1"/>
                      <w:sz w:val="21"/>
                      <w:szCs w:val="21"/>
                      <w:highlight w:val="none"/>
                      <w:lang w:val="en-US" w:eastAsia="zh-CN" w:bidi="ar-SA"/>
                      <w14:textFill>
                        <w14:solidFill>
                          <w14:schemeClr w14:val="tx1"/>
                        </w14:solidFill>
                      </w14:textFill>
                    </w:rPr>
                    <w:t>园林宾馆</w:t>
                  </w:r>
                </w:p>
              </w:tc>
              <w:tc>
                <w:tcPr>
                  <w:tcW w:w="475" w:type="pct"/>
                  <w:tcBorders>
                    <w:tl2br w:val="nil"/>
                    <w:tr2bl w:val="nil"/>
                  </w:tcBorders>
                  <w:shd w:val="clear" w:color="auto" w:fill="auto"/>
                  <w:vAlign w:val="center"/>
                </w:tcPr>
                <w:p w14:paraId="15874C4A">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86°10′9.928″</w:t>
                  </w:r>
                </w:p>
              </w:tc>
              <w:tc>
                <w:tcPr>
                  <w:tcW w:w="653" w:type="pct"/>
                  <w:tcBorders>
                    <w:tl2br w:val="nil"/>
                    <w:tr2bl w:val="nil"/>
                  </w:tcBorders>
                  <w:shd w:val="clear" w:color="auto" w:fill="auto"/>
                  <w:vAlign w:val="center"/>
                </w:tcPr>
                <w:p w14:paraId="6DF716D6">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41°43′29.411″</w:t>
                  </w:r>
                </w:p>
              </w:tc>
              <w:tc>
                <w:tcPr>
                  <w:tcW w:w="501" w:type="pct"/>
                  <w:tcBorders>
                    <w:tl2br w:val="nil"/>
                    <w:tr2bl w:val="nil"/>
                  </w:tcBorders>
                  <w:vAlign w:val="center"/>
                </w:tcPr>
                <w:p w14:paraId="53C1DBE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highlight w:val="none"/>
                    </w:rPr>
                  </w:pPr>
                  <w:r>
                    <w:rPr>
                      <w:rFonts w:hint="eastAsia"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人群</w:t>
                  </w:r>
                </w:p>
              </w:tc>
              <w:tc>
                <w:tcPr>
                  <w:tcW w:w="347" w:type="pct"/>
                  <w:tcBorders>
                    <w:tl2br w:val="nil"/>
                    <w:tr2bl w:val="nil"/>
                  </w:tcBorders>
                  <w:vAlign w:val="center"/>
                </w:tcPr>
                <w:p w14:paraId="122F45D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东北侧</w:t>
                  </w:r>
                </w:p>
              </w:tc>
              <w:tc>
                <w:tcPr>
                  <w:tcW w:w="352" w:type="pct"/>
                  <w:tcBorders>
                    <w:tl2br w:val="nil"/>
                    <w:tr2bl w:val="nil"/>
                  </w:tcBorders>
                  <w:vAlign w:val="center"/>
                </w:tcPr>
                <w:p w14:paraId="401C30F9">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297</w:t>
                  </w:r>
                </w:p>
              </w:tc>
              <w:tc>
                <w:tcPr>
                  <w:tcW w:w="375" w:type="pct"/>
                  <w:tcBorders>
                    <w:tl2br w:val="nil"/>
                    <w:tr2bl w:val="nil"/>
                  </w:tcBorders>
                  <w:vAlign w:val="center"/>
                </w:tcPr>
                <w:p w14:paraId="742AAEF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eastAsia"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100</w:t>
                  </w:r>
                </w:p>
              </w:tc>
              <w:tc>
                <w:tcPr>
                  <w:tcW w:w="1460" w:type="pct"/>
                  <w:tcBorders>
                    <w:tl2br w:val="nil"/>
                    <w:tr2bl w:val="nil"/>
                  </w:tcBorders>
                  <w:vAlign w:val="center"/>
                </w:tcPr>
                <w:p w14:paraId="54DB7F4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highlight w:val="yellow"/>
                    </w:rPr>
                  </w:pPr>
                  <w:r>
                    <w:rPr>
                      <w:rFonts w:hint="default" w:ascii="Times New Roman" w:hAnsi="Times New Roman" w:eastAsia="宋体" w:cs="Times New Roman"/>
                      <w:color w:val="000000"/>
                      <w:sz w:val="21"/>
                      <w:szCs w:val="21"/>
                      <w:highlight w:val="none"/>
                    </w:rPr>
                    <w:t>《环境空气质量标准》（GB3095-2012）中二级标准</w:t>
                  </w:r>
                </w:p>
              </w:tc>
            </w:tr>
            <w:tr w14:paraId="5A9A8FC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66" w:type="pct"/>
                  <w:tcBorders>
                    <w:tl2br w:val="nil"/>
                    <w:tr2bl w:val="nil"/>
                  </w:tcBorders>
                  <w:vAlign w:val="center"/>
                </w:tcPr>
                <w:p w14:paraId="5BE4122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eastAsia"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5</w:t>
                  </w:r>
                </w:p>
              </w:tc>
              <w:tc>
                <w:tcPr>
                  <w:tcW w:w="566" w:type="pct"/>
                  <w:tcBorders>
                    <w:tl2br w:val="nil"/>
                    <w:tr2bl w:val="nil"/>
                  </w:tcBorders>
                  <w:vAlign w:val="center"/>
                </w:tcPr>
                <w:p w14:paraId="51B90D7E">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firstLine="0" w:firstLineChars="0"/>
                    <w:jc w:val="center"/>
                    <w:textAlignment w:val="auto"/>
                    <w:rPr>
                      <w:rFonts w:hint="default" w:cs="Times New Roman"/>
                      <w:color w:val="000000" w:themeColor="text1"/>
                      <w:sz w:val="21"/>
                      <w:szCs w:val="21"/>
                      <w:highlight w:val="none"/>
                      <w:lang w:val="en-US" w:eastAsia="zh-CN" w:bidi="ar-SA"/>
                      <w14:textFill>
                        <w14:solidFill>
                          <w14:schemeClr w14:val="tx1"/>
                        </w14:solidFill>
                      </w14:textFill>
                    </w:rPr>
                  </w:pPr>
                  <w:r>
                    <w:rPr>
                      <w:rFonts w:hint="eastAsia" w:cs="Times New Roman"/>
                      <w:color w:val="000000" w:themeColor="text1"/>
                      <w:sz w:val="21"/>
                      <w:szCs w:val="21"/>
                      <w:highlight w:val="none"/>
                      <w:lang w:val="en-US" w:eastAsia="zh-CN" w:bidi="ar-SA"/>
                      <w14:textFill>
                        <w14:solidFill>
                          <w14:schemeClr w14:val="tx1"/>
                        </w14:solidFill>
                      </w14:textFill>
                    </w:rPr>
                    <w:t>库尔勒市党校</w:t>
                  </w:r>
                </w:p>
              </w:tc>
              <w:tc>
                <w:tcPr>
                  <w:tcW w:w="475" w:type="pct"/>
                  <w:tcBorders>
                    <w:tl2br w:val="nil"/>
                    <w:tr2bl w:val="nil"/>
                  </w:tcBorders>
                  <w:shd w:val="clear" w:color="auto" w:fill="auto"/>
                  <w:vAlign w:val="center"/>
                </w:tcPr>
                <w:p w14:paraId="368C48AC">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86°9′58.959″</w:t>
                  </w:r>
                </w:p>
              </w:tc>
              <w:tc>
                <w:tcPr>
                  <w:tcW w:w="653" w:type="pct"/>
                  <w:tcBorders>
                    <w:tl2br w:val="nil"/>
                    <w:tr2bl w:val="nil"/>
                  </w:tcBorders>
                  <w:shd w:val="clear" w:color="auto" w:fill="auto"/>
                  <w:vAlign w:val="center"/>
                </w:tcPr>
                <w:p w14:paraId="12886ABE">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41°43′37.213″</w:t>
                  </w:r>
                </w:p>
              </w:tc>
              <w:tc>
                <w:tcPr>
                  <w:tcW w:w="501" w:type="pct"/>
                  <w:tcBorders>
                    <w:tl2br w:val="nil"/>
                    <w:tr2bl w:val="nil"/>
                  </w:tcBorders>
                  <w:vAlign w:val="center"/>
                </w:tcPr>
                <w:p w14:paraId="52045A5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eastAsia"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人群</w:t>
                  </w:r>
                </w:p>
              </w:tc>
              <w:tc>
                <w:tcPr>
                  <w:tcW w:w="347" w:type="pct"/>
                  <w:tcBorders>
                    <w:tl2br w:val="nil"/>
                    <w:tr2bl w:val="nil"/>
                  </w:tcBorders>
                  <w:vAlign w:val="center"/>
                </w:tcPr>
                <w:p w14:paraId="3FB3CE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000000"/>
                      <w:sz w:val="21"/>
                      <w:szCs w:val="21"/>
                      <w:highlight w:val="none"/>
                      <w:lang w:val="en-US" w:eastAsia="zh-CN"/>
                    </w:rPr>
                  </w:pPr>
                  <w:r>
                    <w:rPr>
                      <w:rFonts w:hint="eastAsia" w:cs="Times New Roman"/>
                      <w:color w:val="000000"/>
                      <w:sz w:val="21"/>
                      <w:szCs w:val="21"/>
                      <w:highlight w:val="none"/>
                      <w:lang w:val="en-US" w:eastAsia="zh-CN"/>
                    </w:rPr>
                    <w:t>北侧</w:t>
                  </w:r>
                </w:p>
              </w:tc>
              <w:tc>
                <w:tcPr>
                  <w:tcW w:w="352" w:type="pct"/>
                  <w:tcBorders>
                    <w:tl2br w:val="nil"/>
                    <w:tr2bl w:val="nil"/>
                  </w:tcBorders>
                  <w:vAlign w:val="center"/>
                </w:tcPr>
                <w:p w14:paraId="59D1B654">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firstLine="0" w:firstLineChars="0"/>
                    <w:jc w:val="center"/>
                    <w:textAlignment w:val="auto"/>
                    <w:rPr>
                      <w:rFonts w:hint="default" w:cs="Times New Roman"/>
                      <w:color w:val="000000"/>
                      <w:sz w:val="21"/>
                      <w:szCs w:val="21"/>
                      <w:highlight w:val="none"/>
                      <w:lang w:val="en-US" w:eastAsia="zh-CN"/>
                    </w:rPr>
                  </w:pPr>
                  <w:r>
                    <w:rPr>
                      <w:rFonts w:hint="eastAsia" w:cs="Times New Roman"/>
                      <w:color w:val="000000"/>
                      <w:sz w:val="21"/>
                      <w:szCs w:val="21"/>
                      <w:highlight w:val="none"/>
                      <w:lang w:val="en-US" w:eastAsia="zh-CN"/>
                    </w:rPr>
                    <w:t>325</w:t>
                  </w:r>
                </w:p>
              </w:tc>
              <w:tc>
                <w:tcPr>
                  <w:tcW w:w="375" w:type="pct"/>
                  <w:tcBorders>
                    <w:tl2br w:val="nil"/>
                    <w:tr2bl w:val="nil"/>
                  </w:tcBorders>
                  <w:vAlign w:val="center"/>
                </w:tcPr>
                <w:p w14:paraId="53E7902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eastAsia"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50</w:t>
                  </w:r>
                </w:p>
              </w:tc>
              <w:tc>
                <w:tcPr>
                  <w:tcW w:w="1460" w:type="pct"/>
                  <w:tcBorders>
                    <w:tl2br w:val="nil"/>
                    <w:tr2bl w:val="nil"/>
                  </w:tcBorders>
                  <w:vAlign w:val="center"/>
                </w:tcPr>
                <w:p w14:paraId="6B9D1F2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《环境空气质量标准》（GB3095-2012）中二级标准</w:t>
                  </w:r>
                </w:p>
              </w:tc>
            </w:tr>
            <w:tr w14:paraId="37AA16A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6" w:type="pct"/>
                  <w:tcBorders>
                    <w:tl2br w:val="nil"/>
                    <w:tr2bl w:val="nil"/>
                  </w:tcBorders>
                  <w:vAlign w:val="center"/>
                </w:tcPr>
                <w:p w14:paraId="1F1FF04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eastAsia"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6</w:t>
                  </w:r>
                </w:p>
              </w:tc>
              <w:tc>
                <w:tcPr>
                  <w:tcW w:w="566" w:type="pct"/>
                  <w:tcBorders>
                    <w:tl2br w:val="nil"/>
                    <w:tr2bl w:val="nil"/>
                  </w:tcBorders>
                  <w:vAlign w:val="center"/>
                </w:tcPr>
                <w:p w14:paraId="20FDE033">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firstLine="0" w:firstLineChars="0"/>
                    <w:jc w:val="center"/>
                    <w:textAlignment w:val="auto"/>
                    <w:rPr>
                      <w:rFonts w:hint="default" w:cs="Times New Roman"/>
                      <w:color w:val="000000" w:themeColor="text1"/>
                      <w:sz w:val="21"/>
                      <w:szCs w:val="21"/>
                      <w:highlight w:val="none"/>
                      <w:lang w:val="en-US" w:eastAsia="zh-CN" w:bidi="ar-SA"/>
                      <w14:textFill>
                        <w14:solidFill>
                          <w14:schemeClr w14:val="tx1"/>
                        </w14:solidFill>
                      </w14:textFill>
                    </w:rPr>
                  </w:pPr>
                  <w:r>
                    <w:rPr>
                      <w:rFonts w:hint="eastAsia" w:cs="Times New Roman"/>
                      <w:color w:val="000000" w:themeColor="text1"/>
                      <w:sz w:val="21"/>
                      <w:szCs w:val="21"/>
                      <w:highlight w:val="none"/>
                      <w:lang w:val="en-US" w:eastAsia="zh-CN" w:bidi="ar-SA"/>
                      <w14:textFill>
                        <w14:solidFill>
                          <w14:schemeClr w14:val="tx1"/>
                        </w14:solidFill>
                      </w14:textFill>
                    </w:rPr>
                    <w:t>46号小区</w:t>
                  </w:r>
                </w:p>
              </w:tc>
              <w:tc>
                <w:tcPr>
                  <w:tcW w:w="475" w:type="pct"/>
                  <w:tcBorders>
                    <w:tl2br w:val="nil"/>
                    <w:tr2bl w:val="nil"/>
                  </w:tcBorders>
                  <w:shd w:val="clear" w:color="auto" w:fill="auto"/>
                  <w:vAlign w:val="center"/>
                </w:tcPr>
                <w:p w14:paraId="714E77E3">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86°10′6.761″</w:t>
                  </w:r>
                </w:p>
              </w:tc>
              <w:tc>
                <w:tcPr>
                  <w:tcW w:w="653" w:type="pct"/>
                  <w:tcBorders>
                    <w:tl2br w:val="nil"/>
                    <w:tr2bl w:val="nil"/>
                  </w:tcBorders>
                  <w:shd w:val="clear" w:color="auto" w:fill="auto"/>
                  <w:vAlign w:val="center"/>
                </w:tcPr>
                <w:p w14:paraId="3893903F">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41°43′37.599″</w:t>
                  </w:r>
                </w:p>
              </w:tc>
              <w:tc>
                <w:tcPr>
                  <w:tcW w:w="501" w:type="pct"/>
                  <w:tcBorders>
                    <w:tl2br w:val="nil"/>
                    <w:tr2bl w:val="nil"/>
                  </w:tcBorders>
                  <w:vAlign w:val="center"/>
                </w:tcPr>
                <w:p w14:paraId="5168F0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eastAsia"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人群</w:t>
                  </w:r>
                </w:p>
              </w:tc>
              <w:tc>
                <w:tcPr>
                  <w:tcW w:w="347" w:type="pct"/>
                  <w:tcBorders>
                    <w:tl2br w:val="nil"/>
                    <w:tr2bl w:val="nil"/>
                  </w:tcBorders>
                  <w:vAlign w:val="center"/>
                </w:tcPr>
                <w:p w14:paraId="43F7F97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000000"/>
                      <w:sz w:val="21"/>
                      <w:szCs w:val="21"/>
                      <w:highlight w:val="none"/>
                      <w:lang w:val="en-US" w:eastAsia="zh-CN"/>
                    </w:rPr>
                  </w:pPr>
                  <w:r>
                    <w:rPr>
                      <w:rFonts w:hint="eastAsia" w:cs="Times New Roman"/>
                      <w:color w:val="000000"/>
                      <w:sz w:val="21"/>
                      <w:szCs w:val="21"/>
                      <w:highlight w:val="none"/>
                      <w:lang w:val="en-US" w:eastAsia="zh-CN"/>
                    </w:rPr>
                    <w:t>东北侧</w:t>
                  </w:r>
                </w:p>
              </w:tc>
              <w:tc>
                <w:tcPr>
                  <w:tcW w:w="352" w:type="pct"/>
                  <w:tcBorders>
                    <w:tl2br w:val="nil"/>
                    <w:tr2bl w:val="nil"/>
                  </w:tcBorders>
                  <w:vAlign w:val="center"/>
                </w:tcPr>
                <w:p w14:paraId="77F705F0">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firstLine="0" w:firstLineChars="0"/>
                    <w:jc w:val="center"/>
                    <w:textAlignment w:val="auto"/>
                    <w:rPr>
                      <w:rFonts w:hint="default" w:cs="Times New Roman"/>
                      <w:color w:val="000000"/>
                      <w:sz w:val="21"/>
                      <w:szCs w:val="21"/>
                      <w:highlight w:val="none"/>
                      <w:lang w:val="en-US" w:eastAsia="zh-CN"/>
                    </w:rPr>
                  </w:pPr>
                  <w:r>
                    <w:rPr>
                      <w:rFonts w:hint="eastAsia" w:cs="Times New Roman"/>
                      <w:color w:val="000000"/>
                      <w:sz w:val="21"/>
                      <w:szCs w:val="21"/>
                      <w:highlight w:val="none"/>
                      <w:lang w:val="en-US" w:eastAsia="zh-CN"/>
                    </w:rPr>
                    <w:t>478</w:t>
                  </w:r>
                </w:p>
              </w:tc>
              <w:tc>
                <w:tcPr>
                  <w:tcW w:w="375" w:type="pct"/>
                  <w:tcBorders>
                    <w:tl2br w:val="nil"/>
                    <w:tr2bl w:val="nil"/>
                  </w:tcBorders>
                  <w:vAlign w:val="center"/>
                </w:tcPr>
                <w:p w14:paraId="36A814E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eastAsia"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1000</w:t>
                  </w:r>
                </w:p>
              </w:tc>
              <w:tc>
                <w:tcPr>
                  <w:tcW w:w="1460" w:type="pct"/>
                  <w:tcBorders>
                    <w:tl2br w:val="nil"/>
                    <w:tr2bl w:val="nil"/>
                  </w:tcBorders>
                  <w:vAlign w:val="center"/>
                </w:tcPr>
                <w:p w14:paraId="0C35F41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《环境空气质量标准》（GB3095-2012）中二级标准</w:t>
                  </w:r>
                </w:p>
              </w:tc>
            </w:tr>
            <w:tr w14:paraId="0729894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6" w:type="pct"/>
                  <w:tcBorders>
                    <w:tl2br w:val="nil"/>
                    <w:tr2bl w:val="nil"/>
                  </w:tcBorders>
                  <w:vAlign w:val="center"/>
                </w:tcPr>
                <w:p w14:paraId="63CB275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eastAsia"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7</w:t>
                  </w:r>
                </w:p>
              </w:tc>
              <w:tc>
                <w:tcPr>
                  <w:tcW w:w="566" w:type="pct"/>
                  <w:tcBorders>
                    <w:tl2br w:val="nil"/>
                    <w:tr2bl w:val="nil"/>
                  </w:tcBorders>
                  <w:vAlign w:val="center"/>
                </w:tcPr>
                <w:p w14:paraId="45268CB9">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firstLine="0" w:firstLineChars="0"/>
                    <w:jc w:val="center"/>
                    <w:textAlignment w:val="auto"/>
                    <w:rPr>
                      <w:rFonts w:hint="default" w:cs="Times New Roman"/>
                      <w:color w:val="000000" w:themeColor="text1"/>
                      <w:sz w:val="21"/>
                      <w:szCs w:val="21"/>
                      <w:highlight w:val="none"/>
                      <w:lang w:val="en-US" w:eastAsia="zh-CN" w:bidi="ar-SA"/>
                      <w14:textFill>
                        <w14:solidFill>
                          <w14:schemeClr w14:val="tx1"/>
                        </w14:solidFill>
                      </w14:textFill>
                    </w:rPr>
                  </w:pPr>
                  <w:r>
                    <w:rPr>
                      <w:rFonts w:hint="eastAsia" w:cs="Times New Roman"/>
                      <w:color w:val="000000" w:themeColor="text1"/>
                      <w:sz w:val="21"/>
                      <w:szCs w:val="21"/>
                      <w:highlight w:val="none"/>
                      <w:lang w:val="en-US" w:eastAsia="zh-CN" w:bidi="ar-SA"/>
                      <w14:textFill>
                        <w14:solidFill>
                          <w14:schemeClr w14:val="tx1"/>
                        </w14:solidFill>
                      </w14:textFill>
                    </w:rPr>
                    <w:t>阿西木萨依甫买里村</w:t>
                  </w:r>
                </w:p>
              </w:tc>
              <w:tc>
                <w:tcPr>
                  <w:tcW w:w="475" w:type="pct"/>
                  <w:tcBorders>
                    <w:tl2br w:val="nil"/>
                    <w:tr2bl w:val="nil"/>
                  </w:tcBorders>
                  <w:shd w:val="clear" w:color="auto" w:fill="auto"/>
                  <w:vAlign w:val="center"/>
                </w:tcPr>
                <w:p w14:paraId="64A5D3D6">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86°9′44.823″</w:t>
                  </w:r>
                </w:p>
              </w:tc>
              <w:tc>
                <w:tcPr>
                  <w:tcW w:w="653" w:type="pct"/>
                  <w:tcBorders>
                    <w:tl2br w:val="nil"/>
                    <w:tr2bl w:val="nil"/>
                  </w:tcBorders>
                  <w:shd w:val="clear" w:color="auto" w:fill="auto"/>
                  <w:vAlign w:val="center"/>
                </w:tcPr>
                <w:p w14:paraId="1300CA17">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41°43′22.690″</w:t>
                  </w:r>
                </w:p>
              </w:tc>
              <w:tc>
                <w:tcPr>
                  <w:tcW w:w="501" w:type="pct"/>
                  <w:tcBorders>
                    <w:tl2br w:val="nil"/>
                    <w:tr2bl w:val="nil"/>
                  </w:tcBorders>
                  <w:vAlign w:val="center"/>
                </w:tcPr>
                <w:p w14:paraId="5600DA7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eastAsia"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人群</w:t>
                  </w:r>
                </w:p>
              </w:tc>
              <w:tc>
                <w:tcPr>
                  <w:tcW w:w="347" w:type="pct"/>
                  <w:tcBorders>
                    <w:tl2br w:val="nil"/>
                    <w:tr2bl w:val="nil"/>
                  </w:tcBorders>
                  <w:vAlign w:val="center"/>
                </w:tcPr>
                <w:p w14:paraId="16F11EB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西</w:t>
                  </w:r>
                  <w:r>
                    <w:rPr>
                      <w:rFonts w:hint="eastAsia" w:cs="Times New Roman"/>
                      <w:color w:val="000000"/>
                      <w:sz w:val="21"/>
                      <w:szCs w:val="21"/>
                      <w:highlight w:val="none"/>
                      <w:lang w:val="en-US" w:eastAsia="zh-CN"/>
                    </w:rPr>
                    <w:t>南</w:t>
                  </w:r>
                  <w:r>
                    <w:rPr>
                      <w:rFonts w:hint="default" w:ascii="Times New Roman" w:hAnsi="Times New Roman" w:eastAsia="宋体" w:cs="Times New Roman"/>
                      <w:color w:val="000000"/>
                      <w:sz w:val="21"/>
                      <w:szCs w:val="21"/>
                      <w:highlight w:val="none"/>
                      <w:lang w:val="en-US" w:eastAsia="zh-CN"/>
                    </w:rPr>
                    <w:t>侧</w:t>
                  </w:r>
                </w:p>
              </w:tc>
              <w:tc>
                <w:tcPr>
                  <w:tcW w:w="352" w:type="pct"/>
                  <w:tcBorders>
                    <w:tl2br w:val="nil"/>
                    <w:tr2bl w:val="nil"/>
                  </w:tcBorders>
                  <w:vAlign w:val="center"/>
                </w:tcPr>
                <w:p w14:paraId="59A1F465">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firstLine="0" w:firstLineChars="0"/>
                    <w:jc w:val="center"/>
                    <w:textAlignment w:val="auto"/>
                    <w:rPr>
                      <w:rFonts w:hint="default" w:cs="Times New Roman"/>
                      <w:color w:val="000000"/>
                      <w:sz w:val="21"/>
                      <w:szCs w:val="21"/>
                      <w:highlight w:val="none"/>
                      <w:lang w:val="en-US" w:eastAsia="zh-CN"/>
                    </w:rPr>
                  </w:pPr>
                  <w:r>
                    <w:rPr>
                      <w:rFonts w:hint="eastAsia" w:cs="Times New Roman"/>
                      <w:color w:val="000000"/>
                      <w:sz w:val="21"/>
                      <w:szCs w:val="21"/>
                      <w:highlight w:val="none"/>
                      <w:lang w:val="en-US" w:eastAsia="zh-CN"/>
                    </w:rPr>
                    <w:t>308</w:t>
                  </w:r>
                </w:p>
              </w:tc>
              <w:tc>
                <w:tcPr>
                  <w:tcW w:w="375" w:type="pct"/>
                  <w:tcBorders>
                    <w:tl2br w:val="nil"/>
                    <w:tr2bl w:val="nil"/>
                  </w:tcBorders>
                  <w:vAlign w:val="center"/>
                </w:tcPr>
                <w:p w14:paraId="446F54D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eastAsia"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1000</w:t>
                  </w:r>
                </w:p>
              </w:tc>
              <w:tc>
                <w:tcPr>
                  <w:tcW w:w="1460" w:type="pct"/>
                  <w:tcBorders>
                    <w:tl2br w:val="nil"/>
                    <w:tr2bl w:val="nil"/>
                  </w:tcBorders>
                  <w:vAlign w:val="center"/>
                </w:tcPr>
                <w:p w14:paraId="25495D2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《环境空气质量标准》（GB3095-2012）中二级标准</w:t>
                  </w:r>
                </w:p>
              </w:tc>
            </w:tr>
            <w:tr w14:paraId="46B49E1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6" w:type="pct"/>
                  <w:tcBorders>
                    <w:tl2br w:val="nil"/>
                    <w:tr2bl w:val="nil"/>
                  </w:tcBorders>
                  <w:vAlign w:val="center"/>
                </w:tcPr>
                <w:p w14:paraId="61CB27C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eastAsia"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8</w:t>
                  </w:r>
                </w:p>
              </w:tc>
              <w:tc>
                <w:tcPr>
                  <w:tcW w:w="566" w:type="pct"/>
                  <w:tcBorders>
                    <w:tl2br w:val="nil"/>
                    <w:tr2bl w:val="nil"/>
                  </w:tcBorders>
                  <w:vAlign w:val="center"/>
                </w:tcPr>
                <w:p w14:paraId="588937EB">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firstLine="0" w:firstLineChars="0"/>
                    <w:jc w:val="center"/>
                    <w:textAlignment w:val="auto"/>
                    <w:rPr>
                      <w:rFonts w:hint="default" w:cs="Times New Roman"/>
                      <w:color w:val="000000" w:themeColor="text1"/>
                      <w:sz w:val="21"/>
                      <w:szCs w:val="21"/>
                      <w:highlight w:val="none"/>
                      <w:lang w:val="en-US" w:eastAsia="zh-CN" w:bidi="ar-SA"/>
                      <w14:textFill>
                        <w14:solidFill>
                          <w14:schemeClr w14:val="tx1"/>
                        </w14:solidFill>
                      </w14:textFill>
                    </w:rPr>
                  </w:pPr>
                  <w:r>
                    <w:rPr>
                      <w:rFonts w:hint="eastAsia" w:cs="Times New Roman"/>
                      <w:color w:val="000000" w:themeColor="text1"/>
                      <w:sz w:val="21"/>
                      <w:szCs w:val="21"/>
                      <w:highlight w:val="none"/>
                      <w:lang w:val="en-US" w:eastAsia="zh-CN" w:bidi="ar-SA"/>
                      <w14:textFill>
                        <w14:solidFill>
                          <w14:schemeClr w14:val="tx1"/>
                        </w14:solidFill>
                      </w14:textFill>
                    </w:rPr>
                    <w:t>库尔勒市政府</w:t>
                  </w:r>
                </w:p>
              </w:tc>
              <w:tc>
                <w:tcPr>
                  <w:tcW w:w="475" w:type="pct"/>
                  <w:tcBorders>
                    <w:tl2br w:val="nil"/>
                    <w:tr2bl w:val="nil"/>
                  </w:tcBorders>
                  <w:shd w:val="clear" w:color="auto" w:fill="auto"/>
                  <w:vAlign w:val="center"/>
                </w:tcPr>
                <w:p w14:paraId="08916201">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86°10′17.136″</w:t>
                  </w:r>
                </w:p>
              </w:tc>
              <w:tc>
                <w:tcPr>
                  <w:tcW w:w="653" w:type="pct"/>
                  <w:tcBorders>
                    <w:tl2br w:val="nil"/>
                    <w:tr2bl w:val="nil"/>
                  </w:tcBorders>
                  <w:shd w:val="clear" w:color="auto" w:fill="auto"/>
                  <w:vAlign w:val="center"/>
                </w:tcPr>
                <w:p w14:paraId="131ECF9C">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41°43′27.417″</w:t>
                  </w:r>
                </w:p>
              </w:tc>
              <w:tc>
                <w:tcPr>
                  <w:tcW w:w="501" w:type="pct"/>
                  <w:tcBorders>
                    <w:tl2br w:val="nil"/>
                    <w:tr2bl w:val="nil"/>
                  </w:tcBorders>
                  <w:shd w:val="clear" w:color="auto" w:fill="auto"/>
                  <w:vAlign w:val="center"/>
                </w:tcPr>
                <w:p w14:paraId="162E87A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snapToGrid w:val="0"/>
                      <w:color w:val="000000" w:themeColor="text1"/>
                      <w:spacing w:val="0"/>
                      <w:kern w:val="0"/>
                      <w:position w:val="0"/>
                      <w:sz w:val="21"/>
                      <w:szCs w:val="21"/>
                      <w:highlight w:val="none"/>
                      <w:lang w:val="en-US" w:eastAsia="zh-CN" w:bidi="ar-SA"/>
                      <w14:textFill>
                        <w14:solidFill>
                          <w14:schemeClr w14:val="tx1"/>
                        </w14:solidFill>
                      </w14:textFill>
                    </w:rPr>
                  </w:pPr>
                  <w:r>
                    <w:rPr>
                      <w:rFonts w:hint="eastAsia"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人群</w:t>
                  </w:r>
                </w:p>
              </w:tc>
              <w:tc>
                <w:tcPr>
                  <w:tcW w:w="347" w:type="pct"/>
                  <w:tcBorders>
                    <w:tl2br w:val="nil"/>
                    <w:tr2bl w:val="nil"/>
                  </w:tcBorders>
                  <w:shd w:val="clear" w:color="auto" w:fill="auto"/>
                  <w:vAlign w:val="center"/>
                </w:tcPr>
                <w:p w14:paraId="5A1B3AE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sz w:val="21"/>
                      <w:szCs w:val="21"/>
                      <w:highlight w:val="none"/>
                      <w:lang w:val="en-US" w:eastAsia="zh-CN"/>
                    </w:rPr>
                    <w:t>东北侧</w:t>
                  </w:r>
                </w:p>
              </w:tc>
              <w:tc>
                <w:tcPr>
                  <w:tcW w:w="352" w:type="pct"/>
                  <w:tcBorders>
                    <w:tl2br w:val="nil"/>
                    <w:tr2bl w:val="nil"/>
                  </w:tcBorders>
                  <w:shd w:val="clear" w:color="auto" w:fill="auto"/>
                  <w:vAlign w:val="center"/>
                </w:tcPr>
                <w:p w14:paraId="5AD6A16B">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sz w:val="21"/>
                      <w:szCs w:val="21"/>
                      <w:highlight w:val="none"/>
                      <w:lang w:val="en-US" w:eastAsia="zh-CN"/>
                    </w:rPr>
                    <w:t>415</w:t>
                  </w:r>
                </w:p>
              </w:tc>
              <w:tc>
                <w:tcPr>
                  <w:tcW w:w="375" w:type="pct"/>
                  <w:tcBorders>
                    <w:tl2br w:val="nil"/>
                    <w:tr2bl w:val="nil"/>
                  </w:tcBorders>
                  <w:shd w:val="clear" w:color="auto" w:fill="auto"/>
                  <w:vAlign w:val="center"/>
                </w:tcPr>
                <w:p w14:paraId="33D1064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bidi="ar-SA"/>
                      <w14:textFill>
                        <w14:solidFill>
                          <w14:schemeClr w14:val="tx1"/>
                        </w14:solidFill>
                      </w14:textFill>
                    </w:rPr>
                  </w:pPr>
                  <w:r>
                    <w:rPr>
                      <w:rFonts w:hint="eastAsia" w:cs="Times New Roman"/>
                      <w:b w:val="0"/>
                      <w:bCs w:val="0"/>
                      <w:snapToGrid w:val="0"/>
                      <w:color w:val="000000" w:themeColor="text1"/>
                      <w:spacing w:val="0"/>
                      <w:kern w:val="0"/>
                      <w:position w:val="0"/>
                      <w:sz w:val="21"/>
                      <w:szCs w:val="21"/>
                      <w:highlight w:val="none"/>
                      <w:lang w:val="en-US" w:eastAsia="zh-CN" w:bidi="ar-SA"/>
                      <w14:textFill>
                        <w14:solidFill>
                          <w14:schemeClr w14:val="tx1"/>
                        </w14:solidFill>
                      </w14:textFill>
                    </w:rPr>
                    <w:t>100</w:t>
                  </w:r>
                </w:p>
              </w:tc>
              <w:tc>
                <w:tcPr>
                  <w:tcW w:w="1460" w:type="pct"/>
                  <w:tcBorders>
                    <w:tl2br w:val="nil"/>
                    <w:tr2bl w:val="nil"/>
                  </w:tcBorders>
                  <w:shd w:val="clear" w:color="auto" w:fill="auto"/>
                  <w:vAlign w:val="center"/>
                </w:tcPr>
                <w:p w14:paraId="5A9CD3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 w:val="21"/>
                      <w:szCs w:val="21"/>
                      <w:highlight w:val="none"/>
                    </w:rPr>
                    <w:t>《环境空气质量标准》（GB3095-2012）中二级标准</w:t>
                  </w:r>
                </w:p>
              </w:tc>
            </w:tr>
            <w:tr w14:paraId="1D343CF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6" w:type="pct"/>
                  <w:tcBorders>
                    <w:tl2br w:val="nil"/>
                    <w:tr2bl w:val="nil"/>
                  </w:tcBorders>
                  <w:vAlign w:val="center"/>
                </w:tcPr>
                <w:p w14:paraId="5814B17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eastAsia"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9</w:t>
                  </w:r>
                </w:p>
              </w:tc>
              <w:tc>
                <w:tcPr>
                  <w:tcW w:w="566" w:type="pct"/>
                  <w:tcBorders>
                    <w:tl2br w:val="nil"/>
                    <w:tr2bl w:val="nil"/>
                  </w:tcBorders>
                  <w:vAlign w:val="center"/>
                </w:tcPr>
                <w:p w14:paraId="4B6F6475">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firstLine="0" w:firstLineChars="0"/>
                    <w:jc w:val="center"/>
                    <w:textAlignment w:val="auto"/>
                    <w:rPr>
                      <w:rFonts w:hint="default" w:cs="Times New Roman"/>
                      <w:color w:val="000000" w:themeColor="text1"/>
                      <w:sz w:val="21"/>
                      <w:szCs w:val="21"/>
                      <w:highlight w:val="none"/>
                      <w:lang w:val="en-US" w:eastAsia="zh-CN" w:bidi="ar-SA"/>
                      <w14:textFill>
                        <w14:solidFill>
                          <w14:schemeClr w14:val="tx1"/>
                        </w14:solidFill>
                      </w14:textFill>
                    </w:rPr>
                  </w:pPr>
                  <w:r>
                    <w:rPr>
                      <w:rFonts w:hint="eastAsia" w:cs="Times New Roman"/>
                      <w:color w:val="000000" w:themeColor="text1"/>
                      <w:sz w:val="21"/>
                      <w:szCs w:val="21"/>
                      <w:highlight w:val="none"/>
                      <w:lang w:val="en-US" w:eastAsia="zh-CN" w:bidi="ar-SA"/>
                      <w14:textFill>
                        <w14:solidFill>
                          <w14:schemeClr w14:val="tx1"/>
                        </w14:solidFill>
                      </w14:textFill>
                    </w:rPr>
                    <w:t>法之苑</w:t>
                  </w:r>
                </w:p>
              </w:tc>
              <w:tc>
                <w:tcPr>
                  <w:tcW w:w="475" w:type="pct"/>
                  <w:tcBorders>
                    <w:tl2br w:val="nil"/>
                    <w:tr2bl w:val="nil"/>
                  </w:tcBorders>
                  <w:shd w:val="clear" w:color="auto" w:fill="auto"/>
                  <w:vAlign w:val="center"/>
                </w:tcPr>
                <w:p w14:paraId="46FF2ABB">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86°9′58.288″</w:t>
                  </w:r>
                </w:p>
              </w:tc>
              <w:tc>
                <w:tcPr>
                  <w:tcW w:w="653" w:type="pct"/>
                  <w:tcBorders>
                    <w:tl2br w:val="nil"/>
                    <w:tr2bl w:val="nil"/>
                  </w:tcBorders>
                  <w:shd w:val="clear" w:color="auto" w:fill="auto"/>
                  <w:vAlign w:val="center"/>
                </w:tcPr>
                <w:p w14:paraId="54D1A122">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41°43′39.004″</w:t>
                  </w:r>
                </w:p>
              </w:tc>
              <w:tc>
                <w:tcPr>
                  <w:tcW w:w="501" w:type="pct"/>
                  <w:tcBorders>
                    <w:tl2br w:val="nil"/>
                    <w:tr2bl w:val="nil"/>
                  </w:tcBorders>
                  <w:shd w:val="clear" w:color="auto" w:fill="auto"/>
                  <w:vAlign w:val="center"/>
                </w:tcPr>
                <w:p w14:paraId="3F1C806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snapToGrid w:val="0"/>
                      <w:color w:val="000000" w:themeColor="text1"/>
                      <w:spacing w:val="0"/>
                      <w:kern w:val="0"/>
                      <w:position w:val="0"/>
                      <w:sz w:val="21"/>
                      <w:szCs w:val="21"/>
                      <w:highlight w:val="none"/>
                      <w:lang w:val="en-US" w:eastAsia="zh-CN" w:bidi="ar-SA"/>
                      <w14:textFill>
                        <w14:solidFill>
                          <w14:schemeClr w14:val="tx1"/>
                        </w14:solidFill>
                      </w14:textFill>
                    </w:rPr>
                  </w:pPr>
                  <w:r>
                    <w:rPr>
                      <w:rFonts w:hint="eastAsia"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人群</w:t>
                  </w:r>
                </w:p>
              </w:tc>
              <w:tc>
                <w:tcPr>
                  <w:tcW w:w="347" w:type="pct"/>
                  <w:tcBorders>
                    <w:tl2br w:val="nil"/>
                    <w:tr2bl w:val="nil"/>
                  </w:tcBorders>
                  <w:shd w:val="clear" w:color="auto" w:fill="auto"/>
                  <w:vAlign w:val="center"/>
                </w:tcPr>
                <w:p w14:paraId="5833362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sz w:val="21"/>
                      <w:szCs w:val="21"/>
                      <w:highlight w:val="none"/>
                      <w:lang w:val="en-US" w:eastAsia="zh-CN"/>
                    </w:rPr>
                    <w:t>西北侧</w:t>
                  </w:r>
                </w:p>
              </w:tc>
              <w:tc>
                <w:tcPr>
                  <w:tcW w:w="352" w:type="pct"/>
                  <w:tcBorders>
                    <w:tl2br w:val="nil"/>
                    <w:tr2bl w:val="nil"/>
                  </w:tcBorders>
                  <w:shd w:val="clear" w:color="auto" w:fill="auto"/>
                  <w:vAlign w:val="center"/>
                </w:tcPr>
                <w:p w14:paraId="25E16C62">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sz w:val="21"/>
                      <w:szCs w:val="21"/>
                      <w:highlight w:val="none"/>
                      <w:lang w:val="en-US" w:eastAsia="zh-CN"/>
                    </w:rPr>
                    <w:t>425</w:t>
                  </w:r>
                </w:p>
              </w:tc>
              <w:tc>
                <w:tcPr>
                  <w:tcW w:w="375" w:type="pct"/>
                  <w:tcBorders>
                    <w:tl2br w:val="nil"/>
                    <w:tr2bl w:val="nil"/>
                  </w:tcBorders>
                  <w:shd w:val="clear" w:color="auto" w:fill="auto"/>
                  <w:vAlign w:val="center"/>
                </w:tcPr>
                <w:p w14:paraId="788AA56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bidi="ar-SA"/>
                      <w14:textFill>
                        <w14:solidFill>
                          <w14:schemeClr w14:val="tx1"/>
                        </w14:solidFill>
                      </w14:textFill>
                    </w:rPr>
                  </w:pPr>
                  <w:r>
                    <w:rPr>
                      <w:rFonts w:hint="eastAsia"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500</w:t>
                  </w:r>
                </w:p>
              </w:tc>
              <w:tc>
                <w:tcPr>
                  <w:tcW w:w="1460" w:type="pct"/>
                  <w:tcBorders>
                    <w:tl2br w:val="nil"/>
                    <w:tr2bl w:val="nil"/>
                  </w:tcBorders>
                  <w:shd w:val="clear" w:color="auto" w:fill="auto"/>
                  <w:vAlign w:val="center"/>
                </w:tcPr>
                <w:p w14:paraId="691E863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 w:val="21"/>
                      <w:szCs w:val="21"/>
                      <w:highlight w:val="none"/>
                    </w:rPr>
                    <w:t>《环境空气质量标准》（GB3095-2012）中二级标准</w:t>
                  </w:r>
                </w:p>
              </w:tc>
            </w:tr>
          </w:tbl>
          <w:p w14:paraId="3526156B">
            <w:pPr>
              <w:keepNext w:val="0"/>
              <w:keepLines w:val="0"/>
              <w:suppressLineNumbers w:val="0"/>
              <w:bidi w:val="0"/>
              <w:spacing w:before="0" w:beforeAutospacing="0" w:after="0" w:afterAutospacing="0"/>
              <w:ind w:left="0" w:leftChars="0" w:right="0" w:rightChars="0" w:firstLine="480" w:firstLineChars="200"/>
              <w:rPr>
                <w:rFonts w:hint="default" w:ascii="Times New Roman" w:hAnsi="Times New Roman" w:eastAsia="宋体" w:cs="Times New Roman"/>
                <w:b w:val="0"/>
                <w:bCs w:val="0"/>
                <w:color w:val="000000"/>
                <w:sz w:val="24"/>
                <w:szCs w:val="24"/>
                <w:lang w:val="en-US" w:eastAsia="zh-CN"/>
              </w:rPr>
            </w:pPr>
          </w:p>
        </w:tc>
      </w:tr>
      <w:tr w14:paraId="66F88C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3" w:type="dxa"/>
            <w:tcBorders>
              <w:tl2br w:val="nil"/>
              <w:tr2bl w:val="nil"/>
            </w:tcBorders>
            <w:noWrap w:val="0"/>
            <w:tcMar>
              <w:left w:w="28" w:type="dxa"/>
              <w:right w:w="28" w:type="dxa"/>
            </w:tcMar>
            <w:vAlign w:val="center"/>
          </w:tcPr>
          <w:p w14:paraId="500D728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污染</w:t>
            </w:r>
          </w:p>
          <w:p w14:paraId="4F42C30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物排</w:t>
            </w:r>
          </w:p>
          <w:p w14:paraId="767FC6B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放控</w:t>
            </w:r>
          </w:p>
          <w:p w14:paraId="474D249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制标</w:t>
            </w:r>
          </w:p>
          <w:p w14:paraId="50B5DA1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
                <w:bCs/>
                <w:color w:val="000000"/>
                <w:kern w:val="0"/>
                <w:sz w:val="24"/>
                <w:szCs w:val="24"/>
              </w:rPr>
              <w:t>准</w:t>
            </w:r>
          </w:p>
        </w:tc>
        <w:tc>
          <w:tcPr>
            <w:tcW w:w="8608" w:type="dxa"/>
            <w:tcBorders>
              <w:tl2br w:val="nil"/>
              <w:tr2bl w:val="nil"/>
            </w:tcBorders>
            <w:noWrap w:val="0"/>
            <w:vAlign w:val="center"/>
          </w:tcPr>
          <w:p w14:paraId="01E862DF">
            <w:pPr>
              <w:keepNext w:val="0"/>
              <w:keepLines w:val="0"/>
              <w:pageBreakBefore w:val="0"/>
              <w:widowControl w:val="0"/>
              <w:numPr>
                <w:ilvl w:val="0"/>
                <w:numId w:val="5"/>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textAlignment w:val="auto"/>
              <w:rPr>
                <w:rFonts w:hint="default" w:ascii="Times New Roman" w:hAnsi="Times New Roman" w:eastAsia="宋体" w:cs="Times New Roman"/>
                <w:b/>
                <w:bCs w:val="0"/>
                <w:color w:val="000000"/>
                <w:kern w:val="0"/>
                <w:sz w:val="24"/>
                <w:szCs w:val="24"/>
                <w:lang w:val="en-US" w:eastAsia="zh-CN"/>
              </w:rPr>
            </w:pPr>
            <w:r>
              <w:rPr>
                <w:rFonts w:hint="default" w:ascii="Times New Roman" w:hAnsi="Times New Roman" w:eastAsia="宋体" w:cs="Times New Roman"/>
                <w:b/>
                <w:bCs w:val="0"/>
                <w:color w:val="000000"/>
                <w:kern w:val="0"/>
                <w:sz w:val="24"/>
                <w:szCs w:val="24"/>
                <w:lang w:val="en-US" w:eastAsia="zh-CN"/>
              </w:rPr>
              <w:t>运营期</w:t>
            </w:r>
          </w:p>
          <w:p w14:paraId="61544941">
            <w:pPr>
              <w:pStyle w:val="5"/>
              <w:suppressLineNumbers w:val="0"/>
              <w:bidi w:val="0"/>
              <w:spacing w:before="0" w:beforeAutospacing="0" w:after="0" w:afterAutospacing="0"/>
              <w:ind w:left="0" w:right="0"/>
              <w:rPr>
                <w:rFonts w:hint="default" w:ascii="Times New Roman" w:hAnsi="Times New Roman" w:eastAsia="宋体" w:cs="Times New Roman"/>
                <w:highlight w:val="none"/>
                <w:lang w:eastAsia="zh-CN"/>
              </w:rPr>
            </w:pPr>
            <w:r>
              <w:rPr>
                <w:rFonts w:hint="eastAsia" w:cs="Times New Roman"/>
                <w:highlight w:val="none"/>
                <w:lang w:val="en-US" w:eastAsia="zh-CN"/>
              </w:rPr>
              <w:t>1</w:t>
            </w:r>
            <w:r>
              <w:rPr>
                <w:rFonts w:hint="default" w:ascii="Times New Roman" w:hAnsi="Times New Roman" w:eastAsia="宋体" w:cs="Times New Roman"/>
                <w:highlight w:val="none"/>
                <w:lang w:val="en-US" w:eastAsia="zh-CN"/>
              </w:rPr>
              <w:t>.1</w:t>
            </w:r>
            <w:r>
              <w:rPr>
                <w:rFonts w:hint="default" w:ascii="Times New Roman" w:hAnsi="Times New Roman" w:eastAsia="宋体" w:cs="Times New Roman"/>
                <w:highlight w:val="none"/>
                <w:lang w:eastAsia="zh-CN"/>
              </w:rPr>
              <w:t>废气</w:t>
            </w:r>
          </w:p>
          <w:p w14:paraId="37753E43">
            <w:pPr>
              <w:keepNext w:val="0"/>
              <w:keepLines w:val="0"/>
              <w:suppressLineNumbers w:val="0"/>
              <w:adjustRightInd w:val="0"/>
              <w:snapToGrid w:val="0"/>
              <w:spacing w:before="0" w:beforeAutospacing="0" w:after="0" w:afterAutospacing="0"/>
              <w:ind w:left="0" w:right="0"/>
              <w:rPr>
                <w:rFonts w:hint="eastAsia"/>
                <w:color w:val="auto"/>
                <w:lang w:val="en-US" w:eastAsia="zh-CN"/>
              </w:rPr>
            </w:pPr>
            <w:r>
              <w:rPr>
                <w:rFonts w:hint="eastAsia"/>
                <w:color w:val="auto"/>
                <w:lang w:val="en-US" w:eastAsia="zh-CN"/>
              </w:rPr>
              <w:t>本项目产生的废气主要为宠物粪便、尿液、动物诊疗废物及废水处理设施等产生的异味，厂界臭气浓度执行《恶臭污染物排放标准》（GB14554-93）表1二级新扩改标准限值，具体见下表3-5。</w:t>
            </w:r>
          </w:p>
          <w:p w14:paraId="14C998BA">
            <w:pPr>
              <w:pStyle w:val="6"/>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2" w:firstLineChars="200"/>
              <w:textAlignment w:val="auto"/>
              <w:rPr>
                <w:rFonts w:hint="eastAsia"/>
                <w:sz w:val="21"/>
                <w:szCs w:val="21"/>
                <w:lang w:eastAsia="zh-CN"/>
              </w:rPr>
            </w:pPr>
            <w:r>
              <w:rPr>
                <w:rFonts w:hint="default"/>
                <w:color w:val="auto"/>
                <w:sz w:val="21"/>
                <w:szCs w:val="21"/>
                <w:lang w:val="en-US" w:eastAsia="zh-CN"/>
              </w:rPr>
              <w:t>表</w:t>
            </w:r>
            <w:r>
              <w:rPr>
                <w:rFonts w:hint="eastAsia"/>
                <w:color w:val="auto"/>
                <w:sz w:val="21"/>
                <w:szCs w:val="21"/>
                <w:lang w:val="en-US" w:eastAsia="zh-CN"/>
              </w:rPr>
              <w:t xml:space="preserve">3-5                 </w:t>
            </w:r>
            <w:r>
              <w:rPr>
                <w:rFonts w:hint="default"/>
                <w:color w:val="auto"/>
                <w:sz w:val="21"/>
                <w:szCs w:val="21"/>
                <w:lang w:val="en-US" w:eastAsia="zh-CN"/>
              </w:rPr>
              <w:t>大气污染排放</w:t>
            </w:r>
            <w:r>
              <w:rPr>
                <w:rFonts w:hint="eastAsia"/>
                <w:color w:val="auto"/>
                <w:sz w:val="21"/>
                <w:szCs w:val="21"/>
                <w:lang w:val="en-US" w:eastAsia="zh-CN"/>
              </w:rPr>
              <w:t>限值</w:t>
            </w:r>
            <w:r>
              <w:rPr>
                <w:rFonts w:hint="default"/>
                <w:color w:val="auto"/>
                <w:sz w:val="21"/>
                <w:szCs w:val="21"/>
                <w:lang w:val="en-US" w:eastAsia="zh-CN"/>
              </w:rPr>
              <w:t xml:space="preserve">     </w:t>
            </w:r>
            <w:r>
              <w:rPr>
                <w:rFonts w:hint="eastAsia"/>
                <w:color w:val="auto"/>
                <w:sz w:val="21"/>
                <w:szCs w:val="21"/>
                <w:lang w:val="en-US" w:eastAsia="zh-CN"/>
              </w:rPr>
              <w:t xml:space="preserve">          单位：mg/m</w:t>
            </w:r>
            <w:r>
              <w:rPr>
                <w:rFonts w:hint="eastAsia"/>
                <w:color w:val="auto"/>
                <w:sz w:val="21"/>
                <w:szCs w:val="21"/>
                <w:vertAlign w:val="superscript"/>
                <w:lang w:val="en-US" w:eastAsia="zh-CN"/>
              </w:rPr>
              <w:t xml:space="preserve">3  </w:t>
            </w:r>
            <w:r>
              <w:rPr>
                <w:rFonts w:hint="eastAsia"/>
                <w:color w:val="auto"/>
                <w:sz w:val="21"/>
                <w:szCs w:val="21"/>
                <w:lang w:val="en-US" w:eastAsia="zh-CN"/>
              </w:rPr>
              <w:t xml:space="preserve"> </w:t>
            </w:r>
          </w:p>
          <w:tbl>
            <w:tblPr>
              <w:tblStyle w:val="31"/>
              <w:tblW w:w="4897"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1277"/>
              <w:gridCol w:w="1307"/>
              <w:gridCol w:w="1328"/>
              <w:gridCol w:w="1265"/>
              <w:gridCol w:w="3043"/>
            </w:tblGrid>
            <w:tr w14:paraId="1BAD257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cantSplit/>
                <w:trHeight w:val="0" w:hRule="atLeast"/>
                <w:jc w:val="center"/>
              </w:trPr>
              <w:tc>
                <w:tcPr>
                  <w:tcW w:w="776" w:type="pct"/>
                  <w:vMerge w:val="restart"/>
                  <w:tcBorders>
                    <w:tl2br w:val="nil"/>
                    <w:tr2bl w:val="nil"/>
                  </w:tcBorders>
                  <w:noWrap w:val="0"/>
                  <w:vAlign w:val="center"/>
                </w:tcPr>
                <w:p w14:paraId="09692EDB">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位置</w:t>
                  </w:r>
                </w:p>
              </w:tc>
              <w:tc>
                <w:tcPr>
                  <w:tcW w:w="795" w:type="pct"/>
                  <w:vMerge w:val="restart"/>
                  <w:tcBorders>
                    <w:tl2br w:val="nil"/>
                    <w:tr2bl w:val="nil"/>
                  </w:tcBorders>
                  <w:noWrap w:val="0"/>
                  <w:vAlign w:val="center"/>
                </w:tcPr>
                <w:p w14:paraId="2B7A56E1">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污染物</w:t>
                  </w:r>
                  <w:r>
                    <w:rPr>
                      <w:rFonts w:hint="default" w:ascii="Times New Roman" w:hAnsi="Times New Roman" w:eastAsia="宋体" w:cs="Times New Roman"/>
                      <w:sz w:val="21"/>
                      <w:szCs w:val="21"/>
                      <w:lang w:eastAsia="zh-CN"/>
                    </w:rPr>
                    <w:t>项目</w:t>
                  </w:r>
                </w:p>
              </w:tc>
              <w:tc>
                <w:tcPr>
                  <w:tcW w:w="1577" w:type="pct"/>
                  <w:gridSpan w:val="2"/>
                  <w:tcBorders>
                    <w:tl2br w:val="nil"/>
                    <w:tr2bl w:val="nil"/>
                  </w:tcBorders>
                  <w:noWrap w:val="0"/>
                  <w:vAlign w:val="center"/>
                </w:tcPr>
                <w:p w14:paraId="4BE9E57B">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无组织排放限值</w:t>
                  </w:r>
                </w:p>
              </w:tc>
              <w:tc>
                <w:tcPr>
                  <w:tcW w:w="1850" w:type="pct"/>
                  <w:vMerge w:val="restart"/>
                  <w:tcBorders>
                    <w:tl2br w:val="nil"/>
                    <w:tr2bl w:val="nil"/>
                  </w:tcBorders>
                  <w:noWrap w:val="0"/>
                  <w:vAlign w:val="center"/>
                </w:tcPr>
                <w:p w14:paraId="555E3218">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标准来源</w:t>
                  </w:r>
                </w:p>
              </w:tc>
            </w:tr>
            <w:tr w14:paraId="7E31FCB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cantSplit/>
                <w:trHeight w:val="90" w:hRule="atLeast"/>
                <w:jc w:val="center"/>
              </w:trPr>
              <w:tc>
                <w:tcPr>
                  <w:tcW w:w="776" w:type="pct"/>
                  <w:vMerge w:val="continue"/>
                  <w:tcBorders>
                    <w:tl2br w:val="nil"/>
                    <w:tr2bl w:val="nil"/>
                  </w:tcBorders>
                  <w:noWrap w:val="0"/>
                  <w:vAlign w:val="center"/>
                </w:tcPr>
                <w:p w14:paraId="3FCF6B25">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sz w:val="21"/>
                      <w:szCs w:val="21"/>
                    </w:rPr>
                  </w:pPr>
                </w:p>
              </w:tc>
              <w:tc>
                <w:tcPr>
                  <w:tcW w:w="795" w:type="pct"/>
                  <w:vMerge w:val="continue"/>
                  <w:tcBorders>
                    <w:tl2br w:val="nil"/>
                    <w:tr2bl w:val="nil"/>
                  </w:tcBorders>
                  <w:noWrap w:val="0"/>
                  <w:vAlign w:val="center"/>
                </w:tcPr>
                <w:p w14:paraId="1F21FA58">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sz w:val="21"/>
                      <w:szCs w:val="21"/>
                    </w:rPr>
                  </w:pPr>
                </w:p>
              </w:tc>
              <w:tc>
                <w:tcPr>
                  <w:tcW w:w="807" w:type="pct"/>
                  <w:tcBorders>
                    <w:tl2br w:val="nil"/>
                    <w:tr2bl w:val="nil"/>
                  </w:tcBorders>
                  <w:shd w:val="clear" w:color="auto" w:fill="auto"/>
                  <w:noWrap w:val="0"/>
                  <w:vAlign w:val="center"/>
                </w:tcPr>
                <w:p w14:paraId="169519FA">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rPr>
                      <w:rFonts w:hint="default" w:ascii="Times New Roman" w:hAnsi="Times New Roman" w:eastAsia="宋体" w:cs="Times New Roman"/>
                      <w:snapToGrid w:val="0"/>
                      <w:kern w:val="0"/>
                      <w:sz w:val="21"/>
                      <w:szCs w:val="21"/>
                      <w:lang w:val="en-US" w:eastAsia="zh-CN" w:bidi="ar-SA"/>
                    </w:rPr>
                  </w:pPr>
                  <w:r>
                    <w:rPr>
                      <w:rFonts w:hint="default" w:ascii="Times New Roman" w:hAnsi="Times New Roman" w:eastAsia="宋体" w:cs="Times New Roman"/>
                      <w:sz w:val="21"/>
                      <w:szCs w:val="21"/>
                      <w:lang w:val="en-US" w:eastAsia="zh-CN"/>
                    </w:rPr>
                    <w:t>标准值</w:t>
                  </w:r>
                </w:p>
              </w:tc>
              <w:tc>
                <w:tcPr>
                  <w:tcW w:w="769" w:type="pct"/>
                  <w:tcBorders>
                    <w:tl2br w:val="nil"/>
                    <w:tr2bl w:val="nil"/>
                  </w:tcBorders>
                  <w:noWrap w:val="0"/>
                  <w:vAlign w:val="center"/>
                </w:tcPr>
                <w:p w14:paraId="0C9747CE">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单位</w:t>
                  </w:r>
                </w:p>
              </w:tc>
              <w:tc>
                <w:tcPr>
                  <w:tcW w:w="1850" w:type="pct"/>
                  <w:vMerge w:val="continue"/>
                  <w:tcBorders>
                    <w:tl2br w:val="nil"/>
                    <w:tr2bl w:val="nil"/>
                  </w:tcBorders>
                  <w:noWrap w:val="0"/>
                  <w:vAlign w:val="center"/>
                </w:tcPr>
                <w:p w14:paraId="68746E79">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sz w:val="21"/>
                      <w:szCs w:val="21"/>
                      <w:lang w:eastAsia="zh-CN"/>
                    </w:rPr>
                  </w:pPr>
                </w:p>
              </w:tc>
            </w:tr>
            <w:tr w14:paraId="0F32C75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cantSplit/>
                <w:trHeight w:val="0" w:hRule="atLeast"/>
                <w:jc w:val="center"/>
              </w:trPr>
              <w:tc>
                <w:tcPr>
                  <w:tcW w:w="776" w:type="pct"/>
                  <w:vMerge w:val="restart"/>
                  <w:tcBorders>
                    <w:tl2br w:val="nil"/>
                    <w:tr2bl w:val="nil"/>
                  </w:tcBorders>
                  <w:noWrap w:val="0"/>
                  <w:vAlign w:val="center"/>
                </w:tcPr>
                <w:p w14:paraId="586EE2C1">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厂界</w:t>
                  </w:r>
                </w:p>
              </w:tc>
              <w:tc>
                <w:tcPr>
                  <w:tcW w:w="795" w:type="pct"/>
                  <w:tcBorders>
                    <w:tl2br w:val="nil"/>
                    <w:tr2bl w:val="nil"/>
                  </w:tcBorders>
                  <w:noWrap w:val="0"/>
                  <w:vAlign w:val="center"/>
                </w:tcPr>
                <w:p w14:paraId="136C2B3D">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臭气浓度</w:t>
                  </w:r>
                </w:p>
              </w:tc>
              <w:tc>
                <w:tcPr>
                  <w:tcW w:w="807" w:type="pct"/>
                  <w:tcBorders>
                    <w:tl2br w:val="nil"/>
                    <w:tr2bl w:val="nil"/>
                  </w:tcBorders>
                  <w:shd w:val="clear" w:color="auto" w:fill="auto"/>
                  <w:noWrap w:val="0"/>
                  <w:vAlign w:val="center"/>
                </w:tcPr>
                <w:p w14:paraId="61031CFE">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rPr>
                      <w:rFonts w:hint="default" w:ascii="Times New Roman" w:hAnsi="Times New Roman" w:eastAsia="宋体" w:cs="Times New Roman"/>
                      <w:snapToGrid w:val="0"/>
                      <w:kern w:val="0"/>
                      <w:sz w:val="21"/>
                      <w:szCs w:val="21"/>
                      <w:lang w:val="en-US" w:eastAsia="zh-CN" w:bidi="ar-SA"/>
                    </w:rPr>
                  </w:pPr>
                  <w:r>
                    <w:rPr>
                      <w:rFonts w:hint="default" w:ascii="Times New Roman" w:hAnsi="Times New Roman" w:eastAsia="宋体" w:cs="Times New Roman"/>
                      <w:sz w:val="21"/>
                      <w:szCs w:val="21"/>
                      <w:lang w:val="en-US" w:eastAsia="zh-CN"/>
                    </w:rPr>
                    <w:t>20</w:t>
                  </w:r>
                </w:p>
              </w:tc>
              <w:tc>
                <w:tcPr>
                  <w:tcW w:w="769" w:type="pct"/>
                  <w:tcBorders>
                    <w:tl2br w:val="nil"/>
                    <w:tr2bl w:val="nil"/>
                  </w:tcBorders>
                  <w:noWrap w:val="0"/>
                  <w:vAlign w:val="center"/>
                </w:tcPr>
                <w:p w14:paraId="2D8A2E20">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无量纲</w:t>
                  </w:r>
                </w:p>
              </w:tc>
              <w:tc>
                <w:tcPr>
                  <w:tcW w:w="1850" w:type="pct"/>
                  <w:vMerge w:val="restart"/>
                  <w:tcBorders>
                    <w:tl2br w:val="nil"/>
                    <w:tr2bl w:val="nil"/>
                  </w:tcBorders>
                  <w:noWrap w:val="0"/>
                  <w:vAlign w:val="center"/>
                </w:tcPr>
                <w:p w14:paraId="712EA8C0">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《恶臭污染物排放标准》（GB14554-93）表1二级新扩改标准限值</w:t>
                  </w:r>
                </w:p>
              </w:tc>
            </w:tr>
            <w:tr w14:paraId="6C5F102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cantSplit/>
                <w:trHeight w:val="0" w:hRule="atLeast"/>
                <w:jc w:val="center"/>
              </w:trPr>
              <w:tc>
                <w:tcPr>
                  <w:tcW w:w="776" w:type="pct"/>
                  <w:vMerge w:val="continue"/>
                  <w:tcBorders>
                    <w:tl2br w:val="nil"/>
                    <w:tr2bl w:val="nil"/>
                  </w:tcBorders>
                  <w:noWrap w:val="0"/>
                  <w:vAlign w:val="center"/>
                </w:tcPr>
                <w:p w14:paraId="0431C416">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sz w:val="21"/>
                      <w:szCs w:val="21"/>
                      <w:lang w:val="en-US" w:eastAsia="zh-CN"/>
                    </w:rPr>
                  </w:pPr>
                </w:p>
              </w:tc>
              <w:tc>
                <w:tcPr>
                  <w:tcW w:w="795" w:type="pct"/>
                  <w:tcBorders>
                    <w:tl2br w:val="nil"/>
                    <w:tr2bl w:val="nil"/>
                  </w:tcBorders>
                  <w:noWrap w:val="0"/>
                  <w:vAlign w:val="center"/>
                </w:tcPr>
                <w:p w14:paraId="05615E7E">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硫化氢</w:t>
                  </w:r>
                </w:p>
              </w:tc>
              <w:tc>
                <w:tcPr>
                  <w:tcW w:w="807" w:type="pct"/>
                  <w:tcBorders>
                    <w:tl2br w:val="nil"/>
                    <w:tr2bl w:val="nil"/>
                  </w:tcBorders>
                  <w:shd w:val="clear" w:color="auto" w:fill="auto"/>
                  <w:noWrap w:val="0"/>
                  <w:vAlign w:val="center"/>
                </w:tcPr>
                <w:p w14:paraId="2EC35C3B">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0.06</w:t>
                  </w:r>
                </w:p>
              </w:tc>
              <w:tc>
                <w:tcPr>
                  <w:tcW w:w="769" w:type="pct"/>
                  <w:tcBorders>
                    <w:tl2br w:val="nil"/>
                    <w:tr2bl w:val="nil"/>
                  </w:tcBorders>
                  <w:noWrap w:val="0"/>
                  <w:vAlign w:val="center"/>
                </w:tcPr>
                <w:p w14:paraId="2A842F12">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mg/m</w:t>
                  </w:r>
                  <w:r>
                    <w:rPr>
                      <w:rFonts w:hint="default" w:ascii="Times New Roman" w:hAnsi="Times New Roman" w:eastAsia="宋体" w:cs="Times New Roman"/>
                      <w:sz w:val="21"/>
                      <w:szCs w:val="21"/>
                      <w:vertAlign w:val="superscript"/>
                      <w:lang w:val="en-US" w:eastAsia="zh-CN"/>
                    </w:rPr>
                    <w:t>3</w:t>
                  </w:r>
                </w:p>
              </w:tc>
              <w:tc>
                <w:tcPr>
                  <w:tcW w:w="1850" w:type="pct"/>
                  <w:vMerge w:val="continue"/>
                  <w:tcBorders>
                    <w:tl2br w:val="nil"/>
                    <w:tr2bl w:val="nil"/>
                  </w:tcBorders>
                  <w:noWrap w:val="0"/>
                  <w:vAlign w:val="center"/>
                </w:tcPr>
                <w:p w14:paraId="219823D3">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rPr>
                  </w:pPr>
                </w:p>
              </w:tc>
            </w:tr>
            <w:tr w14:paraId="0233FD0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cantSplit/>
                <w:trHeight w:val="0" w:hRule="atLeast"/>
                <w:jc w:val="center"/>
              </w:trPr>
              <w:tc>
                <w:tcPr>
                  <w:tcW w:w="776" w:type="pct"/>
                  <w:vMerge w:val="continue"/>
                  <w:tcBorders>
                    <w:tl2br w:val="nil"/>
                    <w:tr2bl w:val="nil"/>
                  </w:tcBorders>
                  <w:noWrap w:val="0"/>
                  <w:vAlign w:val="center"/>
                </w:tcPr>
                <w:p w14:paraId="1DD5167E">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sz w:val="21"/>
                      <w:szCs w:val="21"/>
                      <w:lang w:val="en-US" w:eastAsia="zh-CN"/>
                    </w:rPr>
                  </w:pPr>
                </w:p>
              </w:tc>
              <w:tc>
                <w:tcPr>
                  <w:tcW w:w="795" w:type="pct"/>
                  <w:tcBorders>
                    <w:tl2br w:val="nil"/>
                    <w:tr2bl w:val="nil"/>
                  </w:tcBorders>
                  <w:noWrap w:val="0"/>
                  <w:vAlign w:val="center"/>
                </w:tcPr>
                <w:p w14:paraId="1031AF97">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氨</w:t>
                  </w:r>
                </w:p>
              </w:tc>
              <w:tc>
                <w:tcPr>
                  <w:tcW w:w="807" w:type="pct"/>
                  <w:tcBorders>
                    <w:tl2br w:val="nil"/>
                    <w:tr2bl w:val="nil"/>
                  </w:tcBorders>
                  <w:shd w:val="clear" w:color="auto" w:fill="auto"/>
                  <w:noWrap w:val="0"/>
                  <w:vAlign w:val="center"/>
                </w:tcPr>
                <w:p w14:paraId="0E5580FC">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1.5</w:t>
                  </w:r>
                </w:p>
              </w:tc>
              <w:tc>
                <w:tcPr>
                  <w:tcW w:w="769" w:type="pct"/>
                  <w:tcBorders>
                    <w:tl2br w:val="nil"/>
                    <w:tr2bl w:val="nil"/>
                  </w:tcBorders>
                  <w:noWrap w:val="0"/>
                  <w:vAlign w:val="center"/>
                </w:tcPr>
                <w:p w14:paraId="127E9C6A">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mg/m</w:t>
                  </w:r>
                  <w:r>
                    <w:rPr>
                      <w:rFonts w:hint="default" w:ascii="Times New Roman" w:hAnsi="Times New Roman" w:eastAsia="宋体" w:cs="Times New Roman"/>
                      <w:sz w:val="21"/>
                      <w:szCs w:val="21"/>
                      <w:vertAlign w:val="superscript"/>
                      <w:lang w:val="en-US" w:eastAsia="zh-CN"/>
                    </w:rPr>
                    <w:t>3</w:t>
                  </w:r>
                </w:p>
              </w:tc>
              <w:tc>
                <w:tcPr>
                  <w:tcW w:w="1850" w:type="pct"/>
                  <w:vMerge w:val="continue"/>
                  <w:tcBorders>
                    <w:tl2br w:val="nil"/>
                    <w:tr2bl w:val="nil"/>
                  </w:tcBorders>
                  <w:noWrap w:val="0"/>
                  <w:vAlign w:val="center"/>
                </w:tcPr>
                <w:p w14:paraId="3CCFA765">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rPr>
                  </w:pPr>
                </w:p>
              </w:tc>
            </w:tr>
          </w:tbl>
          <w:p w14:paraId="6A8C4CBD">
            <w:pPr>
              <w:pStyle w:val="5"/>
              <w:suppressLineNumbers w:val="0"/>
              <w:bidi w:val="0"/>
              <w:spacing w:before="0" w:beforeAutospacing="0" w:after="0" w:afterAutospacing="0"/>
              <w:ind w:left="0" w:right="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2.2噪声</w:t>
            </w:r>
          </w:p>
          <w:p w14:paraId="450F781E">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bCs/>
                <w:kern w:val="0"/>
                <w:sz w:val="24"/>
                <w:szCs w:val="24"/>
                <w:lang w:eastAsia="zh-CN"/>
              </w:rPr>
            </w:pPr>
            <w:r>
              <w:rPr>
                <w:rFonts w:hint="eastAsia" w:ascii="Times New Roman" w:hAnsi="Times New Roman" w:eastAsia="宋体" w:cs="Times New Roman"/>
                <w:b w:val="0"/>
                <w:kern w:val="2"/>
                <w:sz w:val="24"/>
                <w:szCs w:val="24"/>
                <w:lang w:val="en-US" w:eastAsia="zh-CN" w:bidi="ar-SA"/>
              </w:rPr>
              <w:t>本项目西侧、南侧、北侧为居民住宅、东侧为</w:t>
            </w:r>
            <w:r>
              <w:rPr>
                <w:rFonts w:hint="eastAsia" w:cs="Times New Roman"/>
                <w:b w:val="0"/>
                <w:kern w:val="2"/>
                <w:sz w:val="24"/>
                <w:szCs w:val="24"/>
                <w:lang w:val="en-US" w:eastAsia="zh-CN" w:bidi="ar-SA"/>
              </w:rPr>
              <w:t>迎宾路</w:t>
            </w:r>
            <w:r>
              <w:rPr>
                <w:rFonts w:hint="eastAsia" w:ascii="Times New Roman" w:hAnsi="Times New Roman" w:eastAsia="宋体" w:cs="Times New Roman"/>
                <w:b w:val="0"/>
                <w:kern w:val="2"/>
                <w:sz w:val="24"/>
                <w:szCs w:val="24"/>
                <w:lang w:val="en-US" w:eastAsia="zh-CN" w:bidi="ar-SA"/>
              </w:rPr>
              <w:t>，根据《库尔勒市声环境功能区划》库政办发〔2019〕33号</w:t>
            </w:r>
            <w:r>
              <w:rPr>
                <w:rFonts w:hint="eastAsia" w:cs="Times New Roman"/>
                <w:b w:val="0"/>
                <w:kern w:val="2"/>
                <w:sz w:val="24"/>
                <w:szCs w:val="24"/>
                <w:lang w:val="en-US" w:eastAsia="zh-CN" w:bidi="ar-SA"/>
              </w:rPr>
              <w:t>，本项目厂界外声环境功能区分类属于2类区</w:t>
            </w:r>
            <w:r>
              <w:rPr>
                <w:rFonts w:hint="default" w:ascii="Times New Roman" w:hAnsi="Times New Roman" w:eastAsia="宋体" w:cs="Times New Roman"/>
                <w:bCs/>
                <w:kern w:val="0"/>
                <w:sz w:val="24"/>
                <w:szCs w:val="24"/>
                <w:lang w:eastAsia="zh-CN"/>
              </w:rPr>
              <w:t>运营期</w:t>
            </w:r>
            <w:r>
              <w:rPr>
                <w:rFonts w:hint="eastAsia" w:cs="Times New Roman"/>
                <w:bCs/>
                <w:kern w:val="0"/>
                <w:sz w:val="24"/>
                <w:szCs w:val="24"/>
                <w:lang w:val="en-US" w:eastAsia="zh-CN"/>
              </w:rPr>
              <w:t>厂界</w:t>
            </w:r>
            <w:r>
              <w:rPr>
                <w:rFonts w:hint="default" w:ascii="Times New Roman" w:hAnsi="Times New Roman" w:eastAsia="宋体" w:cs="Times New Roman"/>
                <w:bCs/>
                <w:kern w:val="0"/>
                <w:sz w:val="24"/>
                <w:szCs w:val="24"/>
                <w:lang w:eastAsia="zh-CN"/>
              </w:rPr>
              <w:t>噪声执行《工业企业厂界环境噪声排放标准》（GB 12348-2008）中</w:t>
            </w:r>
            <w:r>
              <w:rPr>
                <w:rFonts w:hint="eastAsia" w:cs="Times New Roman"/>
                <w:bCs/>
                <w:kern w:val="0"/>
                <w:sz w:val="24"/>
                <w:szCs w:val="24"/>
                <w:highlight w:val="none"/>
                <w:lang w:val="en-US" w:eastAsia="zh-CN"/>
              </w:rPr>
              <w:t>2</w:t>
            </w:r>
            <w:r>
              <w:rPr>
                <w:rFonts w:hint="eastAsia" w:ascii="Times New Roman" w:hAnsi="Times New Roman" w:eastAsia="宋体" w:cs="Times New Roman"/>
                <w:bCs/>
                <w:kern w:val="0"/>
                <w:sz w:val="24"/>
                <w:szCs w:val="24"/>
                <w:highlight w:val="none"/>
                <w:lang w:val="en-US" w:eastAsia="zh-CN"/>
              </w:rPr>
              <w:t>类</w:t>
            </w:r>
            <w:r>
              <w:rPr>
                <w:rFonts w:hint="default" w:ascii="Times New Roman" w:hAnsi="Times New Roman" w:eastAsia="宋体" w:cs="Times New Roman"/>
                <w:bCs/>
                <w:kern w:val="0"/>
                <w:sz w:val="24"/>
                <w:szCs w:val="24"/>
                <w:lang w:eastAsia="zh-CN"/>
              </w:rPr>
              <w:t>标准见表</w:t>
            </w:r>
            <w:r>
              <w:rPr>
                <w:rFonts w:hint="eastAsia" w:cs="Times New Roman"/>
                <w:bCs/>
                <w:kern w:val="0"/>
                <w:sz w:val="24"/>
                <w:szCs w:val="24"/>
                <w:lang w:val="en-US" w:eastAsia="zh-CN"/>
              </w:rPr>
              <w:t>3-6</w:t>
            </w:r>
            <w:r>
              <w:rPr>
                <w:rFonts w:hint="default" w:ascii="Times New Roman" w:hAnsi="Times New Roman" w:eastAsia="宋体" w:cs="Times New Roman"/>
                <w:bCs/>
                <w:kern w:val="0"/>
                <w:sz w:val="24"/>
                <w:szCs w:val="24"/>
                <w:lang w:eastAsia="zh-CN"/>
              </w:rPr>
              <w:t>。</w:t>
            </w:r>
          </w:p>
          <w:p w14:paraId="014735D1">
            <w:pPr>
              <w:pStyle w:val="7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2" w:firstLineChars="200"/>
              <w:jc w:val="both"/>
              <w:textAlignment w:val="auto"/>
              <w:rPr>
                <w:rFonts w:hint="default"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kern w:val="2"/>
                <w:sz w:val="21"/>
                <w:szCs w:val="21"/>
                <w:lang w:val="en-US" w:eastAsia="zh-CN" w:bidi="ar-SA"/>
              </w:rPr>
              <w:t>表</w:t>
            </w:r>
            <w:r>
              <w:rPr>
                <w:rFonts w:hint="eastAsia" w:cs="Times New Roman"/>
                <w:b/>
                <w:bCs/>
                <w:kern w:val="2"/>
                <w:sz w:val="21"/>
                <w:szCs w:val="21"/>
                <w:lang w:val="en-US" w:eastAsia="zh-CN" w:bidi="ar-SA"/>
              </w:rPr>
              <w:t>3-6</w:t>
            </w:r>
            <w:r>
              <w:rPr>
                <w:rFonts w:hint="default" w:ascii="Times New Roman" w:hAnsi="Times New Roman" w:eastAsia="宋体" w:cs="Times New Roman"/>
                <w:b/>
                <w:bCs/>
                <w:kern w:val="2"/>
                <w:sz w:val="21"/>
                <w:szCs w:val="21"/>
                <w:lang w:val="en-US" w:eastAsia="zh-CN" w:bidi="ar-SA"/>
              </w:rPr>
              <w:t xml:space="preserve">        工业企业厂界环境噪声排放标准      单位：dB（A）</w:t>
            </w:r>
          </w:p>
          <w:tbl>
            <w:tblPr>
              <w:tblStyle w:val="31"/>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009"/>
              <w:gridCol w:w="905"/>
              <w:gridCol w:w="856"/>
              <w:gridCol w:w="3619"/>
            </w:tblGrid>
            <w:tr w14:paraId="36008B6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793" w:type="pct"/>
                  <w:noWrap w:val="0"/>
                  <w:vAlign w:val="center"/>
                </w:tcPr>
                <w:p w14:paraId="78AA859D">
                  <w:pPr>
                    <w:pStyle w:val="65"/>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厂界外声环境功能区类别</w:t>
                  </w:r>
                </w:p>
              </w:tc>
              <w:tc>
                <w:tcPr>
                  <w:tcW w:w="539" w:type="pct"/>
                  <w:noWrap w:val="0"/>
                  <w:vAlign w:val="center"/>
                </w:tcPr>
                <w:p w14:paraId="470E9D79">
                  <w:pPr>
                    <w:pStyle w:val="65"/>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昼间</w:t>
                  </w:r>
                </w:p>
              </w:tc>
              <w:tc>
                <w:tcPr>
                  <w:tcW w:w="510" w:type="pct"/>
                  <w:noWrap w:val="0"/>
                  <w:vAlign w:val="center"/>
                </w:tcPr>
                <w:p w14:paraId="7481AACB">
                  <w:pPr>
                    <w:pStyle w:val="65"/>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夜间</w:t>
                  </w:r>
                </w:p>
              </w:tc>
              <w:tc>
                <w:tcPr>
                  <w:tcW w:w="2156" w:type="pct"/>
                  <w:noWrap w:val="0"/>
                  <w:vAlign w:val="center"/>
                </w:tcPr>
                <w:p w14:paraId="530A6862">
                  <w:pPr>
                    <w:pStyle w:val="65"/>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标准来源</w:t>
                  </w:r>
                </w:p>
              </w:tc>
            </w:tr>
            <w:tr w14:paraId="22290B1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93" w:type="pct"/>
                  <w:noWrap w:val="0"/>
                  <w:vAlign w:val="center"/>
                </w:tcPr>
                <w:p w14:paraId="695B6598">
                  <w:pPr>
                    <w:pStyle w:val="65"/>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rPr>
                  </w:pPr>
                  <w:r>
                    <w:rPr>
                      <w:rFonts w:hint="eastAsia" w:cs="Times New Roman"/>
                      <w:sz w:val="21"/>
                      <w:szCs w:val="21"/>
                      <w:lang w:val="en-US" w:eastAsia="zh-CN"/>
                    </w:rPr>
                    <w:t>2</w:t>
                  </w:r>
                  <w:r>
                    <w:rPr>
                      <w:rFonts w:hint="default" w:ascii="Times New Roman" w:hAnsi="Times New Roman" w:cs="Times New Roman"/>
                      <w:sz w:val="21"/>
                      <w:szCs w:val="21"/>
                    </w:rPr>
                    <w:t>类</w:t>
                  </w:r>
                </w:p>
              </w:tc>
              <w:tc>
                <w:tcPr>
                  <w:tcW w:w="539" w:type="pct"/>
                  <w:noWrap w:val="0"/>
                  <w:vAlign w:val="center"/>
                </w:tcPr>
                <w:p w14:paraId="0A7605AB">
                  <w:pPr>
                    <w:pStyle w:val="65"/>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60</w:t>
                  </w:r>
                </w:p>
              </w:tc>
              <w:tc>
                <w:tcPr>
                  <w:tcW w:w="510" w:type="pct"/>
                  <w:noWrap w:val="0"/>
                  <w:vAlign w:val="center"/>
                </w:tcPr>
                <w:p w14:paraId="2E2726F8">
                  <w:pPr>
                    <w:pStyle w:val="65"/>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50</w:t>
                  </w:r>
                </w:p>
              </w:tc>
              <w:tc>
                <w:tcPr>
                  <w:tcW w:w="2156" w:type="pct"/>
                  <w:noWrap w:val="0"/>
                  <w:vAlign w:val="center"/>
                </w:tcPr>
                <w:p w14:paraId="3B280903">
                  <w:pPr>
                    <w:pStyle w:val="65"/>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《工业企业厂界环境噪声排放标准》（GB12348-2008）</w:t>
                  </w:r>
                </w:p>
              </w:tc>
            </w:tr>
          </w:tbl>
          <w:p w14:paraId="26700762">
            <w:pPr>
              <w:pStyle w:val="5"/>
              <w:suppressLineNumbers w:val="0"/>
              <w:bidi w:val="0"/>
              <w:spacing w:before="0" w:beforeAutospacing="0" w:after="0" w:afterAutospacing="0"/>
              <w:ind w:left="0" w:right="0"/>
              <w:rPr>
                <w:rFonts w:hint="default" w:ascii="Times New Roman" w:hAnsi="Times New Roman" w:eastAsia="宋体" w:cs="Times New Roman"/>
                <w:color w:val="000000"/>
                <w:lang w:eastAsia="zh-CN"/>
              </w:rPr>
            </w:pPr>
            <w:r>
              <w:rPr>
                <w:rFonts w:hint="default" w:ascii="Times New Roman" w:hAnsi="Times New Roman" w:eastAsia="宋体" w:cs="Times New Roman"/>
                <w:lang w:val="en-US" w:eastAsia="zh-CN"/>
              </w:rPr>
              <w:t>2.3、固废</w:t>
            </w:r>
          </w:p>
          <w:p w14:paraId="65B8E1AC">
            <w:pPr>
              <w:pStyle w:val="10"/>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b w:val="0"/>
                <w:color w:val="000000"/>
                <w:kern w:val="0"/>
                <w:sz w:val="24"/>
                <w:szCs w:val="24"/>
                <w:lang w:val="en-US" w:eastAsia="zh-CN" w:bidi="ar"/>
              </w:rPr>
              <w:t>本项目一般固废</w:t>
            </w:r>
            <w:r>
              <w:rPr>
                <w:rFonts w:hint="default" w:ascii="Times New Roman" w:hAnsi="Times New Roman" w:eastAsia="宋体" w:cs="Times New Roman"/>
                <w:color w:val="000000" w:themeColor="text1"/>
                <w:kern w:val="0"/>
                <w:sz w:val="24"/>
                <w:szCs w:val="24"/>
                <w:lang w:eastAsia="zh-CN"/>
                <w14:textFill>
                  <w14:solidFill>
                    <w14:schemeClr w14:val="tx1"/>
                  </w14:solidFill>
                </w14:textFill>
              </w:rPr>
              <w:t>执行</w:t>
            </w:r>
            <w:r>
              <w:rPr>
                <w:rFonts w:hint="default" w:ascii="Times New Roman" w:hAnsi="Times New Roman" w:eastAsia="宋体" w:cs="Times New Roman"/>
                <w:color w:val="000000" w:themeColor="text1"/>
                <w:kern w:val="0"/>
                <w:sz w:val="24"/>
                <w:szCs w:val="24"/>
                <w14:textFill>
                  <w14:solidFill>
                    <w14:schemeClr w14:val="tx1"/>
                  </w14:solidFill>
                </w14:textFill>
              </w:rPr>
              <w:t>《</w:t>
            </w:r>
            <w:r>
              <w:rPr>
                <w:rFonts w:hint="default" w:ascii="Times New Roman" w:hAnsi="Times New Roman" w:eastAsia="宋体" w:cs="Times New Roman"/>
                <w:color w:val="000000"/>
                <w:sz w:val="24"/>
                <w:szCs w:val="24"/>
                <w:highlight w:val="none"/>
                <w:lang w:val="en-US" w:eastAsia="zh-CN"/>
              </w:rPr>
              <w:t>中华人民共和国固体废物污染环境防治法</w:t>
            </w:r>
            <w:r>
              <w:rPr>
                <w:rFonts w:hint="default" w:ascii="Times New Roman" w:hAnsi="Times New Roman" w:eastAsia="宋体" w:cs="Times New Roman"/>
                <w:color w:val="000000" w:themeColor="text1"/>
                <w:kern w:val="0"/>
                <w:sz w:val="24"/>
                <w:szCs w:val="24"/>
                <w14:textFill>
                  <w14:solidFill>
                    <w14:schemeClr w14:val="tx1"/>
                  </w14:solidFill>
                </w14:textFill>
              </w:rPr>
              <w:t>》</w:t>
            </w:r>
            <w:r>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t>中的要求</w:t>
            </w:r>
            <w:r>
              <w:rPr>
                <w:rFonts w:hint="default" w:ascii="Times New Roman" w:hAnsi="Times New Roman" w:eastAsia="宋体" w:cs="Times New Roman"/>
                <w:color w:val="000000" w:themeColor="text1"/>
                <w:kern w:val="0"/>
                <w:sz w:val="24"/>
                <w:szCs w:val="24"/>
                <w:lang w:eastAsia="zh-CN"/>
                <w14:textFill>
                  <w14:solidFill>
                    <w14:schemeClr w14:val="tx1"/>
                  </w14:solidFill>
                </w14:textFill>
              </w:rPr>
              <w:t>；</w:t>
            </w:r>
            <w:r>
              <w:rPr>
                <w:rFonts w:hint="eastAsia" w:cs="Times New Roman"/>
                <w:color w:val="000000" w:themeColor="text1"/>
                <w:kern w:val="0"/>
                <w:sz w:val="24"/>
                <w:szCs w:val="24"/>
                <w:lang w:val="en-US" w:eastAsia="zh-CN"/>
                <w14:textFill>
                  <w14:solidFill>
                    <w14:schemeClr w14:val="tx1"/>
                  </w14:solidFill>
                </w14:textFill>
              </w:rPr>
              <w:t>动物诊疗废物</w:t>
            </w:r>
            <w:r>
              <w:rPr>
                <w:rFonts w:hint="default"/>
              </w:rPr>
              <w:t>按照《动物诊疗机构管理办法》</w:t>
            </w:r>
            <w:r>
              <w:rPr>
                <w:rFonts w:hint="eastAsia"/>
                <w:lang w:val="en-US" w:eastAsia="zh-CN"/>
              </w:rPr>
              <w:t>中的规定“</w:t>
            </w:r>
            <w:r>
              <w:rPr>
                <w:rFonts w:hint="default"/>
              </w:rPr>
              <w:t>动物诊疗机构应当参照《医疗废物管理条例》的有关规定处理诊疗废弃物</w:t>
            </w:r>
            <w:r>
              <w:rPr>
                <w:rFonts w:hint="eastAsia"/>
                <w:lang w:eastAsia="zh-CN"/>
              </w:rPr>
              <w:t>。</w:t>
            </w:r>
            <w:r>
              <w:rPr>
                <w:rFonts w:hint="eastAsia"/>
                <w:lang w:val="en-US" w:eastAsia="zh-CN"/>
              </w:rPr>
              <w:t>”</w:t>
            </w:r>
          </w:p>
          <w:p w14:paraId="54E81D09">
            <w:pPr>
              <w:keepNext/>
              <w:keepLines/>
              <w:widowControl w:val="0"/>
              <w:suppressLineNumbers w:val="0"/>
              <w:bidi w:val="0"/>
              <w:adjustRightInd w:val="0"/>
              <w:snapToGrid w:val="0"/>
              <w:spacing w:before="0" w:beforeAutospacing="0" w:after="0" w:afterAutospacing="0" w:line="360" w:lineRule="auto"/>
              <w:ind w:left="0" w:right="0" w:firstLine="0" w:firstLineChars="0"/>
              <w:jc w:val="both"/>
              <w:outlineLvl w:val="1"/>
              <w:rPr>
                <w:rFonts w:hint="default" w:ascii="Times New Roman" w:hAnsi="Times New Roman" w:eastAsia="宋体" w:cs="Times New Roman"/>
                <w:b/>
                <w:bCs/>
                <w:color w:val="000000"/>
                <w:kern w:val="2"/>
                <w:sz w:val="24"/>
                <w:szCs w:val="32"/>
                <w:highlight w:val="none"/>
                <w:lang w:val="en-US" w:eastAsia="zh-CN" w:bidi="ar-SA"/>
              </w:rPr>
            </w:pPr>
            <w:r>
              <w:rPr>
                <w:rFonts w:hint="default" w:ascii="Times New Roman" w:hAnsi="Times New Roman" w:eastAsia="宋体" w:cs="Times New Roman"/>
                <w:b/>
                <w:bCs/>
                <w:kern w:val="2"/>
                <w:sz w:val="24"/>
                <w:szCs w:val="32"/>
                <w:highlight w:val="none"/>
                <w:lang w:val="en-US" w:eastAsia="zh-CN" w:bidi="ar-SA"/>
              </w:rPr>
              <w:t>2.4、废水</w:t>
            </w:r>
          </w:p>
          <w:p w14:paraId="7EFD7184">
            <w:pPr>
              <w:pStyle w:val="24"/>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56" w:firstLineChars="200"/>
              <w:jc w:val="both"/>
              <w:textAlignment w:val="auto"/>
              <w:rPr>
                <w:rFonts w:hint="default" w:ascii="Times New Roman" w:hAnsi="Times New Roman" w:eastAsia="宋体" w:cs="Times New Roman"/>
                <w:spacing w:val="-6"/>
                <w:sz w:val="24"/>
                <w:szCs w:val="24"/>
                <w:lang w:val="en-US" w:eastAsia="zh-CN"/>
              </w:rPr>
            </w:pPr>
            <w:r>
              <w:rPr>
                <w:rFonts w:hint="default" w:ascii="Times New Roman" w:hAnsi="Times New Roman" w:eastAsia="宋体" w:cs="Times New Roman"/>
                <w:spacing w:val="-6"/>
                <w:sz w:val="24"/>
                <w:szCs w:val="24"/>
                <w:lang w:val="en-US" w:eastAsia="zh-CN"/>
              </w:rPr>
              <w:t>运营期间，</w:t>
            </w:r>
            <w:r>
              <w:rPr>
                <w:rFonts w:hint="eastAsia" w:cs="Times New Roman"/>
                <w:spacing w:val="-6"/>
                <w:sz w:val="24"/>
                <w:szCs w:val="24"/>
                <w:lang w:val="en-US" w:eastAsia="zh-CN"/>
              </w:rPr>
              <w:t>动物诊疗</w:t>
            </w:r>
            <w:r>
              <w:rPr>
                <w:rFonts w:hint="default" w:ascii="Times New Roman" w:hAnsi="Times New Roman" w:eastAsia="宋体" w:cs="Times New Roman"/>
                <w:spacing w:val="-6"/>
                <w:sz w:val="24"/>
                <w:szCs w:val="24"/>
                <w:lang w:val="en-US" w:eastAsia="zh-CN"/>
              </w:rPr>
              <w:t>废水</w:t>
            </w:r>
            <w:r>
              <w:rPr>
                <w:rFonts w:hint="eastAsia" w:cs="Times New Roman"/>
                <w:spacing w:val="-6"/>
                <w:sz w:val="24"/>
                <w:szCs w:val="24"/>
                <w:lang w:val="en-US" w:eastAsia="zh-CN"/>
              </w:rPr>
              <w:t>参考</w:t>
            </w:r>
            <w:r>
              <w:rPr>
                <w:rFonts w:hint="default" w:ascii="Times New Roman" w:hAnsi="Times New Roman" w:eastAsia="宋体" w:cs="Times New Roman"/>
                <w:spacing w:val="-6"/>
                <w:sz w:val="24"/>
                <w:szCs w:val="24"/>
                <w:lang w:val="en-US" w:eastAsia="zh-CN"/>
              </w:rPr>
              <w:t>《医疗机构水污染物排放标准》（GB18466-2005）表2中综合医疗机构和其他医疗机构水污染物排放限值的预处理标准</w:t>
            </w:r>
            <w:r>
              <w:rPr>
                <w:rFonts w:hint="eastAsia" w:cs="Times New Roman"/>
                <w:spacing w:val="-6"/>
                <w:sz w:val="24"/>
                <w:szCs w:val="24"/>
                <w:lang w:val="en-US" w:eastAsia="zh-CN"/>
              </w:rPr>
              <w:t>限值</w:t>
            </w:r>
            <w:r>
              <w:rPr>
                <w:rFonts w:hint="default" w:ascii="Times New Roman" w:hAnsi="Times New Roman" w:eastAsia="宋体" w:cs="Times New Roman"/>
                <w:spacing w:val="-6"/>
                <w:sz w:val="24"/>
                <w:szCs w:val="24"/>
                <w:lang w:val="en-US" w:eastAsia="zh-CN"/>
              </w:rPr>
              <w:t>，详见表</w:t>
            </w:r>
            <w:r>
              <w:rPr>
                <w:rFonts w:hint="eastAsia" w:cs="Times New Roman"/>
                <w:spacing w:val="-6"/>
                <w:sz w:val="24"/>
                <w:szCs w:val="24"/>
                <w:lang w:val="en-US" w:eastAsia="zh-CN"/>
              </w:rPr>
              <w:t>3-7</w:t>
            </w:r>
            <w:r>
              <w:rPr>
                <w:rFonts w:hint="default" w:ascii="Times New Roman" w:hAnsi="Times New Roman" w:eastAsia="宋体" w:cs="Times New Roman"/>
                <w:spacing w:val="-6"/>
                <w:sz w:val="24"/>
                <w:szCs w:val="24"/>
                <w:lang w:val="en-US" w:eastAsia="zh-CN"/>
              </w:rPr>
              <w:t>。</w:t>
            </w:r>
          </w:p>
          <w:p w14:paraId="469C7449">
            <w:pPr>
              <w:pStyle w:val="94"/>
              <w:keepNext w:val="0"/>
              <w:keepLines w:val="0"/>
              <w:suppressLineNumbers w:val="0"/>
              <w:spacing w:before="0" w:beforeAutospacing="0" w:after="0" w:afterAutospacing="0" w:line="212" w:lineRule="auto"/>
              <w:ind w:left="0" w:right="0" w:firstLine="414"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b/>
                <w:bCs/>
                <w:spacing w:val="-2"/>
                <w:sz w:val="21"/>
                <w:szCs w:val="21"/>
              </w:rPr>
              <w:t>表</w:t>
            </w:r>
            <w:r>
              <w:rPr>
                <w:rFonts w:hint="eastAsia" w:cs="Times New Roman"/>
                <w:b/>
                <w:bCs/>
                <w:spacing w:val="-2"/>
                <w:sz w:val="21"/>
                <w:szCs w:val="21"/>
                <w:lang w:val="en-US" w:eastAsia="zh-CN"/>
              </w:rPr>
              <w:t>3-7</w:t>
            </w:r>
            <w:r>
              <w:rPr>
                <w:rFonts w:hint="default" w:ascii="Times New Roman" w:hAnsi="Times New Roman" w:eastAsia="宋体" w:cs="Times New Roman"/>
                <w:b/>
                <w:bCs/>
                <w:spacing w:val="-2"/>
                <w:sz w:val="21"/>
                <w:szCs w:val="21"/>
              </w:rPr>
              <w:t xml:space="preserve"> </w:t>
            </w:r>
            <w:r>
              <w:rPr>
                <w:rFonts w:hint="default" w:ascii="Times New Roman" w:hAnsi="Times New Roman" w:eastAsia="宋体" w:cs="Times New Roman"/>
                <w:b/>
                <w:bCs/>
                <w:spacing w:val="-2"/>
                <w:sz w:val="21"/>
                <w:szCs w:val="21"/>
                <w:lang w:val="en-US" w:eastAsia="zh-CN"/>
              </w:rPr>
              <w:t xml:space="preserve">    </w:t>
            </w:r>
            <w:r>
              <w:rPr>
                <w:rFonts w:hint="default" w:ascii="Times New Roman" w:hAnsi="Times New Roman" w:eastAsia="宋体" w:cs="Times New Roman"/>
                <w:b/>
                <w:bCs/>
                <w:spacing w:val="-2"/>
                <w:sz w:val="21"/>
                <w:szCs w:val="21"/>
              </w:rPr>
              <w:t>《医疗机构水污染物排放标准》的预处理标准单位：mg/L</w:t>
            </w:r>
          </w:p>
          <w:tbl>
            <w:tblPr>
              <w:tblStyle w:val="89"/>
              <w:tblW w:w="0" w:type="auto"/>
              <w:jc w:val="center"/>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
            <w:tblGrid>
              <w:gridCol w:w="1217"/>
              <w:gridCol w:w="2995"/>
              <w:gridCol w:w="2363"/>
              <w:gridCol w:w="1737"/>
            </w:tblGrid>
            <w:tr w14:paraId="55DA30CC">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217" w:type="dxa"/>
                  <w:tcBorders>
                    <w:tl2br w:val="nil"/>
                    <w:tr2bl w:val="nil"/>
                  </w:tcBorders>
                  <w:noWrap w:val="0"/>
                  <w:vAlign w:val="center"/>
                </w:tcPr>
                <w:p w14:paraId="02FAC7BF">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2995" w:type="dxa"/>
                  <w:tcBorders>
                    <w:tl2br w:val="nil"/>
                    <w:tr2bl w:val="nil"/>
                  </w:tcBorders>
                  <w:noWrap w:val="0"/>
                  <w:vAlign w:val="center"/>
                </w:tcPr>
                <w:p w14:paraId="3B98C9A9">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w:t>
                  </w:r>
                </w:p>
              </w:tc>
              <w:tc>
                <w:tcPr>
                  <w:tcW w:w="2363" w:type="dxa"/>
                  <w:tcBorders>
                    <w:tl2br w:val="nil"/>
                    <w:tr2bl w:val="nil"/>
                  </w:tcBorders>
                  <w:noWrap w:val="0"/>
                  <w:vAlign w:val="center"/>
                </w:tcPr>
                <w:p w14:paraId="3A0778F2">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单位</w:t>
                  </w:r>
                </w:p>
              </w:tc>
              <w:tc>
                <w:tcPr>
                  <w:tcW w:w="1737" w:type="dxa"/>
                  <w:tcBorders>
                    <w:tl2br w:val="nil"/>
                    <w:tr2bl w:val="nil"/>
                  </w:tcBorders>
                  <w:noWrap w:val="0"/>
                  <w:vAlign w:val="center"/>
                </w:tcPr>
                <w:p w14:paraId="656893CD">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标准值</w:t>
                  </w:r>
                </w:p>
              </w:tc>
            </w:tr>
            <w:tr w14:paraId="5C0EB1B1">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217" w:type="dxa"/>
                  <w:tcBorders>
                    <w:tl2br w:val="nil"/>
                    <w:tr2bl w:val="nil"/>
                  </w:tcBorders>
                  <w:noWrap w:val="0"/>
                  <w:vAlign w:val="center"/>
                </w:tcPr>
                <w:p w14:paraId="65F606E6">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2995" w:type="dxa"/>
                  <w:tcBorders>
                    <w:tl2br w:val="nil"/>
                    <w:tr2bl w:val="nil"/>
                  </w:tcBorders>
                  <w:noWrap w:val="0"/>
                  <w:vAlign w:val="center"/>
                </w:tcPr>
                <w:p w14:paraId="09C69F12">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pH</w:t>
                  </w:r>
                </w:p>
              </w:tc>
              <w:tc>
                <w:tcPr>
                  <w:tcW w:w="2363" w:type="dxa"/>
                  <w:tcBorders>
                    <w:tl2br w:val="nil"/>
                    <w:tr2bl w:val="nil"/>
                  </w:tcBorders>
                  <w:noWrap w:val="0"/>
                  <w:vAlign w:val="center"/>
                </w:tcPr>
                <w:p w14:paraId="2D2C4420">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（无量纲）</w:t>
                  </w:r>
                </w:p>
              </w:tc>
              <w:tc>
                <w:tcPr>
                  <w:tcW w:w="1737" w:type="dxa"/>
                  <w:tcBorders>
                    <w:tl2br w:val="nil"/>
                    <w:tr2bl w:val="nil"/>
                  </w:tcBorders>
                  <w:noWrap w:val="0"/>
                  <w:vAlign w:val="center"/>
                </w:tcPr>
                <w:p w14:paraId="302138E5">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6~9</w:t>
                  </w:r>
                </w:p>
              </w:tc>
            </w:tr>
            <w:tr w14:paraId="764B3FF8">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217" w:type="dxa"/>
                  <w:tcBorders>
                    <w:tl2br w:val="nil"/>
                    <w:tr2bl w:val="nil"/>
                  </w:tcBorders>
                  <w:noWrap w:val="0"/>
                  <w:vAlign w:val="center"/>
                </w:tcPr>
                <w:p w14:paraId="453DE1DE">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2995" w:type="dxa"/>
                  <w:tcBorders>
                    <w:tl2br w:val="nil"/>
                    <w:tr2bl w:val="nil"/>
                  </w:tcBorders>
                  <w:noWrap w:val="0"/>
                  <w:vAlign w:val="center"/>
                </w:tcPr>
                <w:p w14:paraId="3C0708CD">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COD</w:t>
                  </w:r>
                </w:p>
              </w:tc>
              <w:tc>
                <w:tcPr>
                  <w:tcW w:w="2363" w:type="dxa"/>
                  <w:tcBorders>
                    <w:tl2br w:val="nil"/>
                    <w:tr2bl w:val="nil"/>
                  </w:tcBorders>
                  <w:noWrap w:val="0"/>
                  <w:vAlign w:val="center"/>
                </w:tcPr>
                <w:p w14:paraId="303D436C">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mg/L</w:t>
                  </w:r>
                </w:p>
              </w:tc>
              <w:tc>
                <w:tcPr>
                  <w:tcW w:w="1737" w:type="dxa"/>
                  <w:tcBorders>
                    <w:tl2br w:val="nil"/>
                    <w:tr2bl w:val="nil"/>
                  </w:tcBorders>
                  <w:noWrap w:val="0"/>
                  <w:vAlign w:val="center"/>
                </w:tcPr>
                <w:p w14:paraId="2964A9F0">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250</w:t>
                  </w:r>
                </w:p>
              </w:tc>
            </w:tr>
            <w:tr w14:paraId="2AF2FC5C">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217" w:type="dxa"/>
                  <w:tcBorders>
                    <w:tl2br w:val="nil"/>
                    <w:tr2bl w:val="nil"/>
                  </w:tcBorders>
                  <w:noWrap w:val="0"/>
                  <w:vAlign w:val="center"/>
                </w:tcPr>
                <w:p w14:paraId="2F984290">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2995" w:type="dxa"/>
                  <w:tcBorders>
                    <w:tl2br w:val="nil"/>
                    <w:tr2bl w:val="nil"/>
                  </w:tcBorders>
                  <w:noWrap w:val="0"/>
                  <w:vAlign w:val="center"/>
                </w:tcPr>
                <w:p w14:paraId="77B3FC7E">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SS</w:t>
                  </w:r>
                </w:p>
              </w:tc>
              <w:tc>
                <w:tcPr>
                  <w:tcW w:w="2363" w:type="dxa"/>
                  <w:tcBorders>
                    <w:tl2br w:val="nil"/>
                    <w:tr2bl w:val="nil"/>
                  </w:tcBorders>
                  <w:noWrap w:val="0"/>
                  <w:vAlign w:val="center"/>
                </w:tcPr>
                <w:p w14:paraId="70797C75">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mg/L</w:t>
                  </w:r>
                </w:p>
              </w:tc>
              <w:tc>
                <w:tcPr>
                  <w:tcW w:w="1737" w:type="dxa"/>
                  <w:tcBorders>
                    <w:tl2br w:val="nil"/>
                    <w:tr2bl w:val="nil"/>
                  </w:tcBorders>
                  <w:noWrap w:val="0"/>
                  <w:vAlign w:val="center"/>
                </w:tcPr>
                <w:p w14:paraId="236818B3">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60</w:t>
                  </w:r>
                </w:p>
              </w:tc>
            </w:tr>
            <w:tr w14:paraId="092FDAE0">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217" w:type="dxa"/>
                  <w:tcBorders>
                    <w:tl2br w:val="nil"/>
                    <w:tr2bl w:val="nil"/>
                  </w:tcBorders>
                  <w:noWrap w:val="0"/>
                  <w:vAlign w:val="center"/>
                </w:tcPr>
                <w:p w14:paraId="63D2245C">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2995" w:type="dxa"/>
                  <w:tcBorders>
                    <w:tl2br w:val="nil"/>
                    <w:tr2bl w:val="nil"/>
                  </w:tcBorders>
                  <w:noWrap w:val="0"/>
                  <w:vAlign w:val="center"/>
                </w:tcPr>
                <w:p w14:paraId="2D1FAC3B">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BOD</w:t>
                  </w:r>
                  <w:r>
                    <w:rPr>
                      <w:rFonts w:hint="default" w:ascii="Times New Roman" w:hAnsi="Times New Roman" w:eastAsia="宋体" w:cs="Times New Roman"/>
                      <w:sz w:val="21"/>
                      <w:szCs w:val="21"/>
                      <w:vertAlign w:val="subscript"/>
                    </w:rPr>
                    <w:t>5</w:t>
                  </w:r>
                </w:p>
              </w:tc>
              <w:tc>
                <w:tcPr>
                  <w:tcW w:w="2363" w:type="dxa"/>
                  <w:tcBorders>
                    <w:tl2br w:val="nil"/>
                    <w:tr2bl w:val="nil"/>
                  </w:tcBorders>
                  <w:noWrap w:val="0"/>
                  <w:vAlign w:val="center"/>
                </w:tcPr>
                <w:p w14:paraId="155144C8">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mg/L</w:t>
                  </w:r>
                </w:p>
              </w:tc>
              <w:tc>
                <w:tcPr>
                  <w:tcW w:w="1737" w:type="dxa"/>
                  <w:tcBorders>
                    <w:tl2br w:val="nil"/>
                    <w:tr2bl w:val="nil"/>
                  </w:tcBorders>
                  <w:noWrap w:val="0"/>
                  <w:vAlign w:val="center"/>
                </w:tcPr>
                <w:p w14:paraId="69E53F05">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100</w:t>
                  </w:r>
                </w:p>
              </w:tc>
            </w:tr>
            <w:tr w14:paraId="41A2D135">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217" w:type="dxa"/>
                  <w:tcBorders>
                    <w:tl2br w:val="nil"/>
                    <w:tr2bl w:val="nil"/>
                  </w:tcBorders>
                  <w:noWrap w:val="0"/>
                  <w:vAlign w:val="center"/>
                </w:tcPr>
                <w:p w14:paraId="2D7909D2">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2995" w:type="dxa"/>
                  <w:tcBorders>
                    <w:tl2br w:val="nil"/>
                    <w:tr2bl w:val="nil"/>
                  </w:tcBorders>
                  <w:noWrap w:val="0"/>
                  <w:vAlign w:val="center"/>
                </w:tcPr>
                <w:p w14:paraId="1D14851F">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氨氮</w:t>
                  </w:r>
                </w:p>
              </w:tc>
              <w:tc>
                <w:tcPr>
                  <w:tcW w:w="2363" w:type="dxa"/>
                  <w:tcBorders>
                    <w:tl2br w:val="nil"/>
                    <w:tr2bl w:val="nil"/>
                  </w:tcBorders>
                  <w:noWrap w:val="0"/>
                  <w:vAlign w:val="center"/>
                </w:tcPr>
                <w:p w14:paraId="5804B46E">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mg/L</w:t>
                  </w:r>
                </w:p>
              </w:tc>
              <w:tc>
                <w:tcPr>
                  <w:tcW w:w="1737" w:type="dxa"/>
                  <w:tcBorders>
                    <w:tl2br w:val="nil"/>
                    <w:tr2bl w:val="nil"/>
                  </w:tcBorders>
                  <w:noWrap w:val="0"/>
                  <w:vAlign w:val="center"/>
                </w:tcPr>
                <w:p w14:paraId="2994B7AC">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14:paraId="6F7F543F">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217" w:type="dxa"/>
                  <w:tcBorders>
                    <w:tl2br w:val="nil"/>
                    <w:tr2bl w:val="nil"/>
                  </w:tcBorders>
                  <w:noWrap w:val="0"/>
                  <w:vAlign w:val="center"/>
                </w:tcPr>
                <w:p w14:paraId="68C296AD">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2995" w:type="dxa"/>
                  <w:tcBorders>
                    <w:tl2br w:val="nil"/>
                    <w:tr2bl w:val="nil"/>
                  </w:tcBorders>
                  <w:noWrap w:val="0"/>
                  <w:vAlign w:val="center"/>
                </w:tcPr>
                <w:p w14:paraId="590CAF91">
                  <w:pPr>
                    <w:spacing w:line="240" w:lineRule="auto"/>
                    <w:ind w:firstLine="420" w:firstLineChars="20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粪</w:t>
                  </w:r>
                  <w:r>
                    <w:rPr>
                      <w:rFonts w:hint="default" w:ascii="Times New Roman" w:hAnsi="Times New Roman" w:eastAsia="宋体" w:cs="Times New Roman"/>
                      <w:sz w:val="21"/>
                      <w:szCs w:val="21"/>
                    </w:rPr>
                    <w:t>大肠菌群数</w:t>
                  </w:r>
                </w:p>
              </w:tc>
              <w:tc>
                <w:tcPr>
                  <w:tcW w:w="2363" w:type="dxa"/>
                  <w:tcBorders>
                    <w:tl2br w:val="nil"/>
                    <w:tr2bl w:val="nil"/>
                  </w:tcBorders>
                  <w:noWrap w:val="0"/>
                  <w:vAlign w:val="center"/>
                </w:tcPr>
                <w:p w14:paraId="7B188D5F">
                  <w:pPr>
                    <w:spacing w:line="240" w:lineRule="auto"/>
                    <w:ind w:firstLine="420" w:firstLineChars="20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MPN/L</w:t>
                  </w:r>
                </w:p>
              </w:tc>
              <w:tc>
                <w:tcPr>
                  <w:tcW w:w="1737" w:type="dxa"/>
                  <w:tcBorders>
                    <w:tl2br w:val="nil"/>
                    <w:tr2bl w:val="nil"/>
                  </w:tcBorders>
                  <w:noWrap w:val="0"/>
                  <w:vAlign w:val="center"/>
                </w:tcPr>
                <w:p w14:paraId="2736ED26">
                  <w:pPr>
                    <w:spacing w:line="240" w:lineRule="auto"/>
                    <w:ind w:firstLine="420" w:firstLineChars="20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5000</w:t>
                  </w:r>
                </w:p>
              </w:tc>
            </w:tr>
            <w:tr w14:paraId="237565E2">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217" w:type="dxa"/>
                  <w:tcBorders>
                    <w:tl2br w:val="nil"/>
                    <w:tr2bl w:val="nil"/>
                  </w:tcBorders>
                  <w:noWrap w:val="0"/>
                  <w:vAlign w:val="center"/>
                </w:tcPr>
                <w:p w14:paraId="7B0D76DE">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2995" w:type="dxa"/>
                  <w:tcBorders>
                    <w:tl2br w:val="nil"/>
                    <w:tr2bl w:val="nil"/>
                  </w:tcBorders>
                  <w:noWrap w:val="0"/>
                  <w:vAlign w:val="center"/>
                </w:tcPr>
                <w:p w14:paraId="069695CB">
                  <w:pPr>
                    <w:spacing w:line="240" w:lineRule="auto"/>
                    <w:ind w:firstLine="420" w:firstLineChars="20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总余氯</w:t>
                  </w:r>
                </w:p>
              </w:tc>
              <w:tc>
                <w:tcPr>
                  <w:tcW w:w="2363" w:type="dxa"/>
                  <w:tcBorders>
                    <w:tl2br w:val="nil"/>
                    <w:tr2bl w:val="nil"/>
                  </w:tcBorders>
                  <w:noWrap w:val="0"/>
                  <w:vAlign w:val="center"/>
                </w:tcPr>
                <w:p w14:paraId="26F13D52">
                  <w:pPr>
                    <w:spacing w:line="240" w:lineRule="auto"/>
                    <w:ind w:firstLine="420" w:firstLineChars="20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mg/L</w:t>
                  </w:r>
                </w:p>
              </w:tc>
              <w:tc>
                <w:tcPr>
                  <w:tcW w:w="1737" w:type="dxa"/>
                  <w:tcBorders>
                    <w:tl2br w:val="nil"/>
                    <w:tr2bl w:val="nil"/>
                  </w:tcBorders>
                  <w:noWrap w:val="0"/>
                  <w:vAlign w:val="center"/>
                </w:tcPr>
                <w:p w14:paraId="010D08CB">
                  <w:pPr>
                    <w:spacing w:line="240" w:lineRule="auto"/>
                    <w:ind w:firstLine="420" w:firstLineChars="20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bl>
          <w:p w14:paraId="672B37F9">
            <w:pPr>
              <w:pStyle w:val="2"/>
              <w:ind w:left="0" w:leftChars="0" w:right="0" w:rightChars="0" w:firstLine="482" w:firstLineChars="200"/>
              <w:jc w:val="both"/>
              <w:rPr>
                <w:rFonts w:hint="default" w:ascii="Times New Roman" w:hAnsi="Times New Roman" w:eastAsia="宋体" w:cs="Times New Roman"/>
                <w:color w:val="000000"/>
                <w:kern w:val="0"/>
                <w:szCs w:val="24"/>
              </w:rPr>
            </w:pPr>
          </w:p>
        </w:tc>
      </w:tr>
      <w:tr w14:paraId="35248F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3" w:type="dxa"/>
            <w:tcBorders>
              <w:tl2br w:val="nil"/>
              <w:tr2bl w:val="nil"/>
            </w:tcBorders>
            <w:shd w:val="clear" w:color="auto" w:fill="auto"/>
            <w:noWrap w:val="0"/>
            <w:vAlign w:val="center"/>
          </w:tcPr>
          <w:p w14:paraId="08E5BA6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
                <w:bCs/>
                <w:color w:val="000000"/>
                <w:kern w:val="0"/>
                <w:sz w:val="24"/>
                <w:szCs w:val="24"/>
                <w:highlight w:val="none"/>
              </w:rPr>
            </w:pPr>
            <w:r>
              <w:rPr>
                <w:rFonts w:hint="default" w:ascii="Times New Roman" w:hAnsi="Times New Roman" w:eastAsia="宋体" w:cs="Times New Roman"/>
                <w:b/>
                <w:bCs/>
                <w:color w:val="000000"/>
                <w:kern w:val="0"/>
                <w:sz w:val="24"/>
                <w:szCs w:val="24"/>
                <w:highlight w:val="none"/>
              </w:rPr>
              <w:t>总量</w:t>
            </w:r>
          </w:p>
          <w:p w14:paraId="2C7DF95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
                <w:bCs/>
                <w:color w:val="000000"/>
                <w:kern w:val="0"/>
                <w:sz w:val="24"/>
                <w:szCs w:val="24"/>
                <w:highlight w:val="none"/>
              </w:rPr>
            </w:pPr>
            <w:r>
              <w:rPr>
                <w:rFonts w:hint="default" w:ascii="Times New Roman" w:hAnsi="Times New Roman" w:eastAsia="宋体" w:cs="Times New Roman"/>
                <w:b/>
                <w:bCs/>
                <w:color w:val="000000"/>
                <w:kern w:val="0"/>
                <w:sz w:val="24"/>
                <w:szCs w:val="24"/>
                <w:highlight w:val="none"/>
              </w:rPr>
              <w:t>控制</w:t>
            </w:r>
          </w:p>
          <w:p w14:paraId="3BBA72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b/>
                <w:bCs/>
                <w:color w:val="000000"/>
                <w:kern w:val="0"/>
                <w:sz w:val="24"/>
                <w:szCs w:val="24"/>
                <w:highlight w:val="none"/>
              </w:rPr>
              <w:t>指标</w:t>
            </w:r>
          </w:p>
        </w:tc>
        <w:tc>
          <w:tcPr>
            <w:tcW w:w="8608" w:type="dxa"/>
            <w:tcBorders>
              <w:tl2br w:val="nil"/>
              <w:tr2bl w:val="nil"/>
            </w:tcBorders>
            <w:noWrap w:val="0"/>
            <w:vAlign w:val="center"/>
          </w:tcPr>
          <w:p w14:paraId="0B3EA68B">
            <w:pPr>
              <w:pStyle w:val="8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cs="Times New Roman"/>
                <w:b/>
                <w:bCs/>
                <w:color w:val="000000" w:themeColor="text1"/>
                <w:highlight w:val="none"/>
                <w:lang w:val="en-US" w:eastAsia="zh-CN"/>
                <w14:textFill>
                  <w14:solidFill>
                    <w14:schemeClr w14:val="tx1"/>
                  </w14:solidFill>
                </w14:textFill>
              </w:rPr>
            </w:pPr>
          </w:p>
          <w:p w14:paraId="418569AC">
            <w:pPr>
              <w:pStyle w:val="8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cs="Times New Roman"/>
                <w:b/>
                <w:bCs/>
                <w:color w:val="000000" w:themeColor="text1"/>
                <w:highlight w:val="none"/>
                <w:lang w:val="en-US" w:eastAsia="zh-CN"/>
                <w14:textFill>
                  <w14:solidFill>
                    <w14:schemeClr w14:val="tx1"/>
                  </w14:solidFill>
                </w14:textFill>
              </w:rPr>
            </w:pPr>
          </w:p>
          <w:p w14:paraId="1E83C666">
            <w:pPr>
              <w:pStyle w:val="8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cs="Times New Roman"/>
                <w:b/>
                <w:bCs/>
                <w:color w:val="000000" w:themeColor="text1"/>
                <w:highlight w:val="none"/>
                <w:lang w:val="en-US" w:eastAsia="zh-CN"/>
                <w14:textFill>
                  <w14:solidFill>
                    <w14:schemeClr w14:val="tx1"/>
                  </w14:solidFill>
                </w14:textFill>
              </w:rPr>
            </w:pPr>
          </w:p>
          <w:p w14:paraId="20AAD648">
            <w:pPr>
              <w:pStyle w:val="8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cs="Times New Roman"/>
                <w:b/>
                <w:bCs/>
                <w:color w:val="000000" w:themeColor="text1"/>
                <w:highlight w:val="none"/>
                <w:lang w:val="en-US" w:eastAsia="zh-CN"/>
                <w14:textFill>
                  <w14:solidFill>
                    <w14:schemeClr w14:val="tx1"/>
                  </w14:solidFill>
                </w14:textFill>
              </w:rPr>
            </w:pPr>
          </w:p>
          <w:p w14:paraId="267054DE">
            <w:pPr>
              <w:pStyle w:val="8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cs="Times New Roman"/>
                <w:b/>
                <w:bCs/>
                <w:color w:val="000000" w:themeColor="text1"/>
                <w:highlight w:val="none"/>
                <w:lang w:val="en-US" w:eastAsia="zh-CN"/>
                <w14:textFill>
                  <w14:solidFill>
                    <w14:schemeClr w14:val="tx1"/>
                  </w14:solidFill>
                </w14:textFill>
              </w:rPr>
            </w:pPr>
          </w:p>
          <w:p w14:paraId="3FDBFD53">
            <w:pPr>
              <w:pStyle w:val="8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cs="Times New Roman"/>
                <w:b/>
                <w:bCs/>
                <w:color w:val="000000" w:themeColor="text1"/>
                <w:highlight w:val="none"/>
                <w:lang w:val="en-US" w:eastAsia="zh-CN"/>
                <w14:textFill>
                  <w14:solidFill>
                    <w14:schemeClr w14:val="tx1"/>
                  </w14:solidFill>
                </w14:textFill>
              </w:rPr>
            </w:pPr>
          </w:p>
          <w:p w14:paraId="0C83C918">
            <w:pPr>
              <w:pStyle w:val="8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center"/>
              <w:textAlignment w:val="auto"/>
              <w:rPr>
                <w:rFonts w:hint="eastAsia" w:cs="Times New Roman"/>
                <w:b/>
                <w:bCs/>
                <w:color w:val="000000" w:themeColor="text1"/>
                <w:highlight w:val="none"/>
                <w:lang w:val="en-US" w:eastAsia="zh-CN"/>
                <w14:textFill>
                  <w14:solidFill>
                    <w14:schemeClr w14:val="tx1"/>
                  </w14:solidFill>
                </w14:textFill>
              </w:rPr>
            </w:pPr>
            <w:r>
              <w:rPr>
                <w:rFonts w:hint="eastAsia" w:cs="Times New Roman"/>
                <w:b/>
                <w:bCs/>
                <w:color w:val="000000" w:themeColor="text1"/>
                <w:highlight w:val="none"/>
                <w:lang w:val="en-US" w:eastAsia="zh-CN"/>
                <w14:textFill>
                  <w14:solidFill>
                    <w14:schemeClr w14:val="tx1"/>
                  </w14:solidFill>
                </w14:textFill>
              </w:rPr>
              <w:t>无</w:t>
            </w:r>
          </w:p>
          <w:p w14:paraId="0A00F455">
            <w:pPr>
              <w:pStyle w:val="8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center"/>
              <w:textAlignment w:val="auto"/>
              <w:rPr>
                <w:rFonts w:hint="eastAsia" w:cs="Times New Roman"/>
                <w:b/>
                <w:bCs/>
                <w:color w:val="000000" w:themeColor="text1"/>
                <w:highlight w:val="none"/>
                <w:lang w:val="en-US" w:eastAsia="zh-CN"/>
                <w14:textFill>
                  <w14:solidFill>
                    <w14:schemeClr w14:val="tx1"/>
                  </w14:solidFill>
                </w14:textFill>
              </w:rPr>
            </w:pPr>
          </w:p>
          <w:p w14:paraId="6B31413B">
            <w:pPr>
              <w:pStyle w:val="8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center"/>
              <w:textAlignment w:val="auto"/>
              <w:rPr>
                <w:rFonts w:hint="eastAsia" w:cs="Times New Roman"/>
                <w:b/>
                <w:bCs/>
                <w:color w:val="000000" w:themeColor="text1"/>
                <w:highlight w:val="none"/>
                <w:lang w:val="en-US" w:eastAsia="zh-CN"/>
                <w14:textFill>
                  <w14:solidFill>
                    <w14:schemeClr w14:val="tx1"/>
                  </w14:solidFill>
                </w14:textFill>
              </w:rPr>
            </w:pPr>
          </w:p>
          <w:p w14:paraId="09C12AF6">
            <w:pPr>
              <w:pStyle w:val="8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center"/>
              <w:textAlignment w:val="auto"/>
              <w:rPr>
                <w:rFonts w:hint="eastAsia" w:cs="Times New Roman"/>
                <w:b/>
                <w:bCs/>
                <w:color w:val="000000" w:themeColor="text1"/>
                <w:highlight w:val="none"/>
                <w:lang w:val="en-US" w:eastAsia="zh-CN"/>
                <w14:textFill>
                  <w14:solidFill>
                    <w14:schemeClr w14:val="tx1"/>
                  </w14:solidFill>
                </w14:textFill>
              </w:rPr>
            </w:pPr>
          </w:p>
          <w:p w14:paraId="28FA9A7B">
            <w:pPr>
              <w:pStyle w:val="8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center"/>
              <w:textAlignment w:val="auto"/>
              <w:rPr>
                <w:rFonts w:hint="eastAsia" w:cs="Times New Roman"/>
                <w:b/>
                <w:bCs/>
                <w:color w:val="000000" w:themeColor="text1"/>
                <w:highlight w:val="none"/>
                <w:lang w:val="en-US" w:eastAsia="zh-CN"/>
                <w14:textFill>
                  <w14:solidFill>
                    <w14:schemeClr w14:val="tx1"/>
                  </w14:solidFill>
                </w14:textFill>
              </w:rPr>
            </w:pPr>
          </w:p>
          <w:p w14:paraId="550791E5">
            <w:pPr>
              <w:pStyle w:val="8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center"/>
              <w:textAlignment w:val="auto"/>
              <w:rPr>
                <w:rFonts w:hint="eastAsia" w:cs="Times New Roman"/>
                <w:b/>
                <w:bCs/>
                <w:color w:val="000000" w:themeColor="text1"/>
                <w:highlight w:val="none"/>
                <w:lang w:val="en-US" w:eastAsia="zh-CN"/>
                <w14:textFill>
                  <w14:solidFill>
                    <w14:schemeClr w14:val="tx1"/>
                  </w14:solidFill>
                </w14:textFill>
              </w:rPr>
            </w:pPr>
          </w:p>
          <w:p w14:paraId="3E18886E">
            <w:pPr>
              <w:pStyle w:val="8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center"/>
              <w:textAlignment w:val="auto"/>
              <w:rPr>
                <w:rFonts w:hint="eastAsia" w:cs="Times New Roman"/>
                <w:b/>
                <w:bCs/>
                <w:color w:val="000000" w:themeColor="text1"/>
                <w:highlight w:val="none"/>
                <w:lang w:val="en-US" w:eastAsia="zh-CN"/>
                <w14:textFill>
                  <w14:solidFill>
                    <w14:schemeClr w14:val="tx1"/>
                  </w14:solidFill>
                </w14:textFill>
              </w:rPr>
            </w:pPr>
          </w:p>
          <w:p w14:paraId="1C53FEEF">
            <w:pPr>
              <w:pStyle w:val="8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default" w:cs="Times New Roman"/>
                <w:b/>
                <w:bCs/>
                <w:color w:val="000000" w:themeColor="text1"/>
                <w:highlight w:val="none"/>
                <w:lang w:val="en-US" w:eastAsia="zh-CN"/>
                <w14:textFill>
                  <w14:solidFill>
                    <w14:schemeClr w14:val="tx1"/>
                  </w14:solidFill>
                </w14:textFill>
              </w:rPr>
            </w:pPr>
          </w:p>
        </w:tc>
      </w:tr>
    </w:tbl>
    <w:p w14:paraId="5A168C7E">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center"/>
        <w:textAlignment w:val="auto"/>
        <w:outlineLvl w:val="0"/>
        <w:rPr>
          <w:rFonts w:ascii="黑体" w:hAnsi="黑体" w:eastAsia="黑体"/>
          <w:snapToGrid w:val="0"/>
          <w:sz w:val="30"/>
          <w:szCs w:val="30"/>
        </w:rPr>
      </w:pPr>
      <w:r>
        <w:rPr>
          <w:rFonts w:ascii="黑体" w:hAnsi="黑体" w:eastAsia="黑体"/>
          <w:snapToGrid w:val="0"/>
          <w:sz w:val="36"/>
          <w:szCs w:val="36"/>
        </w:rPr>
        <w:br w:type="page"/>
      </w:r>
      <w:bookmarkStart w:id="38" w:name="_Toc25784"/>
      <w:r>
        <w:rPr>
          <w:rFonts w:hint="eastAsia" w:ascii="黑体" w:hAnsi="黑体" w:eastAsia="黑体"/>
          <w:snapToGrid w:val="0"/>
          <w:sz w:val="30"/>
          <w:szCs w:val="30"/>
        </w:rPr>
        <w:t>四、主要环境影响和保护措施</w:t>
      </w:r>
      <w:bookmarkEnd w:id="38"/>
    </w:p>
    <w:tbl>
      <w:tblPr>
        <w:tblStyle w:val="31"/>
        <w:tblW w:w="904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8"/>
        <w:gridCol w:w="8344"/>
      </w:tblGrid>
      <w:tr w14:paraId="0A088E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8" w:type="dxa"/>
            <w:tcBorders>
              <w:tl2br w:val="nil"/>
              <w:tr2bl w:val="nil"/>
            </w:tcBorders>
            <w:noWrap w:val="0"/>
            <w:tcMar>
              <w:left w:w="28" w:type="dxa"/>
              <w:right w:w="28" w:type="dxa"/>
            </w:tcMar>
            <w:vAlign w:val="center"/>
          </w:tcPr>
          <w:p w14:paraId="374ADCB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
                <w:bCs/>
                <w:color w:val="000000"/>
                <w:kern w:val="0"/>
                <w:sz w:val="24"/>
                <w:szCs w:val="24"/>
                <w:highlight w:val="none"/>
              </w:rPr>
            </w:pPr>
            <w:r>
              <w:rPr>
                <w:rFonts w:hint="default" w:ascii="Times New Roman" w:hAnsi="Times New Roman" w:eastAsia="宋体" w:cs="Times New Roman"/>
                <w:b/>
                <w:bCs/>
                <w:color w:val="000000"/>
                <w:kern w:val="0"/>
                <w:sz w:val="24"/>
                <w:szCs w:val="24"/>
                <w:highlight w:val="none"/>
              </w:rPr>
              <w:t>施工</w:t>
            </w:r>
          </w:p>
          <w:p w14:paraId="35EB74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
                <w:bCs/>
                <w:color w:val="000000"/>
                <w:kern w:val="0"/>
                <w:sz w:val="24"/>
                <w:szCs w:val="24"/>
                <w:highlight w:val="none"/>
              </w:rPr>
            </w:pPr>
            <w:r>
              <w:rPr>
                <w:rFonts w:hint="default" w:ascii="Times New Roman" w:hAnsi="Times New Roman" w:eastAsia="宋体" w:cs="Times New Roman"/>
                <w:b/>
                <w:bCs/>
                <w:color w:val="000000"/>
                <w:kern w:val="0"/>
                <w:sz w:val="24"/>
                <w:szCs w:val="24"/>
                <w:highlight w:val="none"/>
              </w:rPr>
              <w:t>期环</w:t>
            </w:r>
          </w:p>
          <w:p w14:paraId="33A3BAE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
                <w:bCs/>
                <w:color w:val="000000"/>
                <w:kern w:val="0"/>
                <w:sz w:val="24"/>
                <w:szCs w:val="24"/>
                <w:highlight w:val="none"/>
              </w:rPr>
            </w:pPr>
            <w:r>
              <w:rPr>
                <w:rFonts w:hint="default" w:ascii="Times New Roman" w:hAnsi="Times New Roman" w:eastAsia="宋体" w:cs="Times New Roman"/>
                <w:b/>
                <w:bCs/>
                <w:color w:val="000000"/>
                <w:kern w:val="0"/>
                <w:sz w:val="24"/>
                <w:szCs w:val="24"/>
                <w:highlight w:val="none"/>
              </w:rPr>
              <w:t>境保</w:t>
            </w:r>
          </w:p>
          <w:p w14:paraId="326E02C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
                <w:bCs/>
                <w:color w:val="000000"/>
                <w:kern w:val="0"/>
                <w:sz w:val="24"/>
                <w:szCs w:val="24"/>
                <w:highlight w:val="none"/>
              </w:rPr>
            </w:pPr>
            <w:r>
              <w:rPr>
                <w:rFonts w:hint="default" w:ascii="Times New Roman" w:hAnsi="Times New Roman" w:eastAsia="宋体" w:cs="Times New Roman"/>
                <w:b/>
                <w:bCs/>
                <w:color w:val="000000"/>
                <w:kern w:val="0"/>
                <w:sz w:val="24"/>
                <w:szCs w:val="24"/>
                <w:highlight w:val="none"/>
              </w:rPr>
              <w:t>护措</w:t>
            </w:r>
          </w:p>
          <w:p w14:paraId="3EB86DB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Cs/>
                <w:color w:val="000000"/>
                <w:kern w:val="2"/>
                <w:sz w:val="24"/>
                <w:szCs w:val="24"/>
                <w:highlight w:val="none"/>
              </w:rPr>
            </w:pPr>
            <w:r>
              <w:rPr>
                <w:rFonts w:hint="default" w:ascii="Times New Roman" w:hAnsi="Times New Roman" w:eastAsia="宋体" w:cs="Times New Roman"/>
                <w:b/>
                <w:bCs/>
                <w:color w:val="000000"/>
                <w:kern w:val="0"/>
                <w:sz w:val="24"/>
                <w:szCs w:val="24"/>
                <w:highlight w:val="none"/>
              </w:rPr>
              <w:t>施</w:t>
            </w:r>
          </w:p>
        </w:tc>
        <w:tc>
          <w:tcPr>
            <w:tcW w:w="8344" w:type="dxa"/>
            <w:tcBorders>
              <w:tl2br w:val="nil"/>
              <w:tr2bl w:val="nil"/>
            </w:tcBorders>
            <w:noWrap w:val="0"/>
            <w:vAlign w:val="center"/>
          </w:tcPr>
          <w:p w14:paraId="209DAFAB">
            <w:pPr>
              <w:keepNext w:val="0"/>
              <w:keepLines w:val="0"/>
              <w:numPr>
                <w:ilvl w:val="0"/>
                <w:numId w:val="0"/>
              </w:numPr>
              <w:suppressLineNumbers w:val="0"/>
              <w:bidi w:val="0"/>
              <w:spacing w:before="0" w:beforeAutospacing="0" w:after="0" w:afterAutospacing="0"/>
              <w:ind w:left="0" w:right="0" w:rightChars="0" w:firstLine="472" w:firstLineChars="200"/>
              <w:jc w:val="both"/>
              <w:rPr>
                <w:rFonts w:hint="default" w:ascii="Times New Roman" w:hAnsi="Times New Roman" w:eastAsia="宋体" w:cs="Times New Roman"/>
                <w:color w:val="000000"/>
                <w:spacing w:val="0"/>
                <w:sz w:val="24"/>
                <w:szCs w:val="24"/>
                <w:highlight w:val="none"/>
                <w:lang w:val="en-US" w:eastAsia="zh-CN"/>
              </w:rPr>
            </w:pPr>
            <w:r>
              <w:rPr>
                <w:rFonts w:hint="eastAsia" w:cs="Times New Roman"/>
                <w:color w:val="auto"/>
                <w:spacing w:val="-2"/>
                <w:sz w:val="24"/>
                <w:szCs w:val="24"/>
                <w:lang w:val="en-US" w:eastAsia="zh-CN"/>
              </w:rPr>
              <w:t>本项目</w:t>
            </w:r>
            <w:r>
              <w:rPr>
                <w:rFonts w:hint="default" w:ascii="Times New Roman" w:hAnsi="Times New Roman" w:eastAsia="宋体" w:cs="Times New Roman"/>
                <w:color w:val="auto"/>
                <w:spacing w:val="-2"/>
                <w:sz w:val="24"/>
                <w:szCs w:val="24"/>
                <w:lang w:val="en-US" w:eastAsia="zh-CN"/>
              </w:rPr>
              <w:t>目前施工期已经结束，因此不对施工期进行环境影响分析。</w:t>
            </w:r>
          </w:p>
        </w:tc>
      </w:tr>
      <w:tr w14:paraId="20612B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8" w:type="dxa"/>
            <w:tcBorders>
              <w:tl2br w:val="nil"/>
              <w:tr2bl w:val="nil"/>
            </w:tcBorders>
            <w:noWrap w:val="0"/>
            <w:tcMar>
              <w:left w:w="28" w:type="dxa"/>
              <w:right w:w="28" w:type="dxa"/>
            </w:tcMar>
            <w:vAlign w:val="center"/>
          </w:tcPr>
          <w:p w14:paraId="7823257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
                <w:bCs/>
                <w:color w:val="000000"/>
                <w:kern w:val="0"/>
                <w:sz w:val="24"/>
                <w:szCs w:val="24"/>
                <w:highlight w:val="none"/>
              </w:rPr>
            </w:pPr>
            <w:r>
              <w:rPr>
                <w:rFonts w:hint="default" w:ascii="Times New Roman" w:hAnsi="Times New Roman" w:eastAsia="宋体" w:cs="Times New Roman"/>
                <w:b/>
                <w:bCs/>
                <w:color w:val="000000"/>
                <w:kern w:val="0"/>
                <w:sz w:val="24"/>
                <w:szCs w:val="24"/>
                <w:highlight w:val="none"/>
              </w:rPr>
              <w:t>运营</w:t>
            </w:r>
          </w:p>
          <w:p w14:paraId="44F1EE9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
                <w:bCs/>
                <w:color w:val="000000"/>
                <w:kern w:val="0"/>
                <w:sz w:val="24"/>
                <w:szCs w:val="24"/>
                <w:highlight w:val="none"/>
              </w:rPr>
            </w:pPr>
            <w:r>
              <w:rPr>
                <w:rFonts w:hint="default" w:ascii="Times New Roman" w:hAnsi="Times New Roman" w:eastAsia="宋体" w:cs="Times New Roman"/>
                <w:b/>
                <w:bCs/>
                <w:color w:val="000000"/>
                <w:kern w:val="0"/>
                <w:sz w:val="24"/>
                <w:szCs w:val="24"/>
                <w:highlight w:val="none"/>
              </w:rPr>
              <w:t>期环</w:t>
            </w:r>
          </w:p>
          <w:p w14:paraId="600589E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
                <w:bCs/>
                <w:color w:val="000000"/>
                <w:kern w:val="0"/>
                <w:sz w:val="24"/>
                <w:szCs w:val="24"/>
                <w:highlight w:val="none"/>
              </w:rPr>
            </w:pPr>
            <w:r>
              <w:rPr>
                <w:rFonts w:hint="default" w:ascii="Times New Roman" w:hAnsi="Times New Roman" w:eastAsia="宋体" w:cs="Times New Roman"/>
                <w:b/>
                <w:bCs/>
                <w:color w:val="000000"/>
                <w:kern w:val="0"/>
                <w:sz w:val="24"/>
                <w:szCs w:val="24"/>
                <w:highlight w:val="none"/>
              </w:rPr>
              <w:t>境影</w:t>
            </w:r>
          </w:p>
          <w:p w14:paraId="1F2AE8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
                <w:bCs/>
                <w:color w:val="000000"/>
                <w:kern w:val="0"/>
                <w:sz w:val="24"/>
                <w:szCs w:val="24"/>
                <w:highlight w:val="none"/>
              </w:rPr>
            </w:pPr>
            <w:r>
              <w:rPr>
                <w:rFonts w:hint="default" w:ascii="Times New Roman" w:hAnsi="Times New Roman" w:eastAsia="宋体" w:cs="Times New Roman"/>
                <w:b/>
                <w:bCs/>
                <w:color w:val="000000"/>
                <w:kern w:val="0"/>
                <w:sz w:val="24"/>
                <w:szCs w:val="24"/>
                <w:highlight w:val="none"/>
              </w:rPr>
              <w:t>响和</w:t>
            </w:r>
          </w:p>
          <w:p w14:paraId="6687F25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
                <w:bCs/>
                <w:color w:val="000000"/>
                <w:kern w:val="0"/>
                <w:sz w:val="24"/>
                <w:szCs w:val="24"/>
                <w:highlight w:val="none"/>
              </w:rPr>
            </w:pPr>
            <w:r>
              <w:rPr>
                <w:rFonts w:hint="default" w:ascii="Times New Roman" w:hAnsi="Times New Roman" w:eastAsia="宋体" w:cs="Times New Roman"/>
                <w:b/>
                <w:bCs/>
                <w:color w:val="000000"/>
                <w:kern w:val="0"/>
                <w:sz w:val="24"/>
                <w:szCs w:val="24"/>
                <w:highlight w:val="none"/>
              </w:rPr>
              <w:t>保护</w:t>
            </w:r>
          </w:p>
          <w:p w14:paraId="6633224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Cs/>
                <w:color w:val="000000"/>
                <w:sz w:val="24"/>
                <w:szCs w:val="24"/>
                <w:highlight w:val="none"/>
              </w:rPr>
            </w:pPr>
            <w:r>
              <w:rPr>
                <w:rFonts w:hint="default" w:ascii="Times New Roman" w:hAnsi="Times New Roman" w:eastAsia="宋体" w:cs="Times New Roman"/>
                <w:b/>
                <w:bCs/>
                <w:color w:val="000000"/>
                <w:kern w:val="0"/>
                <w:sz w:val="24"/>
                <w:szCs w:val="24"/>
                <w:highlight w:val="none"/>
              </w:rPr>
              <w:t>措施</w:t>
            </w:r>
          </w:p>
        </w:tc>
        <w:tc>
          <w:tcPr>
            <w:tcW w:w="8344" w:type="dxa"/>
            <w:tcBorders>
              <w:tl2br w:val="nil"/>
              <w:tr2bl w:val="nil"/>
            </w:tcBorders>
            <w:noWrap w:val="0"/>
            <w:vAlign w:val="center"/>
          </w:tcPr>
          <w:p w14:paraId="384905FC">
            <w:pPr>
              <w:pStyle w:val="5"/>
              <w:suppressLineNumbers w:val="0"/>
              <w:bidi w:val="0"/>
              <w:spacing w:before="0" w:beforeAutospacing="0" w:after="0" w:afterAutospacing="0"/>
              <w:ind w:left="0" w:right="0"/>
              <w:jc w:val="both"/>
              <w:rPr>
                <w:rFonts w:hint="default" w:ascii="Times New Roman" w:hAnsi="Times New Roman" w:eastAsia="宋体" w:cs="Times New Roman"/>
                <w:color w:val="000000"/>
                <w:highlight w:val="none"/>
                <w:lang w:val="en-US" w:eastAsia="zh-CN"/>
              </w:rPr>
            </w:pPr>
            <w:bookmarkStart w:id="39" w:name="_Toc11521"/>
            <w:r>
              <w:rPr>
                <w:rFonts w:hint="default" w:ascii="Times New Roman" w:hAnsi="Times New Roman" w:eastAsia="宋体" w:cs="Times New Roman"/>
                <w:color w:val="000000"/>
                <w:highlight w:val="none"/>
                <w:lang w:val="en-US" w:eastAsia="zh-CN"/>
              </w:rPr>
              <w:t>1、大气污染物</w:t>
            </w:r>
            <w:bookmarkEnd w:id="39"/>
          </w:p>
          <w:p w14:paraId="2CDD8E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default" w:ascii="Times New Roman" w:hAnsi="Times New Roman" w:eastAsia="宋体" w:cs="Times New Roman"/>
                <w:b/>
                <w:bCs w:val="0"/>
                <w:color w:val="000000"/>
                <w:sz w:val="24"/>
                <w:szCs w:val="24"/>
                <w:lang w:val="en-US" w:eastAsia="zh-CN"/>
              </w:rPr>
            </w:pPr>
            <w:r>
              <w:rPr>
                <w:rFonts w:hint="default" w:ascii="Times New Roman" w:hAnsi="Times New Roman" w:eastAsia="宋体" w:cs="Times New Roman"/>
                <w:b/>
                <w:bCs w:val="0"/>
                <w:color w:val="000000"/>
                <w:sz w:val="24"/>
                <w:szCs w:val="24"/>
                <w:lang w:val="en-US" w:eastAsia="zh-CN"/>
              </w:rPr>
              <w:t>1.1废气源强分析</w:t>
            </w:r>
          </w:p>
          <w:p w14:paraId="07E9272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本项目为宠物诊所，从事简单的宠物诊疗、宠物美容、宠物寄养等活动。项目运营过程中宠物诊疗室、寄养区及污水处理过程中会产生少量恶臭，无法进行定量分析，因此，本项目只做定性分析。</w:t>
            </w:r>
          </w:p>
          <w:p w14:paraId="0F08542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482" w:firstLineChars="200"/>
              <w:textAlignment w:val="auto"/>
              <w:rPr>
                <w:rFonts w:hint="default"/>
              </w:rPr>
            </w:pPr>
            <w:r>
              <w:rPr>
                <w:rFonts w:hint="default" w:ascii="Times New Roman" w:hAnsi="Times New Roman" w:eastAsia="宋体" w:cs="Times New Roman"/>
                <w:b/>
                <w:bCs/>
                <w:color w:val="000000"/>
                <w:kern w:val="0"/>
                <w:highlight w:val="none"/>
              </w:rPr>
              <w:t>1.1.</w:t>
            </w:r>
            <w:r>
              <w:rPr>
                <w:rFonts w:hint="default" w:ascii="Times New Roman" w:hAnsi="Times New Roman" w:eastAsia="宋体" w:cs="Times New Roman"/>
                <w:b/>
                <w:bCs/>
                <w:color w:val="000000"/>
                <w:kern w:val="0"/>
                <w:highlight w:val="none"/>
                <w:lang w:val="en-US" w:eastAsia="zh-CN"/>
              </w:rPr>
              <w:t>1</w:t>
            </w:r>
            <w:r>
              <w:rPr>
                <w:rFonts w:hint="default" w:ascii="Times New Roman" w:hAnsi="Times New Roman" w:eastAsia="宋体" w:cs="Times New Roman"/>
                <w:b/>
                <w:bCs/>
                <w:color w:val="000000"/>
                <w:kern w:val="0"/>
                <w:highlight w:val="none"/>
              </w:rPr>
              <w:t>宠物诊疗、寄养异味</w:t>
            </w:r>
          </w:p>
          <w:p w14:paraId="767F99F3">
            <w:pPr>
              <w:keepNext w:val="0"/>
              <w:keepLines w:val="0"/>
              <w:widowControl/>
              <w:suppressLineNumbers w:val="0"/>
              <w:spacing w:before="0" w:beforeAutospacing="0" w:after="0" w:afterAutospacing="0"/>
              <w:ind w:left="0" w:right="0"/>
              <w:jc w:val="both"/>
              <w:rPr>
                <w:rFonts w:hint="eastAsia"/>
                <w:lang w:val="en-US" w:eastAsia="zh-CN"/>
              </w:rPr>
            </w:pPr>
            <w:r>
              <w:rPr>
                <w:rFonts w:hint="eastAsia"/>
                <w:lang w:val="en-US" w:eastAsia="zh-CN"/>
              </w:rPr>
              <w:t>本项目主要是宠物在寄养区、住院区的粪便和尿液产生的异味，设置排便和排尿盒，有专人每天清洗和消毒。对于自身比较容易感染的宠物设置有猫狗屎尿垫，有专人及时更换。医院内空气均采用紫外线消毒，并定期喷洒除臭剂，同时换气扇加强通风换气，减少恶臭污染。</w:t>
            </w:r>
          </w:p>
          <w:p w14:paraId="4E4339B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482" w:firstLineChars="200"/>
              <w:textAlignment w:val="auto"/>
              <w:rPr>
                <w:rFonts w:hint="default" w:ascii="Times New Roman" w:hAnsi="Times New Roman" w:eastAsia="宋体" w:cs="Times New Roman"/>
                <w:b/>
                <w:bCs/>
                <w:color w:val="000000"/>
                <w:kern w:val="0"/>
                <w:highlight w:val="none"/>
                <w:lang w:val="en-US" w:eastAsia="zh-CN"/>
              </w:rPr>
            </w:pPr>
            <w:r>
              <w:rPr>
                <w:rFonts w:hint="default" w:ascii="Times New Roman" w:hAnsi="Times New Roman" w:eastAsia="宋体" w:cs="Times New Roman"/>
                <w:b/>
                <w:bCs/>
                <w:color w:val="000000"/>
                <w:kern w:val="0"/>
                <w:highlight w:val="none"/>
              </w:rPr>
              <w:t>1.1.</w:t>
            </w:r>
            <w:r>
              <w:rPr>
                <w:rFonts w:hint="eastAsia" w:ascii="Times New Roman" w:hAnsi="Times New Roman" w:eastAsia="宋体" w:cs="Times New Roman"/>
                <w:b/>
                <w:bCs/>
                <w:color w:val="000000"/>
                <w:kern w:val="0"/>
                <w:highlight w:val="none"/>
                <w:lang w:val="en-US" w:eastAsia="zh-CN"/>
              </w:rPr>
              <w:t>2</w:t>
            </w:r>
            <w:r>
              <w:rPr>
                <w:rFonts w:hint="default" w:ascii="Times New Roman" w:hAnsi="Times New Roman" w:eastAsia="宋体" w:cs="Times New Roman"/>
                <w:b/>
                <w:bCs/>
                <w:color w:val="000000"/>
                <w:kern w:val="0"/>
                <w:highlight w:val="none"/>
              </w:rPr>
              <w:t>污水处理恶臭</w:t>
            </w:r>
          </w:p>
          <w:p w14:paraId="307E8410">
            <w:pPr>
              <w:pStyle w:val="10"/>
              <w:keepNext w:val="0"/>
              <w:keepLines w:val="0"/>
              <w:suppressLineNumbers w:val="0"/>
              <w:spacing w:before="0" w:beforeAutospacing="0" w:after="0" w:afterAutospacing="0"/>
              <w:ind w:left="0" w:right="0"/>
              <w:jc w:val="both"/>
              <w:rPr>
                <w:rFonts w:hint="default" w:ascii="Times New Roman" w:hAnsi="Times New Roman" w:eastAsia="宋体" w:cs="Times New Roman"/>
                <w:bCs/>
                <w:snapToGrid w:val="0"/>
                <w:color w:val="auto"/>
                <w:kern w:val="0"/>
                <w:sz w:val="24"/>
                <w:szCs w:val="24"/>
                <w:highlight w:val="none"/>
                <w:lang w:val="en-US" w:eastAsia="zh-CN"/>
              </w:rPr>
            </w:pPr>
            <w:r>
              <w:rPr>
                <w:rFonts w:hint="default" w:ascii="Times New Roman" w:hAnsi="Times New Roman" w:eastAsia="宋体" w:cs="Times New Roman"/>
                <w:bCs/>
                <w:snapToGrid w:val="0"/>
                <w:color w:val="auto"/>
                <w:kern w:val="0"/>
                <w:sz w:val="24"/>
                <w:szCs w:val="24"/>
                <w:highlight w:val="none"/>
                <w:lang w:val="en-US" w:eastAsia="zh-CN"/>
              </w:rPr>
              <w:t>本项目采用</w:t>
            </w:r>
            <w:r>
              <w:rPr>
                <w:rFonts w:hint="eastAsia" w:cs="Times New Roman"/>
                <w:bCs/>
                <w:snapToGrid w:val="0"/>
                <w:color w:val="auto"/>
                <w:kern w:val="0"/>
                <w:sz w:val="24"/>
                <w:szCs w:val="24"/>
                <w:highlight w:val="none"/>
                <w:lang w:val="en-US" w:eastAsia="zh-CN"/>
              </w:rPr>
              <w:t>小型</w:t>
            </w:r>
            <w:r>
              <w:rPr>
                <w:rFonts w:hint="default" w:ascii="Times New Roman" w:hAnsi="Times New Roman" w:eastAsia="宋体" w:cs="Times New Roman"/>
                <w:bCs/>
                <w:snapToGrid w:val="0"/>
                <w:color w:val="auto"/>
                <w:kern w:val="0"/>
                <w:sz w:val="24"/>
                <w:szCs w:val="24"/>
                <w:highlight w:val="none"/>
                <w:lang w:val="en-US" w:eastAsia="zh-CN"/>
              </w:rPr>
              <w:t>废水处理</w:t>
            </w:r>
            <w:r>
              <w:rPr>
                <w:rFonts w:hint="eastAsia" w:cs="Times New Roman"/>
                <w:bCs/>
                <w:snapToGrid w:val="0"/>
                <w:color w:val="auto"/>
                <w:kern w:val="0"/>
                <w:sz w:val="24"/>
                <w:szCs w:val="24"/>
                <w:highlight w:val="none"/>
                <w:lang w:val="en-US" w:eastAsia="zh-CN"/>
              </w:rPr>
              <w:t>设施对宠物诊疗</w:t>
            </w:r>
            <w:r>
              <w:rPr>
                <w:rFonts w:hint="default" w:ascii="Times New Roman" w:hAnsi="Times New Roman" w:eastAsia="宋体" w:cs="Times New Roman"/>
                <w:bCs/>
                <w:snapToGrid w:val="0"/>
                <w:color w:val="auto"/>
                <w:kern w:val="0"/>
                <w:sz w:val="24"/>
                <w:szCs w:val="24"/>
                <w:highlight w:val="none"/>
                <w:lang w:val="en-US" w:eastAsia="zh-CN"/>
              </w:rPr>
              <w:t>废水进行消毒。</w:t>
            </w:r>
            <w:r>
              <w:rPr>
                <w:rFonts w:hint="eastAsia" w:cs="Times New Roman"/>
                <w:bCs/>
                <w:snapToGrid w:val="0"/>
                <w:color w:val="auto"/>
                <w:kern w:val="0"/>
                <w:sz w:val="24"/>
                <w:szCs w:val="24"/>
                <w:highlight w:val="none"/>
                <w:lang w:val="en-US" w:eastAsia="zh-CN"/>
              </w:rPr>
              <w:t>小型</w:t>
            </w:r>
            <w:r>
              <w:rPr>
                <w:rFonts w:hint="default" w:ascii="Times New Roman" w:hAnsi="Times New Roman" w:eastAsia="宋体" w:cs="Times New Roman"/>
                <w:bCs/>
                <w:snapToGrid w:val="0"/>
                <w:color w:val="auto"/>
                <w:kern w:val="0"/>
                <w:sz w:val="24"/>
                <w:szCs w:val="24"/>
                <w:highlight w:val="none"/>
                <w:lang w:val="en-US" w:eastAsia="zh-CN"/>
              </w:rPr>
              <w:t>废水处理</w:t>
            </w:r>
            <w:r>
              <w:rPr>
                <w:rFonts w:hint="eastAsia" w:cs="Times New Roman"/>
                <w:bCs/>
                <w:snapToGrid w:val="0"/>
                <w:color w:val="auto"/>
                <w:kern w:val="0"/>
                <w:sz w:val="24"/>
                <w:szCs w:val="24"/>
                <w:highlight w:val="none"/>
                <w:lang w:val="en-US" w:eastAsia="zh-CN"/>
              </w:rPr>
              <w:t>设施分别安装于诊疗室及手术室洗手池下方且</w:t>
            </w:r>
            <w:r>
              <w:rPr>
                <w:rFonts w:hint="default" w:ascii="Times New Roman" w:hAnsi="Times New Roman" w:eastAsia="宋体" w:cs="Times New Roman"/>
                <w:bCs/>
                <w:snapToGrid w:val="0"/>
                <w:color w:val="auto"/>
                <w:kern w:val="0"/>
                <w:sz w:val="24"/>
                <w:szCs w:val="24"/>
                <w:highlight w:val="none"/>
                <w:lang w:val="en-US" w:eastAsia="zh-CN"/>
              </w:rPr>
              <w:t>废水经小型废水处理设施处理后排入市政污水管网废水在处理设施内停留时间极短且废水处理设施密闭，</w:t>
            </w:r>
            <w:r>
              <w:rPr>
                <w:rFonts w:hint="eastAsia" w:cs="Times New Roman"/>
                <w:bCs/>
                <w:snapToGrid w:val="0"/>
                <w:color w:val="auto"/>
                <w:kern w:val="0"/>
                <w:sz w:val="24"/>
                <w:szCs w:val="24"/>
                <w:highlight w:val="none"/>
                <w:lang w:val="en-US" w:eastAsia="zh-CN"/>
              </w:rPr>
              <w:t>故</w:t>
            </w:r>
            <w:r>
              <w:rPr>
                <w:rFonts w:hint="default" w:ascii="Times New Roman" w:hAnsi="Times New Roman" w:eastAsia="宋体" w:cs="Times New Roman"/>
                <w:bCs/>
                <w:snapToGrid w:val="0"/>
                <w:color w:val="auto"/>
                <w:kern w:val="0"/>
                <w:sz w:val="24"/>
                <w:szCs w:val="24"/>
                <w:highlight w:val="none"/>
                <w:lang w:val="en-US" w:eastAsia="zh-CN"/>
              </w:rPr>
              <w:t>产生的异味</w:t>
            </w:r>
            <w:r>
              <w:rPr>
                <w:rFonts w:hint="eastAsia" w:cs="Times New Roman"/>
                <w:bCs/>
                <w:snapToGrid w:val="0"/>
                <w:color w:val="auto"/>
                <w:kern w:val="0"/>
                <w:sz w:val="24"/>
                <w:szCs w:val="24"/>
                <w:highlight w:val="none"/>
                <w:lang w:val="en-US" w:eastAsia="zh-CN"/>
              </w:rPr>
              <w:t>较少</w:t>
            </w:r>
            <w:r>
              <w:rPr>
                <w:rFonts w:hint="default" w:ascii="Times New Roman" w:hAnsi="Times New Roman" w:eastAsia="宋体" w:cs="Times New Roman"/>
                <w:bCs/>
                <w:snapToGrid w:val="0"/>
                <w:color w:val="auto"/>
                <w:kern w:val="0"/>
                <w:sz w:val="24"/>
                <w:szCs w:val="24"/>
                <w:highlight w:val="none"/>
                <w:lang w:val="en-US" w:eastAsia="zh-CN"/>
              </w:rPr>
              <w:t>，因此不会对周边环境产生明显影响</w:t>
            </w:r>
            <w:r>
              <w:rPr>
                <w:rFonts w:hint="eastAsia" w:cs="Times New Roman"/>
                <w:bCs/>
                <w:snapToGrid w:val="0"/>
                <w:color w:val="auto"/>
                <w:kern w:val="0"/>
                <w:sz w:val="24"/>
                <w:szCs w:val="24"/>
                <w:highlight w:val="none"/>
                <w:lang w:val="en-US" w:eastAsia="zh-CN"/>
              </w:rPr>
              <w:t>。</w:t>
            </w:r>
            <w:r>
              <w:rPr>
                <w:rFonts w:hint="default" w:ascii="Times New Roman" w:hAnsi="Times New Roman" w:eastAsia="宋体" w:cs="Times New Roman"/>
                <w:bCs/>
                <w:snapToGrid w:val="0"/>
                <w:color w:val="auto"/>
                <w:kern w:val="0"/>
                <w:sz w:val="24"/>
                <w:szCs w:val="24"/>
                <w:highlight w:val="none"/>
                <w:lang w:val="en-US" w:eastAsia="zh-CN"/>
              </w:rPr>
              <w:t>建设单位应安排专人对废水处理设施进行管理和监护，确保废水处理设施的正常运行。</w:t>
            </w:r>
          </w:p>
          <w:p w14:paraId="494F4C5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482" w:firstLineChars="200"/>
              <w:textAlignment w:val="auto"/>
              <w:rPr>
                <w:rFonts w:hint="default" w:ascii="Times New Roman" w:hAnsi="Times New Roman" w:eastAsia="宋体" w:cs="Times New Roman"/>
                <w:b/>
                <w:bCs/>
                <w:color w:val="000000"/>
                <w:kern w:val="0"/>
                <w:highlight w:val="none"/>
                <w:lang w:val="en-US" w:eastAsia="zh-CN"/>
              </w:rPr>
            </w:pPr>
            <w:r>
              <w:rPr>
                <w:rFonts w:hint="default" w:ascii="Times New Roman" w:hAnsi="Times New Roman" w:eastAsia="宋体" w:cs="Times New Roman"/>
                <w:b/>
                <w:bCs/>
                <w:color w:val="000000"/>
                <w:kern w:val="0"/>
                <w:highlight w:val="none"/>
              </w:rPr>
              <w:t>1.1.</w:t>
            </w:r>
            <w:r>
              <w:rPr>
                <w:rFonts w:hint="eastAsia" w:eastAsia="宋体" w:cs="Times New Roman"/>
                <w:b/>
                <w:bCs/>
                <w:color w:val="000000"/>
                <w:kern w:val="0"/>
                <w:highlight w:val="none"/>
                <w:lang w:val="en-US" w:eastAsia="zh-CN"/>
              </w:rPr>
              <w:t>3</w:t>
            </w:r>
            <w:r>
              <w:rPr>
                <w:rFonts w:hint="eastAsia" w:cs="Times New Roman"/>
                <w:b/>
                <w:bCs/>
                <w:color w:val="000000"/>
                <w:kern w:val="0"/>
                <w:highlight w:val="none"/>
                <w:lang w:eastAsia="zh-CN"/>
              </w:rPr>
              <w:t>动物诊疗废物</w:t>
            </w:r>
            <w:r>
              <w:rPr>
                <w:rFonts w:hint="default" w:ascii="Times New Roman" w:hAnsi="Times New Roman" w:eastAsia="宋体" w:cs="Times New Roman"/>
                <w:b/>
                <w:bCs/>
                <w:color w:val="000000"/>
                <w:kern w:val="0"/>
                <w:highlight w:val="none"/>
              </w:rPr>
              <w:t>暂存异味</w:t>
            </w:r>
          </w:p>
          <w:p w14:paraId="1BF0A0F8">
            <w:pPr>
              <w:pStyle w:val="10"/>
              <w:keepNext w:val="0"/>
              <w:keepLines w:val="0"/>
              <w:suppressLineNumbers w:val="0"/>
              <w:spacing w:before="0" w:beforeAutospacing="0" w:after="0" w:afterAutospacing="0"/>
              <w:ind w:left="0" w:right="0"/>
              <w:jc w:val="both"/>
              <w:rPr>
                <w:rFonts w:hint="eastAsia" w:ascii="Times New Roman" w:hAnsi="Times New Roman" w:eastAsia="宋体" w:cs="Times New Roman"/>
                <w:bCs/>
                <w:snapToGrid w:val="0"/>
                <w:color w:val="auto"/>
                <w:kern w:val="0"/>
                <w:sz w:val="24"/>
                <w:szCs w:val="24"/>
                <w:highlight w:val="none"/>
                <w:lang w:val="en-US" w:eastAsia="zh-CN"/>
              </w:rPr>
            </w:pPr>
            <w:r>
              <w:rPr>
                <w:rFonts w:hint="default" w:ascii="Times New Roman" w:hAnsi="Times New Roman" w:eastAsia="宋体" w:cs="Times New Roman"/>
                <w:bCs/>
                <w:snapToGrid w:val="0"/>
                <w:color w:val="auto"/>
                <w:kern w:val="0"/>
                <w:sz w:val="24"/>
                <w:szCs w:val="24"/>
                <w:highlight w:val="none"/>
                <w:lang w:val="en-US" w:eastAsia="zh-CN"/>
              </w:rPr>
              <w:t>本项目设置专用垃圾桶收集</w:t>
            </w:r>
            <w:r>
              <w:rPr>
                <w:rFonts w:hint="eastAsia" w:cs="Times New Roman"/>
                <w:bCs/>
                <w:snapToGrid w:val="0"/>
                <w:color w:val="auto"/>
                <w:kern w:val="0"/>
                <w:sz w:val="24"/>
                <w:szCs w:val="24"/>
                <w:highlight w:val="none"/>
                <w:lang w:val="en-US" w:eastAsia="zh-CN"/>
              </w:rPr>
              <w:t>动物诊疗废物</w:t>
            </w:r>
            <w:r>
              <w:rPr>
                <w:rFonts w:hint="default" w:ascii="Times New Roman" w:hAnsi="Times New Roman" w:eastAsia="宋体" w:cs="Times New Roman"/>
                <w:bCs/>
                <w:snapToGrid w:val="0"/>
                <w:color w:val="auto"/>
                <w:kern w:val="0"/>
                <w:sz w:val="24"/>
                <w:szCs w:val="24"/>
                <w:highlight w:val="none"/>
                <w:lang w:val="en-US" w:eastAsia="zh-CN"/>
              </w:rPr>
              <w:t>，并设置</w:t>
            </w:r>
            <w:r>
              <w:rPr>
                <w:rFonts w:hint="eastAsia" w:cs="Times New Roman"/>
                <w:color w:val="000000"/>
                <w:kern w:val="2"/>
                <w:sz w:val="24"/>
                <w:szCs w:val="24"/>
                <w:lang w:val="en-US" w:eastAsia="zh-CN" w:bidi="ar-SA"/>
              </w:rPr>
              <w:t>医疗废物专用暂时贮存柜</w:t>
            </w:r>
            <w:r>
              <w:rPr>
                <w:rFonts w:hint="default" w:ascii="Times New Roman" w:hAnsi="Times New Roman" w:eastAsia="宋体" w:cs="Times New Roman"/>
                <w:bCs/>
                <w:snapToGrid w:val="0"/>
                <w:color w:val="auto"/>
                <w:kern w:val="0"/>
                <w:sz w:val="24"/>
                <w:szCs w:val="24"/>
                <w:highlight w:val="none"/>
                <w:lang w:val="en-US" w:eastAsia="zh-CN"/>
              </w:rPr>
              <w:t>。</w:t>
            </w:r>
            <w:r>
              <w:rPr>
                <w:rFonts w:hint="eastAsia" w:cs="Times New Roman"/>
                <w:bCs/>
                <w:snapToGrid w:val="0"/>
                <w:color w:val="auto"/>
                <w:kern w:val="0"/>
                <w:sz w:val="24"/>
                <w:szCs w:val="24"/>
                <w:highlight w:val="none"/>
                <w:lang w:val="en-US" w:eastAsia="zh-CN"/>
              </w:rPr>
              <w:t>动物诊疗废物</w:t>
            </w:r>
            <w:r>
              <w:rPr>
                <w:rFonts w:hint="default" w:ascii="Times New Roman" w:hAnsi="Times New Roman" w:eastAsia="宋体" w:cs="Times New Roman"/>
                <w:bCs/>
                <w:snapToGrid w:val="0"/>
                <w:color w:val="auto"/>
                <w:kern w:val="0"/>
                <w:sz w:val="24"/>
                <w:szCs w:val="24"/>
                <w:highlight w:val="none"/>
                <w:lang w:val="en-US" w:eastAsia="zh-CN"/>
              </w:rPr>
              <w:t>做好严密的封闭措施，有防鼠、防蚊蝇、防</w:t>
            </w:r>
            <w:r>
              <w:rPr>
                <w:rFonts w:hint="eastAsia" w:cs="Times New Roman"/>
                <w:bCs/>
                <w:snapToGrid w:val="0"/>
                <w:color w:val="auto"/>
                <w:kern w:val="0"/>
                <w:sz w:val="24"/>
                <w:szCs w:val="24"/>
                <w:highlight w:val="none"/>
                <w:lang w:val="en-US" w:eastAsia="zh-CN"/>
              </w:rPr>
              <w:t>蟑螂</w:t>
            </w:r>
            <w:r>
              <w:rPr>
                <w:rFonts w:hint="default" w:ascii="Times New Roman" w:hAnsi="Times New Roman" w:eastAsia="宋体" w:cs="Times New Roman"/>
                <w:bCs/>
                <w:snapToGrid w:val="0"/>
                <w:color w:val="auto"/>
                <w:kern w:val="0"/>
                <w:sz w:val="24"/>
                <w:szCs w:val="24"/>
                <w:highlight w:val="none"/>
                <w:lang w:val="en-US" w:eastAsia="zh-CN"/>
              </w:rPr>
              <w:t>的安全措施。在采取对</w:t>
            </w:r>
            <w:r>
              <w:rPr>
                <w:rFonts w:hint="eastAsia" w:cs="Times New Roman"/>
                <w:color w:val="000000"/>
                <w:kern w:val="2"/>
                <w:sz w:val="24"/>
                <w:szCs w:val="24"/>
                <w:lang w:val="en-US" w:eastAsia="zh-CN" w:bidi="ar-SA"/>
              </w:rPr>
              <w:t>医疗废物专用暂时贮存柜</w:t>
            </w:r>
            <w:r>
              <w:rPr>
                <w:rFonts w:hint="default" w:ascii="Times New Roman" w:hAnsi="Times New Roman" w:eastAsia="宋体" w:cs="Times New Roman"/>
                <w:bCs/>
                <w:snapToGrid w:val="0"/>
                <w:color w:val="auto"/>
                <w:kern w:val="0"/>
                <w:sz w:val="24"/>
                <w:szCs w:val="24"/>
                <w:highlight w:val="none"/>
                <w:lang w:val="en-US" w:eastAsia="zh-CN"/>
              </w:rPr>
              <w:t>定期消毒和清洁、控制</w:t>
            </w:r>
            <w:r>
              <w:rPr>
                <w:rFonts w:hint="eastAsia" w:cs="Times New Roman"/>
                <w:bCs/>
                <w:snapToGrid w:val="0"/>
                <w:color w:val="auto"/>
                <w:kern w:val="0"/>
                <w:sz w:val="24"/>
                <w:szCs w:val="24"/>
                <w:highlight w:val="none"/>
                <w:lang w:val="en-US" w:eastAsia="zh-CN"/>
              </w:rPr>
              <w:t>动物诊疗废物、尽量做到日产日清</w:t>
            </w:r>
            <w:r>
              <w:rPr>
                <w:rFonts w:hint="default" w:ascii="Times New Roman" w:hAnsi="Times New Roman" w:eastAsia="宋体" w:cs="Times New Roman"/>
                <w:bCs/>
                <w:snapToGrid w:val="0"/>
                <w:color w:val="auto"/>
                <w:kern w:val="0"/>
                <w:sz w:val="24"/>
                <w:szCs w:val="24"/>
                <w:highlight w:val="none"/>
                <w:lang w:val="en-US" w:eastAsia="zh-CN"/>
              </w:rPr>
              <w:t>等措施的情况下，可有效防止</w:t>
            </w:r>
            <w:r>
              <w:rPr>
                <w:rFonts w:hint="eastAsia" w:cs="Times New Roman"/>
                <w:bCs/>
                <w:snapToGrid w:val="0"/>
                <w:color w:val="auto"/>
                <w:kern w:val="0"/>
                <w:sz w:val="24"/>
                <w:szCs w:val="24"/>
                <w:highlight w:val="none"/>
                <w:lang w:val="en-US" w:eastAsia="zh-CN"/>
              </w:rPr>
              <w:t>动物诊疗废物</w:t>
            </w:r>
            <w:r>
              <w:rPr>
                <w:rFonts w:hint="default" w:ascii="Times New Roman" w:hAnsi="Times New Roman" w:eastAsia="宋体" w:cs="Times New Roman"/>
                <w:bCs/>
                <w:snapToGrid w:val="0"/>
                <w:color w:val="auto"/>
                <w:kern w:val="0"/>
                <w:sz w:val="24"/>
                <w:szCs w:val="24"/>
                <w:highlight w:val="none"/>
                <w:lang w:val="en-US" w:eastAsia="zh-CN"/>
              </w:rPr>
              <w:t>产生异味</w:t>
            </w:r>
            <w:r>
              <w:rPr>
                <w:rFonts w:hint="eastAsia"/>
                <w:lang w:eastAsia="zh-CN"/>
              </w:rPr>
              <w:t>。</w:t>
            </w:r>
          </w:p>
          <w:p w14:paraId="0BD2F537">
            <w:pPr>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综上分析，项目废气产生量很小，在加强日常管理的基础上，能确保厂界臭气浓度达到《恶臭污染物排放标准》（GB14554-93）表1二级新扩改标准限值，对周边大气环境影响较小。</w:t>
            </w:r>
          </w:p>
          <w:p w14:paraId="46344794">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highlight w:val="none"/>
              </w:rPr>
            </w:pPr>
            <w:bookmarkStart w:id="40" w:name="_Toc17565"/>
            <w:r>
              <w:rPr>
                <w:rFonts w:hint="default" w:ascii="Times New Roman" w:hAnsi="Times New Roman" w:eastAsia="宋体" w:cs="Times New Roman"/>
                <w:b/>
                <w:bCs w:val="0"/>
                <w:sz w:val="24"/>
                <w:szCs w:val="24"/>
                <w:highlight w:val="none"/>
                <w:lang w:val="en-US" w:eastAsia="zh-CN"/>
              </w:rPr>
              <w:t>1.2废气治理措施</w:t>
            </w:r>
            <w:r>
              <w:rPr>
                <w:rFonts w:hint="eastAsia" w:cs="Times New Roman"/>
                <w:b/>
                <w:bCs w:val="0"/>
                <w:sz w:val="24"/>
                <w:szCs w:val="24"/>
                <w:highlight w:val="none"/>
                <w:lang w:val="en-US" w:eastAsia="zh-CN"/>
              </w:rPr>
              <w:t>及达标</w:t>
            </w:r>
            <w:r>
              <w:rPr>
                <w:rFonts w:hint="default" w:ascii="Times New Roman" w:hAnsi="Times New Roman" w:eastAsia="宋体" w:cs="Times New Roman"/>
                <w:b/>
                <w:bCs w:val="0"/>
                <w:sz w:val="24"/>
                <w:szCs w:val="24"/>
                <w:highlight w:val="none"/>
                <w:lang w:val="en-US" w:eastAsia="zh-CN"/>
              </w:rPr>
              <w:t>可行性分析</w:t>
            </w:r>
          </w:p>
          <w:p w14:paraId="031486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项目设专人及时对病房内的排便和排尿盒进行清洗，</w:t>
            </w:r>
            <w:r>
              <w:rPr>
                <w:rFonts w:hint="eastAsia" w:cs="Times New Roman"/>
                <w:color w:val="000000"/>
                <w:sz w:val="24"/>
                <w:szCs w:val="24"/>
                <w:lang w:eastAsia="zh-CN"/>
              </w:rPr>
              <w:t>动物诊疗废物</w:t>
            </w:r>
            <w:r>
              <w:rPr>
                <w:rFonts w:hint="default" w:ascii="Times New Roman" w:hAnsi="Times New Roman" w:eastAsia="宋体" w:cs="Times New Roman"/>
                <w:color w:val="000000"/>
                <w:sz w:val="24"/>
                <w:szCs w:val="24"/>
              </w:rPr>
              <w:t>产生后及时转移至密封的</w:t>
            </w:r>
            <w:r>
              <w:rPr>
                <w:rFonts w:hint="eastAsia" w:cs="Times New Roman"/>
                <w:color w:val="000000"/>
                <w:kern w:val="2"/>
                <w:sz w:val="24"/>
                <w:szCs w:val="24"/>
                <w:lang w:val="en-US" w:eastAsia="zh-CN" w:bidi="ar-SA"/>
              </w:rPr>
              <w:t>医疗废物专用暂时贮存柜</w:t>
            </w:r>
            <w:r>
              <w:rPr>
                <w:rFonts w:hint="default" w:ascii="Times New Roman" w:hAnsi="Times New Roman" w:eastAsia="宋体" w:cs="Times New Roman"/>
                <w:color w:val="000000"/>
                <w:sz w:val="24"/>
                <w:szCs w:val="24"/>
              </w:rPr>
              <w:t>内，防止</w:t>
            </w:r>
            <w:r>
              <w:rPr>
                <w:rFonts w:hint="eastAsia" w:cs="Times New Roman"/>
                <w:color w:val="000000"/>
                <w:sz w:val="24"/>
                <w:szCs w:val="24"/>
                <w:lang w:eastAsia="zh-CN"/>
              </w:rPr>
              <w:t>动物诊疗废物</w:t>
            </w:r>
            <w:r>
              <w:rPr>
                <w:rFonts w:hint="default" w:ascii="Times New Roman" w:hAnsi="Times New Roman" w:eastAsia="宋体" w:cs="Times New Roman"/>
                <w:color w:val="000000"/>
                <w:sz w:val="24"/>
                <w:szCs w:val="24"/>
              </w:rPr>
              <w:t>腐败散发恶臭。同时配备紫外线消毒装置日常对病房进行杀菌消毒。污水处理设施处理过程中加盖密封。</w:t>
            </w:r>
          </w:p>
          <w:p w14:paraId="2AF5E6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参考《瑞派长江宠物医院开发区宠物诊疗项目竣工环境保护验收监测报告表》监测结果，该类比项目因采用与本项目一致的</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rPr>
              <w:t>及时清理排泄物、密封暂存医疗废物、污水处理设施加盖密封及紫外线消毒</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rPr>
              <w:t>等措施，其臭气浓度监测值符合相关排放标准要求。​从项目相似性来看，本项目与类比项目均开展疾病诊疗、绝育手术、寄养美容等业务，</w:t>
            </w:r>
            <w:r>
              <w:rPr>
                <w:rFonts w:hint="eastAsia" w:cs="Times New Roman"/>
                <w:color w:val="000000"/>
                <w:sz w:val="24"/>
                <w:szCs w:val="24"/>
                <w:lang w:val="en-US" w:eastAsia="zh-CN"/>
              </w:rPr>
              <w:t>此外，</w:t>
            </w:r>
            <w:r>
              <w:rPr>
                <w:rFonts w:hint="default" w:ascii="Times New Roman" w:hAnsi="Times New Roman" w:eastAsia="宋体" w:cs="Times New Roman"/>
                <w:color w:val="000000"/>
                <w:sz w:val="24"/>
                <w:szCs w:val="24"/>
              </w:rPr>
              <w:t>动物排泄物留存、诊疗废物暂存、污水处理设施运行等臭气产生环节一致</w:t>
            </w:r>
            <w:r>
              <w:rPr>
                <w:rFonts w:hint="eastAsia" w:cs="Times New Roman"/>
                <w:color w:val="000000"/>
                <w:sz w:val="24"/>
                <w:szCs w:val="24"/>
                <w:lang w:eastAsia="zh-CN"/>
              </w:rPr>
              <w:t>，</w:t>
            </w:r>
            <w:r>
              <w:rPr>
                <w:rFonts w:hint="eastAsia" w:cs="Times New Roman"/>
                <w:color w:val="000000"/>
                <w:sz w:val="24"/>
                <w:szCs w:val="24"/>
                <w:lang w:val="en-US" w:eastAsia="zh-CN"/>
              </w:rPr>
              <w:t>因此，</w:t>
            </w:r>
            <w:r>
              <w:rPr>
                <w:rFonts w:hint="default" w:ascii="Times New Roman" w:hAnsi="Times New Roman" w:eastAsia="宋体" w:cs="Times New Roman"/>
                <w:color w:val="000000"/>
                <w:sz w:val="24"/>
                <w:szCs w:val="24"/>
              </w:rPr>
              <w:t>污染物种类和浓度范围具有可比性</w:t>
            </w:r>
            <w:r>
              <w:rPr>
                <w:rFonts w:hint="eastAsia" w:cs="Times New Roman"/>
                <w:color w:val="000000"/>
                <w:sz w:val="24"/>
                <w:szCs w:val="24"/>
                <w:lang w:eastAsia="zh-CN"/>
              </w:rPr>
              <w:t>，</w:t>
            </w:r>
            <w:r>
              <w:rPr>
                <w:rFonts w:hint="default" w:ascii="Times New Roman" w:hAnsi="Times New Roman" w:eastAsia="宋体" w:cs="Times New Roman"/>
                <w:color w:val="000000"/>
                <w:sz w:val="24"/>
                <w:szCs w:val="24"/>
              </w:rPr>
              <w:t>且废气中均以臭气浓度为核心污染因子，污染本质相同，加之两者采用的治理工艺相似，处理效果相近，具备浓度类比的基础。​</w:t>
            </w:r>
          </w:p>
          <w:p w14:paraId="0A003D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因此，本项目通过上述措施能有效控制臭气排放，其臭气浓度可达到相应标准要求，治理措施可行。</w:t>
            </w:r>
          </w:p>
          <w:p w14:paraId="2B2C7490">
            <w:pPr>
              <w:pStyle w:val="5"/>
              <w:suppressLineNumbers w:val="0"/>
              <w:bidi w:val="0"/>
              <w:spacing w:before="0" w:beforeAutospacing="0" w:after="0" w:afterAutospacing="0"/>
              <w:ind w:left="0" w:right="0"/>
              <w:jc w:val="both"/>
              <w:rPr>
                <w:rFonts w:hint="default" w:ascii="Times New Roman" w:hAnsi="Times New Roman" w:eastAsia="宋体" w:cs="Times New Roman"/>
                <w:color w:val="000000"/>
                <w:highlight w:val="none"/>
                <w:lang w:val="en-US" w:eastAsia="zh-CN"/>
              </w:rPr>
            </w:pPr>
            <w:r>
              <w:rPr>
                <w:rFonts w:hint="default" w:ascii="Times New Roman" w:hAnsi="Times New Roman" w:eastAsia="宋体" w:cs="Times New Roman"/>
                <w:color w:val="000000"/>
                <w:highlight w:val="none"/>
                <w:lang w:val="en-US" w:eastAsia="zh-CN"/>
              </w:rPr>
              <w:t>1.3废气自行监测</w:t>
            </w:r>
            <w:bookmarkEnd w:id="40"/>
          </w:p>
          <w:p w14:paraId="47355254">
            <w:pPr>
              <w:keepNext w:val="0"/>
              <w:keepLines w:val="0"/>
              <w:suppressLineNumbers w:val="0"/>
              <w:bidi w:val="0"/>
              <w:spacing w:before="0" w:beforeAutospacing="0" w:after="0" w:afterAutospacing="0"/>
              <w:ind w:left="0" w:right="0"/>
              <w:jc w:val="both"/>
              <w:rPr>
                <w:rFonts w:hint="default" w:ascii="Times New Roman" w:hAnsi="Times New Roman" w:eastAsia="宋体" w:cs="Times New Roman"/>
                <w:color w:val="000000"/>
                <w:highlight w:val="none"/>
                <w:lang w:val="en-US" w:eastAsia="zh-CN"/>
              </w:rPr>
            </w:pPr>
            <w:r>
              <w:rPr>
                <w:rFonts w:hint="eastAsia" w:cs="Times New Roman"/>
                <w:bCs/>
                <w:snapToGrid w:val="0"/>
                <w:color w:val="auto"/>
                <w:kern w:val="0"/>
                <w:sz w:val="24"/>
                <w:szCs w:val="24"/>
                <w:highlight w:val="none"/>
                <w:lang w:val="en-US" w:eastAsia="zh-CN"/>
              </w:rPr>
              <w:t>小型</w:t>
            </w:r>
            <w:r>
              <w:rPr>
                <w:rFonts w:hint="default" w:ascii="Times New Roman" w:hAnsi="Times New Roman" w:eastAsia="宋体" w:cs="Times New Roman"/>
                <w:bCs/>
                <w:snapToGrid w:val="0"/>
                <w:color w:val="auto"/>
                <w:kern w:val="0"/>
                <w:sz w:val="24"/>
                <w:szCs w:val="24"/>
                <w:highlight w:val="none"/>
                <w:lang w:val="en-US" w:eastAsia="zh-CN"/>
              </w:rPr>
              <w:t>废水处理</w:t>
            </w:r>
            <w:r>
              <w:rPr>
                <w:rFonts w:hint="eastAsia" w:cs="Times New Roman"/>
                <w:bCs/>
                <w:snapToGrid w:val="0"/>
                <w:color w:val="auto"/>
                <w:kern w:val="0"/>
                <w:sz w:val="24"/>
                <w:szCs w:val="24"/>
                <w:highlight w:val="none"/>
                <w:lang w:val="en-US" w:eastAsia="zh-CN"/>
              </w:rPr>
              <w:t>设施分别安装于诊疗室及手术室洗手池下方且</w:t>
            </w:r>
            <w:r>
              <w:rPr>
                <w:rFonts w:hint="default" w:ascii="Times New Roman" w:hAnsi="Times New Roman" w:eastAsia="宋体" w:cs="Times New Roman"/>
                <w:bCs/>
                <w:snapToGrid w:val="0"/>
                <w:color w:val="auto"/>
                <w:kern w:val="0"/>
                <w:sz w:val="24"/>
                <w:szCs w:val="24"/>
                <w:highlight w:val="none"/>
                <w:lang w:val="en-US" w:eastAsia="zh-CN"/>
              </w:rPr>
              <w:t>废水经小型废水处理设施处理后排入市政污水管网废水在处理设施内停留时间极短且废水处理设施密闭，</w:t>
            </w:r>
            <w:r>
              <w:rPr>
                <w:rFonts w:hint="eastAsia" w:cs="Times New Roman"/>
                <w:bCs/>
                <w:snapToGrid w:val="0"/>
                <w:color w:val="auto"/>
                <w:kern w:val="0"/>
                <w:sz w:val="24"/>
                <w:szCs w:val="24"/>
                <w:highlight w:val="none"/>
                <w:lang w:val="en-US" w:eastAsia="zh-CN"/>
              </w:rPr>
              <w:t>故</w:t>
            </w:r>
            <w:r>
              <w:rPr>
                <w:rFonts w:hint="default" w:ascii="Times New Roman" w:hAnsi="Times New Roman" w:eastAsia="宋体" w:cs="Times New Roman"/>
                <w:bCs/>
                <w:snapToGrid w:val="0"/>
                <w:color w:val="auto"/>
                <w:kern w:val="0"/>
                <w:sz w:val="24"/>
                <w:szCs w:val="24"/>
                <w:highlight w:val="none"/>
                <w:lang w:val="en-US" w:eastAsia="zh-CN"/>
              </w:rPr>
              <w:t>产生的异味</w:t>
            </w:r>
            <w:r>
              <w:rPr>
                <w:rFonts w:hint="eastAsia" w:cs="Times New Roman"/>
                <w:bCs/>
                <w:snapToGrid w:val="0"/>
                <w:color w:val="auto"/>
                <w:kern w:val="0"/>
                <w:sz w:val="24"/>
                <w:szCs w:val="24"/>
                <w:highlight w:val="none"/>
                <w:lang w:val="en-US" w:eastAsia="zh-CN"/>
              </w:rPr>
              <w:t>较少，因此不对小型废水处理设施周围废气进行监测，故</w:t>
            </w:r>
            <w:r>
              <w:rPr>
                <w:rFonts w:hint="default" w:ascii="Times New Roman" w:hAnsi="Times New Roman" w:eastAsia="宋体" w:cs="Times New Roman"/>
                <w:color w:val="000000"/>
                <w:highlight w:val="none"/>
                <w:lang w:val="en-US" w:eastAsia="zh-CN"/>
              </w:rPr>
              <w:t>本项目按照</w:t>
            </w:r>
            <w:r>
              <w:rPr>
                <w:rFonts w:hint="default" w:ascii="Times New Roman" w:hAnsi="Times New Roman" w:eastAsia="宋体" w:cs="Times New Roman"/>
                <w:sz w:val="24"/>
              </w:rPr>
              <w:t>《排污许可证申请与核发技术规范 总则》（HJ942-2018）</w:t>
            </w:r>
            <w:r>
              <w:rPr>
                <w:rFonts w:hint="default" w:ascii="Times New Roman" w:hAnsi="Times New Roman" w:eastAsia="宋体" w:cs="Times New Roman"/>
                <w:bCs/>
                <w:spacing w:val="-10"/>
                <w:sz w:val="24"/>
              </w:rPr>
              <w:t>的要求，本项目</w:t>
            </w:r>
            <w:r>
              <w:rPr>
                <w:rFonts w:hint="default" w:ascii="Times New Roman" w:hAnsi="Times New Roman" w:eastAsia="宋体" w:cs="Times New Roman"/>
                <w:bCs/>
                <w:spacing w:val="-10"/>
                <w:sz w:val="24"/>
                <w:lang w:val="en-US" w:eastAsia="zh-CN"/>
              </w:rPr>
              <w:t>大气</w:t>
            </w:r>
            <w:r>
              <w:rPr>
                <w:rFonts w:hint="default" w:ascii="Times New Roman" w:hAnsi="Times New Roman" w:eastAsia="宋体" w:cs="Times New Roman"/>
                <w:color w:val="000000"/>
                <w:highlight w:val="none"/>
                <w:lang w:val="en-US" w:eastAsia="zh-CN"/>
              </w:rPr>
              <w:t>监测计划见表4-3。</w:t>
            </w:r>
          </w:p>
          <w:p w14:paraId="77B8E2F2">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422" w:firstLineChars="200"/>
              <w:jc w:val="both"/>
              <w:textAlignment w:val="auto"/>
              <w:rPr>
                <w:rFonts w:hint="default" w:ascii="Times New Roman" w:hAnsi="Times New Roman" w:eastAsia="宋体" w:cs="Times New Roman"/>
                <w:b/>
                <w:bCs/>
                <w:color w:val="000000"/>
                <w:kern w:val="2"/>
                <w:sz w:val="21"/>
                <w:szCs w:val="28"/>
                <w:highlight w:val="none"/>
                <w:lang w:val="en-US" w:eastAsia="zh-CN" w:bidi="ar-SA"/>
              </w:rPr>
            </w:pPr>
            <w:r>
              <w:rPr>
                <w:rFonts w:hint="default" w:ascii="Times New Roman" w:hAnsi="Times New Roman" w:eastAsia="宋体" w:cs="Times New Roman"/>
                <w:b/>
                <w:bCs/>
                <w:color w:val="000000"/>
                <w:kern w:val="2"/>
                <w:sz w:val="21"/>
                <w:szCs w:val="28"/>
                <w:highlight w:val="none"/>
                <w:lang w:val="en-US" w:eastAsia="zh-CN" w:bidi="ar-SA"/>
              </w:rPr>
              <w:t>表4-</w:t>
            </w:r>
            <w:r>
              <w:rPr>
                <w:rFonts w:hint="eastAsia" w:cs="Times New Roman"/>
                <w:b/>
                <w:bCs/>
                <w:color w:val="000000"/>
                <w:kern w:val="2"/>
                <w:sz w:val="21"/>
                <w:szCs w:val="28"/>
                <w:highlight w:val="none"/>
                <w:lang w:val="en-US" w:eastAsia="zh-CN" w:bidi="ar-SA"/>
              </w:rPr>
              <w:t>1</w:t>
            </w:r>
            <w:r>
              <w:rPr>
                <w:rFonts w:hint="default" w:ascii="Times New Roman" w:hAnsi="Times New Roman" w:eastAsia="宋体" w:cs="Times New Roman"/>
                <w:b/>
                <w:bCs/>
                <w:color w:val="000000"/>
                <w:kern w:val="2"/>
                <w:sz w:val="21"/>
                <w:szCs w:val="28"/>
                <w:highlight w:val="none"/>
                <w:lang w:val="en-US" w:eastAsia="zh-CN" w:bidi="ar-SA"/>
              </w:rPr>
              <w:t xml:space="preserve">                     环境监测计划</w:t>
            </w:r>
          </w:p>
          <w:tbl>
            <w:tblPr>
              <w:tblStyle w:val="31"/>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355"/>
              <w:gridCol w:w="1228"/>
              <w:gridCol w:w="1271"/>
              <w:gridCol w:w="4271"/>
            </w:tblGrid>
            <w:tr w14:paraId="3A8C506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833" w:type="pct"/>
                  <w:tcBorders>
                    <w:tl2br w:val="nil"/>
                    <w:tr2bl w:val="nil"/>
                  </w:tcBorders>
                  <w:noWrap w:val="0"/>
                  <w:vAlign w:val="center"/>
                </w:tcPr>
                <w:p w14:paraId="54C79F22">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center"/>
                    <w:textAlignment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监测点位</w:t>
                  </w:r>
                </w:p>
              </w:tc>
              <w:tc>
                <w:tcPr>
                  <w:tcW w:w="755" w:type="pct"/>
                  <w:tcBorders>
                    <w:tl2br w:val="nil"/>
                    <w:tr2bl w:val="nil"/>
                  </w:tcBorders>
                  <w:noWrap w:val="0"/>
                  <w:vAlign w:val="center"/>
                </w:tcPr>
                <w:p w14:paraId="2CA27791">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center"/>
                    <w:textAlignment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监测因子</w:t>
                  </w:r>
                </w:p>
              </w:tc>
              <w:tc>
                <w:tcPr>
                  <w:tcW w:w="782" w:type="pct"/>
                  <w:tcBorders>
                    <w:tl2br w:val="nil"/>
                    <w:tr2bl w:val="nil"/>
                  </w:tcBorders>
                  <w:noWrap w:val="0"/>
                  <w:vAlign w:val="center"/>
                </w:tcPr>
                <w:p w14:paraId="461829CD">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center"/>
                    <w:textAlignment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监测频率</w:t>
                  </w:r>
                </w:p>
              </w:tc>
              <w:tc>
                <w:tcPr>
                  <w:tcW w:w="2628" w:type="pct"/>
                  <w:tcBorders>
                    <w:tl2br w:val="nil"/>
                    <w:tr2bl w:val="nil"/>
                  </w:tcBorders>
                  <w:noWrap w:val="0"/>
                  <w:vAlign w:val="center"/>
                </w:tcPr>
                <w:p w14:paraId="2273C86F">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center"/>
                    <w:textAlignment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排放标准</w:t>
                  </w:r>
                </w:p>
              </w:tc>
            </w:tr>
            <w:tr w14:paraId="606BF3E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833" w:type="pct"/>
                  <w:tcBorders>
                    <w:tl2br w:val="nil"/>
                    <w:tr2bl w:val="nil"/>
                  </w:tcBorders>
                  <w:noWrap w:val="0"/>
                  <w:vAlign w:val="center"/>
                </w:tcPr>
                <w:p w14:paraId="3BFE6929">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right="0" w:rightChars="0" w:firstLine="0" w:firstLineChars="0"/>
                    <w:jc w:val="center"/>
                    <w:textAlignment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sz w:val="21"/>
                      <w:szCs w:val="21"/>
                      <w:highlight w:val="none"/>
                      <w:lang w:val="en-US" w:eastAsia="zh-CN"/>
                    </w:rPr>
                    <w:t>厂界</w:t>
                  </w:r>
                </w:p>
              </w:tc>
              <w:tc>
                <w:tcPr>
                  <w:tcW w:w="755" w:type="pct"/>
                  <w:tcBorders>
                    <w:tl2br w:val="nil"/>
                    <w:tr2bl w:val="nil"/>
                  </w:tcBorders>
                  <w:noWrap w:val="0"/>
                  <w:vAlign w:val="center"/>
                </w:tcPr>
                <w:p w14:paraId="65FB5294">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right="0" w:rightChars="0" w:firstLine="0" w:firstLineChars="0"/>
                    <w:jc w:val="center"/>
                    <w:textAlignment w:val="center"/>
                    <w:rPr>
                      <w:rFonts w:hint="default" w:ascii="Times New Roman" w:hAnsi="Times New Roman" w:eastAsia="宋体" w:cs="Times New Roman"/>
                      <w:color w:val="000000"/>
                      <w:kern w:val="0"/>
                      <w:sz w:val="21"/>
                      <w:szCs w:val="21"/>
                      <w:highlight w:val="none"/>
                      <w:lang w:val="en-US" w:eastAsia="zh-CN" w:bidi="ar-SA"/>
                    </w:rPr>
                  </w:pPr>
                  <w:r>
                    <w:rPr>
                      <w:rFonts w:hint="eastAsia"/>
                      <w:lang w:val="en-US" w:eastAsia="zh-CN"/>
                    </w:rPr>
                    <w:t>臭气浓度、硫化氢、氨</w:t>
                  </w:r>
                </w:p>
              </w:tc>
              <w:tc>
                <w:tcPr>
                  <w:tcW w:w="782" w:type="pct"/>
                  <w:tcBorders>
                    <w:tl2br w:val="nil"/>
                    <w:tr2bl w:val="nil"/>
                  </w:tcBorders>
                  <w:noWrap w:val="0"/>
                  <w:vAlign w:val="center"/>
                </w:tcPr>
                <w:p w14:paraId="38D181E8">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1次/年</w:t>
                  </w:r>
                </w:p>
              </w:tc>
              <w:tc>
                <w:tcPr>
                  <w:tcW w:w="2628" w:type="pct"/>
                  <w:tcBorders>
                    <w:tl2br w:val="nil"/>
                    <w:tr2bl w:val="nil"/>
                  </w:tcBorders>
                  <w:noWrap w:val="0"/>
                  <w:vAlign w:val="center"/>
                </w:tcPr>
                <w:p w14:paraId="03F0462A">
                  <w:pPr>
                    <w:pStyle w:val="55"/>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right="0" w:rightChars="0" w:firstLine="0" w:firstLineChars="0"/>
                    <w:jc w:val="center"/>
                    <w:textAlignment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val="en-US" w:eastAsia="zh-CN" w:bidi="ar-SA"/>
                    </w:rPr>
                    <w:t>《恶臭污染物排放标准》</w:t>
                  </w:r>
                  <w:r>
                    <w:rPr>
                      <w:rFonts w:hint="eastAsia" w:cs="Times New Roman"/>
                      <w:color w:val="000000"/>
                      <w:kern w:val="0"/>
                      <w:sz w:val="21"/>
                      <w:szCs w:val="21"/>
                      <w:highlight w:val="none"/>
                      <w:lang w:val="en-US" w:eastAsia="zh-CN" w:bidi="ar-SA"/>
                    </w:rPr>
                    <w:t>（</w:t>
                  </w:r>
                  <w:r>
                    <w:rPr>
                      <w:rFonts w:hint="default" w:ascii="Times New Roman" w:hAnsi="Times New Roman" w:eastAsia="宋体" w:cs="Times New Roman"/>
                      <w:color w:val="000000"/>
                      <w:kern w:val="0"/>
                      <w:sz w:val="21"/>
                      <w:szCs w:val="21"/>
                      <w:highlight w:val="none"/>
                      <w:lang w:val="en-US" w:eastAsia="zh-CN" w:bidi="ar-SA"/>
                    </w:rPr>
                    <w:t>GB14554-93</w:t>
                  </w:r>
                  <w:r>
                    <w:rPr>
                      <w:rFonts w:hint="eastAsia" w:cs="Times New Roman"/>
                      <w:color w:val="000000"/>
                      <w:kern w:val="0"/>
                      <w:sz w:val="21"/>
                      <w:szCs w:val="21"/>
                      <w:highlight w:val="none"/>
                      <w:lang w:val="en-US" w:eastAsia="zh-CN" w:bidi="ar-SA"/>
                    </w:rPr>
                    <w:t>）</w:t>
                  </w:r>
                  <w:r>
                    <w:rPr>
                      <w:rFonts w:hint="default" w:ascii="Times New Roman" w:hAnsi="Times New Roman" w:eastAsia="宋体" w:cs="Times New Roman"/>
                      <w:color w:val="000000"/>
                      <w:kern w:val="0"/>
                      <w:sz w:val="21"/>
                      <w:szCs w:val="21"/>
                      <w:highlight w:val="none"/>
                      <w:lang w:val="en-US" w:eastAsia="zh-CN" w:bidi="ar-SA"/>
                    </w:rPr>
                    <w:t>表1二级新扩改标准限值</w:t>
                  </w:r>
                </w:p>
              </w:tc>
            </w:tr>
          </w:tbl>
          <w:p w14:paraId="65D9E5EA">
            <w:pPr>
              <w:pStyle w:val="5"/>
              <w:suppressLineNumbers w:val="0"/>
              <w:bidi w:val="0"/>
              <w:spacing w:before="0" w:beforeAutospacing="0" w:after="0" w:afterAutospacing="0"/>
              <w:ind w:left="0" w:right="0"/>
              <w:jc w:val="both"/>
              <w:rPr>
                <w:rFonts w:hint="default" w:ascii="Times New Roman" w:hAnsi="Times New Roman" w:eastAsia="宋体" w:cs="Times New Roman"/>
                <w:color w:val="000000"/>
                <w:highlight w:val="none"/>
                <w:lang w:val="en-US" w:eastAsia="zh-CN"/>
              </w:rPr>
            </w:pPr>
            <w:bookmarkStart w:id="41" w:name="_Toc14070"/>
            <w:r>
              <w:rPr>
                <w:rFonts w:hint="default" w:ascii="Times New Roman" w:hAnsi="Times New Roman" w:eastAsia="宋体" w:cs="Times New Roman"/>
                <w:color w:val="000000"/>
                <w:highlight w:val="none"/>
                <w:lang w:val="en-US" w:eastAsia="zh-CN"/>
              </w:rPr>
              <w:t>1.4</w:t>
            </w:r>
            <w:r>
              <w:rPr>
                <w:rFonts w:hint="default" w:ascii="Times New Roman" w:hAnsi="Times New Roman" w:eastAsia="宋体" w:cs="Times New Roman"/>
                <w:highlight w:val="none"/>
                <w:lang w:val="en-US" w:eastAsia="zh-CN"/>
              </w:rPr>
              <w:t>非正常工况</w:t>
            </w:r>
          </w:p>
          <w:p w14:paraId="1BF6872D">
            <w:pPr>
              <w:keepNext w:val="0"/>
              <w:keepLines w:val="0"/>
              <w:suppressLineNumbers w:val="0"/>
              <w:tabs>
                <w:tab w:val="left" w:pos="6480"/>
              </w:tabs>
              <w:adjustRightInd w:val="0"/>
              <w:snapToGrid w:val="0"/>
              <w:spacing w:before="0" w:beforeAutospacing="0" w:after="0" w:afterAutospacing="0" w:line="360" w:lineRule="auto"/>
              <w:ind w:left="0" w:right="0" w:firstLine="480" w:firstLineChars="200"/>
              <w:rPr>
                <w:rFonts w:hint="eastAsia"/>
                <w:lang w:val="en-US" w:eastAsia="zh-CN"/>
              </w:rPr>
            </w:pPr>
            <w:r>
              <w:rPr>
                <w:rFonts w:hint="eastAsia"/>
                <w:lang w:val="en-US" w:eastAsia="zh-CN"/>
              </w:rPr>
              <w:t>非正常及事故排放主要指装置在开、停车调试、检修及一般性事故时的“三废”排放，本项目无废气处理设施，不存在非正常情况。</w:t>
            </w:r>
          </w:p>
          <w:p w14:paraId="235C9CC0">
            <w:pPr>
              <w:pStyle w:val="1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textAlignment w:val="auto"/>
              <w:rPr>
                <w:rFonts w:hint="default"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2、</w:t>
            </w:r>
            <w:r>
              <w:rPr>
                <w:rFonts w:hint="default" w:ascii="Times New Roman" w:hAnsi="Times New Roman" w:eastAsia="宋体" w:cs="Times New Roman"/>
                <w:b/>
                <w:bCs/>
                <w:sz w:val="24"/>
                <w:szCs w:val="24"/>
                <w:highlight w:val="none"/>
                <w:lang w:val="en-US" w:eastAsia="zh-CN"/>
              </w:rPr>
              <w:t>水污染物</w:t>
            </w:r>
          </w:p>
          <w:p w14:paraId="0F839D3B">
            <w:pPr>
              <w:keepNext w:val="0"/>
              <w:keepLines w:val="0"/>
              <w:suppressLineNumbers w:val="0"/>
              <w:spacing w:before="0" w:beforeAutospacing="0" w:after="0" w:afterAutospacing="0" w:line="360" w:lineRule="auto"/>
              <w:ind w:left="0" w:right="0" w:firstLine="480"/>
              <w:rPr>
                <w:rFonts w:hint="eastAsia" w:cs="Times New Roman"/>
                <w:b/>
                <w:bCs/>
                <w:color w:val="000000" w:themeColor="text1"/>
                <w:sz w:val="24"/>
                <w:lang w:val="en-US" w:eastAsia="zh-CN"/>
                <w14:textFill>
                  <w14:solidFill>
                    <w14:schemeClr w14:val="tx1"/>
                  </w14:solidFill>
                </w14:textFill>
              </w:rPr>
            </w:pPr>
            <w:r>
              <w:rPr>
                <w:rFonts w:hint="eastAsia" w:ascii="Times New Roman" w:hAnsi="Times New Roman" w:eastAsia="宋体" w:cs="Times New Roman"/>
                <w:b/>
                <w:bCs/>
                <w:color w:val="auto"/>
                <w:sz w:val="24"/>
                <w:szCs w:val="24"/>
                <w:lang w:val="en-US" w:eastAsia="zh-CN"/>
              </w:rPr>
              <w:t>2.1</w:t>
            </w:r>
            <w:r>
              <w:rPr>
                <w:rFonts w:hint="eastAsia" w:cs="Times New Roman"/>
                <w:b/>
                <w:bCs/>
                <w:color w:val="000000" w:themeColor="text1"/>
                <w:sz w:val="24"/>
                <w:lang w:val="en-US" w:eastAsia="zh-CN"/>
                <w14:textFill>
                  <w14:solidFill>
                    <w14:schemeClr w14:val="tx1"/>
                  </w14:solidFill>
                </w14:textFill>
              </w:rPr>
              <w:t>废水产生及排放情况</w:t>
            </w:r>
          </w:p>
          <w:p w14:paraId="2903854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项目产生的废水包括职工</w:t>
            </w:r>
            <w:r>
              <w:rPr>
                <w:rFonts w:hint="eastAsia" w:cs="Times New Roman"/>
                <w:color w:val="auto"/>
                <w:sz w:val="24"/>
                <w:szCs w:val="24"/>
                <w:lang w:val="en-US" w:eastAsia="zh-CN"/>
              </w:rPr>
              <w:t>生活污水、宠物清洗用水及宠物诊疗</w:t>
            </w:r>
            <w:r>
              <w:rPr>
                <w:rFonts w:hint="default" w:ascii="Times New Roman" w:hAnsi="Times New Roman" w:eastAsia="宋体" w:cs="Times New Roman"/>
                <w:color w:val="auto"/>
                <w:sz w:val="24"/>
                <w:szCs w:val="24"/>
                <w:lang w:val="en-US" w:eastAsia="zh-CN"/>
              </w:rPr>
              <w:t>废水。</w:t>
            </w:r>
          </w:p>
          <w:p w14:paraId="4F71EAB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（1）职工生活污水：来自工作人员生活、办公，为一般的生活污水，主要污染物为COD、NH</w:t>
            </w:r>
            <w:r>
              <w:rPr>
                <w:rFonts w:hint="eastAsia" w:ascii="Times New Roman" w:hAnsi="Times New Roman" w:eastAsia="宋体" w:cs="Times New Roman"/>
                <w:color w:val="auto"/>
                <w:sz w:val="24"/>
                <w:szCs w:val="24"/>
                <w:vertAlign w:val="subscript"/>
                <w:lang w:val="en-US" w:eastAsia="zh-CN"/>
              </w:rPr>
              <w:t>3</w:t>
            </w:r>
            <w:r>
              <w:rPr>
                <w:rFonts w:hint="eastAsia" w:ascii="Times New Roman" w:hAnsi="Times New Roman" w:eastAsia="宋体" w:cs="Times New Roman"/>
                <w:color w:val="auto"/>
                <w:sz w:val="24"/>
                <w:szCs w:val="24"/>
                <w:lang w:val="en-US" w:eastAsia="zh-CN"/>
              </w:rPr>
              <w:t>-N、悬浮物等，</w:t>
            </w:r>
            <w:r>
              <w:rPr>
                <w:rFonts w:hint="eastAsia" w:ascii="Times New Roman" w:hAnsi="Times New Roman" w:eastAsia="宋体" w:cs="Times New Roman"/>
                <w:sz w:val="24"/>
                <w:szCs w:val="24"/>
                <w:vertAlign w:val="baseline"/>
                <w:lang w:val="en-US" w:eastAsia="zh-CN"/>
              </w:rPr>
              <w:t>生活废水排放量为</w:t>
            </w:r>
            <w:r>
              <w:rPr>
                <w:rFonts w:hint="eastAsia" w:cs="Times New Roman"/>
                <w:sz w:val="24"/>
                <w:szCs w:val="24"/>
                <w:vertAlign w:val="baseline"/>
                <w:lang w:val="en-US" w:eastAsia="zh-CN"/>
              </w:rPr>
              <w:t>0.16</w:t>
            </w:r>
            <w:r>
              <w:rPr>
                <w:rFonts w:hint="eastAsia" w:ascii="Times New Roman" w:hAnsi="Times New Roman" w:eastAsia="宋体" w:cs="Times New Roman"/>
                <w:sz w:val="24"/>
                <w:szCs w:val="24"/>
                <w:vertAlign w:val="baseline"/>
                <w:lang w:val="en-US" w:eastAsia="zh-CN"/>
              </w:rPr>
              <w:t>m</w:t>
            </w:r>
            <w:r>
              <w:rPr>
                <w:rFonts w:hint="eastAsia" w:ascii="Times New Roman" w:hAnsi="Times New Roman" w:eastAsia="宋体" w:cs="Times New Roman"/>
                <w:sz w:val="24"/>
                <w:szCs w:val="24"/>
                <w:vertAlign w:val="superscript"/>
                <w:lang w:val="en-US" w:eastAsia="zh-CN"/>
              </w:rPr>
              <w:t>3</w:t>
            </w:r>
            <w:r>
              <w:rPr>
                <w:rFonts w:hint="eastAsia" w:ascii="Times New Roman" w:hAnsi="Times New Roman" w:eastAsia="宋体" w:cs="Times New Roman"/>
                <w:sz w:val="24"/>
                <w:szCs w:val="24"/>
                <w:vertAlign w:val="baseline"/>
                <w:lang w:val="en-US" w:eastAsia="zh-CN"/>
              </w:rPr>
              <w:t>/d、</w:t>
            </w:r>
            <w:r>
              <w:rPr>
                <w:rFonts w:hint="eastAsia" w:cs="Times New Roman"/>
                <w:sz w:val="24"/>
                <w:szCs w:val="24"/>
                <w:vertAlign w:val="baseline"/>
                <w:lang w:val="en-US" w:eastAsia="zh-CN"/>
              </w:rPr>
              <w:t>58.4</w:t>
            </w:r>
            <w:r>
              <w:rPr>
                <w:rFonts w:hint="eastAsia" w:ascii="Times New Roman" w:hAnsi="Times New Roman" w:eastAsia="宋体" w:cs="Times New Roman"/>
                <w:sz w:val="24"/>
                <w:szCs w:val="24"/>
                <w:vertAlign w:val="baseline"/>
                <w:lang w:val="en-US" w:eastAsia="zh-CN"/>
              </w:rPr>
              <w:t>m</w:t>
            </w:r>
            <w:r>
              <w:rPr>
                <w:rFonts w:hint="eastAsia" w:ascii="Times New Roman" w:hAnsi="Times New Roman" w:eastAsia="宋体" w:cs="Times New Roman"/>
                <w:sz w:val="24"/>
                <w:szCs w:val="24"/>
                <w:vertAlign w:val="superscript"/>
                <w:lang w:val="en-US" w:eastAsia="zh-CN"/>
              </w:rPr>
              <w:t>3</w:t>
            </w:r>
            <w:r>
              <w:rPr>
                <w:rFonts w:hint="eastAsia" w:ascii="Times New Roman" w:hAnsi="Times New Roman" w:eastAsia="宋体" w:cs="Times New Roman"/>
                <w:sz w:val="24"/>
                <w:szCs w:val="24"/>
                <w:vertAlign w:val="baseline"/>
                <w:lang w:val="en-US" w:eastAsia="zh-CN"/>
              </w:rPr>
              <w:t>/a</w:t>
            </w:r>
            <w:r>
              <w:rPr>
                <w:rFonts w:hint="eastAsia" w:ascii="Times New Roman" w:hAnsi="Times New Roman" w:eastAsia="宋体" w:cs="Times New Roman"/>
                <w:color w:val="auto"/>
                <w:sz w:val="24"/>
                <w:szCs w:val="24"/>
                <w:lang w:val="en-US" w:eastAsia="zh-CN"/>
              </w:rPr>
              <w:t>。</w:t>
            </w:r>
          </w:p>
          <w:p w14:paraId="1BBC169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w:t>
            </w:r>
            <w:r>
              <w:rPr>
                <w:rFonts w:hint="eastAsia" w:cs="Times New Roman"/>
                <w:color w:val="auto"/>
                <w:sz w:val="24"/>
                <w:szCs w:val="24"/>
                <w:lang w:val="en-US" w:eastAsia="zh-CN"/>
              </w:rPr>
              <w:t>宠物诊疗</w:t>
            </w:r>
            <w:r>
              <w:rPr>
                <w:rFonts w:hint="eastAsia" w:ascii="Times New Roman" w:hAnsi="Times New Roman" w:eastAsia="宋体" w:cs="Times New Roman"/>
                <w:color w:val="auto"/>
                <w:sz w:val="24"/>
                <w:szCs w:val="24"/>
                <w:lang w:val="en-US" w:eastAsia="zh-CN"/>
              </w:rPr>
              <w:t>废水：</w:t>
            </w:r>
            <w:r>
              <w:rPr>
                <w:rFonts w:hint="default" w:ascii="Times New Roman" w:hAnsi="Times New Roman" w:eastAsia="宋体" w:cs="Times New Roman"/>
                <w:color w:val="auto"/>
                <w:sz w:val="24"/>
                <w:szCs w:val="24"/>
                <w:highlight w:val="none"/>
                <w:lang w:eastAsia="zh-CN"/>
              </w:rPr>
              <w:t>主要是</w:t>
            </w:r>
            <w:r>
              <w:rPr>
                <w:rFonts w:hint="eastAsia" w:ascii="Times New Roman" w:hAnsi="Times New Roman" w:eastAsia="宋体" w:cs="Times New Roman"/>
                <w:color w:val="auto"/>
                <w:sz w:val="24"/>
                <w:szCs w:val="24"/>
                <w:highlight w:val="none"/>
                <w:lang w:val="en-US" w:eastAsia="zh-CN"/>
              </w:rPr>
              <w:t>宠物</w:t>
            </w:r>
            <w:r>
              <w:rPr>
                <w:rFonts w:hint="default" w:ascii="Times New Roman" w:hAnsi="Times New Roman" w:eastAsia="宋体" w:cs="Times New Roman"/>
                <w:color w:val="auto"/>
                <w:sz w:val="24"/>
                <w:szCs w:val="24"/>
                <w:highlight w:val="none"/>
                <w:lang w:eastAsia="zh-CN"/>
              </w:rPr>
              <w:t>诊疗、手术、化验及清洗医疗器具用水。</w:t>
            </w:r>
            <w:r>
              <w:rPr>
                <w:rFonts w:hint="eastAsia" w:ascii="Times New Roman" w:hAnsi="Times New Roman" w:eastAsia="宋体" w:cs="Times New Roman"/>
                <w:color w:val="auto"/>
                <w:sz w:val="24"/>
                <w:szCs w:val="24"/>
                <w:lang w:val="en-US" w:eastAsia="zh-CN"/>
              </w:rPr>
              <w:t>主要污染物为COD、NH</w:t>
            </w:r>
            <w:r>
              <w:rPr>
                <w:rFonts w:hint="eastAsia" w:ascii="Times New Roman" w:hAnsi="Times New Roman" w:eastAsia="宋体" w:cs="Times New Roman"/>
                <w:color w:val="auto"/>
                <w:sz w:val="24"/>
                <w:szCs w:val="24"/>
                <w:vertAlign w:val="subscript"/>
                <w:lang w:val="en-US" w:eastAsia="zh-CN"/>
              </w:rPr>
              <w:t>3</w:t>
            </w:r>
            <w:r>
              <w:rPr>
                <w:rFonts w:hint="eastAsia" w:ascii="Times New Roman" w:hAnsi="Times New Roman" w:eastAsia="宋体" w:cs="Times New Roman"/>
                <w:color w:val="auto"/>
                <w:sz w:val="24"/>
                <w:szCs w:val="24"/>
                <w:lang w:val="en-US" w:eastAsia="zh-CN"/>
              </w:rPr>
              <w:t>-N、BOD</w:t>
            </w:r>
            <w:r>
              <w:rPr>
                <w:rFonts w:hint="eastAsia" w:ascii="Times New Roman" w:hAnsi="Times New Roman" w:eastAsia="宋体" w:cs="Times New Roman"/>
                <w:color w:val="auto"/>
                <w:sz w:val="24"/>
                <w:szCs w:val="24"/>
                <w:vertAlign w:val="subscript"/>
                <w:lang w:val="en-US" w:eastAsia="zh-CN"/>
              </w:rPr>
              <w:t>5</w:t>
            </w:r>
            <w:r>
              <w:rPr>
                <w:rFonts w:hint="eastAsia" w:ascii="Times New Roman" w:hAnsi="Times New Roman" w:eastAsia="宋体" w:cs="Times New Roman"/>
                <w:color w:val="auto"/>
                <w:sz w:val="24"/>
                <w:szCs w:val="24"/>
                <w:lang w:val="en-US" w:eastAsia="zh-CN"/>
              </w:rPr>
              <w:t>、SS及粪大肠菌群等，</w:t>
            </w:r>
            <w:r>
              <w:rPr>
                <w:rFonts w:hint="eastAsia" w:cs="Times New Roman"/>
                <w:color w:val="auto"/>
                <w:sz w:val="24"/>
                <w:szCs w:val="24"/>
                <w:lang w:val="en-US" w:eastAsia="zh-CN"/>
              </w:rPr>
              <w:t>宠物诊疗</w:t>
            </w:r>
            <w:r>
              <w:rPr>
                <w:rFonts w:hint="eastAsia" w:ascii="Times New Roman" w:hAnsi="Times New Roman" w:eastAsia="宋体" w:cs="Times New Roman"/>
                <w:color w:val="auto"/>
                <w:sz w:val="24"/>
                <w:szCs w:val="24"/>
                <w:lang w:val="en-US" w:eastAsia="zh-CN"/>
              </w:rPr>
              <w:t>废水排放量为</w:t>
            </w:r>
            <w:r>
              <w:rPr>
                <w:rFonts w:hint="eastAsia" w:cs="Times New Roman"/>
                <w:color w:val="auto"/>
                <w:sz w:val="24"/>
                <w:szCs w:val="24"/>
                <w:lang w:val="en-US" w:eastAsia="zh-CN"/>
              </w:rPr>
              <w:t>0.04</w:t>
            </w:r>
            <w:r>
              <w:rPr>
                <w:rFonts w:hint="eastAsia" w:ascii="Times New Roman" w:hAnsi="Times New Roman" w:eastAsia="宋体" w:cs="Times New Roman"/>
                <w:color w:val="auto"/>
                <w:sz w:val="24"/>
                <w:szCs w:val="24"/>
                <w:lang w:val="en-US" w:eastAsia="zh-CN"/>
              </w:rPr>
              <w:t>m</w:t>
            </w:r>
            <w:r>
              <w:rPr>
                <w:rFonts w:hint="eastAsia"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lang w:val="en-US" w:eastAsia="zh-CN"/>
              </w:rPr>
              <w:t>/d，</w:t>
            </w:r>
            <w:r>
              <w:rPr>
                <w:rFonts w:hint="eastAsia" w:cs="Times New Roman"/>
                <w:color w:val="auto"/>
                <w:sz w:val="24"/>
                <w:szCs w:val="24"/>
                <w:lang w:val="en-US" w:eastAsia="zh-CN"/>
              </w:rPr>
              <w:t>14.6</w:t>
            </w:r>
            <w:r>
              <w:rPr>
                <w:rFonts w:hint="eastAsia" w:ascii="Times New Roman" w:hAnsi="Times New Roman" w:eastAsia="宋体" w:cs="Times New Roman"/>
                <w:color w:val="auto"/>
                <w:sz w:val="24"/>
                <w:szCs w:val="24"/>
                <w:lang w:val="en-US" w:eastAsia="zh-CN"/>
              </w:rPr>
              <w:t>m</w:t>
            </w:r>
            <w:r>
              <w:rPr>
                <w:rFonts w:hint="eastAsia"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lang w:val="en-US" w:eastAsia="zh-CN"/>
              </w:rPr>
              <w:t>/a。</w:t>
            </w:r>
          </w:p>
          <w:p w14:paraId="6F66731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highlight w:val="none"/>
                <w:lang w:val="en-US" w:eastAsia="zh-CN"/>
              </w:rPr>
            </w:pPr>
            <w:r>
              <w:rPr>
                <w:rFonts w:hint="eastAsia" w:cs="Times New Roman"/>
                <w:color w:val="auto"/>
                <w:sz w:val="24"/>
                <w:szCs w:val="24"/>
                <w:lang w:val="en-US" w:eastAsia="zh-CN"/>
              </w:rPr>
              <w:t>（3）宠物清洗废水：</w:t>
            </w:r>
            <w:r>
              <w:rPr>
                <w:rFonts w:hint="default" w:ascii="Times New Roman" w:hAnsi="Times New Roman" w:eastAsia="宋体" w:cs="Times New Roman"/>
                <w:color w:val="auto"/>
                <w:highlight w:val="none"/>
                <w:lang w:val="en-US" w:eastAsia="zh-CN"/>
              </w:rPr>
              <w:t>此过程中用水主要为宠物进入美容室洗澡以及进行眼睛、耳朵、脚部、肛门腺清洁用水</w:t>
            </w:r>
            <w:r>
              <w:rPr>
                <w:rFonts w:hint="eastAsia" w:ascii="Times New Roman" w:hAnsi="Times New Roman" w:eastAsia="宋体" w:cs="Times New Roman"/>
                <w:color w:val="auto"/>
                <w:sz w:val="24"/>
                <w:szCs w:val="24"/>
                <w:lang w:val="en-US" w:eastAsia="zh-CN"/>
              </w:rPr>
              <w:t>，主要污染物为COD、NH</w:t>
            </w:r>
            <w:r>
              <w:rPr>
                <w:rFonts w:hint="eastAsia" w:ascii="Times New Roman" w:hAnsi="Times New Roman" w:eastAsia="宋体" w:cs="Times New Roman"/>
                <w:color w:val="auto"/>
                <w:sz w:val="24"/>
                <w:szCs w:val="24"/>
                <w:vertAlign w:val="subscript"/>
                <w:lang w:val="en-US" w:eastAsia="zh-CN"/>
              </w:rPr>
              <w:t>3</w:t>
            </w:r>
            <w:r>
              <w:rPr>
                <w:rFonts w:hint="eastAsia" w:ascii="Times New Roman" w:hAnsi="Times New Roman" w:eastAsia="宋体" w:cs="Times New Roman"/>
                <w:color w:val="auto"/>
                <w:sz w:val="24"/>
                <w:szCs w:val="24"/>
                <w:lang w:val="en-US" w:eastAsia="zh-CN"/>
              </w:rPr>
              <w:t>-N、悬浮物及粪大肠菌群等，宠物</w:t>
            </w:r>
            <w:r>
              <w:rPr>
                <w:rFonts w:hint="eastAsia" w:cs="Times New Roman"/>
                <w:color w:val="auto"/>
                <w:highlight w:val="none"/>
                <w:lang w:val="en-US" w:eastAsia="zh-CN"/>
              </w:rPr>
              <w:t>清洗</w:t>
            </w:r>
            <w:r>
              <w:rPr>
                <w:rFonts w:hint="default" w:ascii="Times New Roman" w:hAnsi="Times New Roman" w:eastAsia="宋体" w:cs="Times New Roman"/>
                <w:color w:val="auto"/>
                <w:highlight w:val="none"/>
                <w:lang w:val="en-US" w:eastAsia="zh-CN"/>
              </w:rPr>
              <w:t>废水</w:t>
            </w:r>
            <w:r>
              <w:rPr>
                <w:rFonts w:hint="eastAsia" w:ascii="Times New Roman" w:hAnsi="Times New Roman" w:eastAsia="宋体" w:cs="Times New Roman"/>
                <w:color w:val="auto"/>
                <w:highlight w:val="none"/>
                <w:lang w:val="en-US" w:eastAsia="zh-CN"/>
              </w:rPr>
              <w:t>排放</w:t>
            </w:r>
            <w:r>
              <w:rPr>
                <w:rFonts w:hint="default" w:ascii="Times New Roman" w:hAnsi="Times New Roman" w:eastAsia="宋体" w:cs="Times New Roman"/>
                <w:color w:val="auto"/>
                <w:highlight w:val="none"/>
                <w:lang w:val="en-US" w:eastAsia="zh-CN"/>
              </w:rPr>
              <w:t>量约为</w:t>
            </w:r>
            <w:r>
              <w:rPr>
                <w:rFonts w:hint="eastAsia" w:ascii="Times New Roman" w:hAnsi="Times New Roman" w:eastAsia="宋体" w:cs="Times New Roman"/>
                <w:color w:val="auto"/>
                <w:highlight w:val="none"/>
                <w:lang w:val="en-US" w:eastAsia="zh-CN"/>
              </w:rPr>
              <w:t>0.077</w:t>
            </w:r>
            <w:r>
              <w:rPr>
                <w:rFonts w:hint="eastAsia" w:ascii="Times New Roman" w:hAnsi="Times New Roman" w:eastAsia="宋体" w:cs="Times New Roman"/>
                <w:color w:val="auto"/>
                <w:sz w:val="24"/>
                <w:szCs w:val="24"/>
                <w:lang w:val="en-US" w:eastAsia="zh-CN"/>
              </w:rPr>
              <w:t>m</w:t>
            </w:r>
            <w:r>
              <w:rPr>
                <w:rFonts w:hint="eastAsia"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lang w:val="en-US" w:eastAsia="zh-CN"/>
              </w:rPr>
              <w:t>/d</w:t>
            </w:r>
            <w:r>
              <w:rPr>
                <w:rFonts w:hint="eastAsia" w:ascii="Times New Roman" w:hAnsi="Times New Roman" w:eastAsia="宋体" w:cs="Times New Roman"/>
                <w:color w:val="auto"/>
                <w:highlight w:val="none"/>
                <w:lang w:val="en-US" w:eastAsia="zh-CN"/>
              </w:rPr>
              <w:t>，</w:t>
            </w:r>
            <w:r>
              <w:rPr>
                <w:rFonts w:hint="eastAsia" w:cs="Times New Roman"/>
                <w:color w:val="auto"/>
                <w:highlight w:val="none"/>
                <w:lang w:val="en-US" w:eastAsia="zh-CN"/>
              </w:rPr>
              <w:t>28</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w:t>
            </w:r>
            <w:r>
              <w:rPr>
                <w:rFonts w:hint="eastAsia" w:cs="Times New Roman"/>
                <w:color w:val="auto"/>
                <w:sz w:val="24"/>
                <w:szCs w:val="24"/>
                <w:highlight w:val="none"/>
                <w:lang w:val="en-US" w:eastAsia="zh-CN"/>
              </w:rPr>
              <w:t>a</w:t>
            </w:r>
            <w:r>
              <w:rPr>
                <w:rFonts w:hint="default" w:ascii="Times New Roman" w:hAnsi="Times New Roman" w:eastAsia="宋体" w:cs="Times New Roman"/>
                <w:color w:val="auto"/>
                <w:highlight w:val="none"/>
                <w:lang w:val="en-US" w:eastAsia="zh-CN"/>
              </w:rPr>
              <w:t>。</w:t>
            </w:r>
          </w:p>
          <w:p w14:paraId="3E29C59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auto"/>
                <w:highlight w:val="none"/>
                <w:lang w:val="en-US" w:eastAsia="zh-CN"/>
              </w:rPr>
              <w:t>本</w:t>
            </w:r>
            <w:r>
              <w:rPr>
                <w:rFonts w:hint="default" w:ascii="Times New Roman" w:hAnsi="Times New Roman" w:eastAsia="宋体" w:cs="Times New Roman"/>
                <w:color w:val="auto"/>
                <w:highlight w:val="none"/>
                <w:lang w:val="en-US" w:eastAsia="zh-CN"/>
              </w:rPr>
              <w:t>项目为宠物医院，所产生的</w:t>
            </w:r>
            <w:r>
              <w:rPr>
                <w:rFonts w:hint="eastAsia" w:cs="Times New Roman"/>
                <w:color w:val="auto"/>
                <w:highlight w:val="none"/>
                <w:lang w:val="en-US" w:eastAsia="zh-CN"/>
              </w:rPr>
              <w:t>宠物诊疗</w:t>
            </w:r>
            <w:r>
              <w:rPr>
                <w:rFonts w:hint="default" w:ascii="Times New Roman" w:hAnsi="Times New Roman" w:eastAsia="宋体" w:cs="Times New Roman"/>
                <w:color w:val="auto"/>
                <w:highlight w:val="none"/>
                <w:lang w:val="en-US" w:eastAsia="zh-CN"/>
              </w:rPr>
              <w:t>废水为一般的</w:t>
            </w:r>
            <w:r>
              <w:rPr>
                <w:rFonts w:hint="eastAsia" w:cs="Times New Roman"/>
                <w:color w:val="auto"/>
                <w:highlight w:val="none"/>
                <w:lang w:val="en-US" w:eastAsia="zh-CN"/>
              </w:rPr>
              <w:t>宠物诊疗</w:t>
            </w:r>
            <w:r>
              <w:rPr>
                <w:rFonts w:hint="default" w:ascii="Times New Roman" w:hAnsi="Times New Roman" w:eastAsia="宋体" w:cs="Times New Roman"/>
                <w:color w:val="auto"/>
                <w:highlight w:val="none"/>
                <w:lang w:val="en-US" w:eastAsia="zh-CN"/>
              </w:rPr>
              <w:t>废水。诊疗室及手术室洗手池下方分别安装3台处理量为0.2t/h的小型废水治理设施（采取过滤+消毒工艺，污水消毒采用</w:t>
            </w:r>
            <w:r>
              <w:rPr>
                <w:rFonts w:hint="eastAsia" w:cs="Times New Roman"/>
                <w:color w:val="auto"/>
                <w:highlight w:val="none"/>
                <w:lang w:val="en-US" w:eastAsia="zh-CN"/>
              </w:rPr>
              <w:t>二氧化氯泡腾片</w:t>
            </w:r>
            <w:r>
              <w:rPr>
                <w:rFonts w:hint="default" w:ascii="Times New Roman" w:hAnsi="Times New Roman" w:eastAsia="宋体" w:cs="Times New Roman"/>
                <w:color w:val="auto"/>
                <w:highlight w:val="none"/>
                <w:lang w:val="en-US" w:eastAsia="zh-CN"/>
              </w:rPr>
              <w:t>消毒），</w:t>
            </w:r>
            <w:r>
              <w:rPr>
                <w:rFonts w:hint="eastAsia" w:cs="Times New Roman"/>
                <w:color w:val="auto"/>
                <w:highlight w:val="none"/>
                <w:lang w:val="en-US" w:eastAsia="zh-CN"/>
              </w:rPr>
              <w:t>宠物</w:t>
            </w:r>
            <w:r>
              <w:rPr>
                <w:rFonts w:hint="default" w:ascii="Times New Roman" w:hAnsi="Times New Roman" w:eastAsia="宋体" w:cs="Times New Roman"/>
                <w:color w:val="auto"/>
                <w:highlight w:val="none"/>
                <w:lang w:val="en-US" w:eastAsia="zh-CN"/>
              </w:rPr>
              <w:t>诊疗废水经小型废水治理设施消毒处理后进入小区化粪池处理，纳入市政污水管网，最终进入库尔勒市南市区污水处理厂集中处理。宠物清洗废水和生活污水进入小区化粪池处理后，纳入市政污水管网，最终进入库尔勒市南市区污水处理厂集中处理。宠物诊疗废水及清洗废水产生浓度参考《瑞派长江宠物医院开发区宠物诊疗项目竣工环境保护验收监测报告表》中污水处理设备出口监测结果中平均浓度</w:t>
            </w:r>
            <w:r>
              <w:rPr>
                <w:rFonts w:hint="eastAsia" w:cs="Times New Roman"/>
                <w:color w:val="auto"/>
                <w:highlight w:val="none"/>
                <w:lang w:val="en-US" w:eastAsia="zh-CN"/>
              </w:rPr>
              <w:t>。</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本项目</w:t>
            </w:r>
            <w:r>
              <w:rPr>
                <w:rFonts w:hint="eastAsia" w:ascii="Times New Roman" w:hAnsi="Times New Roman" w:eastAsia="宋体" w:cs="Times New Roman"/>
                <w:b w:val="0"/>
                <w:bCs/>
                <w:color w:val="000000" w:themeColor="text1"/>
                <w:sz w:val="24"/>
                <w:szCs w:val="24"/>
                <w:lang w:val="en-US" w:eastAsia="zh-CN"/>
                <w14:textFill>
                  <w14:solidFill>
                    <w14:schemeClr w14:val="tx1"/>
                  </w14:solidFill>
                </w14:textFill>
              </w:rPr>
              <w:t>水</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污染物</w:t>
            </w:r>
            <w:r>
              <w:rPr>
                <w:rFonts w:hint="eastAsia" w:cs="Times New Roman"/>
                <w:b w:val="0"/>
                <w:bCs/>
                <w:color w:val="000000" w:themeColor="text1"/>
                <w:sz w:val="24"/>
                <w:szCs w:val="24"/>
                <w:lang w:val="en-US" w:eastAsia="zh-CN"/>
                <w14:textFill>
                  <w14:solidFill>
                    <w14:schemeClr w14:val="tx1"/>
                  </w14:solidFill>
                </w14:textFill>
              </w:rPr>
              <w:t>产</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排情况见</w:t>
            </w:r>
            <w:r>
              <w:rPr>
                <w:rFonts w:hint="eastAsia" w:cs="Times New Roman"/>
                <w:b w:val="0"/>
                <w:bCs/>
                <w:color w:val="000000" w:themeColor="text1"/>
                <w:sz w:val="24"/>
                <w:szCs w:val="24"/>
                <w:lang w:val="en-US" w:eastAsia="zh-CN"/>
                <w14:textFill>
                  <w14:solidFill>
                    <w14:schemeClr w14:val="tx1"/>
                  </w14:solidFill>
                </w14:textFill>
              </w:rPr>
              <w:t>下表</w:t>
            </w:r>
            <w:r>
              <w:rPr>
                <w:rFonts w:hint="eastAsia" w:ascii="Times New Roman" w:hAnsi="Times New Roman" w:eastAsia="宋体" w:cs="Times New Roman"/>
                <w:b w:val="0"/>
                <w:bCs/>
                <w:color w:val="000000" w:themeColor="text1"/>
                <w:sz w:val="24"/>
                <w:szCs w:val="24"/>
                <w:lang w:val="en-US" w:eastAsia="zh-CN"/>
                <w14:textFill>
                  <w14:solidFill>
                    <w14:schemeClr w14:val="tx1"/>
                  </w14:solidFill>
                </w14:textFill>
              </w:rPr>
              <w:t>。</w:t>
            </w:r>
          </w:p>
          <w:p w14:paraId="79CCC46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2" w:firstLineChars="200"/>
              <w:jc w:val="left"/>
              <w:textAlignment w:val="auto"/>
              <w:rPr>
                <w:rFonts w:hint="eastAsia" w:ascii="Times New Roman" w:hAnsi="Times New Roman" w:cs="Times New Roman"/>
                <w:b/>
                <w:bCs w:val="0"/>
                <w:color w:val="000000" w:themeColor="text1"/>
                <w:spacing w:val="0"/>
                <w:position w:val="0"/>
                <w:sz w:val="21"/>
                <w:szCs w:val="21"/>
                <w:lang w:val="en-US" w:eastAsia="zh-CN"/>
                <w14:textFill>
                  <w14:solidFill>
                    <w14:schemeClr w14:val="tx1"/>
                  </w14:solidFill>
                </w14:textFill>
              </w:rPr>
            </w:pPr>
            <w:r>
              <w:rPr>
                <w:rFonts w:hint="eastAsia" w:ascii="Times New Roman" w:hAnsi="Times New Roman" w:cs="Times New Roman"/>
                <w:b/>
                <w:bCs w:val="0"/>
                <w:color w:val="000000" w:themeColor="text1"/>
                <w:spacing w:val="0"/>
                <w:position w:val="0"/>
                <w:sz w:val="21"/>
                <w:szCs w:val="21"/>
                <w:lang w:val="en-US" w:eastAsia="zh-CN"/>
                <w14:textFill>
                  <w14:solidFill>
                    <w14:schemeClr w14:val="tx1"/>
                  </w14:solidFill>
                </w14:textFill>
              </w:rPr>
              <w:t>表</w:t>
            </w:r>
            <w:r>
              <w:rPr>
                <w:rFonts w:hint="eastAsia" w:cs="Times New Roman"/>
                <w:b/>
                <w:bCs w:val="0"/>
                <w:color w:val="000000" w:themeColor="text1"/>
                <w:spacing w:val="0"/>
                <w:position w:val="0"/>
                <w:sz w:val="21"/>
                <w:szCs w:val="21"/>
                <w:lang w:val="en-US" w:eastAsia="zh-CN"/>
                <w14:textFill>
                  <w14:solidFill>
                    <w14:schemeClr w14:val="tx1"/>
                  </w14:solidFill>
                </w14:textFill>
              </w:rPr>
              <w:t xml:space="preserve">4-2         </w:t>
            </w:r>
            <w:r>
              <w:rPr>
                <w:rFonts w:hint="eastAsia" w:ascii="Times New Roman" w:hAnsi="Times New Roman" w:cs="Times New Roman"/>
                <w:b/>
                <w:bCs w:val="0"/>
                <w:color w:val="000000" w:themeColor="text1"/>
                <w:spacing w:val="0"/>
                <w:position w:val="0"/>
                <w:sz w:val="21"/>
                <w:szCs w:val="21"/>
                <w:lang w:val="en-US" w:eastAsia="zh-CN"/>
                <w14:textFill>
                  <w14:solidFill>
                    <w14:schemeClr w14:val="tx1"/>
                  </w14:solidFill>
                </w14:textFill>
              </w:rPr>
              <w:t xml:space="preserve"> </w:t>
            </w:r>
            <w:r>
              <w:rPr>
                <w:rFonts w:hint="default" w:ascii="Times New Roman" w:hAnsi="Times New Roman" w:cs="Times New Roman"/>
                <w:b/>
                <w:bCs w:val="0"/>
                <w:color w:val="000000" w:themeColor="text1"/>
                <w:spacing w:val="0"/>
                <w:position w:val="0"/>
                <w:sz w:val="21"/>
                <w:szCs w:val="21"/>
                <w14:textFill>
                  <w14:solidFill>
                    <w14:schemeClr w14:val="tx1"/>
                  </w14:solidFill>
                </w14:textFill>
              </w:rPr>
              <w:t>本项目</w:t>
            </w:r>
            <w:r>
              <w:rPr>
                <w:rFonts w:hint="eastAsia" w:ascii="Times New Roman" w:hAnsi="Times New Roman" w:cs="Times New Roman"/>
                <w:b/>
                <w:bCs w:val="0"/>
                <w:color w:val="000000" w:themeColor="text1"/>
                <w:spacing w:val="0"/>
                <w:position w:val="0"/>
                <w:sz w:val="21"/>
                <w:szCs w:val="21"/>
                <w:lang w:val="en-US" w:eastAsia="zh-CN"/>
                <w14:textFill>
                  <w14:solidFill>
                    <w14:schemeClr w14:val="tx1"/>
                  </w14:solidFill>
                </w14:textFill>
              </w:rPr>
              <w:t>主要水</w:t>
            </w:r>
            <w:r>
              <w:rPr>
                <w:rFonts w:hint="default" w:ascii="Times New Roman" w:hAnsi="Times New Roman" w:cs="Times New Roman"/>
                <w:b/>
                <w:bCs w:val="0"/>
                <w:color w:val="000000" w:themeColor="text1"/>
                <w:spacing w:val="0"/>
                <w:position w:val="0"/>
                <w:sz w:val="21"/>
                <w:szCs w:val="21"/>
                <w14:textFill>
                  <w14:solidFill>
                    <w14:schemeClr w14:val="tx1"/>
                  </w14:solidFill>
                </w14:textFill>
              </w:rPr>
              <w:t>污染物排放情况</w:t>
            </w:r>
            <w:r>
              <w:rPr>
                <w:rFonts w:hint="eastAsia" w:ascii="Times New Roman" w:hAnsi="Times New Roman" w:cs="Times New Roman"/>
                <w:b/>
                <w:bCs w:val="0"/>
                <w:color w:val="000000" w:themeColor="text1"/>
                <w:spacing w:val="0"/>
                <w:position w:val="0"/>
                <w:sz w:val="21"/>
                <w:szCs w:val="21"/>
                <w:lang w:val="en-US" w:eastAsia="zh-CN"/>
                <w14:textFill>
                  <w14:solidFill>
                    <w14:schemeClr w14:val="tx1"/>
                  </w14:solidFill>
                </w14:textFill>
              </w:rPr>
              <w:t>汇总表</w:t>
            </w:r>
          </w:p>
          <w:tbl>
            <w:tblPr>
              <w:tblStyle w:val="32"/>
              <w:tblW w:w="492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2"/>
              <w:gridCol w:w="584"/>
              <w:gridCol w:w="973"/>
              <w:gridCol w:w="738"/>
              <w:gridCol w:w="807"/>
              <w:gridCol w:w="966"/>
              <w:gridCol w:w="812"/>
              <w:gridCol w:w="738"/>
              <w:gridCol w:w="700"/>
              <w:gridCol w:w="1031"/>
            </w:tblGrid>
            <w:tr w14:paraId="378106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3" w:type="pct"/>
                  <w:vMerge w:val="restart"/>
                  <w:tcBorders>
                    <w:tl2br w:val="nil"/>
                    <w:tr2bl w:val="nil"/>
                  </w:tcBorders>
                  <w:noWrap w:val="0"/>
                  <w:vAlign w:val="center"/>
                </w:tcPr>
                <w:p w14:paraId="55A6C5D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t>类别</w:t>
                  </w:r>
                </w:p>
              </w:tc>
              <w:tc>
                <w:tcPr>
                  <w:tcW w:w="364" w:type="pct"/>
                  <w:vMerge w:val="restart"/>
                  <w:tcBorders>
                    <w:tl2br w:val="nil"/>
                    <w:tr2bl w:val="nil"/>
                  </w:tcBorders>
                  <w:noWrap w:val="0"/>
                  <w:vAlign w:val="center"/>
                </w:tcPr>
                <w:p w14:paraId="5ACF5C5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t>废水量t/a</w:t>
                  </w:r>
                </w:p>
              </w:tc>
              <w:tc>
                <w:tcPr>
                  <w:tcW w:w="1571" w:type="pct"/>
                  <w:gridSpan w:val="3"/>
                  <w:tcBorders>
                    <w:tl2br w:val="nil"/>
                    <w:tr2bl w:val="nil"/>
                  </w:tcBorders>
                  <w:noWrap w:val="0"/>
                  <w:vAlign w:val="center"/>
                </w:tcPr>
                <w:p w14:paraId="6AC72F9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t>产生</w:t>
                  </w:r>
                </w:p>
              </w:tc>
              <w:tc>
                <w:tcPr>
                  <w:tcW w:w="602" w:type="pct"/>
                  <w:vMerge w:val="restart"/>
                  <w:tcBorders>
                    <w:tl2br w:val="nil"/>
                    <w:tr2bl w:val="nil"/>
                  </w:tcBorders>
                  <w:noWrap w:val="0"/>
                  <w:vAlign w:val="center"/>
                </w:tcPr>
                <w:p w14:paraId="17AA2E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t>治理措施</w:t>
                  </w:r>
                </w:p>
              </w:tc>
              <w:tc>
                <w:tcPr>
                  <w:tcW w:w="1404" w:type="pct"/>
                  <w:gridSpan w:val="3"/>
                  <w:tcBorders>
                    <w:tl2br w:val="nil"/>
                    <w:tr2bl w:val="nil"/>
                  </w:tcBorders>
                  <w:noWrap w:val="0"/>
                  <w:vAlign w:val="center"/>
                </w:tcPr>
                <w:p w14:paraId="4E38758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t>排放</w:t>
                  </w:r>
                </w:p>
              </w:tc>
              <w:tc>
                <w:tcPr>
                  <w:tcW w:w="643" w:type="pct"/>
                  <w:vMerge w:val="restart"/>
                  <w:tcBorders>
                    <w:tl2br w:val="nil"/>
                    <w:tr2bl w:val="nil"/>
                  </w:tcBorders>
                  <w:noWrap w:val="0"/>
                  <w:vAlign w:val="center"/>
                </w:tcPr>
                <w:p w14:paraId="785E952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t>排放去向</w:t>
                  </w:r>
                </w:p>
              </w:tc>
            </w:tr>
            <w:tr w14:paraId="1EF4013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3" w:type="pct"/>
                  <w:vMerge w:val="continue"/>
                  <w:tcBorders>
                    <w:tl2br w:val="nil"/>
                    <w:tr2bl w:val="nil"/>
                  </w:tcBorders>
                  <w:noWrap w:val="0"/>
                  <w:vAlign w:val="center"/>
                </w:tcPr>
                <w:p w14:paraId="51B8285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p>
              </w:tc>
              <w:tc>
                <w:tcPr>
                  <w:tcW w:w="364" w:type="pct"/>
                  <w:vMerge w:val="continue"/>
                  <w:tcBorders>
                    <w:tl2br w:val="nil"/>
                    <w:tr2bl w:val="nil"/>
                  </w:tcBorders>
                  <w:noWrap w:val="0"/>
                  <w:vAlign w:val="center"/>
                </w:tcPr>
                <w:p w14:paraId="11A01CB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p>
              </w:tc>
              <w:tc>
                <w:tcPr>
                  <w:tcW w:w="607" w:type="pct"/>
                  <w:tcBorders>
                    <w:tl2br w:val="nil"/>
                    <w:tr2bl w:val="nil"/>
                  </w:tcBorders>
                  <w:noWrap w:val="0"/>
                  <w:vAlign w:val="center"/>
                </w:tcPr>
                <w:p w14:paraId="22FC86B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t>污染物名称</w:t>
                  </w:r>
                </w:p>
              </w:tc>
              <w:tc>
                <w:tcPr>
                  <w:tcW w:w="460" w:type="pct"/>
                  <w:tcBorders>
                    <w:tl2br w:val="nil"/>
                    <w:tr2bl w:val="nil"/>
                  </w:tcBorders>
                  <w:noWrap w:val="0"/>
                  <w:vAlign w:val="center"/>
                </w:tcPr>
                <w:p w14:paraId="774EC2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kern w:val="0"/>
                      <w:position w:val="0"/>
                      <w:sz w:val="21"/>
                      <w:szCs w:val="21"/>
                      <w:vertAlign w:val="baseline"/>
                      <w:lang w:val="en-US" w:eastAsia="zh-CN"/>
                      <w14:textFill>
                        <w14:solidFill>
                          <w14:schemeClr w14:val="tx1"/>
                        </w14:solidFill>
                      </w14:textFill>
                    </w:rPr>
                    <w:t>产生浓度mg/L</w:t>
                  </w:r>
                </w:p>
              </w:tc>
              <w:tc>
                <w:tcPr>
                  <w:tcW w:w="503" w:type="pct"/>
                  <w:tcBorders>
                    <w:tl2br w:val="nil"/>
                    <w:tr2bl w:val="nil"/>
                  </w:tcBorders>
                  <w:noWrap w:val="0"/>
                  <w:vAlign w:val="center"/>
                </w:tcPr>
                <w:p w14:paraId="01A7D2D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kern w:val="0"/>
                      <w:position w:val="0"/>
                      <w:sz w:val="21"/>
                      <w:szCs w:val="21"/>
                      <w:vertAlign w:val="baseline"/>
                      <w:lang w:val="en-US" w:eastAsia="zh-CN"/>
                      <w14:textFill>
                        <w14:solidFill>
                          <w14:schemeClr w14:val="tx1"/>
                        </w14:solidFill>
                      </w14:textFill>
                    </w:rPr>
                    <w:t>产生量t/a</w:t>
                  </w:r>
                </w:p>
              </w:tc>
              <w:tc>
                <w:tcPr>
                  <w:tcW w:w="602" w:type="pct"/>
                  <w:vMerge w:val="continue"/>
                  <w:tcBorders>
                    <w:tl2br w:val="nil"/>
                    <w:tr2bl w:val="nil"/>
                  </w:tcBorders>
                  <w:noWrap w:val="0"/>
                  <w:vAlign w:val="center"/>
                </w:tcPr>
                <w:p w14:paraId="00B84A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p>
              </w:tc>
              <w:tc>
                <w:tcPr>
                  <w:tcW w:w="506" w:type="pct"/>
                  <w:tcBorders>
                    <w:tl2br w:val="nil"/>
                    <w:tr2bl w:val="nil"/>
                  </w:tcBorders>
                  <w:noWrap w:val="0"/>
                  <w:vAlign w:val="center"/>
                </w:tcPr>
                <w:p w14:paraId="03AB65C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t>外排量t/a</w:t>
                  </w:r>
                </w:p>
              </w:tc>
              <w:tc>
                <w:tcPr>
                  <w:tcW w:w="460" w:type="pct"/>
                  <w:tcBorders>
                    <w:tl2br w:val="nil"/>
                    <w:tr2bl w:val="nil"/>
                  </w:tcBorders>
                  <w:noWrap w:val="0"/>
                  <w:vAlign w:val="center"/>
                </w:tcPr>
                <w:p w14:paraId="0A19A94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kern w:val="2"/>
                      <w:position w:val="0"/>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pacing w:val="0"/>
                      <w:kern w:val="0"/>
                      <w:position w:val="0"/>
                      <w:sz w:val="21"/>
                      <w:szCs w:val="21"/>
                      <w:vertAlign w:val="baseline"/>
                      <w:lang w:val="en-US" w:eastAsia="zh-CN"/>
                      <w14:textFill>
                        <w14:solidFill>
                          <w14:schemeClr w14:val="tx1"/>
                        </w14:solidFill>
                      </w14:textFill>
                    </w:rPr>
                    <w:t>出水浓度mg/L</w:t>
                  </w:r>
                </w:p>
              </w:tc>
              <w:tc>
                <w:tcPr>
                  <w:tcW w:w="436" w:type="pct"/>
                  <w:tcBorders>
                    <w:tl2br w:val="nil"/>
                    <w:tr2bl w:val="nil"/>
                  </w:tcBorders>
                  <w:noWrap w:val="0"/>
                  <w:vAlign w:val="center"/>
                </w:tcPr>
                <w:p w14:paraId="0126293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kern w:val="2"/>
                      <w:position w:val="0"/>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pacing w:val="0"/>
                      <w:kern w:val="0"/>
                      <w:position w:val="0"/>
                      <w:sz w:val="21"/>
                      <w:szCs w:val="21"/>
                      <w:vertAlign w:val="baseline"/>
                      <w:lang w:val="en-US" w:eastAsia="zh-CN"/>
                      <w14:textFill>
                        <w14:solidFill>
                          <w14:schemeClr w14:val="tx1"/>
                        </w14:solidFill>
                      </w14:textFill>
                    </w:rPr>
                    <w:t>排放量t/a</w:t>
                  </w:r>
                </w:p>
              </w:tc>
              <w:tc>
                <w:tcPr>
                  <w:tcW w:w="643" w:type="pct"/>
                  <w:vMerge w:val="continue"/>
                  <w:tcBorders>
                    <w:tl2br w:val="nil"/>
                    <w:tr2bl w:val="nil"/>
                  </w:tcBorders>
                  <w:noWrap w:val="0"/>
                  <w:vAlign w:val="center"/>
                </w:tcPr>
                <w:p w14:paraId="635F1BD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p>
              </w:tc>
            </w:tr>
            <w:tr w14:paraId="541B8C4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3" w:type="pct"/>
                  <w:vMerge w:val="restart"/>
                  <w:tcBorders>
                    <w:tl2br w:val="nil"/>
                    <w:tr2bl w:val="nil"/>
                  </w:tcBorders>
                  <w:noWrap w:val="0"/>
                  <w:vAlign w:val="center"/>
                </w:tcPr>
                <w:p w14:paraId="38CF4FA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r>
                    <w:rPr>
                      <w:rFonts w:hint="eastAsia" w:cs="Times New Roman"/>
                      <w:b w:val="0"/>
                      <w:bCs/>
                      <w:color w:val="000000" w:themeColor="text1"/>
                      <w:spacing w:val="0"/>
                      <w:position w:val="0"/>
                      <w:sz w:val="21"/>
                      <w:szCs w:val="21"/>
                      <w:vertAlign w:val="baseline"/>
                      <w:lang w:val="en-US" w:eastAsia="zh-CN"/>
                      <w14:textFill>
                        <w14:solidFill>
                          <w14:schemeClr w14:val="tx1"/>
                        </w14:solidFill>
                      </w14:textFill>
                    </w:rPr>
                    <w:t>宠物诊疗</w:t>
                  </w:r>
                  <w:r>
                    <w:rPr>
                      <w:rFonts w:hint="eastAsia"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t>废水</w:t>
                  </w:r>
                </w:p>
              </w:tc>
              <w:tc>
                <w:tcPr>
                  <w:tcW w:w="364" w:type="pct"/>
                  <w:vMerge w:val="restart"/>
                  <w:tcBorders>
                    <w:tl2br w:val="nil"/>
                    <w:tr2bl w:val="nil"/>
                  </w:tcBorders>
                  <w:noWrap w:val="0"/>
                  <w:vAlign w:val="center"/>
                </w:tcPr>
                <w:p w14:paraId="18A0ACD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r>
                    <w:rPr>
                      <w:rFonts w:hint="eastAsia" w:cs="Times New Roman"/>
                      <w:b w:val="0"/>
                      <w:bCs/>
                      <w:color w:val="000000" w:themeColor="text1"/>
                      <w:spacing w:val="0"/>
                      <w:position w:val="0"/>
                      <w:sz w:val="21"/>
                      <w:szCs w:val="21"/>
                      <w:vertAlign w:val="baseline"/>
                      <w:lang w:val="en-US" w:eastAsia="zh-CN"/>
                      <w14:textFill>
                        <w14:solidFill>
                          <w14:schemeClr w14:val="tx1"/>
                        </w14:solidFill>
                      </w14:textFill>
                    </w:rPr>
                    <w:t>14.6</w:t>
                  </w:r>
                </w:p>
              </w:tc>
              <w:tc>
                <w:tcPr>
                  <w:tcW w:w="607" w:type="pct"/>
                  <w:tcBorders>
                    <w:tl2br w:val="nil"/>
                    <w:tr2bl w:val="nil"/>
                  </w:tcBorders>
                  <w:noWrap w:val="0"/>
                  <w:vAlign w:val="center"/>
                </w:tcPr>
                <w:p w14:paraId="20F4BE1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kern w:val="0"/>
                      <w:position w:val="0"/>
                      <w:sz w:val="21"/>
                      <w:szCs w:val="21"/>
                      <w:vertAlign w:val="baseline"/>
                      <w:lang w:val="en-US" w:eastAsia="zh-CN"/>
                      <w14:textFill>
                        <w14:solidFill>
                          <w14:schemeClr w14:val="tx1"/>
                        </w14:solidFill>
                      </w14:textFill>
                    </w:rPr>
                    <w:t>COD</w:t>
                  </w:r>
                </w:p>
              </w:tc>
              <w:tc>
                <w:tcPr>
                  <w:tcW w:w="460" w:type="pct"/>
                  <w:tcBorders>
                    <w:tl2br w:val="nil"/>
                    <w:tr2bl w:val="nil"/>
                  </w:tcBorders>
                  <w:noWrap w:val="0"/>
                  <w:vAlign w:val="center"/>
                </w:tcPr>
                <w:p w14:paraId="31D84C5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r>
                    <w:rPr>
                      <w:rFonts w:hint="eastAsia" w:cs="Times New Roman"/>
                      <w:b w:val="0"/>
                      <w:bCs/>
                      <w:color w:val="000000" w:themeColor="text1"/>
                      <w:spacing w:val="0"/>
                      <w:position w:val="0"/>
                      <w:sz w:val="21"/>
                      <w:szCs w:val="21"/>
                      <w:vertAlign w:val="baseline"/>
                      <w:lang w:val="en-US" w:eastAsia="zh-CN"/>
                      <w14:textFill>
                        <w14:solidFill>
                          <w14:schemeClr w14:val="tx1"/>
                        </w14:solidFill>
                      </w14:textFill>
                    </w:rPr>
                    <w:t>198</w:t>
                  </w:r>
                </w:p>
              </w:tc>
              <w:tc>
                <w:tcPr>
                  <w:tcW w:w="503" w:type="pct"/>
                  <w:tcBorders>
                    <w:tl2br w:val="nil"/>
                    <w:tr2bl w:val="nil"/>
                  </w:tcBorders>
                  <w:noWrap w:val="0"/>
                  <w:vAlign w:val="center"/>
                </w:tcPr>
                <w:p w14:paraId="259DEE3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highlight w:val="none"/>
                      <w:vertAlign w:val="baseline"/>
                      <w:lang w:val="en-US" w:eastAsia="zh-CN"/>
                      <w14:textFill>
                        <w14:solidFill>
                          <w14:schemeClr w14:val="tx1"/>
                        </w14:solidFill>
                      </w14:textFill>
                    </w:rPr>
                  </w:pPr>
                  <w:r>
                    <w:rPr>
                      <w:rFonts w:hint="eastAsia" w:cs="Times New Roman"/>
                      <w:b w:val="0"/>
                      <w:bCs/>
                      <w:color w:val="000000" w:themeColor="text1"/>
                      <w:spacing w:val="0"/>
                      <w:position w:val="0"/>
                      <w:sz w:val="21"/>
                      <w:szCs w:val="21"/>
                      <w:highlight w:val="none"/>
                      <w:vertAlign w:val="baseline"/>
                      <w:lang w:val="en-US" w:eastAsia="zh-CN"/>
                      <w14:textFill>
                        <w14:solidFill>
                          <w14:schemeClr w14:val="tx1"/>
                        </w14:solidFill>
                      </w14:textFill>
                    </w:rPr>
                    <w:t>0.00289</w:t>
                  </w:r>
                </w:p>
              </w:tc>
              <w:tc>
                <w:tcPr>
                  <w:tcW w:w="602" w:type="pct"/>
                  <w:vMerge w:val="restart"/>
                  <w:tcBorders>
                    <w:tl2br w:val="nil"/>
                    <w:tr2bl w:val="nil"/>
                  </w:tcBorders>
                  <w:noWrap w:val="0"/>
                  <w:vAlign w:val="center"/>
                </w:tcPr>
                <w:p w14:paraId="7E1527C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t>小型废水处理设施</w:t>
                  </w:r>
                </w:p>
              </w:tc>
              <w:tc>
                <w:tcPr>
                  <w:tcW w:w="812" w:type="dxa"/>
                  <w:vMerge w:val="restart"/>
                  <w:tcBorders>
                    <w:tl2br w:val="nil"/>
                    <w:tr2bl w:val="nil"/>
                  </w:tcBorders>
                  <w:noWrap w:val="0"/>
                  <w:vAlign w:val="center"/>
                </w:tcPr>
                <w:p w14:paraId="539152E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r>
                    <w:rPr>
                      <w:rFonts w:hint="eastAsia" w:cs="Times New Roman"/>
                      <w:b w:val="0"/>
                      <w:bCs/>
                      <w:color w:val="000000" w:themeColor="text1"/>
                      <w:spacing w:val="0"/>
                      <w:position w:val="0"/>
                      <w:sz w:val="21"/>
                      <w:szCs w:val="21"/>
                      <w:vertAlign w:val="baseline"/>
                      <w:lang w:val="en-US" w:eastAsia="zh-CN"/>
                      <w14:textFill>
                        <w14:solidFill>
                          <w14:schemeClr w14:val="tx1"/>
                        </w14:solidFill>
                      </w14:textFill>
                    </w:rPr>
                    <w:t>14.6</w:t>
                  </w:r>
                </w:p>
              </w:tc>
              <w:tc>
                <w:tcPr>
                  <w:tcW w:w="738" w:type="dxa"/>
                  <w:tcBorders>
                    <w:tl2br w:val="nil"/>
                    <w:tr2bl w:val="nil"/>
                  </w:tcBorders>
                  <w:noWrap w:val="0"/>
                  <w:vAlign w:val="center"/>
                </w:tcPr>
                <w:p w14:paraId="054ECB8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r>
                    <w:rPr>
                      <w:rFonts w:hint="eastAsia" w:cs="Times New Roman"/>
                      <w:b w:val="0"/>
                      <w:bCs/>
                      <w:color w:val="000000" w:themeColor="text1"/>
                      <w:spacing w:val="0"/>
                      <w:position w:val="0"/>
                      <w:sz w:val="21"/>
                      <w:szCs w:val="21"/>
                      <w:vertAlign w:val="baseline"/>
                      <w:lang w:val="en-US" w:eastAsia="zh-CN"/>
                      <w14:textFill>
                        <w14:solidFill>
                          <w14:schemeClr w14:val="tx1"/>
                        </w14:solidFill>
                      </w14:textFill>
                    </w:rPr>
                    <w:t>198</w:t>
                  </w:r>
                </w:p>
              </w:tc>
              <w:tc>
                <w:tcPr>
                  <w:tcW w:w="700" w:type="dxa"/>
                  <w:tcBorders>
                    <w:tl2br w:val="nil"/>
                    <w:tr2bl w:val="nil"/>
                  </w:tcBorders>
                  <w:shd w:val="clear" w:color="auto" w:fill="auto"/>
                  <w:noWrap w:val="0"/>
                  <w:vAlign w:val="center"/>
                </w:tcPr>
                <w:p w14:paraId="2D24105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spacing w:val="0"/>
                      <w:kern w:val="2"/>
                      <w:position w:val="0"/>
                      <w:sz w:val="21"/>
                      <w:szCs w:val="21"/>
                      <w:vertAlign w:val="baseline"/>
                      <w:lang w:val="en-US" w:eastAsia="zh-CN" w:bidi="ar-SA"/>
                      <w14:textFill>
                        <w14:solidFill>
                          <w14:schemeClr w14:val="tx1"/>
                        </w14:solidFill>
                      </w14:textFill>
                    </w:rPr>
                  </w:pPr>
                  <w:r>
                    <w:rPr>
                      <w:rFonts w:hint="eastAsia" w:cs="Times New Roman"/>
                      <w:b w:val="0"/>
                      <w:bCs/>
                      <w:color w:val="000000" w:themeColor="text1"/>
                      <w:spacing w:val="0"/>
                      <w:position w:val="0"/>
                      <w:sz w:val="21"/>
                      <w:szCs w:val="21"/>
                      <w:highlight w:val="none"/>
                      <w:vertAlign w:val="baseline"/>
                      <w:lang w:val="en-US" w:eastAsia="zh-CN"/>
                      <w14:textFill>
                        <w14:solidFill>
                          <w14:schemeClr w14:val="tx1"/>
                        </w14:solidFill>
                      </w14:textFill>
                    </w:rPr>
                    <w:t>0.00289</w:t>
                  </w:r>
                </w:p>
              </w:tc>
              <w:tc>
                <w:tcPr>
                  <w:tcW w:w="643" w:type="pct"/>
                  <w:vMerge w:val="restart"/>
                  <w:tcBorders>
                    <w:tl2br w:val="nil"/>
                    <w:tr2bl w:val="nil"/>
                  </w:tcBorders>
                  <w:noWrap w:val="0"/>
                  <w:vAlign w:val="center"/>
                </w:tcPr>
                <w:p w14:paraId="1D8130A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r>
                    <w:rPr>
                      <w:rFonts w:hint="default" w:ascii="Times New Roman" w:hAnsi="Times New Roman" w:eastAsia="宋体" w:cs="Times New Roman"/>
                      <w:sz w:val="21"/>
                      <w:szCs w:val="21"/>
                      <w:lang w:val="en-US" w:eastAsia="zh-CN"/>
                    </w:rPr>
                    <w:t>排入城市排水管网，最终进入库尔勒市南市区污水处理厂深度处理</w:t>
                  </w:r>
                </w:p>
              </w:tc>
            </w:tr>
            <w:tr w14:paraId="49DF236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3" w:type="pct"/>
                  <w:vMerge w:val="continue"/>
                  <w:tcBorders>
                    <w:tl2br w:val="nil"/>
                    <w:tr2bl w:val="nil"/>
                  </w:tcBorders>
                  <w:noWrap w:val="0"/>
                  <w:vAlign w:val="center"/>
                </w:tcPr>
                <w:p w14:paraId="2BD1F9C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p>
              </w:tc>
              <w:tc>
                <w:tcPr>
                  <w:tcW w:w="364" w:type="pct"/>
                  <w:vMerge w:val="continue"/>
                  <w:tcBorders>
                    <w:tl2br w:val="nil"/>
                    <w:tr2bl w:val="nil"/>
                  </w:tcBorders>
                  <w:noWrap w:val="0"/>
                  <w:vAlign w:val="center"/>
                </w:tcPr>
                <w:p w14:paraId="5EC6558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p>
              </w:tc>
              <w:tc>
                <w:tcPr>
                  <w:tcW w:w="607" w:type="pct"/>
                  <w:tcBorders>
                    <w:tl2br w:val="nil"/>
                    <w:tr2bl w:val="nil"/>
                  </w:tcBorders>
                  <w:noWrap w:val="0"/>
                  <w:vAlign w:val="center"/>
                </w:tcPr>
                <w:p w14:paraId="6C6176A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kern w:val="0"/>
                      <w:position w:val="0"/>
                      <w:sz w:val="21"/>
                      <w:szCs w:val="21"/>
                      <w:vertAlign w:val="baseline"/>
                      <w:lang w:val="en-US" w:eastAsia="zh-CN"/>
                      <w14:textFill>
                        <w14:solidFill>
                          <w14:schemeClr w14:val="tx1"/>
                        </w14:solidFill>
                      </w14:textFill>
                    </w:rPr>
                    <w:t>BOD</w:t>
                  </w:r>
                  <w:r>
                    <w:rPr>
                      <w:rFonts w:hint="default" w:ascii="Times New Roman" w:hAnsi="Times New Roman" w:eastAsia="宋体" w:cs="Times New Roman"/>
                      <w:b w:val="0"/>
                      <w:bCs/>
                      <w:color w:val="000000" w:themeColor="text1"/>
                      <w:spacing w:val="0"/>
                      <w:kern w:val="0"/>
                      <w:position w:val="0"/>
                      <w:sz w:val="21"/>
                      <w:szCs w:val="21"/>
                      <w:vertAlign w:val="subscript"/>
                      <w:lang w:val="en-US" w:eastAsia="zh-CN"/>
                      <w14:textFill>
                        <w14:solidFill>
                          <w14:schemeClr w14:val="tx1"/>
                        </w14:solidFill>
                      </w14:textFill>
                    </w:rPr>
                    <w:t>5</w:t>
                  </w:r>
                </w:p>
              </w:tc>
              <w:tc>
                <w:tcPr>
                  <w:tcW w:w="460" w:type="pct"/>
                  <w:tcBorders>
                    <w:tl2br w:val="nil"/>
                    <w:tr2bl w:val="nil"/>
                  </w:tcBorders>
                  <w:noWrap w:val="0"/>
                  <w:vAlign w:val="center"/>
                </w:tcPr>
                <w:p w14:paraId="628BE59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r>
                    <w:rPr>
                      <w:rFonts w:hint="eastAsia" w:cs="Times New Roman"/>
                      <w:b w:val="0"/>
                      <w:bCs/>
                      <w:color w:val="000000" w:themeColor="text1"/>
                      <w:spacing w:val="0"/>
                      <w:position w:val="0"/>
                      <w:sz w:val="21"/>
                      <w:szCs w:val="21"/>
                      <w:vertAlign w:val="baseline"/>
                      <w:lang w:val="en-US" w:eastAsia="zh-CN"/>
                      <w14:textFill>
                        <w14:solidFill>
                          <w14:schemeClr w14:val="tx1"/>
                        </w14:solidFill>
                      </w14:textFill>
                    </w:rPr>
                    <w:t>77.05</w:t>
                  </w:r>
                </w:p>
              </w:tc>
              <w:tc>
                <w:tcPr>
                  <w:tcW w:w="503" w:type="pct"/>
                  <w:tcBorders>
                    <w:tl2br w:val="nil"/>
                    <w:tr2bl w:val="nil"/>
                  </w:tcBorders>
                  <w:noWrap w:val="0"/>
                  <w:vAlign w:val="center"/>
                </w:tcPr>
                <w:p w14:paraId="133F0DB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highlight w:val="none"/>
                      <w:vertAlign w:val="baseline"/>
                      <w:lang w:val="en-US" w:eastAsia="zh-CN"/>
                      <w14:textFill>
                        <w14:solidFill>
                          <w14:schemeClr w14:val="tx1"/>
                        </w14:solidFill>
                      </w14:textFill>
                    </w:rPr>
                  </w:pPr>
                  <w:r>
                    <w:rPr>
                      <w:rFonts w:hint="eastAsia" w:cs="Times New Roman"/>
                      <w:b w:val="0"/>
                      <w:bCs/>
                      <w:color w:val="000000" w:themeColor="text1"/>
                      <w:spacing w:val="0"/>
                      <w:position w:val="0"/>
                      <w:sz w:val="21"/>
                      <w:szCs w:val="21"/>
                      <w:highlight w:val="none"/>
                      <w:vertAlign w:val="baseline"/>
                      <w:lang w:val="en-US" w:eastAsia="zh-CN"/>
                      <w14:textFill>
                        <w14:solidFill>
                          <w14:schemeClr w14:val="tx1"/>
                        </w14:solidFill>
                      </w14:textFill>
                    </w:rPr>
                    <w:t>0.00112</w:t>
                  </w:r>
                </w:p>
              </w:tc>
              <w:tc>
                <w:tcPr>
                  <w:tcW w:w="602" w:type="pct"/>
                  <w:vMerge w:val="continue"/>
                  <w:tcBorders>
                    <w:tl2br w:val="nil"/>
                    <w:tr2bl w:val="nil"/>
                  </w:tcBorders>
                  <w:noWrap w:val="0"/>
                  <w:vAlign w:val="center"/>
                </w:tcPr>
                <w:p w14:paraId="2B12593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p>
              </w:tc>
              <w:tc>
                <w:tcPr>
                  <w:tcW w:w="506" w:type="pct"/>
                  <w:vMerge w:val="continue"/>
                  <w:tcBorders>
                    <w:tl2br w:val="nil"/>
                    <w:tr2bl w:val="nil"/>
                  </w:tcBorders>
                  <w:noWrap w:val="0"/>
                  <w:vAlign w:val="center"/>
                </w:tcPr>
                <w:p w14:paraId="732F378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p>
              </w:tc>
              <w:tc>
                <w:tcPr>
                  <w:tcW w:w="738" w:type="dxa"/>
                  <w:tcBorders>
                    <w:tl2br w:val="nil"/>
                    <w:tr2bl w:val="nil"/>
                  </w:tcBorders>
                  <w:noWrap w:val="0"/>
                  <w:vAlign w:val="center"/>
                </w:tcPr>
                <w:p w14:paraId="7077EA4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r>
                    <w:rPr>
                      <w:rFonts w:hint="eastAsia" w:cs="Times New Roman"/>
                      <w:b w:val="0"/>
                      <w:bCs/>
                      <w:color w:val="000000" w:themeColor="text1"/>
                      <w:spacing w:val="0"/>
                      <w:position w:val="0"/>
                      <w:sz w:val="21"/>
                      <w:szCs w:val="21"/>
                      <w:vertAlign w:val="baseline"/>
                      <w:lang w:val="en-US" w:eastAsia="zh-CN"/>
                      <w14:textFill>
                        <w14:solidFill>
                          <w14:schemeClr w14:val="tx1"/>
                        </w14:solidFill>
                      </w14:textFill>
                    </w:rPr>
                    <w:t>77.05</w:t>
                  </w:r>
                </w:p>
              </w:tc>
              <w:tc>
                <w:tcPr>
                  <w:tcW w:w="700" w:type="dxa"/>
                  <w:tcBorders>
                    <w:tl2br w:val="nil"/>
                    <w:tr2bl w:val="nil"/>
                  </w:tcBorders>
                  <w:shd w:val="clear" w:color="auto" w:fill="auto"/>
                  <w:noWrap w:val="0"/>
                  <w:vAlign w:val="center"/>
                </w:tcPr>
                <w:p w14:paraId="5CF78F9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spacing w:val="0"/>
                      <w:kern w:val="2"/>
                      <w:position w:val="0"/>
                      <w:sz w:val="21"/>
                      <w:szCs w:val="21"/>
                      <w:vertAlign w:val="baseline"/>
                      <w:lang w:val="en-US" w:eastAsia="zh-CN" w:bidi="ar-SA"/>
                      <w14:textFill>
                        <w14:solidFill>
                          <w14:schemeClr w14:val="tx1"/>
                        </w14:solidFill>
                      </w14:textFill>
                    </w:rPr>
                  </w:pPr>
                  <w:r>
                    <w:rPr>
                      <w:rFonts w:hint="eastAsia" w:cs="Times New Roman"/>
                      <w:b w:val="0"/>
                      <w:bCs/>
                      <w:color w:val="000000" w:themeColor="text1"/>
                      <w:spacing w:val="0"/>
                      <w:position w:val="0"/>
                      <w:sz w:val="21"/>
                      <w:szCs w:val="21"/>
                      <w:highlight w:val="none"/>
                      <w:vertAlign w:val="baseline"/>
                      <w:lang w:val="en-US" w:eastAsia="zh-CN"/>
                      <w14:textFill>
                        <w14:solidFill>
                          <w14:schemeClr w14:val="tx1"/>
                        </w14:solidFill>
                      </w14:textFill>
                    </w:rPr>
                    <w:t>0.00112</w:t>
                  </w:r>
                </w:p>
              </w:tc>
              <w:tc>
                <w:tcPr>
                  <w:tcW w:w="643" w:type="pct"/>
                  <w:vMerge w:val="continue"/>
                  <w:tcBorders>
                    <w:tl2br w:val="nil"/>
                    <w:tr2bl w:val="nil"/>
                  </w:tcBorders>
                  <w:noWrap w:val="0"/>
                  <w:vAlign w:val="center"/>
                </w:tcPr>
                <w:p w14:paraId="4D3A544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p>
              </w:tc>
            </w:tr>
            <w:tr w14:paraId="57D348E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413" w:type="pct"/>
                  <w:vMerge w:val="continue"/>
                  <w:tcBorders>
                    <w:tl2br w:val="nil"/>
                    <w:tr2bl w:val="nil"/>
                  </w:tcBorders>
                  <w:noWrap w:val="0"/>
                  <w:vAlign w:val="center"/>
                </w:tcPr>
                <w:p w14:paraId="3EBD877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p>
              </w:tc>
              <w:tc>
                <w:tcPr>
                  <w:tcW w:w="364" w:type="pct"/>
                  <w:vMerge w:val="continue"/>
                  <w:tcBorders>
                    <w:tl2br w:val="nil"/>
                    <w:tr2bl w:val="nil"/>
                  </w:tcBorders>
                  <w:noWrap w:val="0"/>
                  <w:vAlign w:val="center"/>
                </w:tcPr>
                <w:p w14:paraId="2B436AA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p>
              </w:tc>
              <w:tc>
                <w:tcPr>
                  <w:tcW w:w="607" w:type="pct"/>
                  <w:tcBorders>
                    <w:tl2br w:val="nil"/>
                    <w:tr2bl w:val="nil"/>
                  </w:tcBorders>
                  <w:noWrap w:val="0"/>
                  <w:vAlign w:val="center"/>
                </w:tcPr>
                <w:p w14:paraId="394E1D1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kern w:val="0"/>
                      <w:position w:val="0"/>
                      <w:sz w:val="21"/>
                      <w:szCs w:val="21"/>
                      <w:vertAlign w:val="baseline"/>
                      <w:lang w:val="en-US" w:eastAsia="zh-CN"/>
                      <w14:textFill>
                        <w14:solidFill>
                          <w14:schemeClr w14:val="tx1"/>
                        </w14:solidFill>
                      </w14:textFill>
                    </w:rPr>
                    <w:t>SS</w:t>
                  </w:r>
                </w:p>
              </w:tc>
              <w:tc>
                <w:tcPr>
                  <w:tcW w:w="460" w:type="pct"/>
                  <w:tcBorders>
                    <w:tl2br w:val="nil"/>
                    <w:tr2bl w:val="nil"/>
                  </w:tcBorders>
                  <w:noWrap w:val="0"/>
                  <w:vAlign w:val="center"/>
                </w:tcPr>
                <w:p w14:paraId="5130605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r>
                    <w:rPr>
                      <w:rFonts w:hint="eastAsia" w:cs="Times New Roman"/>
                      <w:b w:val="0"/>
                      <w:bCs/>
                      <w:color w:val="000000" w:themeColor="text1"/>
                      <w:spacing w:val="0"/>
                      <w:position w:val="0"/>
                      <w:sz w:val="21"/>
                      <w:szCs w:val="21"/>
                      <w:vertAlign w:val="baseline"/>
                      <w:lang w:val="en-US" w:eastAsia="zh-CN"/>
                      <w14:textFill>
                        <w14:solidFill>
                          <w14:schemeClr w14:val="tx1"/>
                        </w14:solidFill>
                      </w14:textFill>
                    </w:rPr>
                    <w:t>17</w:t>
                  </w:r>
                </w:p>
              </w:tc>
              <w:tc>
                <w:tcPr>
                  <w:tcW w:w="503" w:type="pct"/>
                  <w:tcBorders>
                    <w:tl2br w:val="nil"/>
                    <w:tr2bl w:val="nil"/>
                  </w:tcBorders>
                  <w:noWrap w:val="0"/>
                  <w:vAlign w:val="center"/>
                </w:tcPr>
                <w:p w14:paraId="5B6F5F8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r>
                    <w:rPr>
                      <w:rFonts w:hint="eastAsia" w:cs="Times New Roman"/>
                      <w:b w:val="0"/>
                      <w:bCs/>
                      <w:color w:val="000000" w:themeColor="text1"/>
                      <w:spacing w:val="0"/>
                      <w:position w:val="0"/>
                      <w:sz w:val="21"/>
                      <w:szCs w:val="21"/>
                      <w:vertAlign w:val="baseline"/>
                      <w:lang w:val="en-US" w:eastAsia="zh-CN"/>
                      <w14:textFill>
                        <w14:solidFill>
                          <w14:schemeClr w14:val="tx1"/>
                        </w14:solidFill>
                      </w14:textFill>
                    </w:rPr>
                    <w:t>0.000248</w:t>
                  </w:r>
                </w:p>
              </w:tc>
              <w:tc>
                <w:tcPr>
                  <w:tcW w:w="602" w:type="pct"/>
                  <w:vMerge w:val="continue"/>
                  <w:tcBorders>
                    <w:tl2br w:val="nil"/>
                    <w:tr2bl w:val="nil"/>
                  </w:tcBorders>
                  <w:noWrap w:val="0"/>
                  <w:vAlign w:val="center"/>
                </w:tcPr>
                <w:p w14:paraId="341D22B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p>
              </w:tc>
              <w:tc>
                <w:tcPr>
                  <w:tcW w:w="506" w:type="pct"/>
                  <w:vMerge w:val="continue"/>
                  <w:tcBorders>
                    <w:tl2br w:val="nil"/>
                    <w:tr2bl w:val="nil"/>
                  </w:tcBorders>
                  <w:noWrap w:val="0"/>
                  <w:vAlign w:val="center"/>
                </w:tcPr>
                <w:p w14:paraId="5C7ED74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p>
              </w:tc>
              <w:tc>
                <w:tcPr>
                  <w:tcW w:w="738" w:type="dxa"/>
                  <w:tcBorders>
                    <w:tl2br w:val="nil"/>
                    <w:tr2bl w:val="nil"/>
                  </w:tcBorders>
                  <w:noWrap w:val="0"/>
                  <w:vAlign w:val="center"/>
                </w:tcPr>
                <w:p w14:paraId="4004789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r>
                    <w:rPr>
                      <w:rFonts w:hint="eastAsia" w:cs="Times New Roman"/>
                      <w:b w:val="0"/>
                      <w:bCs/>
                      <w:color w:val="000000" w:themeColor="text1"/>
                      <w:spacing w:val="0"/>
                      <w:position w:val="0"/>
                      <w:sz w:val="21"/>
                      <w:szCs w:val="21"/>
                      <w:vertAlign w:val="baseline"/>
                      <w:lang w:val="en-US" w:eastAsia="zh-CN"/>
                      <w14:textFill>
                        <w14:solidFill>
                          <w14:schemeClr w14:val="tx1"/>
                        </w14:solidFill>
                      </w14:textFill>
                    </w:rPr>
                    <w:t>17</w:t>
                  </w:r>
                </w:p>
              </w:tc>
              <w:tc>
                <w:tcPr>
                  <w:tcW w:w="700" w:type="dxa"/>
                  <w:tcBorders>
                    <w:tl2br w:val="nil"/>
                    <w:tr2bl w:val="nil"/>
                  </w:tcBorders>
                  <w:noWrap w:val="0"/>
                  <w:vAlign w:val="center"/>
                </w:tcPr>
                <w:p w14:paraId="04A512F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r>
                    <w:rPr>
                      <w:rFonts w:hint="eastAsia" w:cs="Times New Roman"/>
                      <w:b w:val="0"/>
                      <w:bCs/>
                      <w:color w:val="000000" w:themeColor="text1"/>
                      <w:spacing w:val="0"/>
                      <w:position w:val="0"/>
                      <w:sz w:val="21"/>
                      <w:szCs w:val="21"/>
                      <w:vertAlign w:val="baseline"/>
                      <w:lang w:val="en-US" w:eastAsia="zh-CN"/>
                      <w14:textFill>
                        <w14:solidFill>
                          <w14:schemeClr w14:val="tx1"/>
                        </w14:solidFill>
                      </w14:textFill>
                    </w:rPr>
                    <w:t>0.000248</w:t>
                  </w:r>
                </w:p>
              </w:tc>
              <w:tc>
                <w:tcPr>
                  <w:tcW w:w="643" w:type="pct"/>
                  <w:vMerge w:val="continue"/>
                  <w:tcBorders>
                    <w:tl2br w:val="nil"/>
                    <w:tr2bl w:val="nil"/>
                  </w:tcBorders>
                  <w:noWrap w:val="0"/>
                  <w:vAlign w:val="center"/>
                </w:tcPr>
                <w:p w14:paraId="01C767B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p>
              </w:tc>
            </w:tr>
            <w:tr w14:paraId="1B858CF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13" w:type="pct"/>
                  <w:vMerge w:val="continue"/>
                  <w:tcBorders>
                    <w:tl2br w:val="nil"/>
                    <w:tr2bl w:val="nil"/>
                  </w:tcBorders>
                  <w:noWrap w:val="0"/>
                  <w:vAlign w:val="center"/>
                </w:tcPr>
                <w:p w14:paraId="7FDF951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p>
              </w:tc>
              <w:tc>
                <w:tcPr>
                  <w:tcW w:w="364" w:type="pct"/>
                  <w:vMerge w:val="continue"/>
                  <w:tcBorders>
                    <w:tl2br w:val="nil"/>
                    <w:tr2bl w:val="nil"/>
                  </w:tcBorders>
                  <w:noWrap w:val="0"/>
                  <w:vAlign w:val="center"/>
                </w:tcPr>
                <w:p w14:paraId="48579D2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p>
              </w:tc>
              <w:tc>
                <w:tcPr>
                  <w:tcW w:w="607" w:type="pct"/>
                  <w:tcBorders>
                    <w:tl2br w:val="nil"/>
                    <w:tr2bl w:val="nil"/>
                  </w:tcBorders>
                  <w:noWrap w:val="0"/>
                  <w:vAlign w:val="center"/>
                </w:tcPr>
                <w:p w14:paraId="1E527C3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kern w:val="0"/>
                      <w:position w:val="0"/>
                      <w:sz w:val="21"/>
                      <w:szCs w:val="21"/>
                      <w:vertAlign w:val="baseline"/>
                      <w:lang w:val="en-US" w:eastAsia="zh-CN"/>
                      <w14:textFill>
                        <w14:solidFill>
                          <w14:schemeClr w14:val="tx1"/>
                        </w14:solidFill>
                      </w14:textFill>
                    </w:rPr>
                    <w:t>NH</w:t>
                  </w:r>
                  <w:r>
                    <w:rPr>
                      <w:rFonts w:hint="default" w:ascii="Times New Roman" w:hAnsi="Times New Roman" w:eastAsia="宋体" w:cs="Times New Roman"/>
                      <w:b w:val="0"/>
                      <w:bCs/>
                      <w:color w:val="000000" w:themeColor="text1"/>
                      <w:spacing w:val="0"/>
                      <w:kern w:val="0"/>
                      <w:position w:val="0"/>
                      <w:sz w:val="21"/>
                      <w:szCs w:val="21"/>
                      <w:vertAlign w:val="subscript"/>
                      <w:lang w:val="en-US" w:eastAsia="zh-CN"/>
                      <w14:textFill>
                        <w14:solidFill>
                          <w14:schemeClr w14:val="tx1"/>
                        </w14:solidFill>
                      </w14:textFill>
                    </w:rPr>
                    <w:t>3</w:t>
                  </w:r>
                  <w:r>
                    <w:rPr>
                      <w:rFonts w:hint="default" w:ascii="Times New Roman" w:hAnsi="Times New Roman" w:eastAsia="宋体" w:cs="Times New Roman"/>
                      <w:b w:val="0"/>
                      <w:bCs/>
                      <w:color w:val="000000" w:themeColor="text1"/>
                      <w:spacing w:val="0"/>
                      <w:kern w:val="0"/>
                      <w:position w:val="0"/>
                      <w:sz w:val="21"/>
                      <w:szCs w:val="21"/>
                      <w:vertAlign w:val="baseline"/>
                      <w:lang w:val="en-US" w:eastAsia="zh-CN"/>
                      <w14:textFill>
                        <w14:solidFill>
                          <w14:schemeClr w14:val="tx1"/>
                        </w14:solidFill>
                      </w14:textFill>
                    </w:rPr>
                    <w:t>-N</w:t>
                  </w:r>
                </w:p>
              </w:tc>
              <w:tc>
                <w:tcPr>
                  <w:tcW w:w="460" w:type="pct"/>
                  <w:tcBorders>
                    <w:tl2br w:val="nil"/>
                    <w:tr2bl w:val="nil"/>
                  </w:tcBorders>
                  <w:noWrap w:val="0"/>
                  <w:vAlign w:val="center"/>
                </w:tcPr>
                <w:p w14:paraId="5878E6B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r>
                    <w:rPr>
                      <w:rFonts w:hint="eastAsia" w:cs="Times New Roman"/>
                      <w:b w:val="0"/>
                      <w:bCs/>
                      <w:color w:val="000000" w:themeColor="text1"/>
                      <w:spacing w:val="0"/>
                      <w:position w:val="0"/>
                      <w:sz w:val="21"/>
                      <w:szCs w:val="21"/>
                      <w:vertAlign w:val="baseline"/>
                      <w:lang w:val="en-US" w:eastAsia="zh-CN"/>
                      <w14:textFill>
                        <w14:solidFill>
                          <w14:schemeClr w14:val="tx1"/>
                        </w14:solidFill>
                      </w14:textFill>
                    </w:rPr>
                    <w:t>18.4</w:t>
                  </w:r>
                </w:p>
              </w:tc>
              <w:tc>
                <w:tcPr>
                  <w:tcW w:w="503" w:type="pct"/>
                  <w:tcBorders>
                    <w:tl2br w:val="nil"/>
                    <w:tr2bl w:val="nil"/>
                  </w:tcBorders>
                  <w:noWrap w:val="0"/>
                  <w:vAlign w:val="center"/>
                </w:tcPr>
                <w:p w14:paraId="635D359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r>
                    <w:rPr>
                      <w:rFonts w:hint="eastAsia" w:cs="Times New Roman"/>
                      <w:b w:val="0"/>
                      <w:bCs/>
                      <w:color w:val="000000" w:themeColor="text1"/>
                      <w:spacing w:val="0"/>
                      <w:position w:val="0"/>
                      <w:sz w:val="21"/>
                      <w:szCs w:val="21"/>
                      <w:vertAlign w:val="baseline"/>
                      <w:lang w:val="en-US" w:eastAsia="zh-CN"/>
                      <w14:textFill>
                        <w14:solidFill>
                          <w14:schemeClr w14:val="tx1"/>
                        </w14:solidFill>
                      </w14:textFill>
                    </w:rPr>
                    <w:t>0.000269</w:t>
                  </w:r>
                </w:p>
              </w:tc>
              <w:tc>
                <w:tcPr>
                  <w:tcW w:w="602" w:type="pct"/>
                  <w:vMerge w:val="continue"/>
                  <w:tcBorders>
                    <w:tl2br w:val="nil"/>
                    <w:tr2bl w:val="nil"/>
                  </w:tcBorders>
                  <w:noWrap w:val="0"/>
                  <w:vAlign w:val="center"/>
                </w:tcPr>
                <w:p w14:paraId="3F0338E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p>
              </w:tc>
              <w:tc>
                <w:tcPr>
                  <w:tcW w:w="506" w:type="pct"/>
                  <w:vMerge w:val="continue"/>
                  <w:tcBorders>
                    <w:tl2br w:val="nil"/>
                    <w:tr2bl w:val="nil"/>
                  </w:tcBorders>
                  <w:noWrap w:val="0"/>
                  <w:vAlign w:val="center"/>
                </w:tcPr>
                <w:p w14:paraId="7E8498B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p>
              </w:tc>
              <w:tc>
                <w:tcPr>
                  <w:tcW w:w="738" w:type="dxa"/>
                  <w:tcBorders>
                    <w:tl2br w:val="nil"/>
                    <w:tr2bl w:val="nil"/>
                  </w:tcBorders>
                  <w:noWrap w:val="0"/>
                  <w:vAlign w:val="center"/>
                </w:tcPr>
                <w:p w14:paraId="0D97CD4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r>
                    <w:rPr>
                      <w:rFonts w:hint="eastAsia" w:cs="Times New Roman"/>
                      <w:b w:val="0"/>
                      <w:bCs/>
                      <w:color w:val="000000" w:themeColor="text1"/>
                      <w:spacing w:val="0"/>
                      <w:position w:val="0"/>
                      <w:sz w:val="21"/>
                      <w:szCs w:val="21"/>
                      <w:vertAlign w:val="baseline"/>
                      <w:lang w:val="en-US" w:eastAsia="zh-CN"/>
                      <w14:textFill>
                        <w14:solidFill>
                          <w14:schemeClr w14:val="tx1"/>
                        </w14:solidFill>
                      </w14:textFill>
                    </w:rPr>
                    <w:t>18.4</w:t>
                  </w:r>
                </w:p>
              </w:tc>
              <w:tc>
                <w:tcPr>
                  <w:tcW w:w="700" w:type="dxa"/>
                  <w:tcBorders>
                    <w:tl2br w:val="nil"/>
                    <w:tr2bl w:val="nil"/>
                  </w:tcBorders>
                  <w:noWrap w:val="0"/>
                  <w:vAlign w:val="center"/>
                </w:tcPr>
                <w:p w14:paraId="0BF1029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r>
                    <w:rPr>
                      <w:rFonts w:hint="eastAsia" w:cs="Times New Roman"/>
                      <w:b w:val="0"/>
                      <w:bCs/>
                      <w:color w:val="000000" w:themeColor="text1"/>
                      <w:spacing w:val="0"/>
                      <w:position w:val="0"/>
                      <w:sz w:val="21"/>
                      <w:szCs w:val="21"/>
                      <w:vertAlign w:val="baseline"/>
                      <w:lang w:val="en-US" w:eastAsia="zh-CN"/>
                      <w14:textFill>
                        <w14:solidFill>
                          <w14:schemeClr w14:val="tx1"/>
                        </w14:solidFill>
                      </w14:textFill>
                    </w:rPr>
                    <w:t>0.000269</w:t>
                  </w:r>
                </w:p>
              </w:tc>
              <w:tc>
                <w:tcPr>
                  <w:tcW w:w="643" w:type="pct"/>
                  <w:vMerge w:val="continue"/>
                  <w:tcBorders>
                    <w:tl2br w:val="nil"/>
                    <w:tr2bl w:val="nil"/>
                  </w:tcBorders>
                  <w:noWrap w:val="0"/>
                  <w:vAlign w:val="center"/>
                </w:tcPr>
                <w:p w14:paraId="6D601F5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p>
              </w:tc>
            </w:tr>
            <w:tr w14:paraId="46B0C5B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3" w:type="pct"/>
                  <w:vMerge w:val="continue"/>
                  <w:tcBorders>
                    <w:tl2br w:val="nil"/>
                    <w:tr2bl w:val="nil"/>
                  </w:tcBorders>
                  <w:noWrap w:val="0"/>
                  <w:vAlign w:val="center"/>
                </w:tcPr>
                <w:p w14:paraId="18E504D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p>
              </w:tc>
              <w:tc>
                <w:tcPr>
                  <w:tcW w:w="364" w:type="pct"/>
                  <w:vMerge w:val="continue"/>
                  <w:tcBorders>
                    <w:tl2br w:val="nil"/>
                    <w:tr2bl w:val="nil"/>
                  </w:tcBorders>
                  <w:noWrap w:val="0"/>
                  <w:vAlign w:val="center"/>
                </w:tcPr>
                <w:p w14:paraId="26B0012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p>
              </w:tc>
              <w:tc>
                <w:tcPr>
                  <w:tcW w:w="607" w:type="pct"/>
                  <w:tcBorders>
                    <w:tl2br w:val="nil"/>
                    <w:tr2bl w:val="nil"/>
                  </w:tcBorders>
                  <w:noWrap w:val="0"/>
                  <w:vAlign w:val="center"/>
                </w:tcPr>
                <w:p w14:paraId="766ED88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r>
                    <w:rPr>
                      <w:rFonts w:hint="eastAsia" w:cs="Times New Roman"/>
                      <w:b w:val="0"/>
                      <w:bCs/>
                      <w:color w:val="000000" w:themeColor="text1"/>
                      <w:spacing w:val="0"/>
                      <w:position w:val="0"/>
                      <w:sz w:val="21"/>
                      <w:szCs w:val="21"/>
                      <w:vertAlign w:val="baseline"/>
                      <w:lang w:val="en-US" w:eastAsia="zh-CN"/>
                      <w14:textFill>
                        <w14:solidFill>
                          <w14:schemeClr w14:val="tx1"/>
                        </w14:solidFill>
                      </w14:textFill>
                    </w:rPr>
                    <w:t>粪</w:t>
                  </w:r>
                  <w:r>
                    <w:rPr>
                      <w:rFonts w:hint="eastAsia" w:ascii="Times New Roman" w:hAnsi="Times New Roman" w:cs="Times New Roman"/>
                      <w:b w:val="0"/>
                      <w:bCs/>
                      <w:color w:val="000000" w:themeColor="text1"/>
                      <w:spacing w:val="0"/>
                      <w:position w:val="0"/>
                      <w:sz w:val="21"/>
                      <w:szCs w:val="21"/>
                      <w:vertAlign w:val="baseline"/>
                      <w:lang w:val="en-US" w:eastAsia="zh-CN"/>
                      <w14:textFill>
                        <w14:solidFill>
                          <w14:schemeClr w14:val="tx1"/>
                        </w14:solidFill>
                      </w14:textFill>
                    </w:rPr>
                    <w:t>大肠菌</w:t>
                  </w:r>
                  <w:r>
                    <w:rPr>
                      <w:rFonts w:hint="eastAsia" w:cs="Times New Roman"/>
                      <w:b w:val="0"/>
                      <w:bCs/>
                      <w:color w:val="000000" w:themeColor="text1"/>
                      <w:spacing w:val="0"/>
                      <w:position w:val="0"/>
                      <w:sz w:val="21"/>
                      <w:szCs w:val="21"/>
                      <w:vertAlign w:val="baseline"/>
                      <w:lang w:val="en-US" w:eastAsia="zh-CN"/>
                      <w14:textFill>
                        <w14:solidFill>
                          <w14:schemeClr w14:val="tx1"/>
                        </w14:solidFill>
                      </w14:textFill>
                    </w:rPr>
                    <w:t>群（MPN/L）</w:t>
                  </w:r>
                </w:p>
              </w:tc>
              <w:tc>
                <w:tcPr>
                  <w:tcW w:w="460" w:type="pct"/>
                  <w:tcBorders>
                    <w:tl2br w:val="nil"/>
                    <w:tr2bl w:val="nil"/>
                  </w:tcBorders>
                  <w:noWrap w:val="0"/>
                  <w:vAlign w:val="center"/>
                </w:tcPr>
                <w:p w14:paraId="163B3F9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r>
                    <w:rPr>
                      <w:rFonts w:hint="eastAsia" w:cs="Times New Roman"/>
                      <w:b w:val="0"/>
                      <w:bCs/>
                      <w:color w:val="000000" w:themeColor="text1"/>
                      <w:spacing w:val="0"/>
                      <w:position w:val="0"/>
                      <w:sz w:val="21"/>
                      <w:szCs w:val="21"/>
                      <w:vertAlign w:val="baseline"/>
                      <w:lang w:val="en-US" w:eastAsia="zh-CN"/>
                      <w14:textFill>
                        <w14:solidFill>
                          <w14:schemeClr w14:val="tx1"/>
                        </w14:solidFill>
                      </w14:textFill>
                    </w:rPr>
                    <w:t>4175</w:t>
                  </w:r>
                </w:p>
              </w:tc>
              <w:tc>
                <w:tcPr>
                  <w:tcW w:w="503" w:type="pct"/>
                  <w:tcBorders>
                    <w:tl2br w:val="nil"/>
                    <w:tr2bl w:val="nil"/>
                  </w:tcBorders>
                  <w:noWrap w:val="0"/>
                  <w:vAlign w:val="center"/>
                </w:tcPr>
                <w:p w14:paraId="6C26BF5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r>
                    <w:rPr>
                      <w:rFonts w:hint="eastAsia" w:cs="Times New Roman"/>
                      <w:b w:val="0"/>
                      <w:bCs/>
                      <w:color w:val="000000" w:themeColor="text1"/>
                      <w:spacing w:val="0"/>
                      <w:position w:val="0"/>
                      <w:sz w:val="21"/>
                      <w:szCs w:val="21"/>
                      <w:vertAlign w:val="baseline"/>
                      <w:lang w:val="en-US" w:eastAsia="zh-CN"/>
                      <w14:textFill>
                        <w14:solidFill>
                          <w14:schemeClr w14:val="tx1"/>
                        </w14:solidFill>
                      </w14:textFill>
                    </w:rPr>
                    <w:t>0.0609</w:t>
                  </w:r>
                </w:p>
              </w:tc>
              <w:tc>
                <w:tcPr>
                  <w:tcW w:w="602" w:type="pct"/>
                  <w:vMerge w:val="continue"/>
                  <w:tcBorders>
                    <w:tl2br w:val="nil"/>
                    <w:tr2bl w:val="nil"/>
                  </w:tcBorders>
                  <w:noWrap w:val="0"/>
                  <w:vAlign w:val="center"/>
                </w:tcPr>
                <w:p w14:paraId="22CA0CA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p>
              </w:tc>
              <w:tc>
                <w:tcPr>
                  <w:tcW w:w="506" w:type="pct"/>
                  <w:vMerge w:val="continue"/>
                  <w:tcBorders>
                    <w:tl2br w:val="nil"/>
                    <w:tr2bl w:val="nil"/>
                  </w:tcBorders>
                  <w:noWrap w:val="0"/>
                  <w:vAlign w:val="center"/>
                </w:tcPr>
                <w:p w14:paraId="224560D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p>
              </w:tc>
              <w:tc>
                <w:tcPr>
                  <w:tcW w:w="738" w:type="dxa"/>
                  <w:tcBorders>
                    <w:tl2br w:val="nil"/>
                    <w:tr2bl w:val="nil"/>
                  </w:tcBorders>
                  <w:noWrap w:val="0"/>
                  <w:vAlign w:val="center"/>
                </w:tcPr>
                <w:p w14:paraId="3AE7062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r>
                    <w:rPr>
                      <w:rFonts w:hint="eastAsia" w:cs="Times New Roman"/>
                      <w:b w:val="0"/>
                      <w:bCs/>
                      <w:color w:val="000000" w:themeColor="text1"/>
                      <w:spacing w:val="0"/>
                      <w:position w:val="0"/>
                      <w:sz w:val="21"/>
                      <w:szCs w:val="21"/>
                      <w:vertAlign w:val="baseline"/>
                      <w:lang w:val="en-US" w:eastAsia="zh-CN"/>
                      <w14:textFill>
                        <w14:solidFill>
                          <w14:schemeClr w14:val="tx1"/>
                        </w14:solidFill>
                      </w14:textFill>
                    </w:rPr>
                    <w:t>4175</w:t>
                  </w:r>
                </w:p>
              </w:tc>
              <w:tc>
                <w:tcPr>
                  <w:tcW w:w="700" w:type="dxa"/>
                  <w:tcBorders>
                    <w:tl2br w:val="nil"/>
                    <w:tr2bl w:val="nil"/>
                  </w:tcBorders>
                  <w:noWrap w:val="0"/>
                  <w:vAlign w:val="center"/>
                </w:tcPr>
                <w:p w14:paraId="2DAC7D4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r>
                    <w:rPr>
                      <w:rFonts w:hint="eastAsia" w:cs="Times New Roman"/>
                      <w:b w:val="0"/>
                      <w:bCs/>
                      <w:color w:val="000000" w:themeColor="text1"/>
                      <w:spacing w:val="0"/>
                      <w:position w:val="0"/>
                      <w:sz w:val="21"/>
                      <w:szCs w:val="21"/>
                      <w:vertAlign w:val="baseline"/>
                      <w:lang w:val="en-US" w:eastAsia="zh-CN"/>
                      <w14:textFill>
                        <w14:solidFill>
                          <w14:schemeClr w14:val="tx1"/>
                        </w14:solidFill>
                      </w14:textFill>
                    </w:rPr>
                    <w:t>0.0609</w:t>
                  </w:r>
                </w:p>
              </w:tc>
              <w:tc>
                <w:tcPr>
                  <w:tcW w:w="643" w:type="pct"/>
                  <w:vMerge w:val="continue"/>
                  <w:tcBorders>
                    <w:tl2br w:val="nil"/>
                    <w:tr2bl w:val="nil"/>
                  </w:tcBorders>
                  <w:noWrap w:val="0"/>
                  <w:vAlign w:val="center"/>
                </w:tcPr>
                <w:p w14:paraId="5F676EC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p>
              </w:tc>
            </w:tr>
            <w:tr w14:paraId="35BF6CC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3" w:type="pct"/>
                  <w:vMerge w:val="restart"/>
                  <w:tcBorders>
                    <w:tl2br w:val="nil"/>
                    <w:tr2bl w:val="nil"/>
                  </w:tcBorders>
                  <w:noWrap w:val="0"/>
                  <w:vAlign w:val="center"/>
                </w:tcPr>
                <w:p w14:paraId="0295FBA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r>
                    <w:rPr>
                      <w:rFonts w:hint="eastAsia" w:cs="Times New Roman"/>
                      <w:b w:val="0"/>
                      <w:bCs/>
                      <w:color w:val="000000" w:themeColor="text1"/>
                      <w:spacing w:val="0"/>
                      <w:position w:val="0"/>
                      <w:sz w:val="21"/>
                      <w:szCs w:val="21"/>
                      <w:vertAlign w:val="baseline"/>
                      <w:lang w:val="en-US" w:eastAsia="zh-CN"/>
                      <w14:textFill>
                        <w14:solidFill>
                          <w14:schemeClr w14:val="tx1"/>
                        </w14:solidFill>
                      </w14:textFill>
                    </w:rPr>
                    <w:t>生活污水、宠物清洗废水</w:t>
                  </w:r>
                </w:p>
              </w:tc>
              <w:tc>
                <w:tcPr>
                  <w:tcW w:w="364" w:type="pct"/>
                  <w:vMerge w:val="restart"/>
                  <w:tcBorders>
                    <w:tl2br w:val="nil"/>
                    <w:tr2bl w:val="nil"/>
                  </w:tcBorders>
                  <w:noWrap w:val="0"/>
                  <w:vAlign w:val="center"/>
                </w:tcPr>
                <w:p w14:paraId="4594A16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r>
                    <w:rPr>
                      <w:rFonts w:hint="eastAsia" w:cs="Times New Roman"/>
                      <w:b w:val="0"/>
                      <w:bCs/>
                      <w:color w:val="000000" w:themeColor="text1"/>
                      <w:spacing w:val="0"/>
                      <w:position w:val="0"/>
                      <w:sz w:val="21"/>
                      <w:szCs w:val="21"/>
                      <w:vertAlign w:val="baseline"/>
                      <w:lang w:val="en-US" w:eastAsia="zh-CN"/>
                      <w14:textFill>
                        <w14:solidFill>
                          <w14:schemeClr w14:val="tx1"/>
                        </w14:solidFill>
                      </w14:textFill>
                    </w:rPr>
                    <w:t>86.4</w:t>
                  </w:r>
                </w:p>
              </w:tc>
              <w:tc>
                <w:tcPr>
                  <w:tcW w:w="607" w:type="pct"/>
                  <w:tcBorders>
                    <w:tl2br w:val="nil"/>
                    <w:tr2bl w:val="nil"/>
                  </w:tcBorders>
                  <w:noWrap w:val="0"/>
                  <w:vAlign w:val="center"/>
                </w:tcPr>
                <w:p w14:paraId="319BF44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b w:val="0"/>
                      <w:bCs/>
                      <w:color w:val="000000" w:themeColor="text1"/>
                      <w:spacing w:val="0"/>
                      <w:position w:val="0"/>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kern w:val="0"/>
                      <w:position w:val="0"/>
                      <w:sz w:val="21"/>
                      <w:szCs w:val="21"/>
                      <w:vertAlign w:val="baseline"/>
                      <w:lang w:val="en-US" w:eastAsia="zh-CN"/>
                      <w14:textFill>
                        <w14:solidFill>
                          <w14:schemeClr w14:val="tx1"/>
                        </w14:solidFill>
                      </w14:textFill>
                    </w:rPr>
                    <w:t>COD</w:t>
                  </w:r>
                </w:p>
              </w:tc>
              <w:tc>
                <w:tcPr>
                  <w:tcW w:w="460" w:type="pct"/>
                  <w:tcBorders>
                    <w:tl2br w:val="nil"/>
                    <w:tr2bl w:val="nil"/>
                  </w:tcBorders>
                  <w:noWrap w:val="0"/>
                  <w:vAlign w:val="center"/>
                </w:tcPr>
                <w:p w14:paraId="13AA6F3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313.4</w:t>
                  </w:r>
                </w:p>
              </w:tc>
              <w:tc>
                <w:tcPr>
                  <w:tcW w:w="503" w:type="pct"/>
                  <w:tcBorders>
                    <w:tl2br w:val="nil"/>
                    <w:tr2bl w:val="nil"/>
                  </w:tcBorders>
                  <w:noWrap w:val="0"/>
                  <w:vAlign w:val="center"/>
                </w:tcPr>
                <w:p w14:paraId="0ED402F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 w:val="0"/>
                      <w:bCs/>
                      <w:color w:val="000000" w:themeColor="text1"/>
                      <w:spacing w:val="0"/>
                      <w:position w:val="0"/>
                      <w:sz w:val="21"/>
                      <w:szCs w:val="21"/>
                      <w:vertAlign w:val="baseline"/>
                      <w:lang w:val="en-US" w:eastAsia="zh-CN"/>
                      <w14:textFill>
                        <w14:solidFill>
                          <w14:schemeClr w14:val="tx1"/>
                        </w14:solidFill>
                      </w14:textFill>
                    </w:rPr>
                  </w:pPr>
                  <w:r>
                    <w:rPr>
                      <w:rFonts w:hint="eastAsia" w:cs="Times New Roman"/>
                      <w:b w:val="0"/>
                      <w:bCs/>
                      <w:color w:val="000000" w:themeColor="text1"/>
                      <w:spacing w:val="0"/>
                      <w:position w:val="0"/>
                      <w:sz w:val="21"/>
                      <w:szCs w:val="21"/>
                      <w:vertAlign w:val="baseline"/>
                      <w:lang w:val="en-US" w:eastAsia="zh-CN"/>
                      <w14:textFill>
                        <w14:solidFill>
                          <w14:schemeClr w14:val="tx1"/>
                        </w14:solidFill>
                      </w14:textFill>
                    </w:rPr>
                    <w:t>0.0271</w:t>
                  </w:r>
                </w:p>
              </w:tc>
              <w:tc>
                <w:tcPr>
                  <w:tcW w:w="602" w:type="pct"/>
                  <w:vMerge w:val="restart"/>
                  <w:tcBorders>
                    <w:tl2br w:val="nil"/>
                    <w:tr2bl w:val="nil"/>
                  </w:tcBorders>
                  <w:noWrap w:val="0"/>
                  <w:vAlign w:val="center"/>
                </w:tcPr>
                <w:p w14:paraId="76A96A7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r>
                    <w:rPr>
                      <w:rFonts w:hint="eastAsia" w:cs="Times New Roman"/>
                      <w:b w:val="0"/>
                      <w:bCs/>
                      <w:color w:val="000000" w:themeColor="text1"/>
                      <w:spacing w:val="0"/>
                      <w:position w:val="0"/>
                      <w:sz w:val="21"/>
                      <w:szCs w:val="21"/>
                      <w:vertAlign w:val="baseline"/>
                      <w:lang w:val="en-US" w:eastAsia="zh-CN"/>
                      <w14:textFill>
                        <w14:solidFill>
                          <w14:schemeClr w14:val="tx1"/>
                        </w14:solidFill>
                      </w14:textFill>
                    </w:rPr>
                    <w:t>小区化粪池</w:t>
                  </w:r>
                </w:p>
              </w:tc>
              <w:tc>
                <w:tcPr>
                  <w:tcW w:w="812" w:type="dxa"/>
                  <w:vMerge w:val="restart"/>
                  <w:tcBorders>
                    <w:tl2br w:val="nil"/>
                    <w:tr2bl w:val="nil"/>
                  </w:tcBorders>
                  <w:noWrap w:val="0"/>
                  <w:vAlign w:val="center"/>
                </w:tcPr>
                <w:p w14:paraId="77168A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r>
                    <w:rPr>
                      <w:rFonts w:hint="eastAsia" w:cs="Times New Roman"/>
                      <w:b w:val="0"/>
                      <w:bCs/>
                      <w:color w:val="000000" w:themeColor="text1"/>
                      <w:spacing w:val="0"/>
                      <w:position w:val="0"/>
                      <w:sz w:val="21"/>
                      <w:szCs w:val="21"/>
                      <w:vertAlign w:val="baseline"/>
                      <w:lang w:val="en-US" w:eastAsia="zh-CN"/>
                      <w14:textFill>
                        <w14:solidFill>
                          <w14:schemeClr w14:val="tx1"/>
                        </w14:solidFill>
                      </w14:textFill>
                    </w:rPr>
                    <w:t>86.4</w:t>
                  </w:r>
                </w:p>
              </w:tc>
              <w:tc>
                <w:tcPr>
                  <w:tcW w:w="460" w:type="pct"/>
                  <w:tcBorders>
                    <w:tl2br w:val="nil"/>
                    <w:tr2bl w:val="nil"/>
                  </w:tcBorders>
                  <w:noWrap w:val="0"/>
                  <w:vAlign w:val="center"/>
                </w:tcPr>
                <w:p w14:paraId="5896F3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313.4</w:t>
                  </w:r>
                </w:p>
              </w:tc>
              <w:tc>
                <w:tcPr>
                  <w:tcW w:w="700" w:type="dxa"/>
                  <w:tcBorders>
                    <w:tl2br w:val="nil"/>
                    <w:tr2bl w:val="nil"/>
                  </w:tcBorders>
                  <w:noWrap w:val="0"/>
                  <w:vAlign w:val="center"/>
                </w:tcPr>
                <w:p w14:paraId="2DFC7EA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b w:val="0"/>
                      <w:bCs/>
                      <w:color w:val="000000" w:themeColor="text1"/>
                      <w:spacing w:val="0"/>
                      <w:position w:val="0"/>
                      <w:sz w:val="21"/>
                      <w:szCs w:val="21"/>
                      <w:vertAlign w:val="baseline"/>
                      <w:lang w:val="en-US" w:eastAsia="zh-CN"/>
                      <w14:textFill>
                        <w14:solidFill>
                          <w14:schemeClr w14:val="tx1"/>
                        </w14:solidFill>
                      </w14:textFill>
                    </w:rPr>
                  </w:pPr>
                  <w:r>
                    <w:rPr>
                      <w:rFonts w:hint="eastAsia" w:cs="Times New Roman"/>
                      <w:b w:val="0"/>
                      <w:bCs/>
                      <w:color w:val="000000" w:themeColor="text1"/>
                      <w:spacing w:val="0"/>
                      <w:position w:val="0"/>
                      <w:sz w:val="21"/>
                      <w:szCs w:val="21"/>
                      <w:vertAlign w:val="baseline"/>
                      <w:lang w:val="en-US" w:eastAsia="zh-CN"/>
                      <w14:textFill>
                        <w14:solidFill>
                          <w14:schemeClr w14:val="tx1"/>
                        </w14:solidFill>
                      </w14:textFill>
                    </w:rPr>
                    <w:t>0.0271</w:t>
                  </w:r>
                </w:p>
              </w:tc>
              <w:tc>
                <w:tcPr>
                  <w:tcW w:w="643" w:type="pct"/>
                  <w:vMerge w:val="continue"/>
                  <w:tcBorders>
                    <w:tl2br w:val="nil"/>
                    <w:tr2bl w:val="nil"/>
                  </w:tcBorders>
                  <w:noWrap w:val="0"/>
                  <w:vAlign w:val="center"/>
                </w:tcPr>
                <w:p w14:paraId="4DD399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p>
              </w:tc>
            </w:tr>
            <w:tr w14:paraId="246264B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3" w:type="pct"/>
                  <w:vMerge w:val="continue"/>
                  <w:tcBorders>
                    <w:tl2br w:val="nil"/>
                    <w:tr2bl w:val="nil"/>
                  </w:tcBorders>
                  <w:noWrap w:val="0"/>
                  <w:vAlign w:val="center"/>
                </w:tcPr>
                <w:p w14:paraId="070540E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p>
              </w:tc>
              <w:tc>
                <w:tcPr>
                  <w:tcW w:w="364" w:type="pct"/>
                  <w:vMerge w:val="continue"/>
                  <w:tcBorders>
                    <w:tl2br w:val="nil"/>
                    <w:tr2bl w:val="nil"/>
                  </w:tcBorders>
                  <w:noWrap w:val="0"/>
                  <w:vAlign w:val="center"/>
                </w:tcPr>
                <w:p w14:paraId="5BA52C9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p>
              </w:tc>
              <w:tc>
                <w:tcPr>
                  <w:tcW w:w="607" w:type="pct"/>
                  <w:tcBorders>
                    <w:tl2br w:val="nil"/>
                    <w:tr2bl w:val="nil"/>
                  </w:tcBorders>
                  <w:noWrap w:val="0"/>
                  <w:vAlign w:val="center"/>
                </w:tcPr>
                <w:p w14:paraId="1934C0F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b w:val="0"/>
                      <w:bCs/>
                      <w:color w:val="000000" w:themeColor="text1"/>
                      <w:spacing w:val="0"/>
                      <w:position w:val="0"/>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kern w:val="0"/>
                      <w:position w:val="0"/>
                      <w:sz w:val="21"/>
                      <w:szCs w:val="21"/>
                      <w:vertAlign w:val="baseline"/>
                      <w:lang w:val="en-US" w:eastAsia="zh-CN"/>
                      <w14:textFill>
                        <w14:solidFill>
                          <w14:schemeClr w14:val="tx1"/>
                        </w14:solidFill>
                      </w14:textFill>
                    </w:rPr>
                    <w:t>BOD</w:t>
                  </w:r>
                  <w:r>
                    <w:rPr>
                      <w:rFonts w:hint="default" w:ascii="Times New Roman" w:hAnsi="Times New Roman" w:eastAsia="宋体" w:cs="Times New Roman"/>
                      <w:b w:val="0"/>
                      <w:bCs/>
                      <w:color w:val="000000" w:themeColor="text1"/>
                      <w:spacing w:val="0"/>
                      <w:kern w:val="0"/>
                      <w:position w:val="0"/>
                      <w:sz w:val="21"/>
                      <w:szCs w:val="21"/>
                      <w:vertAlign w:val="subscript"/>
                      <w:lang w:val="en-US" w:eastAsia="zh-CN"/>
                      <w14:textFill>
                        <w14:solidFill>
                          <w14:schemeClr w14:val="tx1"/>
                        </w14:solidFill>
                      </w14:textFill>
                    </w:rPr>
                    <w:t>5</w:t>
                  </w:r>
                </w:p>
              </w:tc>
              <w:tc>
                <w:tcPr>
                  <w:tcW w:w="460" w:type="pct"/>
                  <w:tcBorders>
                    <w:tl2br w:val="nil"/>
                    <w:tr2bl w:val="nil"/>
                  </w:tcBorders>
                  <w:noWrap w:val="0"/>
                  <w:vAlign w:val="center"/>
                </w:tcPr>
                <w:p w14:paraId="5F55C10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114.2</w:t>
                  </w:r>
                </w:p>
              </w:tc>
              <w:tc>
                <w:tcPr>
                  <w:tcW w:w="503" w:type="pct"/>
                  <w:tcBorders>
                    <w:tl2br w:val="nil"/>
                    <w:tr2bl w:val="nil"/>
                  </w:tcBorders>
                  <w:noWrap w:val="0"/>
                  <w:vAlign w:val="center"/>
                </w:tcPr>
                <w:p w14:paraId="6622500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 w:val="0"/>
                      <w:bCs/>
                      <w:color w:val="000000" w:themeColor="text1"/>
                      <w:spacing w:val="0"/>
                      <w:position w:val="0"/>
                      <w:sz w:val="21"/>
                      <w:szCs w:val="21"/>
                      <w:vertAlign w:val="baseline"/>
                      <w:lang w:val="en-US" w:eastAsia="zh-CN"/>
                      <w14:textFill>
                        <w14:solidFill>
                          <w14:schemeClr w14:val="tx1"/>
                        </w14:solidFill>
                      </w14:textFill>
                    </w:rPr>
                  </w:pPr>
                  <w:r>
                    <w:rPr>
                      <w:rFonts w:hint="eastAsia" w:cs="Times New Roman"/>
                      <w:b w:val="0"/>
                      <w:bCs/>
                      <w:color w:val="000000" w:themeColor="text1"/>
                      <w:spacing w:val="0"/>
                      <w:position w:val="0"/>
                      <w:sz w:val="21"/>
                      <w:szCs w:val="21"/>
                      <w:vertAlign w:val="baseline"/>
                      <w:lang w:val="en-US" w:eastAsia="zh-CN"/>
                      <w14:textFill>
                        <w14:solidFill>
                          <w14:schemeClr w14:val="tx1"/>
                        </w14:solidFill>
                      </w14:textFill>
                    </w:rPr>
                    <w:t>0.00987</w:t>
                  </w:r>
                </w:p>
              </w:tc>
              <w:tc>
                <w:tcPr>
                  <w:tcW w:w="602" w:type="pct"/>
                  <w:vMerge w:val="continue"/>
                  <w:tcBorders>
                    <w:tl2br w:val="nil"/>
                    <w:tr2bl w:val="nil"/>
                  </w:tcBorders>
                  <w:noWrap w:val="0"/>
                  <w:vAlign w:val="center"/>
                </w:tcPr>
                <w:p w14:paraId="69F0EE9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p>
              </w:tc>
              <w:tc>
                <w:tcPr>
                  <w:tcW w:w="506" w:type="pct"/>
                  <w:vMerge w:val="continue"/>
                  <w:tcBorders>
                    <w:tl2br w:val="nil"/>
                    <w:tr2bl w:val="nil"/>
                  </w:tcBorders>
                  <w:noWrap w:val="0"/>
                  <w:vAlign w:val="center"/>
                </w:tcPr>
                <w:p w14:paraId="19295B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p>
              </w:tc>
              <w:tc>
                <w:tcPr>
                  <w:tcW w:w="460" w:type="pct"/>
                  <w:tcBorders>
                    <w:tl2br w:val="nil"/>
                    <w:tr2bl w:val="nil"/>
                  </w:tcBorders>
                  <w:noWrap w:val="0"/>
                  <w:vAlign w:val="center"/>
                </w:tcPr>
                <w:p w14:paraId="1637AF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114.2</w:t>
                  </w:r>
                </w:p>
              </w:tc>
              <w:tc>
                <w:tcPr>
                  <w:tcW w:w="700" w:type="dxa"/>
                  <w:tcBorders>
                    <w:tl2br w:val="nil"/>
                    <w:tr2bl w:val="nil"/>
                  </w:tcBorders>
                  <w:noWrap w:val="0"/>
                  <w:vAlign w:val="center"/>
                </w:tcPr>
                <w:p w14:paraId="0597657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b w:val="0"/>
                      <w:bCs/>
                      <w:color w:val="000000" w:themeColor="text1"/>
                      <w:spacing w:val="0"/>
                      <w:position w:val="0"/>
                      <w:sz w:val="21"/>
                      <w:szCs w:val="21"/>
                      <w:vertAlign w:val="baseline"/>
                      <w:lang w:val="en-US" w:eastAsia="zh-CN"/>
                      <w14:textFill>
                        <w14:solidFill>
                          <w14:schemeClr w14:val="tx1"/>
                        </w14:solidFill>
                      </w14:textFill>
                    </w:rPr>
                  </w:pPr>
                  <w:r>
                    <w:rPr>
                      <w:rFonts w:hint="eastAsia" w:cs="Times New Roman"/>
                      <w:b w:val="0"/>
                      <w:bCs/>
                      <w:color w:val="000000" w:themeColor="text1"/>
                      <w:spacing w:val="0"/>
                      <w:position w:val="0"/>
                      <w:sz w:val="21"/>
                      <w:szCs w:val="21"/>
                      <w:vertAlign w:val="baseline"/>
                      <w:lang w:val="en-US" w:eastAsia="zh-CN"/>
                      <w14:textFill>
                        <w14:solidFill>
                          <w14:schemeClr w14:val="tx1"/>
                        </w14:solidFill>
                      </w14:textFill>
                    </w:rPr>
                    <w:t>0.00987</w:t>
                  </w:r>
                </w:p>
              </w:tc>
              <w:tc>
                <w:tcPr>
                  <w:tcW w:w="643" w:type="pct"/>
                  <w:vMerge w:val="continue"/>
                  <w:tcBorders>
                    <w:tl2br w:val="nil"/>
                    <w:tr2bl w:val="nil"/>
                  </w:tcBorders>
                  <w:noWrap w:val="0"/>
                  <w:vAlign w:val="center"/>
                </w:tcPr>
                <w:p w14:paraId="56E6332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p>
              </w:tc>
            </w:tr>
            <w:tr w14:paraId="0198CD9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3" w:type="pct"/>
                  <w:vMerge w:val="continue"/>
                  <w:tcBorders>
                    <w:tl2br w:val="nil"/>
                    <w:tr2bl w:val="nil"/>
                  </w:tcBorders>
                  <w:noWrap w:val="0"/>
                  <w:vAlign w:val="center"/>
                </w:tcPr>
                <w:p w14:paraId="3C1C52C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p>
              </w:tc>
              <w:tc>
                <w:tcPr>
                  <w:tcW w:w="364" w:type="pct"/>
                  <w:vMerge w:val="continue"/>
                  <w:tcBorders>
                    <w:tl2br w:val="nil"/>
                    <w:tr2bl w:val="nil"/>
                  </w:tcBorders>
                  <w:noWrap w:val="0"/>
                  <w:vAlign w:val="center"/>
                </w:tcPr>
                <w:p w14:paraId="2930D35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p>
              </w:tc>
              <w:tc>
                <w:tcPr>
                  <w:tcW w:w="607" w:type="pct"/>
                  <w:tcBorders>
                    <w:tl2br w:val="nil"/>
                    <w:tr2bl w:val="nil"/>
                  </w:tcBorders>
                  <w:noWrap w:val="0"/>
                  <w:vAlign w:val="center"/>
                </w:tcPr>
                <w:p w14:paraId="0E85A06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b w:val="0"/>
                      <w:bCs/>
                      <w:color w:val="000000" w:themeColor="text1"/>
                      <w:spacing w:val="0"/>
                      <w:position w:val="0"/>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kern w:val="0"/>
                      <w:position w:val="0"/>
                      <w:sz w:val="21"/>
                      <w:szCs w:val="21"/>
                      <w:vertAlign w:val="baseline"/>
                      <w:lang w:val="en-US" w:eastAsia="zh-CN"/>
                      <w14:textFill>
                        <w14:solidFill>
                          <w14:schemeClr w14:val="tx1"/>
                        </w14:solidFill>
                      </w14:textFill>
                    </w:rPr>
                    <w:t>SS</w:t>
                  </w:r>
                </w:p>
              </w:tc>
              <w:tc>
                <w:tcPr>
                  <w:tcW w:w="460" w:type="pct"/>
                  <w:tcBorders>
                    <w:tl2br w:val="nil"/>
                    <w:tr2bl w:val="nil"/>
                  </w:tcBorders>
                  <w:noWrap w:val="0"/>
                  <w:vAlign w:val="center"/>
                </w:tcPr>
                <w:p w14:paraId="321B5AD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194.7</w:t>
                  </w:r>
                </w:p>
              </w:tc>
              <w:tc>
                <w:tcPr>
                  <w:tcW w:w="503" w:type="pct"/>
                  <w:tcBorders>
                    <w:tl2br w:val="nil"/>
                    <w:tr2bl w:val="nil"/>
                  </w:tcBorders>
                  <w:noWrap w:val="0"/>
                  <w:vAlign w:val="center"/>
                </w:tcPr>
                <w:p w14:paraId="0E5150D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 w:val="0"/>
                      <w:bCs/>
                      <w:color w:val="000000" w:themeColor="text1"/>
                      <w:spacing w:val="0"/>
                      <w:position w:val="0"/>
                      <w:sz w:val="21"/>
                      <w:szCs w:val="21"/>
                      <w:vertAlign w:val="baseline"/>
                      <w:lang w:val="en-US" w:eastAsia="zh-CN"/>
                      <w14:textFill>
                        <w14:solidFill>
                          <w14:schemeClr w14:val="tx1"/>
                        </w14:solidFill>
                      </w14:textFill>
                    </w:rPr>
                  </w:pPr>
                  <w:r>
                    <w:rPr>
                      <w:rFonts w:hint="eastAsia" w:cs="Times New Roman"/>
                      <w:b w:val="0"/>
                      <w:bCs/>
                      <w:color w:val="000000" w:themeColor="text1"/>
                      <w:spacing w:val="0"/>
                      <w:position w:val="0"/>
                      <w:sz w:val="21"/>
                      <w:szCs w:val="21"/>
                      <w:vertAlign w:val="baseline"/>
                      <w:lang w:val="en-US" w:eastAsia="zh-CN"/>
                      <w14:textFill>
                        <w14:solidFill>
                          <w14:schemeClr w14:val="tx1"/>
                        </w14:solidFill>
                      </w14:textFill>
                    </w:rPr>
                    <w:t>0.0168</w:t>
                  </w:r>
                </w:p>
              </w:tc>
              <w:tc>
                <w:tcPr>
                  <w:tcW w:w="602" w:type="pct"/>
                  <w:vMerge w:val="continue"/>
                  <w:tcBorders>
                    <w:tl2br w:val="nil"/>
                    <w:tr2bl w:val="nil"/>
                  </w:tcBorders>
                  <w:noWrap w:val="0"/>
                  <w:vAlign w:val="center"/>
                </w:tcPr>
                <w:p w14:paraId="0065C2A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p>
              </w:tc>
              <w:tc>
                <w:tcPr>
                  <w:tcW w:w="506" w:type="pct"/>
                  <w:vMerge w:val="continue"/>
                  <w:tcBorders>
                    <w:tl2br w:val="nil"/>
                    <w:tr2bl w:val="nil"/>
                  </w:tcBorders>
                  <w:noWrap w:val="0"/>
                  <w:vAlign w:val="center"/>
                </w:tcPr>
                <w:p w14:paraId="61368DF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p>
              </w:tc>
              <w:tc>
                <w:tcPr>
                  <w:tcW w:w="460" w:type="pct"/>
                  <w:tcBorders>
                    <w:tl2br w:val="nil"/>
                    <w:tr2bl w:val="nil"/>
                  </w:tcBorders>
                  <w:noWrap w:val="0"/>
                  <w:vAlign w:val="center"/>
                </w:tcPr>
                <w:p w14:paraId="2102B7A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194.7</w:t>
                  </w:r>
                </w:p>
              </w:tc>
              <w:tc>
                <w:tcPr>
                  <w:tcW w:w="700" w:type="dxa"/>
                  <w:tcBorders>
                    <w:tl2br w:val="nil"/>
                    <w:tr2bl w:val="nil"/>
                  </w:tcBorders>
                  <w:noWrap w:val="0"/>
                  <w:vAlign w:val="center"/>
                </w:tcPr>
                <w:p w14:paraId="0371BE9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b w:val="0"/>
                      <w:bCs/>
                      <w:color w:val="000000" w:themeColor="text1"/>
                      <w:spacing w:val="0"/>
                      <w:position w:val="0"/>
                      <w:sz w:val="21"/>
                      <w:szCs w:val="21"/>
                      <w:vertAlign w:val="baseline"/>
                      <w:lang w:val="en-US" w:eastAsia="zh-CN"/>
                      <w14:textFill>
                        <w14:solidFill>
                          <w14:schemeClr w14:val="tx1"/>
                        </w14:solidFill>
                      </w14:textFill>
                    </w:rPr>
                  </w:pPr>
                  <w:r>
                    <w:rPr>
                      <w:rFonts w:hint="eastAsia" w:cs="Times New Roman"/>
                      <w:b w:val="0"/>
                      <w:bCs/>
                      <w:color w:val="000000" w:themeColor="text1"/>
                      <w:spacing w:val="0"/>
                      <w:position w:val="0"/>
                      <w:sz w:val="21"/>
                      <w:szCs w:val="21"/>
                      <w:vertAlign w:val="baseline"/>
                      <w:lang w:val="en-US" w:eastAsia="zh-CN"/>
                      <w14:textFill>
                        <w14:solidFill>
                          <w14:schemeClr w14:val="tx1"/>
                        </w14:solidFill>
                      </w14:textFill>
                    </w:rPr>
                    <w:t>0.0168</w:t>
                  </w:r>
                </w:p>
              </w:tc>
              <w:tc>
                <w:tcPr>
                  <w:tcW w:w="643" w:type="pct"/>
                  <w:vMerge w:val="continue"/>
                  <w:tcBorders>
                    <w:tl2br w:val="nil"/>
                    <w:tr2bl w:val="nil"/>
                  </w:tcBorders>
                  <w:noWrap w:val="0"/>
                  <w:vAlign w:val="center"/>
                </w:tcPr>
                <w:p w14:paraId="53A3EF2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p>
              </w:tc>
            </w:tr>
            <w:tr w14:paraId="7425E6B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3" w:type="pct"/>
                  <w:vMerge w:val="continue"/>
                  <w:tcBorders>
                    <w:tl2br w:val="nil"/>
                    <w:tr2bl w:val="nil"/>
                  </w:tcBorders>
                  <w:noWrap w:val="0"/>
                  <w:vAlign w:val="center"/>
                </w:tcPr>
                <w:p w14:paraId="01F31C1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p>
              </w:tc>
              <w:tc>
                <w:tcPr>
                  <w:tcW w:w="364" w:type="pct"/>
                  <w:vMerge w:val="continue"/>
                  <w:tcBorders>
                    <w:tl2br w:val="nil"/>
                    <w:tr2bl w:val="nil"/>
                  </w:tcBorders>
                  <w:noWrap w:val="0"/>
                  <w:vAlign w:val="center"/>
                </w:tcPr>
                <w:p w14:paraId="3B3B76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p>
              </w:tc>
              <w:tc>
                <w:tcPr>
                  <w:tcW w:w="607" w:type="pct"/>
                  <w:tcBorders>
                    <w:tl2br w:val="nil"/>
                    <w:tr2bl w:val="nil"/>
                  </w:tcBorders>
                  <w:noWrap w:val="0"/>
                  <w:vAlign w:val="center"/>
                </w:tcPr>
                <w:p w14:paraId="52C6B90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b w:val="0"/>
                      <w:bCs/>
                      <w:color w:val="000000" w:themeColor="text1"/>
                      <w:spacing w:val="0"/>
                      <w:position w:val="0"/>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kern w:val="0"/>
                      <w:position w:val="0"/>
                      <w:sz w:val="21"/>
                      <w:szCs w:val="21"/>
                      <w:vertAlign w:val="baseline"/>
                      <w:lang w:val="en-US" w:eastAsia="zh-CN"/>
                      <w14:textFill>
                        <w14:solidFill>
                          <w14:schemeClr w14:val="tx1"/>
                        </w14:solidFill>
                      </w14:textFill>
                    </w:rPr>
                    <w:t>NH</w:t>
                  </w:r>
                  <w:r>
                    <w:rPr>
                      <w:rFonts w:hint="default" w:ascii="Times New Roman" w:hAnsi="Times New Roman" w:eastAsia="宋体" w:cs="Times New Roman"/>
                      <w:b w:val="0"/>
                      <w:bCs/>
                      <w:color w:val="000000" w:themeColor="text1"/>
                      <w:spacing w:val="0"/>
                      <w:kern w:val="0"/>
                      <w:position w:val="0"/>
                      <w:sz w:val="21"/>
                      <w:szCs w:val="21"/>
                      <w:vertAlign w:val="subscript"/>
                      <w:lang w:val="en-US" w:eastAsia="zh-CN"/>
                      <w14:textFill>
                        <w14:solidFill>
                          <w14:schemeClr w14:val="tx1"/>
                        </w14:solidFill>
                      </w14:textFill>
                    </w:rPr>
                    <w:t>3</w:t>
                  </w:r>
                  <w:r>
                    <w:rPr>
                      <w:rFonts w:hint="default" w:ascii="Times New Roman" w:hAnsi="Times New Roman" w:eastAsia="宋体" w:cs="Times New Roman"/>
                      <w:b w:val="0"/>
                      <w:bCs/>
                      <w:color w:val="000000" w:themeColor="text1"/>
                      <w:spacing w:val="0"/>
                      <w:kern w:val="0"/>
                      <w:position w:val="0"/>
                      <w:sz w:val="21"/>
                      <w:szCs w:val="21"/>
                      <w:vertAlign w:val="baseline"/>
                      <w:lang w:val="en-US" w:eastAsia="zh-CN"/>
                      <w14:textFill>
                        <w14:solidFill>
                          <w14:schemeClr w14:val="tx1"/>
                        </w14:solidFill>
                      </w14:textFill>
                    </w:rPr>
                    <w:t>-N</w:t>
                  </w:r>
                </w:p>
              </w:tc>
              <w:tc>
                <w:tcPr>
                  <w:tcW w:w="460" w:type="pct"/>
                  <w:tcBorders>
                    <w:tl2br w:val="nil"/>
                    <w:tr2bl w:val="nil"/>
                  </w:tcBorders>
                  <w:noWrap w:val="0"/>
                  <w:vAlign w:val="center"/>
                </w:tcPr>
                <w:p w14:paraId="125A8D3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47.7</w:t>
                  </w:r>
                </w:p>
              </w:tc>
              <w:tc>
                <w:tcPr>
                  <w:tcW w:w="503" w:type="pct"/>
                  <w:tcBorders>
                    <w:tl2br w:val="nil"/>
                    <w:tr2bl w:val="nil"/>
                  </w:tcBorders>
                  <w:noWrap w:val="0"/>
                  <w:vAlign w:val="center"/>
                </w:tcPr>
                <w:p w14:paraId="1C9409E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 w:val="0"/>
                      <w:bCs/>
                      <w:color w:val="000000" w:themeColor="text1"/>
                      <w:spacing w:val="0"/>
                      <w:position w:val="0"/>
                      <w:sz w:val="21"/>
                      <w:szCs w:val="21"/>
                      <w:vertAlign w:val="baseline"/>
                      <w:lang w:val="en-US" w:eastAsia="zh-CN"/>
                      <w14:textFill>
                        <w14:solidFill>
                          <w14:schemeClr w14:val="tx1"/>
                        </w14:solidFill>
                      </w14:textFill>
                    </w:rPr>
                  </w:pPr>
                  <w:r>
                    <w:rPr>
                      <w:rFonts w:hint="eastAsia" w:cs="Times New Roman"/>
                      <w:b w:val="0"/>
                      <w:bCs/>
                      <w:color w:val="000000" w:themeColor="text1"/>
                      <w:spacing w:val="0"/>
                      <w:position w:val="0"/>
                      <w:sz w:val="21"/>
                      <w:szCs w:val="21"/>
                      <w:vertAlign w:val="baseline"/>
                      <w:lang w:val="en-US" w:eastAsia="zh-CN"/>
                      <w14:textFill>
                        <w14:solidFill>
                          <w14:schemeClr w14:val="tx1"/>
                        </w14:solidFill>
                      </w14:textFill>
                    </w:rPr>
                    <w:t>0.00412</w:t>
                  </w:r>
                </w:p>
              </w:tc>
              <w:tc>
                <w:tcPr>
                  <w:tcW w:w="602" w:type="pct"/>
                  <w:vMerge w:val="continue"/>
                  <w:tcBorders>
                    <w:tl2br w:val="nil"/>
                    <w:tr2bl w:val="nil"/>
                  </w:tcBorders>
                  <w:noWrap w:val="0"/>
                  <w:vAlign w:val="center"/>
                </w:tcPr>
                <w:p w14:paraId="7870B01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p>
              </w:tc>
              <w:tc>
                <w:tcPr>
                  <w:tcW w:w="506" w:type="pct"/>
                  <w:vMerge w:val="continue"/>
                  <w:tcBorders>
                    <w:tl2br w:val="nil"/>
                    <w:tr2bl w:val="nil"/>
                  </w:tcBorders>
                  <w:noWrap w:val="0"/>
                  <w:vAlign w:val="center"/>
                </w:tcPr>
                <w:p w14:paraId="005E9A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p>
              </w:tc>
              <w:tc>
                <w:tcPr>
                  <w:tcW w:w="460" w:type="pct"/>
                  <w:tcBorders>
                    <w:tl2br w:val="nil"/>
                    <w:tr2bl w:val="nil"/>
                  </w:tcBorders>
                  <w:noWrap w:val="0"/>
                  <w:vAlign w:val="center"/>
                </w:tcPr>
                <w:p w14:paraId="5D1A2CA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47.7</w:t>
                  </w:r>
                </w:p>
              </w:tc>
              <w:tc>
                <w:tcPr>
                  <w:tcW w:w="700" w:type="dxa"/>
                  <w:tcBorders>
                    <w:tl2br w:val="nil"/>
                    <w:tr2bl w:val="nil"/>
                  </w:tcBorders>
                  <w:noWrap w:val="0"/>
                  <w:vAlign w:val="center"/>
                </w:tcPr>
                <w:p w14:paraId="777D365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b w:val="0"/>
                      <w:bCs/>
                      <w:color w:val="000000" w:themeColor="text1"/>
                      <w:spacing w:val="0"/>
                      <w:position w:val="0"/>
                      <w:sz w:val="21"/>
                      <w:szCs w:val="21"/>
                      <w:vertAlign w:val="baseline"/>
                      <w:lang w:val="en-US" w:eastAsia="zh-CN"/>
                      <w14:textFill>
                        <w14:solidFill>
                          <w14:schemeClr w14:val="tx1"/>
                        </w14:solidFill>
                      </w14:textFill>
                    </w:rPr>
                  </w:pPr>
                  <w:r>
                    <w:rPr>
                      <w:rFonts w:hint="eastAsia" w:cs="Times New Roman"/>
                      <w:b w:val="0"/>
                      <w:bCs/>
                      <w:color w:val="000000" w:themeColor="text1"/>
                      <w:spacing w:val="0"/>
                      <w:position w:val="0"/>
                      <w:sz w:val="21"/>
                      <w:szCs w:val="21"/>
                      <w:vertAlign w:val="baseline"/>
                      <w:lang w:val="en-US" w:eastAsia="zh-CN"/>
                      <w14:textFill>
                        <w14:solidFill>
                          <w14:schemeClr w14:val="tx1"/>
                        </w14:solidFill>
                      </w14:textFill>
                    </w:rPr>
                    <w:t>0.00412</w:t>
                  </w:r>
                </w:p>
              </w:tc>
              <w:tc>
                <w:tcPr>
                  <w:tcW w:w="643" w:type="pct"/>
                  <w:vMerge w:val="continue"/>
                  <w:tcBorders>
                    <w:tl2br w:val="nil"/>
                    <w:tr2bl w:val="nil"/>
                  </w:tcBorders>
                  <w:noWrap w:val="0"/>
                  <w:vAlign w:val="center"/>
                </w:tcPr>
                <w:p w14:paraId="102E17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p>
              </w:tc>
            </w:tr>
            <w:tr w14:paraId="0959EB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10"/>
                  <w:tcBorders>
                    <w:tl2br w:val="nil"/>
                    <w:tr2bl w:val="nil"/>
                  </w:tcBorders>
                  <w:noWrap w:val="0"/>
                  <w:vAlign w:val="center"/>
                </w:tcPr>
                <w:p w14:paraId="0F87949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pacing w:val="0"/>
                      <w:position w:val="0"/>
                      <w:sz w:val="21"/>
                      <w:szCs w:val="21"/>
                      <w:vertAlign w:val="baseline"/>
                      <w:lang w:val="en-US" w:eastAsia="zh-CN"/>
                      <w14:textFill>
                        <w14:solidFill>
                          <w14:schemeClr w14:val="tx1"/>
                        </w14:solidFill>
                      </w14:textFill>
                    </w:rPr>
                  </w:pPr>
                  <w:r>
                    <w:rPr>
                      <w:rFonts w:hint="eastAsia" w:cs="Times New Roman"/>
                      <w:b w:val="0"/>
                      <w:bCs/>
                      <w:color w:val="000000" w:themeColor="text1"/>
                      <w:spacing w:val="0"/>
                      <w:position w:val="0"/>
                      <w:sz w:val="21"/>
                      <w:szCs w:val="21"/>
                      <w:vertAlign w:val="baseline"/>
                      <w:lang w:val="en-US" w:eastAsia="zh-CN"/>
                      <w14:textFill>
                        <w14:solidFill>
                          <w14:schemeClr w14:val="tx1"/>
                        </w14:solidFill>
                      </w14:textFill>
                    </w:rPr>
                    <w:t>宠物诊疗废水及清洗废水产生浓度参考《天津瑞派福源宠物医院项目竣工环境保护验收监测报告表》中污水处理设备出口监测结果中平均浓度</w:t>
                  </w:r>
                </w:p>
              </w:tc>
            </w:tr>
          </w:tbl>
          <w:p w14:paraId="24D8D0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2" w:firstLineChars="200"/>
              <w:textAlignment w:val="auto"/>
              <w:rPr>
                <w:rFonts w:hint="default" w:ascii="Times New Roman" w:hAnsi="Times New Roman" w:cs="Times New Roman"/>
                <w:b/>
                <w:bCs w:val="0"/>
                <w:color w:val="000000" w:themeColor="text1"/>
                <w:spacing w:val="0"/>
                <w:position w:val="0"/>
                <w:sz w:val="21"/>
                <w:szCs w:val="21"/>
                <w:lang w:val="en-US" w:eastAsia="zh-CN"/>
                <w14:textFill>
                  <w14:solidFill>
                    <w14:schemeClr w14:val="tx1"/>
                  </w14:solidFill>
                </w14:textFill>
              </w:rPr>
            </w:pPr>
            <w:r>
              <w:rPr>
                <w:rFonts w:hint="eastAsia" w:cs="Times New Roman"/>
                <w:b/>
                <w:bCs w:val="0"/>
                <w:color w:val="000000" w:themeColor="text1"/>
                <w:spacing w:val="0"/>
                <w:position w:val="0"/>
                <w:sz w:val="21"/>
                <w:szCs w:val="21"/>
                <w:lang w:val="en-US" w:eastAsia="zh-CN"/>
                <w14:textFill>
                  <w14:solidFill>
                    <w14:schemeClr w14:val="tx1"/>
                  </w14:solidFill>
                </w14:textFill>
              </w:rPr>
              <w:t>表4-3                  废水排放口情况</w:t>
            </w:r>
          </w:p>
          <w:tbl>
            <w:tblPr>
              <w:tblStyle w:val="32"/>
              <w:tblW w:w="498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603"/>
              <w:gridCol w:w="1116"/>
              <w:gridCol w:w="1723"/>
              <w:gridCol w:w="725"/>
              <w:gridCol w:w="1940"/>
            </w:tblGrid>
            <w:tr w14:paraId="71F0EA7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605" w:type="pct"/>
                  <w:tcBorders>
                    <w:tl2br w:val="nil"/>
                    <w:tr2bl w:val="nil"/>
                  </w:tcBorders>
                  <w:noWrap w:val="0"/>
                  <w:vAlign w:val="center"/>
                </w:tcPr>
                <w:p w14:paraId="52567330">
                  <w:pPr>
                    <w:pStyle w:val="1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排放口编号</w:t>
                  </w:r>
                </w:p>
              </w:tc>
              <w:tc>
                <w:tcPr>
                  <w:tcW w:w="688" w:type="pct"/>
                  <w:tcBorders>
                    <w:tl2br w:val="nil"/>
                    <w:tr2bl w:val="nil"/>
                  </w:tcBorders>
                  <w:noWrap w:val="0"/>
                  <w:vAlign w:val="center"/>
                </w:tcPr>
                <w:p w14:paraId="32E1BCD2">
                  <w:pPr>
                    <w:pStyle w:val="1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cs="Times New Roman"/>
                      <w:b w:val="0"/>
                      <w:bCs w:val="0"/>
                      <w:color w:val="000000" w:themeColor="text1"/>
                      <w:sz w:val="21"/>
                      <w:szCs w:val="21"/>
                      <w:vertAlign w:val="baseline"/>
                      <w:lang w:val="en-US" w:eastAsia="zh-CN"/>
                      <w14:textFill>
                        <w14:solidFill>
                          <w14:schemeClr w14:val="tx1"/>
                        </w14:solidFill>
                      </w14:textFill>
                    </w:rPr>
                    <w:t>排放口名称</w:t>
                  </w:r>
                </w:p>
              </w:tc>
              <w:tc>
                <w:tcPr>
                  <w:tcW w:w="1062" w:type="pct"/>
                  <w:tcBorders>
                    <w:tl2br w:val="nil"/>
                    <w:tr2bl w:val="nil"/>
                  </w:tcBorders>
                  <w:noWrap w:val="0"/>
                  <w:vAlign w:val="center"/>
                </w:tcPr>
                <w:p w14:paraId="148887F5">
                  <w:pPr>
                    <w:pStyle w:val="1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val="0"/>
                      <w:bCs w:val="0"/>
                      <w:color w:val="000000" w:themeColor="text1"/>
                      <w:kern w:val="0"/>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排放口坐标</w:t>
                  </w:r>
                </w:p>
              </w:tc>
              <w:tc>
                <w:tcPr>
                  <w:tcW w:w="447" w:type="pct"/>
                  <w:tcBorders>
                    <w:tl2br w:val="nil"/>
                    <w:tr2bl w:val="nil"/>
                  </w:tcBorders>
                  <w:noWrap w:val="0"/>
                  <w:vAlign w:val="center"/>
                </w:tcPr>
                <w:p w14:paraId="41466C7E">
                  <w:pPr>
                    <w:pStyle w:val="1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排放口类型</w:t>
                  </w:r>
                </w:p>
              </w:tc>
              <w:tc>
                <w:tcPr>
                  <w:tcW w:w="1196" w:type="pct"/>
                  <w:tcBorders>
                    <w:tl2br w:val="nil"/>
                    <w:tr2bl w:val="nil"/>
                  </w:tcBorders>
                  <w:noWrap w:val="0"/>
                  <w:vAlign w:val="center"/>
                </w:tcPr>
                <w:p w14:paraId="08723067">
                  <w:pPr>
                    <w:pStyle w:val="1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cs="Times New Roman"/>
                      <w:b w:val="0"/>
                      <w:bCs w:val="0"/>
                      <w:color w:val="000000" w:themeColor="text1"/>
                      <w:spacing w:val="-11"/>
                      <w:sz w:val="21"/>
                      <w:szCs w:val="21"/>
                      <w:highlight w:val="none"/>
                      <w:vertAlign w:val="baseline"/>
                      <w:lang w:val="en-US" w:eastAsia="zh-CN"/>
                      <w14:textFill>
                        <w14:solidFill>
                          <w14:schemeClr w14:val="tx1"/>
                        </w14:solidFill>
                      </w14:textFill>
                    </w:rPr>
                    <w:t>排放标准</w:t>
                  </w:r>
                </w:p>
              </w:tc>
            </w:tr>
            <w:tr w14:paraId="77F6BEE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05" w:type="pct"/>
                  <w:tcBorders>
                    <w:tl2br w:val="nil"/>
                    <w:tr2bl w:val="nil"/>
                  </w:tcBorders>
                  <w:noWrap w:val="0"/>
                  <w:vAlign w:val="center"/>
                </w:tcPr>
                <w:p w14:paraId="04D44488">
                  <w:pPr>
                    <w:pStyle w:val="1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DW001</w:t>
                  </w:r>
                </w:p>
              </w:tc>
              <w:tc>
                <w:tcPr>
                  <w:tcW w:w="688" w:type="pct"/>
                  <w:tcBorders>
                    <w:tl2br w:val="nil"/>
                    <w:tr2bl w:val="nil"/>
                  </w:tcBorders>
                  <w:noWrap w:val="0"/>
                  <w:vAlign w:val="center"/>
                </w:tcPr>
                <w:p w14:paraId="6AA2C396">
                  <w:pPr>
                    <w:pStyle w:val="1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cs="Times New Roman"/>
                      <w:b w:val="0"/>
                      <w:bCs w:val="0"/>
                      <w:color w:val="000000" w:themeColor="text1"/>
                      <w:sz w:val="21"/>
                      <w:szCs w:val="21"/>
                      <w:vertAlign w:val="baseline"/>
                      <w:lang w:val="en-US" w:eastAsia="zh-CN"/>
                      <w14:textFill>
                        <w14:solidFill>
                          <w14:schemeClr w14:val="tx1"/>
                        </w14:solidFill>
                      </w14:textFill>
                    </w:rPr>
                    <w:t>1#诊疗室动物诊疗废水处理设施排口</w:t>
                  </w:r>
                </w:p>
              </w:tc>
              <w:tc>
                <w:tcPr>
                  <w:tcW w:w="1062" w:type="pct"/>
                  <w:tcBorders>
                    <w:tl2br w:val="nil"/>
                    <w:tr2bl w:val="nil"/>
                  </w:tcBorders>
                  <w:noWrap w:val="0"/>
                  <w:vAlign w:val="center"/>
                </w:tcPr>
                <w:p w14:paraId="3F09CAB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N:</w:t>
                  </w:r>
                  <w:r>
                    <w:rPr>
                      <w:rFonts w:hint="default" w:ascii="Times New Roman" w:hAnsi="Times New Roman" w:eastAsia="仿宋_GB2312" w:cs="Times New Roman"/>
                      <w:sz w:val="21"/>
                      <w:szCs w:val="21"/>
                      <w:lang w:val="en-US" w:eastAsia="zh-CN"/>
                    </w:rPr>
                    <w:t>41°43′25.283″</w:t>
                  </w:r>
                </w:p>
                <w:p w14:paraId="21ADAC2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rPr>
                    <w:t>E:</w:t>
                  </w:r>
                  <w:r>
                    <w:rPr>
                      <w:rFonts w:hint="default" w:ascii="Times New Roman" w:hAnsi="Times New Roman" w:eastAsia="仿宋_GB2312" w:cs="Times New Roman"/>
                      <w:sz w:val="21"/>
                      <w:szCs w:val="21"/>
                      <w:lang w:val="en-US" w:eastAsia="zh-CN"/>
                    </w:rPr>
                    <w:t>86°9′58.563″</w:t>
                  </w:r>
                </w:p>
              </w:tc>
              <w:tc>
                <w:tcPr>
                  <w:tcW w:w="447" w:type="pct"/>
                  <w:vMerge w:val="restart"/>
                  <w:tcBorders>
                    <w:tl2br w:val="nil"/>
                    <w:tr2bl w:val="nil"/>
                  </w:tcBorders>
                  <w:noWrap w:val="0"/>
                  <w:vAlign w:val="center"/>
                </w:tcPr>
                <w:p w14:paraId="145041D5">
                  <w:pPr>
                    <w:pStyle w:val="1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cs="Times New Roman"/>
                      <w:b w:val="0"/>
                      <w:bCs w:val="0"/>
                      <w:color w:val="000000" w:themeColor="text1"/>
                      <w:sz w:val="21"/>
                      <w:szCs w:val="21"/>
                      <w:vertAlign w:val="baseline"/>
                      <w:lang w:val="en-US" w:eastAsia="zh-CN"/>
                      <w14:textFill>
                        <w14:solidFill>
                          <w14:schemeClr w14:val="tx1"/>
                        </w14:solidFill>
                      </w14:textFill>
                    </w:rPr>
                    <w:t>一般</w:t>
                  </w: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排放口</w:t>
                  </w:r>
                </w:p>
              </w:tc>
              <w:tc>
                <w:tcPr>
                  <w:tcW w:w="1196" w:type="pct"/>
                  <w:vMerge w:val="restart"/>
                  <w:tcBorders>
                    <w:tl2br w:val="nil"/>
                    <w:tr2bl w:val="nil"/>
                  </w:tcBorders>
                  <w:noWrap w:val="0"/>
                  <w:vAlign w:val="center"/>
                </w:tcPr>
                <w:p w14:paraId="364761AB">
                  <w:pPr>
                    <w:pStyle w:val="1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《医疗机构水污染物排放标准》（GB18466-2005）中综合医疗机构和其他医疗机构水污染物排放限值的预处理标准</w:t>
                  </w:r>
                  <w:r>
                    <w:rPr>
                      <w:rFonts w:hint="eastAsia" w:cs="Times New Roman"/>
                      <w:b w:val="0"/>
                      <w:bCs w:val="0"/>
                      <w:color w:val="000000" w:themeColor="text1"/>
                      <w:sz w:val="21"/>
                      <w:szCs w:val="21"/>
                      <w:vertAlign w:val="baseline"/>
                      <w:lang w:val="en-US" w:eastAsia="zh-CN"/>
                      <w14:textFill>
                        <w14:solidFill>
                          <w14:schemeClr w14:val="tx1"/>
                        </w14:solidFill>
                      </w14:textFill>
                    </w:rPr>
                    <w:t>限值</w:t>
                  </w:r>
                </w:p>
              </w:tc>
            </w:tr>
            <w:tr w14:paraId="5364D61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05" w:type="pct"/>
                  <w:vAlign w:val="center"/>
                </w:tcPr>
                <w:p w14:paraId="0168527B">
                  <w:pPr>
                    <w:pStyle w:val="1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DW00</w:t>
                  </w:r>
                  <w:r>
                    <w:rPr>
                      <w:rFonts w:hint="eastAsia" w:cs="Times New Roman"/>
                      <w:b w:val="0"/>
                      <w:bCs w:val="0"/>
                      <w:color w:val="000000" w:themeColor="text1"/>
                      <w:sz w:val="21"/>
                      <w:szCs w:val="21"/>
                      <w:vertAlign w:val="baseline"/>
                      <w:lang w:val="en-US" w:eastAsia="zh-CN"/>
                      <w14:textFill>
                        <w14:solidFill>
                          <w14:schemeClr w14:val="tx1"/>
                        </w14:solidFill>
                      </w14:textFill>
                    </w:rPr>
                    <w:t>2</w:t>
                  </w:r>
                </w:p>
              </w:tc>
              <w:tc>
                <w:tcPr>
                  <w:tcW w:w="688" w:type="pct"/>
                  <w:vAlign w:val="center"/>
                </w:tcPr>
                <w:p w14:paraId="5C2C4B3F">
                  <w:pPr>
                    <w:pStyle w:val="1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cs="Times New Roman"/>
                      <w:b w:val="0"/>
                      <w:bCs w:val="0"/>
                      <w:color w:val="000000" w:themeColor="text1"/>
                      <w:sz w:val="21"/>
                      <w:szCs w:val="21"/>
                      <w:vertAlign w:val="baseline"/>
                      <w:lang w:val="en-US" w:eastAsia="zh-CN"/>
                      <w14:textFill>
                        <w14:solidFill>
                          <w14:schemeClr w14:val="tx1"/>
                        </w14:solidFill>
                      </w14:textFill>
                    </w:rPr>
                    <w:t>2#诊疗室动物诊疗废水处理设施排口</w:t>
                  </w:r>
                </w:p>
              </w:tc>
              <w:tc>
                <w:tcPr>
                  <w:tcW w:w="1062" w:type="pct"/>
                  <w:vAlign w:val="center"/>
                </w:tcPr>
                <w:p w14:paraId="6642B86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N:</w:t>
                  </w:r>
                  <w:r>
                    <w:rPr>
                      <w:rFonts w:hint="default" w:ascii="Times New Roman" w:hAnsi="Times New Roman" w:eastAsia="仿宋_GB2312" w:cs="Times New Roman"/>
                      <w:sz w:val="21"/>
                      <w:szCs w:val="21"/>
                      <w:lang w:val="en-US" w:eastAsia="zh-CN"/>
                    </w:rPr>
                    <w:t>41°43′25.326″</w:t>
                  </w:r>
                </w:p>
                <w:p w14:paraId="16358CF9">
                  <w:pPr>
                    <w:pStyle w:val="1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_GB2312" w:cs="Times New Roman"/>
                      <w:sz w:val="21"/>
                      <w:szCs w:val="21"/>
                    </w:rPr>
                    <w:t>E:</w:t>
                  </w:r>
                  <w:r>
                    <w:rPr>
                      <w:rFonts w:hint="default" w:ascii="Times New Roman" w:hAnsi="Times New Roman" w:eastAsia="仿宋_GB2312" w:cs="Times New Roman"/>
                      <w:sz w:val="21"/>
                      <w:szCs w:val="21"/>
                      <w:lang w:val="en-US" w:eastAsia="zh-CN"/>
                    </w:rPr>
                    <w:t>86°9′58.505″</w:t>
                  </w:r>
                </w:p>
              </w:tc>
              <w:tc>
                <w:tcPr>
                  <w:tcW w:w="447" w:type="pct"/>
                  <w:vMerge w:val="continue"/>
                  <w:vAlign w:val="center"/>
                </w:tcPr>
                <w:p w14:paraId="0176C698">
                  <w:pPr>
                    <w:pStyle w:val="1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1196" w:type="pct"/>
                  <w:vMerge w:val="continue"/>
                  <w:vAlign w:val="center"/>
                </w:tcPr>
                <w:p w14:paraId="534014E5">
                  <w:pPr>
                    <w:pStyle w:val="1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r>
            <w:tr w14:paraId="35AE396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05" w:type="pct"/>
                  <w:vAlign w:val="center"/>
                </w:tcPr>
                <w:p w14:paraId="20658DAE">
                  <w:pPr>
                    <w:pStyle w:val="1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DW00</w:t>
                  </w:r>
                  <w:r>
                    <w:rPr>
                      <w:rFonts w:hint="eastAsia" w:cs="Times New Roman"/>
                      <w:b w:val="0"/>
                      <w:bCs w:val="0"/>
                      <w:color w:val="000000" w:themeColor="text1"/>
                      <w:sz w:val="21"/>
                      <w:szCs w:val="21"/>
                      <w:vertAlign w:val="baseline"/>
                      <w:lang w:val="en-US" w:eastAsia="zh-CN"/>
                      <w14:textFill>
                        <w14:solidFill>
                          <w14:schemeClr w14:val="tx1"/>
                        </w14:solidFill>
                      </w14:textFill>
                    </w:rPr>
                    <w:t>3</w:t>
                  </w:r>
                </w:p>
              </w:tc>
              <w:tc>
                <w:tcPr>
                  <w:tcW w:w="688" w:type="pct"/>
                  <w:vAlign w:val="center"/>
                </w:tcPr>
                <w:p w14:paraId="31A6292C">
                  <w:pPr>
                    <w:pStyle w:val="1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cs="Times New Roman"/>
                      <w:b w:val="0"/>
                      <w:bCs w:val="0"/>
                      <w:color w:val="000000" w:themeColor="text1"/>
                      <w:sz w:val="21"/>
                      <w:szCs w:val="21"/>
                      <w:vertAlign w:val="baseline"/>
                      <w:lang w:val="en-US" w:eastAsia="zh-CN"/>
                      <w14:textFill>
                        <w14:solidFill>
                          <w14:schemeClr w14:val="tx1"/>
                        </w14:solidFill>
                      </w14:textFill>
                    </w:rPr>
                    <w:t>手术室动物诊疗废水处理设施排口</w:t>
                  </w:r>
                </w:p>
              </w:tc>
              <w:tc>
                <w:tcPr>
                  <w:tcW w:w="1062" w:type="pct"/>
                  <w:vAlign w:val="center"/>
                </w:tcPr>
                <w:p w14:paraId="6D0980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N:</w:t>
                  </w:r>
                  <w:r>
                    <w:rPr>
                      <w:rFonts w:hint="default" w:ascii="Times New Roman" w:hAnsi="Times New Roman" w:eastAsia="仿宋_GB2312" w:cs="Times New Roman"/>
                      <w:sz w:val="21"/>
                      <w:szCs w:val="21"/>
                      <w:lang w:val="en-US" w:eastAsia="zh-CN"/>
                    </w:rPr>
                    <w:t>41°43′25.215″</w:t>
                  </w:r>
                </w:p>
                <w:p w14:paraId="4F68709A">
                  <w:pPr>
                    <w:pStyle w:val="1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_GB2312" w:cs="Times New Roman"/>
                      <w:sz w:val="21"/>
                      <w:szCs w:val="21"/>
                    </w:rPr>
                    <w:t>E:</w:t>
                  </w:r>
                  <w:r>
                    <w:rPr>
                      <w:rFonts w:hint="default" w:ascii="Times New Roman" w:hAnsi="Times New Roman" w:eastAsia="仿宋_GB2312" w:cs="Times New Roman"/>
                      <w:sz w:val="21"/>
                      <w:szCs w:val="21"/>
                      <w:lang w:val="en-US" w:eastAsia="zh-CN"/>
                    </w:rPr>
                    <w:t>86°9′58.558″</w:t>
                  </w:r>
                </w:p>
              </w:tc>
              <w:tc>
                <w:tcPr>
                  <w:tcW w:w="447" w:type="pct"/>
                  <w:vMerge w:val="continue"/>
                  <w:vAlign w:val="center"/>
                </w:tcPr>
                <w:p w14:paraId="30CFE825">
                  <w:pPr>
                    <w:pStyle w:val="1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1196" w:type="pct"/>
                  <w:vMerge w:val="continue"/>
                  <w:vAlign w:val="center"/>
                </w:tcPr>
                <w:p w14:paraId="5E54480D">
                  <w:pPr>
                    <w:pStyle w:val="1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r>
          </w:tbl>
          <w:p w14:paraId="2D9CAD24">
            <w:pPr>
              <w:pStyle w:val="10"/>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2.</w:t>
            </w:r>
            <w:r>
              <w:rPr>
                <w:rFonts w:hint="eastAsia" w:cs="Times New Roman"/>
                <w:b/>
                <w:bCs/>
                <w:color w:val="auto"/>
                <w:sz w:val="24"/>
                <w:szCs w:val="24"/>
                <w:lang w:val="en-US" w:eastAsia="zh-CN"/>
              </w:rPr>
              <w:t>2产排浓度</w:t>
            </w:r>
            <w:r>
              <w:rPr>
                <w:rFonts w:hint="eastAsia" w:ascii="Times New Roman" w:hAnsi="Times New Roman" w:eastAsia="宋体" w:cs="Times New Roman"/>
                <w:b/>
                <w:bCs/>
                <w:color w:val="auto"/>
                <w:sz w:val="24"/>
                <w:szCs w:val="24"/>
                <w:lang w:val="en-US" w:eastAsia="zh-CN"/>
              </w:rPr>
              <w:t>类比可行性分析</w:t>
            </w:r>
          </w:p>
          <w:p w14:paraId="0EEDFF38">
            <w:pPr>
              <w:pStyle w:val="10"/>
              <w:keepNext w:val="0"/>
              <w:keepLines w:val="0"/>
              <w:suppressLineNumbers w:val="0"/>
              <w:spacing w:before="0" w:beforeAutospacing="0" w:after="0" w:afterAutospacing="0" w:line="360" w:lineRule="auto"/>
              <w:ind w:left="0" w:right="0"/>
              <w:jc w:val="both"/>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在相似性上，</w:t>
            </w:r>
            <w:r>
              <w:rPr>
                <w:rFonts w:hint="eastAsia" w:cs="Times New Roman"/>
                <w:b w:val="0"/>
                <w:bCs w:val="0"/>
                <w:color w:val="auto"/>
                <w:sz w:val="24"/>
                <w:szCs w:val="24"/>
                <w:lang w:val="en-US" w:eastAsia="zh-CN"/>
              </w:rPr>
              <w:t>本项目与类比项目皆</w:t>
            </w:r>
            <w:r>
              <w:rPr>
                <w:rFonts w:hint="eastAsia" w:ascii="Times New Roman" w:hAnsi="Times New Roman" w:eastAsia="宋体" w:cs="Times New Roman"/>
                <w:b w:val="0"/>
                <w:bCs w:val="0"/>
                <w:color w:val="auto"/>
                <w:sz w:val="24"/>
                <w:szCs w:val="24"/>
                <w:lang w:val="en-US" w:eastAsia="zh-CN"/>
              </w:rPr>
              <w:t>开展疾病诊疗、绝育手术、</w:t>
            </w:r>
            <w:r>
              <w:rPr>
                <w:rFonts w:hint="eastAsia" w:cs="Times New Roman"/>
                <w:b w:val="0"/>
                <w:bCs w:val="0"/>
                <w:color w:val="auto"/>
                <w:sz w:val="24"/>
                <w:szCs w:val="24"/>
                <w:lang w:val="en-US" w:eastAsia="zh-CN"/>
              </w:rPr>
              <w:t>寄养美容</w:t>
            </w:r>
            <w:r>
              <w:rPr>
                <w:rFonts w:hint="eastAsia" w:ascii="Times New Roman" w:hAnsi="Times New Roman" w:eastAsia="宋体" w:cs="Times New Roman"/>
                <w:b w:val="0"/>
                <w:bCs w:val="0"/>
                <w:color w:val="auto"/>
                <w:sz w:val="24"/>
                <w:szCs w:val="24"/>
                <w:lang w:val="en-US" w:eastAsia="zh-CN"/>
              </w:rPr>
              <w:t>等业务，手术器械清洗、宠物伤口冲洗</w:t>
            </w:r>
            <w:r>
              <w:rPr>
                <w:rFonts w:hint="eastAsia" w:cs="Times New Roman"/>
                <w:b w:val="0"/>
                <w:bCs w:val="0"/>
                <w:color w:val="auto"/>
                <w:sz w:val="24"/>
                <w:szCs w:val="24"/>
                <w:lang w:val="en-US" w:eastAsia="zh-CN"/>
              </w:rPr>
              <w:t>、宠物洗浴美容</w:t>
            </w:r>
            <w:r>
              <w:rPr>
                <w:rFonts w:hint="eastAsia" w:ascii="Times New Roman" w:hAnsi="Times New Roman" w:eastAsia="宋体" w:cs="Times New Roman"/>
                <w:b w:val="0"/>
                <w:bCs w:val="0"/>
                <w:color w:val="auto"/>
                <w:sz w:val="24"/>
                <w:szCs w:val="24"/>
                <w:lang w:val="en-US" w:eastAsia="zh-CN"/>
              </w:rPr>
              <w:t>等废水产生环节一致，污染物种类和浓度范围具有可比性；且医疗废水中污染因子均包含COD、BOD</w:t>
            </w:r>
            <w:r>
              <w:rPr>
                <w:rFonts w:hint="eastAsia" w:cs="Times New Roman"/>
                <w:b w:val="0"/>
                <w:bCs w:val="0"/>
                <w:color w:val="auto"/>
                <w:sz w:val="24"/>
                <w:szCs w:val="24"/>
                <w:vertAlign w:val="subscript"/>
                <w:lang w:val="en-US" w:eastAsia="zh-CN"/>
              </w:rPr>
              <w:t>5</w:t>
            </w:r>
            <w:r>
              <w:rPr>
                <w:rFonts w:hint="eastAsia" w:ascii="Times New Roman" w:hAnsi="Times New Roman" w:eastAsia="宋体" w:cs="Times New Roman"/>
                <w:b w:val="0"/>
                <w:bCs w:val="0"/>
                <w:color w:val="auto"/>
                <w:sz w:val="24"/>
                <w:szCs w:val="24"/>
                <w:lang w:val="en-US" w:eastAsia="zh-CN"/>
              </w:rPr>
              <w:t>、粪大肠菌群数等，表明废水污染本质相同，</w:t>
            </w:r>
            <w:r>
              <w:rPr>
                <w:rFonts w:hint="eastAsia" w:cs="Times New Roman"/>
                <w:b w:val="0"/>
                <w:bCs w:val="0"/>
                <w:color w:val="auto"/>
                <w:sz w:val="24"/>
                <w:szCs w:val="24"/>
                <w:lang w:val="en-US" w:eastAsia="zh-CN"/>
              </w:rPr>
              <w:t>此外参考报告与本项目</w:t>
            </w:r>
            <w:r>
              <w:rPr>
                <w:rFonts w:hint="eastAsia" w:ascii="Times New Roman" w:hAnsi="Times New Roman" w:eastAsia="宋体" w:cs="Times New Roman"/>
                <w:b w:val="0"/>
                <w:bCs w:val="0"/>
                <w:color w:val="auto"/>
                <w:sz w:val="24"/>
                <w:szCs w:val="24"/>
                <w:lang w:val="en-US" w:eastAsia="zh-CN"/>
              </w:rPr>
              <w:t>采用消毒处理等相似工艺，对污染物处理效果相近，利于浓度类比。综上，参考验收监测报告</w:t>
            </w:r>
            <w:r>
              <w:rPr>
                <w:rFonts w:hint="eastAsia" w:cs="Times New Roman"/>
                <w:b w:val="0"/>
                <w:bCs w:val="0"/>
                <w:color w:val="auto"/>
                <w:sz w:val="24"/>
                <w:szCs w:val="24"/>
                <w:lang w:val="en-US" w:eastAsia="zh-CN"/>
              </w:rPr>
              <w:t>中废水浓度</w:t>
            </w:r>
            <w:r>
              <w:rPr>
                <w:rFonts w:hint="eastAsia" w:ascii="Times New Roman" w:hAnsi="Times New Roman" w:eastAsia="宋体" w:cs="Times New Roman"/>
                <w:b w:val="0"/>
                <w:bCs w:val="0"/>
                <w:color w:val="auto"/>
                <w:sz w:val="24"/>
                <w:szCs w:val="24"/>
                <w:lang w:val="en-US" w:eastAsia="zh-CN"/>
              </w:rPr>
              <w:t>类比</w:t>
            </w:r>
            <w:r>
              <w:rPr>
                <w:rFonts w:hint="eastAsia" w:cs="Times New Roman"/>
                <w:b w:val="0"/>
                <w:bCs w:val="0"/>
                <w:color w:val="auto"/>
                <w:sz w:val="24"/>
                <w:szCs w:val="24"/>
                <w:lang w:val="en-US" w:eastAsia="zh-CN"/>
              </w:rPr>
              <w:t>本项目</w:t>
            </w:r>
            <w:r>
              <w:rPr>
                <w:rFonts w:hint="eastAsia" w:ascii="Times New Roman" w:hAnsi="Times New Roman" w:eastAsia="宋体" w:cs="Times New Roman"/>
                <w:b w:val="0"/>
                <w:bCs w:val="0"/>
                <w:color w:val="auto"/>
                <w:sz w:val="24"/>
                <w:szCs w:val="24"/>
                <w:lang w:val="en-US" w:eastAsia="zh-CN"/>
              </w:rPr>
              <w:t>医疗废水</w:t>
            </w:r>
            <w:r>
              <w:rPr>
                <w:rFonts w:hint="eastAsia" w:cs="Times New Roman"/>
                <w:b w:val="0"/>
                <w:bCs w:val="0"/>
                <w:color w:val="auto"/>
                <w:sz w:val="24"/>
                <w:szCs w:val="24"/>
                <w:lang w:val="en-US" w:eastAsia="zh-CN"/>
              </w:rPr>
              <w:t>产排</w:t>
            </w:r>
            <w:r>
              <w:rPr>
                <w:rFonts w:hint="eastAsia" w:ascii="Times New Roman" w:hAnsi="Times New Roman" w:eastAsia="宋体" w:cs="Times New Roman"/>
                <w:b w:val="0"/>
                <w:bCs w:val="0"/>
                <w:color w:val="auto"/>
                <w:sz w:val="24"/>
                <w:szCs w:val="24"/>
                <w:lang w:val="en-US" w:eastAsia="zh-CN"/>
              </w:rPr>
              <w:t>浓度可行，能为环保建设和废水处理提供可靠依据。</w:t>
            </w:r>
          </w:p>
          <w:p w14:paraId="51E5047D">
            <w:pPr>
              <w:pStyle w:val="10"/>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2.</w:t>
            </w:r>
            <w:r>
              <w:rPr>
                <w:rFonts w:hint="eastAsia" w:cs="Times New Roman"/>
                <w:b/>
                <w:bCs/>
                <w:color w:val="auto"/>
                <w:sz w:val="24"/>
                <w:szCs w:val="24"/>
                <w:lang w:val="en-US" w:eastAsia="zh-CN"/>
              </w:rPr>
              <w:t>3</w:t>
            </w:r>
            <w:r>
              <w:rPr>
                <w:rFonts w:hint="eastAsia" w:ascii="Times New Roman" w:hAnsi="Times New Roman" w:eastAsia="宋体" w:cs="Times New Roman"/>
                <w:b/>
                <w:bCs/>
                <w:color w:val="auto"/>
                <w:sz w:val="24"/>
                <w:szCs w:val="24"/>
                <w:lang w:val="en-US" w:eastAsia="zh-CN"/>
              </w:rPr>
              <w:t>废水治理措施</w:t>
            </w:r>
            <w:r>
              <w:rPr>
                <w:rFonts w:hint="eastAsia"/>
                <w:b/>
                <w:bCs/>
                <w:lang w:val="en-US" w:eastAsia="zh-CN"/>
              </w:rPr>
              <w:t>可行性分析</w:t>
            </w:r>
          </w:p>
          <w:p w14:paraId="036B680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auto"/>
                <w:sz w:val="24"/>
                <w:szCs w:val="24"/>
                <w:lang w:val="en-US" w:eastAsia="zh-CN"/>
              </w:rPr>
            </w:pPr>
            <w:r>
              <w:rPr>
                <w:rFonts w:hint="eastAsia" w:cs="Times New Roman"/>
                <w:color w:val="auto"/>
                <w:highlight w:val="none"/>
                <w:lang w:val="en-US" w:eastAsia="zh-CN"/>
              </w:rPr>
              <w:t>本项目宠物诊疗废水水质简单，产生量小，</w:t>
            </w:r>
            <w:r>
              <w:rPr>
                <w:rFonts w:hint="default" w:ascii="Times New Roman" w:hAnsi="Times New Roman" w:eastAsia="宋体" w:cs="Times New Roman"/>
                <w:color w:val="auto"/>
                <w:highlight w:val="none"/>
                <w:lang w:val="en-US" w:eastAsia="zh-CN"/>
              </w:rPr>
              <w:t>产生量为</w:t>
            </w:r>
            <w:r>
              <w:rPr>
                <w:rFonts w:hint="eastAsia" w:cs="Times New Roman"/>
                <w:color w:val="auto"/>
                <w:highlight w:val="none"/>
                <w:lang w:val="en-US" w:eastAsia="zh-CN"/>
              </w:rPr>
              <w:t>14.6</w:t>
            </w:r>
            <w:r>
              <w:rPr>
                <w:rFonts w:hint="default" w:ascii="Times New Roman" w:hAnsi="Times New Roman" w:eastAsia="宋体" w:cs="Times New Roman"/>
                <w:color w:val="auto"/>
                <w:highlight w:val="none"/>
                <w:lang w:val="en-US" w:eastAsia="zh-CN"/>
              </w:rPr>
              <w:t>t/a（0.</w:t>
            </w:r>
            <w:r>
              <w:rPr>
                <w:rFonts w:hint="eastAsia" w:cs="Times New Roman"/>
                <w:color w:val="auto"/>
                <w:highlight w:val="none"/>
                <w:lang w:val="en-US" w:eastAsia="zh-CN"/>
              </w:rPr>
              <w:t>04</w:t>
            </w:r>
            <w:r>
              <w:rPr>
                <w:rFonts w:hint="default" w:ascii="Times New Roman" w:hAnsi="Times New Roman" w:eastAsia="宋体" w:cs="Times New Roman"/>
                <w:color w:val="auto"/>
                <w:highlight w:val="none"/>
                <w:lang w:val="en-US" w:eastAsia="zh-CN"/>
              </w:rPr>
              <w:t>t/d），采用</w:t>
            </w:r>
            <w:r>
              <w:rPr>
                <w:rFonts w:hint="eastAsia" w:cs="Times New Roman"/>
                <w:color w:val="auto"/>
                <w:highlight w:val="none"/>
                <w:lang w:val="en-US" w:eastAsia="zh-CN"/>
              </w:rPr>
              <w:t>投</w:t>
            </w:r>
            <w:r>
              <w:rPr>
                <w:rFonts w:hint="default" w:ascii="Times New Roman" w:hAnsi="Times New Roman" w:eastAsia="宋体" w:cs="Times New Roman"/>
                <w:color w:val="auto"/>
                <w:highlight w:val="none"/>
                <w:lang w:val="en-US" w:eastAsia="zh-CN"/>
              </w:rPr>
              <w:t>加二氧化氯泡腾片消毒的方式</w:t>
            </w:r>
            <w:r>
              <w:rPr>
                <w:rFonts w:hint="eastAsia" w:cs="Times New Roman"/>
                <w:color w:val="auto"/>
                <w:highlight w:val="none"/>
                <w:lang w:val="en-US" w:eastAsia="zh-CN"/>
              </w:rPr>
              <w:t>进行消毒</w:t>
            </w:r>
            <w:r>
              <w:rPr>
                <w:rFonts w:hint="default" w:ascii="Times New Roman" w:hAnsi="Times New Roman" w:eastAsia="宋体" w:cs="Times New Roman"/>
                <w:color w:val="auto"/>
                <w:highlight w:val="none"/>
                <w:lang w:val="en-US" w:eastAsia="zh-CN"/>
              </w:rPr>
              <w:t>，消毒处理反应时间为1h，</w:t>
            </w:r>
            <w:r>
              <w:rPr>
                <w:rFonts w:hint="eastAsia" w:cs="Times New Roman"/>
                <w:color w:val="auto"/>
                <w:highlight w:val="none"/>
                <w:lang w:val="en-US" w:eastAsia="zh-CN"/>
              </w:rPr>
              <w:t>参考</w:t>
            </w:r>
            <w:r>
              <w:rPr>
                <w:rFonts w:hint="default" w:ascii="Times New Roman" w:hAnsi="Times New Roman" w:eastAsia="宋体" w:cs="Times New Roman"/>
                <w:color w:val="auto"/>
                <w:highlight w:val="none"/>
                <w:lang w:val="en-US" w:eastAsia="zh-CN"/>
              </w:rPr>
              <w:t>《医院污水处理工程技术规范》(HIJ2029-2013)，</w:t>
            </w:r>
            <w:r>
              <w:rPr>
                <w:rFonts w:hint="eastAsia" w:cs="Times New Roman"/>
                <w:color w:val="auto"/>
                <w:highlight w:val="none"/>
                <w:lang w:val="en-US" w:eastAsia="zh-CN"/>
              </w:rPr>
              <w:t>“</w:t>
            </w:r>
            <w:r>
              <w:rPr>
                <w:rFonts w:hint="default" w:ascii="Times New Roman" w:hAnsi="Times New Roman" w:eastAsia="宋体" w:cs="Times New Roman"/>
                <w:color w:val="auto"/>
                <w:highlight w:val="none"/>
                <w:lang w:val="en-US" w:eastAsia="zh-CN"/>
              </w:rPr>
              <w:t>非传染病医院污水接触消毒时间不宜小于1.0h</w:t>
            </w:r>
            <w:r>
              <w:rPr>
                <w:rFonts w:hint="eastAsia" w:cs="Times New Roman"/>
                <w:color w:val="auto"/>
                <w:highlight w:val="none"/>
                <w:lang w:val="en-US" w:eastAsia="zh-CN"/>
              </w:rPr>
              <w:t>”</w:t>
            </w:r>
            <w:r>
              <w:rPr>
                <w:rFonts w:hint="default" w:ascii="Times New Roman" w:hAnsi="Times New Roman" w:eastAsia="宋体" w:cs="Times New Roman"/>
                <w:color w:val="auto"/>
                <w:highlight w:val="none"/>
                <w:lang w:val="en-US" w:eastAsia="zh-CN"/>
              </w:rPr>
              <w:t>。消毒装置采用加盖封闭等措施，</w:t>
            </w:r>
            <w:r>
              <w:rPr>
                <w:rFonts w:hint="eastAsia" w:cs="Times New Roman"/>
                <w:color w:val="auto"/>
                <w:highlight w:val="none"/>
                <w:lang w:val="en-US" w:eastAsia="zh-CN"/>
              </w:rPr>
              <w:t>故</w:t>
            </w:r>
            <w:r>
              <w:rPr>
                <w:rFonts w:hint="default" w:ascii="Times New Roman" w:hAnsi="Times New Roman" w:eastAsia="宋体" w:cs="Times New Roman"/>
                <w:color w:val="auto"/>
                <w:highlight w:val="none"/>
                <w:lang w:val="en-US" w:eastAsia="zh-CN"/>
              </w:rPr>
              <w:t>消毒处理装置设计合理。建设项目宠物诊疗废水产生量为0.</w:t>
            </w:r>
            <w:r>
              <w:rPr>
                <w:rFonts w:hint="eastAsia" w:cs="Times New Roman"/>
                <w:color w:val="auto"/>
                <w:highlight w:val="none"/>
                <w:lang w:val="en-US" w:eastAsia="zh-CN"/>
              </w:rPr>
              <w:t>0</w:t>
            </w:r>
            <w:r>
              <w:rPr>
                <w:rFonts w:hint="default" w:ascii="Times New Roman" w:hAnsi="Times New Roman" w:eastAsia="宋体" w:cs="Times New Roman"/>
                <w:color w:val="auto"/>
                <w:highlight w:val="none"/>
                <w:lang w:val="en-US" w:eastAsia="zh-CN"/>
              </w:rPr>
              <w:t>4t/d，设有3台</w:t>
            </w:r>
            <w:r>
              <w:rPr>
                <w:rFonts w:hint="eastAsia" w:cs="Times New Roman"/>
                <w:color w:val="auto"/>
                <w:highlight w:val="none"/>
                <w:lang w:val="en-US" w:eastAsia="zh-CN"/>
              </w:rPr>
              <w:t>小型</w:t>
            </w:r>
            <w:r>
              <w:rPr>
                <w:rFonts w:hint="default" w:ascii="Times New Roman" w:hAnsi="Times New Roman" w:eastAsia="宋体" w:cs="Times New Roman"/>
                <w:color w:val="auto"/>
                <w:highlight w:val="none"/>
                <w:lang w:val="en-US" w:eastAsia="zh-CN"/>
              </w:rPr>
              <w:t>废水处理设施（</w:t>
            </w:r>
            <w:r>
              <w:rPr>
                <w:rFonts w:hint="eastAsia" w:cs="Times New Roman"/>
                <w:color w:val="auto"/>
                <w:highlight w:val="none"/>
                <w:lang w:val="en-US" w:eastAsia="zh-CN"/>
              </w:rPr>
              <w:t>2.4</w:t>
            </w:r>
            <w:r>
              <w:rPr>
                <w:rFonts w:hint="default" w:ascii="Times New Roman" w:hAnsi="Times New Roman" w:eastAsia="宋体" w:cs="Times New Roman"/>
                <w:color w:val="auto"/>
                <w:highlight w:val="none"/>
                <w:lang w:val="en-US" w:eastAsia="zh-CN"/>
              </w:rPr>
              <w:t>t/d），通过开关控制，每天各排水3次，废水处理设施的设计处理能力可满足排水需求，根据类比分析可知，项目医疗废水经拟建废水处理设施（</w:t>
            </w:r>
            <w:r>
              <w:rPr>
                <w:rFonts w:hint="eastAsia" w:ascii="Times New Roman" w:hAnsi="Times New Roman" w:eastAsia="宋体" w:cs="Times New Roman"/>
                <w:color w:val="auto"/>
                <w:sz w:val="24"/>
                <w:szCs w:val="24"/>
                <w:lang w:val="en-US" w:eastAsia="zh-CN"/>
              </w:rPr>
              <w:t>过滤+</w:t>
            </w:r>
            <w:r>
              <w:rPr>
                <w:rFonts w:hint="default" w:ascii="Times New Roman" w:hAnsi="Times New Roman" w:eastAsia="宋体" w:cs="Times New Roman"/>
                <w:color w:val="auto"/>
                <w:highlight w:val="none"/>
                <w:lang w:val="en-US" w:eastAsia="zh-CN"/>
              </w:rPr>
              <w:t>消毒）处理后浓度可符合《医疗机构水污染物排放标准》（GB18466-2005）表2中的</w:t>
            </w:r>
            <w:r>
              <w:rPr>
                <w:rFonts w:hint="eastAsia" w:cs="Times New Roman"/>
                <w:color w:val="auto"/>
                <w:highlight w:val="none"/>
                <w:lang w:val="en-US" w:eastAsia="zh-CN"/>
              </w:rPr>
              <w:t>“</w:t>
            </w:r>
            <w:r>
              <w:rPr>
                <w:rFonts w:hint="default" w:ascii="Times New Roman" w:hAnsi="Times New Roman" w:eastAsia="宋体" w:cs="Times New Roman"/>
                <w:color w:val="auto"/>
                <w:highlight w:val="none"/>
                <w:lang w:val="en-US" w:eastAsia="zh-CN"/>
              </w:rPr>
              <w:t>预处理标准</w:t>
            </w:r>
            <w:r>
              <w:rPr>
                <w:rFonts w:hint="eastAsia" w:cs="Times New Roman"/>
                <w:color w:val="auto"/>
                <w:highlight w:val="none"/>
                <w:lang w:val="en-US" w:eastAsia="zh-CN"/>
              </w:rPr>
              <w:t>”</w:t>
            </w:r>
            <w:r>
              <w:rPr>
                <w:rFonts w:hint="default" w:ascii="Times New Roman" w:hAnsi="Times New Roman" w:eastAsia="宋体" w:cs="Times New Roman"/>
                <w:color w:val="auto"/>
                <w:highlight w:val="none"/>
                <w:lang w:val="en-US" w:eastAsia="zh-CN"/>
              </w:rPr>
              <w:t>相关限值要求</w:t>
            </w:r>
            <w:r>
              <w:rPr>
                <w:rFonts w:hint="eastAsia" w:ascii="宋体" w:hAnsi="宋体" w:cs="Times New Roman"/>
                <w:bCs/>
                <w:sz w:val="24"/>
                <w:szCs w:val="24"/>
                <w:lang w:val="en-US" w:eastAsia="zh-CN"/>
              </w:rPr>
              <w:t>。</w:t>
            </w:r>
            <w:r>
              <w:rPr>
                <w:rFonts w:hint="default" w:ascii="Times New Roman" w:hAnsi="Times New Roman" w:eastAsia="宋体" w:cs="Times New Roman"/>
                <w:color w:val="auto"/>
                <w:highlight w:val="none"/>
                <w:lang w:val="en-US" w:eastAsia="zh-CN"/>
              </w:rPr>
              <w:t>因此，经该污水处理设施处理后的废水排入化粪池是可行的。</w:t>
            </w:r>
          </w:p>
          <w:p w14:paraId="1EB3B140">
            <w:pPr>
              <w:pStyle w:val="1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2" w:firstLineChars="200"/>
              <w:textAlignment w:val="auto"/>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2.</w:t>
            </w:r>
            <w:r>
              <w:rPr>
                <w:rFonts w:hint="eastAsia" w:cs="Times New Roman"/>
                <w:b/>
                <w:bCs/>
                <w:sz w:val="24"/>
                <w:szCs w:val="24"/>
                <w:highlight w:val="none"/>
                <w:lang w:val="en-US" w:eastAsia="zh-CN"/>
              </w:rPr>
              <w:t>4</w:t>
            </w:r>
            <w:r>
              <w:rPr>
                <w:rFonts w:hint="default" w:ascii="Times New Roman" w:hAnsi="Times New Roman" w:eastAsia="宋体" w:cs="Times New Roman"/>
                <w:b/>
                <w:bCs/>
                <w:sz w:val="24"/>
                <w:szCs w:val="24"/>
                <w:highlight w:val="none"/>
                <w:lang w:val="en-US" w:eastAsia="zh-CN"/>
              </w:rPr>
              <w:t>依托污水处理可行性分析</w:t>
            </w:r>
          </w:p>
          <w:p w14:paraId="29AB0001">
            <w:pPr>
              <w:keepNext w:val="0"/>
              <w:keepLines w:val="0"/>
              <w:pageBreakBefore w:val="0"/>
              <w:widowControl w:val="0"/>
              <w:suppressLineNumbers w:val="0"/>
              <w:tabs>
                <w:tab w:val="left" w:pos="840"/>
              </w:tabs>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本项目所处位置在市政</w:t>
            </w:r>
            <w:r>
              <w:rPr>
                <w:rFonts w:hint="eastAsia" w:cs="Times New Roman"/>
                <w:color w:val="000000" w:themeColor="text1"/>
                <w:spacing w:val="0"/>
                <w:position w:val="0"/>
                <w:sz w:val="24"/>
                <w:szCs w:val="24"/>
                <w:highlight w:val="none"/>
                <w:lang w:eastAsia="zh-CN"/>
                <w14:textFill>
                  <w14:solidFill>
                    <w14:schemeClr w14:val="tx1"/>
                  </w14:solidFill>
                </w14:textFill>
              </w:rPr>
              <w:t>污水管网</w:t>
            </w: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覆盖范围内，</w:t>
            </w:r>
            <w:r>
              <w:rPr>
                <w:rFonts w:hint="eastAsia" w:cs="Times New Roman"/>
                <w:color w:val="000000" w:themeColor="text1"/>
                <w:spacing w:val="0"/>
                <w:position w:val="0"/>
                <w:sz w:val="24"/>
                <w:szCs w:val="24"/>
                <w:highlight w:val="none"/>
                <w:lang w:val="en-US" w:eastAsia="zh-CN"/>
                <w14:textFill>
                  <w14:solidFill>
                    <w14:schemeClr w14:val="tx1"/>
                  </w14:solidFill>
                </w14:textFill>
              </w:rPr>
              <w:t>宠物诊疗</w:t>
            </w:r>
            <w:r>
              <w:rPr>
                <w:rFonts w:hint="default" w:ascii="Times New Roman" w:hAnsi="Times New Roman" w:eastAsia="宋体" w:cs="Times New Roman"/>
                <w:color w:val="000000" w:themeColor="text1"/>
                <w:spacing w:val="0"/>
                <w:position w:val="0"/>
                <w:sz w:val="24"/>
                <w:szCs w:val="24"/>
                <w:highlight w:val="none"/>
                <w:lang w:val="en-US" w:eastAsia="zh-CN"/>
                <w14:textFill>
                  <w14:solidFill>
                    <w14:schemeClr w14:val="tx1"/>
                  </w14:solidFill>
                </w14:textFill>
              </w:rPr>
              <w:t>废水</w:t>
            </w:r>
            <w:r>
              <w:rPr>
                <w:rFonts w:hint="eastAsia" w:cs="Times New Roman"/>
                <w:color w:val="000000" w:themeColor="text1"/>
                <w:spacing w:val="0"/>
                <w:position w:val="0"/>
                <w:sz w:val="24"/>
                <w:szCs w:val="24"/>
                <w:highlight w:val="none"/>
                <w:lang w:val="en-US" w:eastAsia="zh-CN"/>
                <w14:textFill>
                  <w14:solidFill>
                    <w14:schemeClr w14:val="tx1"/>
                  </w14:solidFill>
                </w14:textFill>
              </w:rPr>
              <w:t>及宠物清洗废水</w:t>
            </w:r>
            <w:r>
              <w:rPr>
                <w:rFonts w:hint="default" w:ascii="Times New Roman" w:hAnsi="Times New Roman" w:eastAsia="宋体" w:cs="Times New Roman"/>
                <w:color w:val="000000" w:themeColor="text1"/>
                <w:spacing w:val="0"/>
                <w:position w:val="0"/>
                <w:sz w:val="24"/>
                <w:szCs w:val="24"/>
                <w:highlight w:val="none"/>
                <w:lang w:val="en-US" w:eastAsia="zh-CN"/>
                <w14:textFill>
                  <w14:solidFill>
                    <w14:schemeClr w14:val="tx1"/>
                  </w14:solidFill>
                </w14:textFill>
              </w:rPr>
              <w:t>经收集后通过</w:t>
            </w:r>
            <w:r>
              <w:rPr>
                <w:rFonts w:hint="eastAsia" w:cs="Times New Roman"/>
                <w:color w:val="000000" w:themeColor="text1"/>
                <w:spacing w:val="0"/>
                <w:position w:val="0"/>
                <w:sz w:val="24"/>
                <w:szCs w:val="24"/>
                <w:highlight w:val="none"/>
                <w:lang w:val="en-US" w:eastAsia="zh-CN"/>
                <w14:textFill>
                  <w14:solidFill>
                    <w14:schemeClr w14:val="tx1"/>
                  </w14:solidFill>
                </w14:textFill>
              </w:rPr>
              <w:t>小型污水处理设施消毒</w:t>
            </w:r>
            <w:r>
              <w:rPr>
                <w:rFonts w:hint="default" w:ascii="Times New Roman" w:hAnsi="Times New Roman" w:eastAsia="宋体" w:cs="Times New Roman"/>
                <w:color w:val="000000" w:themeColor="text1"/>
                <w:spacing w:val="0"/>
                <w:position w:val="0"/>
                <w:sz w:val="24"/>
                <w:szCs w:val="24"/>
                <w:highlight w:val="none"/>
                <w:lang w:val="en-US" w:eastAsia="zh-CN"/>
                <w14:textFill>
                  <w14:solidFill>
                    <w14:schemeClr w14:val="tx1"/>
                  </w14:solidFill>
                </w14:textFill>
              </w:rPr>
              <w:t>处理达到《医疗机构水污染物排放标准》（GB 18466－2005）表2预处理排放标准限值后汇同生活污水进入小区化粪池处理后，纳入市政污水管网，最终进入库尔勒市南市区污水处理厂集中处理。</w:t>
            </w:r>
          </w:p>
          <w:p w14:paraId="65486BBA">
            <w:pPr>
              <w:keepNext w:val="0"/>
              <w:keepLines w:val="0"/>
              <w:pageBreakBefore w:val="0"/>
              <w:widowControl w:val="0"/>
              <w:suppressLineNumbers w:val="0"/>
              <w:tabs>
                <w:tab w:val="left" w:pos="840"/>
              </w:tabs>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baseline"/>
              <w:rPr>
                <w:rFonts w:hint="default"/>
              </w:rPr>
            </w:pPr>
            <w:r>
              <w:rPr>
                <w:rFonts w:hint="default" w:ascii="Times New Roman" w:hAnsi="Times New Roman" w:eastAsia="宋体" w:cs="Times New Roman"/>
                <w:color w:val="000000" w:themeColor="text1"/>
                <w:spacing w:val="0"/>
                <w:position w:val="0"/>
                <w:sz w:val="24"/>
                <w:szCs w:val="24"/>
                <w:highlight w:val="none"/>
                <w:lang w:eastAsia="zh-CN"/>
                <w14:textFill>
                  <w14:solidFill>
                    <w14:schemeClr w14:val="tx1"/>
                  </w14:solidFill>
                </w14:textFill>
              </w:rPr>
              <w:t>库尔勒市南市区污水处理厂位于</w:t>
            </w: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新疆巴州库尔勒市机场路与鼎兴路交叉口处</w:t>
            </w:r>
            <w:r>
              <w:rPr>
                <w:rFonts w:hint="default" w:ascii="Times New Roman" w:hAnsi="Times New Roman" w:eastAsia="宋体" w:cs="Times New Roman"/>
                <w:color w:val="000000" w:themeColor="text1"/>
                <w:spacing w:val="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position w:val="0"/>
                <w:sz w:val="24"/>
                <w:szCs w:val="24"/>
                <w:highlight w:val="none"/>
                <w:lang w:val="en-US" w:eastAsia="zh-CN"/>
                <w14:textFill>
                  <w14:solidFill>
                    <w14:schemeClr w14:val="tx1"/>
                  </w14:solidFill>
                </w14:textFill>
              </w:rPr>
              <w:t>中心坐标为</w:t>
            </w: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N</w:t>
            </w:r>
            <w:r>
              <w:rPr>
                <w:rFonts w:hint="eastAsia" w:ascii="Times New Roman" w:hAnsi="Times New Roman" w:eastAsia="宋体" w:cs="Times New Roman"/>
                <w:color w:val="000000" w:themeColor="text1"/>
                <w:spacing w:val="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position w:val="0"/>
                <w:sz w:val="24"/>
                <w:szCs w:val="24"/>
                <w:highlight w:val="none"/>
                <w:lang w:val="en-US" w:eastAsia="zh-CN"/>
                <w14:textFill>
                  <w14:solidFill>
                    <w14:schemeClr w14:val="tx1"/>
                  </w14:solidFill>
                </w14:textFill>
              </w:rPr>
              <w:t>41</w:t>
            </w: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w:t>
            </w:r>
            <w:r>
              <w:rPr>
                <w:rFonts w:hint="default" w:ascii="Times New Roman" w:hAnsi="Times New Roman" w:eastAsia="宋体" w:cs="Times New Roman"/>
                <w:color w:val="000000" w:themeColor="text1"/>
                <w:spacing w:val="0"/>
                <w:position w:val="0"/>
                <w:sz w:val="24"/>
                <w:szCs w:val="24"/>
                <w:highlight w:val="none"/>
                <w:lang w:val="en-US" w:eastAsia="zh-CN"/>
                <w14:textFill>
                  <w14:solidFill>
                    <w14:schemeClr w14:val="tx1"/>
                  </w14:solidFill>
                </w14:textFill>
              </w:rPr>
              <w:t>38</w:t>
            </w: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w:t>
            </w:r>
            <w:r>
              <w:rPr>
                <w:rFonts w:hint="default" w:ascii="Times New Roman" w:hAnsi="Times New Roman" w:eastAsia="宋体" w:cs="Times New Roman"/>
                <w:color w:val="000000" w:themeColor="text1"/>
                <w:spacing w:val="0"/>
                <w:position w:val="0"/>
                <w:sz w:val="24"/>
                <w:szCs w:val="24"/>
                <w:highlight w:val="none"/>
                <w:lang w:val="en-US" w:eastAsia="zh-CN"/>
                <w14:textFill>
                  <w14:solidFill>
                    <w14:schemeClr w14:val="tx1"/>
                  </w14:solidFill>
                </w14:textFill>
              </w:rPr>
              <w:t>39.79</w:t>
            </w: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″，E</w:t>
            </w:r>
            <w:r>
              <w:rPr>
                <w:rFonts w:hint="eastAsia" w:ascii="Times New Roman" w:hAnsi="Times New Roman" w:eastAsia="宋体" w:cs="Times New Roman"/>
                <w:color w:val="000000" w:themeColor="text1"/>
                <w:spacing w:val="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position w:val="0"/>
                <w:sz w:val="24"/>
                <w:szCs w:val="24"/>
                <w:highlight w:val="none"/>
                <w:lang w:val="en-US" w:eastAsia="zh-CN"/>
                <w14:textFill>
                  <w14:solidFill>
                    <w14:schemeClr w14:val="tx1"/>
                  </w14:solidFill>
                </w14:textFill>
              </w:rPr>
              <w:t>86</w:t>
            </w: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w:t>
            </w:r>
            <w:r>
              <w:rPr>
                <w:rFonts w:hint="default" w:ascii="Times New Roman" w:hAnsi="Times New Roman" w:eastAsia="宋体" w:cs="Times New Roman"/>
                <w:color w:val="000000" w:themeColor="text1"/>
                <w:spacing w:val="0"/>
                <w:position w:val="0"/>
                <w:sz w:val="24"/>
                <w:szCs w:val="24"/>
                <w:highlight w:val="none"/>
                <w:lang w:val="en-US" w:eastAsia="zh-CN"/>
                <w14:textFill>
                  <w14:solidFill>
                    <w14:schemeClr w14:val="tx1"/>
                  </w14:solidFill>
                </w14:textFill>
              </w:rPr>
              <w:t>9</w:t>
            </w: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w:t>
            </w:r>
            <w:r>
              <w:rPr>
                <w:rFonts w:hint="default" w:ascii="Times New Roman" w:hAnsi="Times New Roman" w:eastAsia="宋体" w:cs="Times New Roman"/>
                <w:color w:val="000000" w:themeColor="text1"/>
                <w:spacing w:val="0"/>
                <w:position w:val="0"/>
                <w:sz w:val="24"/>
                <w:szCs w:val="24"/>
                <w:highlight w:val="none"/>
                <w:lang w:val="en-US" w:eastAsia="zh-CN"/>
                <w14:textFill>
                  <w14:solidFill>
                    <w14:schemeClr w14:val="tx1"/>
                  </w14:solidFill>
                </w14:textFill>
              </w:rPr>
              <w:t>50.79</w:t>
            </w: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w:t>
            </w:r>
            <w:r>
              <w:rPr>
                <w:rFonts w:hint="eastAsia"/>
                <w:sz w:val="24"/>
                <w:szCs w:val="24"/>
                <w:lang w:val="en-US" w:eastAsia="zh-CN"/>
              </w:rPr>
              <w:t>处理</w:t>
            </w: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规模</w:t>
            </w:r>
            <w:r>
              <w:rPr>
                <w:rFonts w:hint="eastAsia" w:cs="Times New Roman"/>
                <w:color w:val="000000" w:themeColor="text1"/>
                <w:spacing w:val="0"/>
                <w:position w:val="0"/>
                <w:sz w:val="24"/>
                <w:szCs w:val="24"/>
                <w:highlight w:val="none"/>
                <w:lang w:val="en-US" w:eastAsia="zh-CN"/>
                <w14:textFill>
                  <w14:solidFill>
                    <w14:schemeClr w14:val="tx1"/>
                  </w14:solidFill>
                </w14:textFill>
              </w:rPr>
              <w:t>10</w:t>
            </w: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万m</w:t>
            </w:r>
            <w:r>
              <w:rPr>
                <w:rFonts w:hint="default" w:ascii="Times New Roman" w:hAnsi="Times New Roman" w:eastAsia="宋体" w:cs="Times New Roman"/>
                <w:color w:val="000000" w:themeColor="text1"/>
                <w:spacing w:val="0"/>
                <w:position w:val="0"/>
                <w:sz w:val="24"/>
                <w:szCs w:val="24"/>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/d，</w:t>
            </w:r>
            <w:r>
              <w:rPr>
                <w:rFonts w:hint="default" w:ascii="Times New Roman" w:hAnsi="Times New Roman" w:eastAsia="宋体" w:cs="Times New Roman"/>
                <w:color w:val="000000" w:themeColor="text1"/>
                <w:sz w:val="24"/>
                <w:szCs w:val="24"/>
                <w:highlight w:val="none"/>
                <w14:textFill>
                  <w14:solidFill>
                    <w14:schemeClr w14:val="tx1"/>
                  </w14:solidFill>
                </w14:textFill>
              </w:rPr>
              <w:t>采用AAO+反应沉淀过滤+消毒工艺，出水执行《城镇污水处理厂污染物排放标准》（GB18918-2002）中一级A标准。处理后污水春夏秋三季通过管道用于杜娟河三期河道的景观用水和周边绿化用水，冬季则排入西尼尔污水处理厂（化塘）进行再处理，已于2018年12月29日通过环保竣工验收。</w:t>
            </w: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该项目</w:t>
            </w:r>
            <w:r>
              <w:rPr>
                <w:rFonts w:hint="default" w:ascii="Times New Roman" w:hAnsi="Times New Roman" w:eastAsia="宋体" w:cs="Times New Roman"/>
                <w:color w:val="000000" w:themeColor="text1"/>
                <w:spacing w:val="0"/>
                <w:position w:val="0"/>
                <w:sz w:val="24"/>
                <w:szCs w:val="24"/>
                <w:highlight w:val="none"/>
                <w:lang w:eastAsia="zh-CN"/>
                <w14:textFill>
                  <w14:solidFill>
                    <w14:schemeClr w14:val="tx1"/>
                  </w14:solidFill>
                </w14:textFill>
              </w:rPr>
              <w:t>于</w:t>
            </w:r>
            <w:r>
              <w:rPr>
                <w:rFonts w:hint="default" w:ascii="Times New Roman" w:hAnsi="Times New Roman" w:eastAsia="宋体" w:cs="Times New Roman"/>
                <w:color w:val="000000" w:themeColor="text1"/>
                <w:spacing w:val="0"/>
                <w:position w:val="0"/>
                <w:sz w:val="24"/>
                <w:szCs w:val="24"/>
                <w:highlight w:val="none"/>
                <w:lang w:val="en-US" w:eastAsia="zh-CN"/>
                <w14:textFill>
                  <w14:solidFill>
                    <w14:schemeClr w14:val="tx1"/>
                  </w14:solidFill>
                </w14:textFill>
              </w:rPr>
              <w:t>2019年6月13日取得排污许可证，排污许可证编号为：</w:t>
            </w:r>
            <w:r>
              <w:rPr>
                <w:rFonts w:hint="default" w:ascii="Times New Roman" w:hAnsi="Times New Roman" w:eastAsia="宋体" w:cs="Times New Roman"/>
                <w:i w:val="0"/>
                <w:iCs w:val="0"/>
                <w:caps w:val="0"/>
                <w:color w:val="000000" w:themeColor="text1"/>
                <w:spacing w:val="0"/>
                <w:sz w:val="24"/>
                <w:szCs w:val="24"/>
                <w:highlight w:val="none"/>
                <w:shd w:val="clear" w:fill="FFFFFF"/>
                <w14:textFill>
                  <w14:solidFill>
                    <w14:schemeClr w14:val="tx1"/>
                  </w14:solidFill>
                </w14:textFill>
              </w:rPr>
              <w:t>91652801MA77CJFF18001W</w:t>
            </w: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目前实际</w:t>
            </w:r>
            <w:r>
              <w:rPr>
                <w:rFonts w:hint="eastAsia" w:cs="Times New Roman"/>
                <w:color w:val="000000" w:themeColor="text1"/>
                <w:sz w:val="24"/>
                <w:szCs w:val="24"/>
                <w:highlight w:val="none"/>
                <w:lang w:val="en-US" w:eastAsia="zh-CN"/>
                <w14:textFill>
                  <w14:solidFill>
                    <w14:schemeClr w14:val="tx1"/>
                  </w14:solidFill>
                </w14:textFill>
              </w:rPr>
              <w:t>进水量</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为</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7万m</w:t>
            </w:r>
            <w:r>
              <w:rPr>
                <w:rFonts w:hint="default" w:ascii="Times New Roman" w:hAnsi="Times New Roman" w:eastAsia="宋体" w:cs="Times New Roman"/>
                <w:color w:val="000000" w:themeColor="text1"/>
                <w:sz w:val="24"/>
                <w:szCs w:val="24"/>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/d，</w:t>
            </w:r>
            <w:r>
              <w:rPr>
                <w:rFonts w:hint="eastAsia" w:ascii="Times New Roman" w:hAnsi="Times New Roman" w:eastAsia="宋体" w:cs="Times New Roman"/>
                <w:sz w:val="24"/>
                <w:szCs w:val="24"/>
                <w:highlight w:val="none"/>
                <w:lang w:eastAsia="zh-CN"/>
              </w:rPr>
              <w:t>本项目污水排放量为</w:t>
            </w:r>
            <w:r>
              <w:rPr>
                <w:rFonts w:hint="eastAsia" w:cs="Times New Roman"/>
                <w:sz w:val="24"/>
                <w:szCs w:val="24"/>
                <w:highlight w:val="none"/>
                <w:lang w:val="en-US" w:eastAsia="zh-CN"/>
              </w:rPr>
              <w:t>0.301</w:t>
            </w:r>
            <w:r>
              <w:rPr>
                <w:rFonts w:hint="eastAsia" w:ascii="Times New Roman" w:hAnsi="Times New Roman" w:eastAsia="宋体" w:cs="Times New Roman"/>
                <w:sz w:val="24"/>
                <w:szCs w:val="24"/>
                <w:highlight w:val="none"/>
                <w:lang w:val="en-US" w:eastAsia="zh-CN"/>
              </w:rPr>
              <w:t>m</w:t>
            </w:r>
            <w:r>
              <w:rPr>
                <w:rFonts w:hint="eastAsia" w:ascii="Times New Roman" w:hAnsi="Times New Roman" w:eastAsia="宋体" w:cs="Times New Roman"/>
                <w:sz w:val="24"/>
                <w:szCs w:val="24"/>
                <w:highlight w:val="none"/>
                <w:vertAlign w:val="superscript"/>
                <w:lang w:val="en-US" w:eastAsia="zh-CN"/>
              </w:rPr>
              <w:t>3</w:t>
            </w:r>
            <w:r>
              <w:rPr>
                <w:rFonts w:hint="eastAsia" w:ascii="Times New Roman" w:hAnsi="Times New Roman" w:eastAsia="宋体" w:cs="Times New Roman"/>
                <w:sz w:val="24"/>
                <w:szCs w:val="24"/>
                <w:highlight w:val="none"/>
                <w:lang w:val="en-US" w:eastAsia="zh-CN"/>
              </w:rPr>
              <w:t>/d，污水处理厂</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余量可满足本</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项目</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需求</w:t>
            </w:r>
            <w:r>
              <w:rPr>
                <w:rFonts w:hint="default" w:ascii="Times New Roman" w:hAnsi="Times New Roman" w:eastAsia="宋体" w:cs="Times New Roman"/>
                <w:color w:val="000000" w:themeColor="text1"/>
                <w:sz w:val="24"/>
                <w:szCs w:val="24"/>
                <w:highlight w:val="none"/>
                <w14:textFill>
                  <w14:solidFill>
                    <w14:schemeClr w14:val="tx1"/>
                  </w14:solidFill>
                </w14:textFill>
              </w:rPr>
              <w:t>。因此</w:t>
            </w:r>
            <w:r>
              <w:rPr>
                <w:rFonts w:hint="eastAsia"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本项目生活废水排入库尔勒市南市区污水处理厂可行。</w:t>
            </w:r>
          </w:p>
          <w:p w14:paraId="4FC7802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default"/>
                <w:lang w:val="en-US" w:eastAsia="zh-CN"/>
              </w:rPr>
            </w:pPr>
            <w:r>
              <w:rPr>
                <w:rFonts w:hint="eastAsia" w:ascii="Times New Roman" w:hAnsi="Times New Roman" w:eastAsia="宋体" w:cs="Times New Roman"/>
                <w:b/>
                <w:bCs/>
                <w:sz w:val="24"/>
                <w:szCs w:val="24"/>
                <w:lang w:val="en-US" w:eastAsia="zh-CN"/>
              </w:rPr>
              <w:t>2.</w:t>
            </w:r>
            <w:r>
              <w:rPr>
                <w:rFonts w:hint="eastAsia" w:cs="Times New Roman"/>
                <w:b/>
                <w:bCs/>
                <w:sz w:val="24"/>
                <w:szCs w:val="24"/>
                <w:lang w:val="en-US" w:eastAsia="zh-CN"/>
              </w:rPr>
              <w:t>5</w:t>
            </w:r>
            <w:r>
              <w:rPr>
                <w:rFonts w:hint="eastAsia" w:ascii="Times New Roman" w:hAnsi="Times New Roman" w:eastAsia="宋体" w:cs="Times New Roman"/>
                <w:b/>
                <w:bCs/>
                <w:sz w:val="24"/>
                <w:szCs w:val="24"/>
                <w:lang w:val="en-US" w:eastAsia="zh-CN"/>
              </w:rPr>
              <w:t>废水自行监测</w:t>
            </w:r>
          </w:p>
          <w:p w14:paraId="402CAC7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 xml:space="preserve">本项目按照《排污许可证申请与核发技术规范 </w:t>
            </w:r>
            <w:r>
              <w:rPr>
                <w:rFonts w:hint="eastAsia" w:cs="Times New Roman"/>
                <w:color w:val="auto"/>
                <w:sz w:val="24"/>
                <w:szCs w:val="24"/>
                <w:highlight w:val="none"/>
                <w:lang w:val="en-US" w:eastAsia="zh-CN"/>
              </w:rPr>
              <w:t>总则</w:t>
            </w:r>
            <w:r>
              <w:rPr>
                <w:rFonts w:hint="default" w:ascii="Times New Roman" w:hAnsi="Times New Roman" w:eastAsia="宋体" w:cs="Times New Roman"/>
                <w:color w:val="auto"/>
                <w:sz w:val="24"/>
                <w:szCs w:val="24"/>
                <w:highlight w:val="none"/>
                <w:lang w:val="en-US" w:eastAsia="zh-CN"/>
              </w:rPr>
              <w:t>》（HJ</w:t>
            </w:r>
            <w:r>
              <w:rPr>
                <w:rFonts w:hint="eastAsia" w:cs="Times New Roman"/>
                <w:color w:val="auto"/>
                <w:sz w:val="24"/>
                <w:szCs w:val="24"/>
                <w:highlight w:val="none"/>
                <w:lang w:val="en-US" w:eastAsia="zh-CN"/>
              </w:rPr>
              <w:t>819</w:t>
            </w:r>
            <w:r>
              <w:rPr>
                <w:rFonts w:hint="default" w:ascii="Times New Roman" w:hAnsi="Times New Roman" w:eastAsia="宋体" w:cs="Times New Roman"/>
                <w:color w:val="auto"/>
                <w:sz w:val="24"/>
                <w:szCs w:val="24"/>
                <w:highlight w:val="none"/>
                <w:lang w:val="en-US" w:eastAsia="zh-CN"/>
              </w:rPr>
              <w:t>—20</w:t>
            </w:r>
            <w:r>
              <w:rPr>
                <w:rFonts w:hint="eastAsia" w:cs="Times New Roman"/>
                <w:color w:val="auto"/>
                <w:sz w:val="24"/>
                <w:szCs w:val="24"/>
                <w:highlight w:val="none"/>
                <w:lang w:val="en-US" w:eastAsia="zh-CN"/>
              </w:rPr>
              <w:t>17</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要求制定自行监测计划</w:t>
            </w:r>
            <w:r>
              <w:rPr>
                <w:rFonts w:hint="default" w:ascii="Times New Roman" w:hAnsi="Times New Roman" w:eastAsia="宋体" w:cs="Times New Roman"/>
                <w:color w:val="auto"/>
                <w:sz w:val="24"/>
                <w:szCs w:val="24"/>
                <w:highlight w:val="none"/>
                <w:lang w:val="en-US" w:eastAsia="zh-CN"/>
              </w:rPr>
              <w:t>，监测计划见</w:t>
            </w:r>
            <w:r>
              <w:rPr>
                <w:rFonts w:hint="eastAsia" w:cs="Times New Roman"/>
                <w:color w:val="auto"/>
                <w:sz w:val="24"/>
                <w:szCs w:val="24"/>
                <w:highlight w:val="none"/>
                <w:lang w:val="en-US" w:eastAsia="zh-CN"/>
              </w:rPr>
              <w:t>下表</w:t>
            </w:r>
            <w:r>
              <w:rPr>
                <w:rFonts w:hint="default" w:ascii="Times New Roman" w:hAnsi="Times New Roman" w:eastAsia="宋体" w:cs="Times New Roman"/>
                <w:color w:val="auto"/>
                <w:sz w:val="24"/>
                <w:szCs w:val="24"/>
                <w:highlight w:val="none"/>
                <w:lang w:val="en-US" w:eastAsia="zh-CN"/>
              </w:rPr>
              <w:t>。</w:t>
            </w:r>
          </w:p>
          <w:p w14:paraId="1D634ED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2" w:firstLineChars="200"/>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color w:val="auto"/>
                <w:sz w:val="21"/>
                <w:szCs w:val="21"/>
                <w:lang w:eastAsia="zh-CN"/>
              </w:rPr>
              <w:t>表</w:t>
            </w:r>
            <w:r>
              <w:rPr>
                <w:rFonts w:hint="eastAsia" w:cs="Times New Roman"/>
                <w:b/>
                <w:bCs/>
                <w:color w:val="auto"/>
                <w:sz w:val="21"/>
                <w:szCs w:val="21"/>
                <w:lang w:val="en-US" w:eastAsia="zh-CN"/>
              </w:rPr>
              <w:t>4-4</w:t>
            </w:r>
            <w:r>
              <w:rPr>
                <w:rFonts w:hint="default"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lang w:eastAsia="zh-CN"/>
              </w:rPr>
              <w:t>环境监测计划</w:t>
            </w:r>
          </w:p>
          <w:tbl>
            <w:tblPr>
              <w:tblStyle w:val="31"/>
              <w:tblW w:w="487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2244"/>
              <w:gridCol w:w="1841"/>
              <w:gridCol w:w="1105"/>
              <w:gridCol w:w="2741"/>
            </w:tblGrid>
            <w:tr w14:paraId="541905D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414" w:type="pct"/>
                  <w:tcBorders>
                    <w:tl2br w:val="nil"/>
                    <w:tr2bl w:val="nil"/>
                  </w:tcBorders>
                  <w:noWrap w:val="0"/>
                  <w:vAlign w:val="center"/>
                </w:tcPr>
                <w:p w14:paraId="7F2E8F3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监测点位</w:t>
                  </w:r>
                </w:p>
              </w:tc>
              <w:tc>
                <w:tcPr>
                  <w:tcW w:w="1160" w:type="pct"/>
                  <w:tcBorders>
                    <w:tl2br w:val="nil"/>
                    <w:tr2bl w:val="nil"/>
                  </w:tcBorders>
                  <w:noWrap w:val="0"/>
                  <w:vAlign w:val="center"/>
                </w:tcPr>
                <w:p w14:paraId="43F3A3C9">
                  <w:pPr>
                    <w:pStyle w:val="57"/>
                    <w:keepNext w:val="0"/>
                    <w:keepLines w:val="0"/>
                    <w:pageBreakBefore w:val="0"/>
                    <w:widowControl w:val="0"/>
                    <w:suppressLineNumbers w:val="0"/>
                    <w:kinsoku/>
                    <w:wordWrap/>
                    <w:overflowPunct/>
                    <w:topLinePunct w:val="0"/>
                    <w:autoSpaceDE/>
                    <w:autoSpaceDN/>
                    <w:bidi w:val="0"/>
                    <w:adjustRightInd w:val="0"/>
                    <w:snapToGrid w:val="0"/>
                    <w:spacing w:before="6" w:beforeAutospacing="0" w:after="0" w:afterAutospacing="0" w:line="240" w:lineRule="auto"/>
                    <w:ind w:left="72" w:right="42"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监测项目</w:t>
                  </w:r>
                </w:p>
              </w:tc>
              <w:tc>
                <w:tcPr>
                  <w:tcW w:w="696" w:type="pct"/>
                  <w:tcBorders>
                    <w:tl2br w:val="nil"/>
                    <w:tr2bl w:val="nil"/>
                  </w:tcBorders>
                  <w:noWrap w:val="0"/>
                  <w:vAlign w:val="center"/>
                </w:tcPr>
                <w:p w14:paraId="036F8F71">
                  <w:pPr>
                    <w:pStyle w:val="57"/>
                    <w:keepNext w:val="0"/>
                    <w:keepLines w:val="0"/>
                    <w:pageBreakBefore w:val="0"/>
                    <w:widowControl w:val="0"/>
                    <w:suppressLineNumbers w:val="0"/>
                    <w:kinsoku/>
                    <w:wordWrap/>
                    <w:overflowPunct/>
                    <w:topLinePunct w:val="0"/>
                    <w:autoSpaceDE/>
                    <w:autoSpaceDN/>
                    <w:bidi w:val="0"/>
                    <w:adjustRightInd w:val="0"/>
                    <w:snapToGrid w:val="0"/>
                    <w:spacing w:before="6" w:beforeAutospacing="0" w:after="0" w:afterAutospacing="0" w:line="240" w:lineRule="auto"/>
                    <w:ind w:left="53" w:right="27"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监测频率</w:t>
                  </w:r>
                </w:p>
              </w:tc>
              <w:tc>
                <w:tcPr>
                  <w:tcW w:w="1728" w:type="pct"/>
                  <w:tcBorders>
                    <w:tl2br w:val="nil"/>
                    <w:tr2bl w:val="nil"/>
                  </w:tcBorders>
                  <w:noWrap w:val="0"/>
                  <w:vAlign w:val="center"/>
                </w:tcPr>
                <w:p w14:paraId="610E4EB6">
                  <w:pPr>
                    <w:pStyle w:val="57"/>
                    <w:keepNext w:val="0"/>
                    <w:keepLines w:val="0"/>
                    <w:pageBreakBefore w:val="0"/>
                    <w:widowControl w:val="0"/>
                    <w:suppressLineNumbers w:val="0"/>
                    <w:kinsoku/>
                    <w:wordWrap/>
                    <w:overflowPunct/>
                    <w:topLinePunct w:val="0"/>
                    <w:autoSpaceDE/>
                    <w:autoSpaceDN/>
                    <w:bidi w:val="0"/>
                    <w:adjustRightInd w:val="0"/>
                    <w:snapToGrid w:val="0"/>
                    <w:spacing w:before="6" w:beforeAutospacing="0" w:after="0" w:afterAutospacing="0" w:line="240" w:lineRule="auto"/>
                    <w:ind w:left="63" w:right="38"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排放标准</w:t>
                  </w:r>
                </w:p>
              </w:tc>
            </w:tr>
            <w:tr w14:paraId="06C27AA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86" w:hRule="atLeast"/>
                <w:jc w:val="center"/>
              </w:trPr>
              <w:tc>
                <w:tcPr>
                  <w:tcW w:w="1414" w:type="pct"/>
                  <w:tcBorders>
                    <w:tl2br w:val="nil"/>
                    <w:tr2bl w:val="nil"/>
                  </w:tcBorders>
                  <w:noWrap w:val="0"/>
                  <w:vAlign w:val="center"/>
                </w:tcPr>
                <w:p w14:paraId="5E6C9549">
                  <w:pPr>
                    <w:pStyle w:val="1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b w:val="0"/>
                      <w:bCs w:val="0"/>
                      <w:color w:val="000000" w:themeColor="text1"/>
                      <w:sz w:val="21"/>
                      <w:szCs w:val="21"/>
                      <w:vertAlign w:val="baseline"/>
                      <w:lang w:val="en-US" w:eastAsia="zh-CN"/>
                      <w14:textFill>
                        <w14:solidFill>
                          <w14:schemeClr w14:val="tx1"/>
                        </w14:solidFill>
                      </w14:textFill>
                    </w:rPr>
                    <w:t>1#诊疗室动物诊疗废水处理设施排口</w:t>
                  </w:r>
                </w:p>
              </w:tc>
              <w:tc>
                <w:tcPr>
                  <w:tcW w:w="1160" w:type="pct"/>
                  <w:vMerge w:val="restart"/>
                  <w:tcBorders>
                    <w:tl2br w:val="nil"/>
                    <w:tr2bl w:val="nil"/>
                  </w:tcBorders>
                  <w:noWrap w:val="0"/>
                  <w:vAlign w:val="center"/>
                </w:tcPr>
                <w:p w14:paraId="6EFB6409">
                  <w:pPr>
                    <w:pStyle w:val="57"/>
                    <w:keepNext w:val="0"/>
                    <w:keepLines w:val="0"/>
                    <w:pageBreakBefore w:val="0"/>
                    <w:widowControl w:val="0"/>
                    <w:suppressLineNumbers w:val="0"/>
                    <w:kinsoku/>
                    <w:wordWrap/>
                    <w:overflowPunct/>
                    <w:topLinePunct w:val="0"/>
                    <w:autoSpaceDE/>
                    <w:autoSpaceDN/>
                    <w:bidi w:val="0"/>
                    <w:adjustRightInd w:val="0"/>
                    <w:snapToGrid w:val="0"/>
                    <w:spacing w:before="15" w:beforeAutospacing="0" w:after="0" w:afterAutospacing="0" w:line="240" w:lineRule="auto"/>
                    <w:ind w:left="72" w:right="41"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pH</w:t>
                  </w:r>
                  <w:r>
                    <w:rPr>
                      <w:rFonts w:hint="eastAsia" w:ascii="Times New Roman" w:hAnsi="Times New Roman" w:cs="Times New Roman"/>
                      <w:sz w:val="21"/>
                      <w:szCs w:val="21"/>
                      <w:lang w:eastAsia="zh-CN"/>
                    </w:rPr>
                    <w:t>、</w:t>
                  </w:r>
                  <w:r>
                    <w:rPr>
                      <w:rFonts w:hint="default" w:ascii="Times New Roman" w:hAnsi="Times New Roman" w:eastAsia="Times New Roman" w:cs="Times New Roman"/>
                      <w:sz w:val="21"/>
                      <w:szCs w:val="21"/>
                    </w:rPr>
                    <w:t>COD</w:t>
                  </w:r>
                  <w:r>
                    <w:rPr>
                      <w:rFonts w:hint="default" w:ascii="Times New Roman" w:hAnsi="Times New Roman" w:cs="Times New Roman"/>
                      <w:sz w:val="21"/>
                      <w:szCs w:val="21"/>
                    </w:rPr>
                    <w:t>、</w:t>
                  </w:r>
                  <w:r>
                    <w:rPr>
                      <w:rFonts w:hint="default" w:ascii="Times New Roman" w:hAnsi="Times New Roman" w:eastAsia="Times New Roman" w:cs="Times New Roman"/>
                      <w:sz w:val="21"/>
                      <w:szCs w:val="21"/>
                    </w:rPr>
                    <w:t>SS</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BOD</w:t>
                  </w:r>
                  <w:r>
                    <w:rPr>
                      <w:rFonts w:hint="eastAsia" w:ascii="Times New Roman" w:hAnsi="Times New Roman" w:eastAsia="宋体" w:cs="Times New Roman"/>
                      <w:sz w:val="21"/>
                      <w:szCs w:val="21"/>
                      <w:vertAlign w:val="subscript"/>
                      <w:lang w:val="en-US" w:eastAsia="zh-CN"/>
                    </w:rPr>
                    <w:t>5</w:t>
                  </w:r>
                  <w:r>
                    <w:rPr>
                      <w:rFonts w:hint="eastAsia" w:ascii="Times New Roman" w:hAnsi="Times New Roman" w:cs="Times New Roman"/>
                      <w:sz w:val="21"/>
                      <w:szCs w:val="21"/>
                      <w:vertAlign w:val="subscript"/>
                      <w:lang w:val="en-US" w:eastAsia="zh-CN"/>
                    </w:rPr>
                    <w:t>、</w:t>
                  </w:r>
                  <w:r>
                    <w:rPr>
                      <w:rFonts w:hint="eastAsia" w:ascii="Times New Roman" w:hAnsi="Times New Roman" w:cs="Times New Roman"/>
                      <w:sz w:val="21"/>
                      <w:szCs w:val="21"/>
                      <w:lang w:val="en-US" w:eastAsia="zh-CN"/>
                    </w:rPr>
                    <w:t>粪</w:t>
                  </w:r>
                  <w:r>
                    <w:rPr>
                      <w:rFonts w:hint="default" w:ascii="Times New Roman" w:hAnsi="Times New Roman" w:cs="Times New Roman"/>
                      <w:sz w:val="21"/>
                      <w:szCs w:val="21"/>
                    </w:rPr>
                    <w:t>大肠菌群</w:t>
                  </w:r>
                  <w:r>
                    <w:rPr>
                      <w:rFonts w:hint="eastAsia"/>
                      <w:sz w:val="21"/>
                      <w:szCs w:val="21"/>
                      <w:lang w:val="en-US" w:eastAsia="zh-CN"/>
                    </w:rPr>
                    <w:t>数</w:t>
                  </w:r>
                  <w:r>
                    <w:rPr>
                      <w:rFonts w:hint="eastAsia" w:ascii="Times New Roman" w:hAnsi="Times New Roman" w:cs="Times New Roman"/>
                      <w:sz w:val="21"/>
                      <w:szCs w:val="21"/>
                      <w:lang w:val="en-US" w:eastAsia="zh-CN"/>
                    </w:rPr>
                    <w:t>、总余氯</w:t>
                  </w:r>
                </w:p>
              </w:tc>
              <w:tc>
                <w:tcPr>
                  <w:tcW w:w="696" w:type="pct"/>
                  <w:vMerge w:val="restart"/>
                  <w:tcBorders>
                    <w:tl2br w:val="nil"/>
                    <w:tr2bl w:val="nil"/>
                  </w:tcBorders>
                  <w:noWrap w:val="0"/>
                  <w:vAlign w:val="center"/>
                </w:tcPr>
                <w:p w14:paraId="56A088A8">
                  <w:pPr>
                    <w:pStyle w:val="57"/>
                    <w:keepNext w:val="0"/>
                    <w:keepLines w:val="0"/>
                    <w:pageBreakBefore w:val="0"/>
                    <w:widowControl w:val="0"/>
                    <w:suppressLineNumbers w:val="0"/>
                    <w:kinsoku/>
                    <w:wordWrap/>
                    <w:overflowPunct/>
                    <w:topLinePunct w:val="0"/>
                    <w:autoSpaceDE/>
                    <w:autoSpaceDN/>
                    <w:bidi w:val="0"/>
                    <w:adjustRightInd w:val="0"/>
                    <w:snapToGrid w:val="0"/>
                    <w:spacing w:before="1" w:beforeAutospacing="0" w:after="0" w:afterAutospacing="0" w:line="240" w:lineRule="auto"/>
                    <w:ind w:left="54" w:right="27"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1次/年</w:t>
                  </w:r>
                </w:p>
              </w:tc>
              <w:tc>
                <w:tcPr>
                  <w:tcW w:w="1728" w:type="pct"/>
                  <w:vMerge w:val="restart"/>
                  <w:tcBorders>
                    <w:tl2br w:val="nil"/>
                    <w:tr2bl w:val="nil"/>
                  </w:tcBorders>
                  <w:noWrap w:val="0"/>
                  <w:vAlign w:val="center"/>
                </w:tcPr>
                <w:p w14:paraId="0AB4648A">
                  <w:pPr>
                    <w:pStyle w:val="57"/>
                    <w:keepNext w:val="0"/>
                    <w:keepLines w:val="0"/>
                    <w:pageBreakBefore w:val="0"/>
                    <w:widowControl w:val="0"/>
                    <w:suppressLineNumbers w:val="0"/>
                    <w:kinsoku/>
                    <w:wordWrap/>
                    <w:overflowPunct/>
                    <w:topLinePunct w:val="0"/>
                    <w:autoSpaceDE/>
                    <w:autoSpaceDN/>
                    <w:bidi w:val="0"/>
                    <w:adjustRightInd w:val="0"/>
                    <w:snapToGrid w:val="0"/>
                    <w:spacing w:before="4" w:beforeAutospacing="0" w:after="0" w:afterAutospacing="0" w:line="240" w:lineRule="auto"/>
                    <w:ind w:left="63" w:right="35" w:firstLine="0" w:firstLineChars="0"/>
                    <w:jc w:val="center"/>
                    <w:textAlignment w:val="auto"/>
                    <w:rPr>
                      <w:rFonts w:hint="default" w:ascii="Times New Roman" w:hAnsi="Times New Roman" w:cs="Times New Roman"/>
                      <w:color w:val="00B050"/>
                      <w:sz w:val="21"/>
                      <w:szCs w:val="21"/>
                      <w:lang w:val="en-US"/>
                    </w:rPr>
                  </w:pPr>
                  <w:r>
                    <w:rPr>
                      <w:rFonts w:hint="default" w:ascii="Times New Roman" w:hAnsi="Times New Roman" w:cs="Times New Roman"/>
                      <w:color w:val="auto"/>
                      <w:sz w:val="21"/>
                      <w:szCs w:val="21"/>
                    </w:rPr>
                    <w:t>《医疗机构水污染物排放标准》（</w:t>
                  </w:r>
                  <w:r>
                    <w:rPr>
                      <w:rFonts w:hint="default" w:ascii="Times New Roman" w:hAnsi="Times New Roman" w:eastAsia="Times New Roman" w:cs="Times New Roman"/>
                      <w:color w:val="auto"/>
                      <w:sz w:val="21"/>
                      <w:szCs w:val="21"/>
                    </w:rPr>
                    <w:t>GB18466-2005</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eastAsia="zh-CN"/>
                    </w:rPr>
                    <w:t>表</w:t>
                  </w:r>
                  <w:r>
                    <w:rPr>
                      <w:rFonts w:hint="default" w:ascii="Times New Roman" w:hAnsi="Times New Roman" w:cs="Times New Roman"/>
                      <w:color w:val="auto"/>
                      <w:sz w:val="21"/>
                      <w:szCs w:val="21"/>
                      <w:lang w:val="en-US" w:eastAsia="zh-CN"/>
                    </w:rPr>
                    <w:t>2中预处理标准</w:t>
                  </w:r>
                  <w:r>
                    <w:rPr>
                      <w:rFonts w:hint="eastAsia" w:ascii="Times New Roman" w:hAnsi="Times New Roman" w:cs="Times New Roman"/>
                      <w:color w:val="auto"/>
                      <w:sz w:val="21"/>
                      <w:szCs w:val="21"/>
                      <w:lang w:val="en-US" w:eastAsia="zh-CN"/>
                    </w:rPr>
                    <w:t>限值</w:t>
                  </w:r>
                </w:p>
              </w:tc>
            </w:tr>
            <w:tr w14:paraId="33F7F18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024" w:hRule="atLeast"/>
                <w:jc w:val="center"/>
              </w:trPr>
              <w:tc>
                <w:tcPr>
                  <w:tcW w:w="1414" w:type="pct"/>
                  <w:tcBorders>
                    <w:tl2br w:val="nil"/>
                    <w:tr2bl w:val="nil"/>
                  </w:tcBorders>
                  <w:noWrap w:val="0"/>
                  <w:vAlign w:val="center"/>
                </w:tcPr>
                <w:p w14:paraId="46412358">
                  <w:pPr>
                    <w:pStyle w:val="1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b w:val="0"/>
                      <w:bCs w:val="0"/>
                      <w:color w:val="000000" w:themeColor="text1"/>
                      <w:sz w:val="21"/>
                      <w:szCs w:val="21"/>
                      <w:vertAlign w:val="baseline"/>
                      <w:lang w:val="en-US" w:eastAsia="zh-CN"/>
                      <w14:textFill>
                        <w14:solidFill>
                          <w14:schemeClr w14:val="tx1"/>
                        </w14:solidFill>
                      </w14:textFill>
                    </w:rPr>
                    <w:t>2#诊疗室动物诊疗废水处理设施排口</w:t>
                  </w:r>
                </w:p>
              </w:tc>
              <w:tc>
                <w:tcPr>
                  <w:tcW w:w="1160" w:type="pct"/>
                  <w:vMerge w:val="continue"/>
                  <w:tcBorders>
                    <w:tl2br w:val="nil"/>
                    <w:tr2bl w:val="nil"/>
                  </w:tcBorders>
                  <w:noWrap w:val="0"/>
                  <w:vAlign w:val="center"/>
                </w:tcPr>
                <w:p w14:paraId="432B1D71">
                  <w:pPr>
                    <w:pStyle w:val="57"/>
                    <w:keepNext w:val="0"/>
                    <w:keepLines w:val="0"/>
                    <w:pageBreakBefore w:val="0"/>
                    <w:widowControl w:val="0"/>
                    <w:suppressLineNumbers w:val="0"/>
                    <w:kinsoku/>
                    <w:wordWrap/>
                    <w:overflowPunct/>
                    <w:topLinePunct w:val="0"/>
                    <w:autoSpaceDE/>
                    <w:autoSpaceDN/>
                    <w:bidi w:val="0"/>
                    <w:adjustRightInd w:val="0"/>
                    <w:snapToGrid w:val="0"/>
                    <w:spacing w:before="1" w:beforeAutospacing="0" w:after="0" w:afterAutospacing="0" w:line="240" w:lineRule="auto"/>
                    <w:ind w:left="71" w:right="42" w:firstLine="0" w:firstLineChars="0"/>
                    <w:jc w:val="center"/>
                    <w:textAlignment w:val="auto"/>
                    <w:rPr>
                      <w:rFonts w:hint="eastAsia" w:ascii="Times New Roman" w:hAnsi="Times New Roman" w:cs="Times New Roman"/>
                      <w:sz w:val="21"/>
                      <w:szCs w:val="21"/>
                      <w:lang w:val="en-US" w:eastAsia="zh-CN"/>
                    </w:rPr>
                  </w:pPr>
                </w:p>
              </w:tc>
              <w:tc>
                <w:tcPr>
                  <w:tcW w:w="696" w:type="pct"/>
                  <w:vMerge w:val="continue"/>
                  <w:tcBorders>
                    <w:tl2br w:val="nil"/>
                    <w:tr2bl w:val="nil"/>
                  </w:tcBorders>
                  <w:noWrap w:val="0"/>
                  <w:vAlign w:val="center"/>
                </w:tcPr>
                <w:p w14:paraId="2E0964D2">
                  <w:pPr>
                    <w:pStyle w:val="57"/>
                    <w:keepNext w:val="0"/>
                    <w:keepLines w:val="0"/>
                    <w:pageBreakBefore w:val="0"/>
                    <w:widowControl w:val="0"/>
                    <w:suppressLineNumbers w:val="0"/>
                    <w:kinsoku/>
                    <w:wordWrap/>
                    <w:overflowPunct/>
                    <w:topLinePunct w:val="0"/>
                    <w:autoSpaceDE/>
                    <w:autoSpaceDN/>
                    <w:bidi w:val="0"/>
                    <w:adjustRightInd w:val="0"/>
                    <w:snapToGrid w:val="0"/>
                    <w:spacing w:before="1" w:beforeAutospacing="0" w:after="0" w:afterAutospacing="0" w:line="240" w:lineRule="auto"/>
                    <w:ind w:left="54" w:right="27" w:firstLine="0" w:firstLineChars="0"/>
                    <w:jc w:val="center"/>
                    <w:textAlignment w:val="auto"/>
                    <w:rPr>
                      <w:rFonts w:hint="eastAsia" w:ascii="Times New Roman" w:hAnsi="Times New Roman" w:eastAsia="宋体" w:cs="Times New Roman"/>
                      <w:sz w:val="21"/>
                      <w:szCs w:val="21"/>
                      <w:lang w:val="en-US" w:eastAsia="zh-CN"/>
                    </w:rPr>
                  </w:pPr>
                </w:p>
              </w:tc>
              <w:tc>
                <w:tcPr>
                  <w:tcW w:w="1728" w:type="pct"/>
                  <w:vMerge w:val="continue"/>
                  <w:tcBorders>
                    <w:tl2br w:val="nil"/>
                    <w:tr2bl w:val="nil"/>
                  </w:tcBorders>
                  <w:noWrap w:val="0"/>
                  <w:vAlign w:val="center"/>
                </w:tcPr>
                <w:p w14:paraId="43FA2B95">
                  <w:pPr>
                    <w:pStyle w:val="57"/>
                    <w:keepNext w:val="0"/>
                    <w:keepLines w:val="0"/>
                    <w:pageBreakBefore w:val="0"/>
                    <w:widowControl w:val="0"/>
                    <w:suppressLineNumbers w:val="0"/>
                    <w:kinsoku/>
                    <w:wordWrap/>
                    <w:overflowPunct/>
                    <w:topLinePunct w:val="0"/>
                    <w:autoSpaceDE/>
                    <w:autoSpaceDN/>
                    <w:bidi w:val="0"/>
                    <w:adjustRightInd w:val="0"/>
                    <w:snapToGrid w:val="0"/>
                    <w:spacing w:before="4" w:beforeAutospacing="0" w:after="0" w:afterAutospacing="0" w:line="240" w:lineRule="auto"/>
                    <w:ind w:left="63" w:right="35" w:firstLine="0" w:firstLineChars="0"/>
                    <w:jc w:val="center"/>
                    <w:textAlignment w:val="auto"/>
                    <w:rPr>
                      <w:rFonts w:hint="default" w:ascii="Times New Roman" w:hAnsi="Times New Roman" w:cs="Times New Roman"/>
                      <w:color w:val="auto"/>
                      <w:sz w:val="21"/>
                      <w:szCs w:val="21"/>
                    </w:rPr>
                  </w:pPr>
                </w:p>
              </w:tc>
            </w:tr>
            <w:tr w14:paraId="45D7E47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334" w:hRule="atLeast"/>
                <w:jc w:val="center"/>
              </w:trPr>
              <w:tc>
                <w:tcPr>
                  <w:tcW w:w="1414" w:type="pct"/>
                  <w:tcBorders>
                    <w:tl2br w:val="nil"/>
                    <w:tr2bl w:val="nil"/>
                  </w:tcBorders>
                  <w:noWrap w:val="0"/>
                  <w:vAlign w:val="center"/>
                </w:tcPr>
                <w:p w14:paraId="561100A5">
                  <w:pPr>
                    <w:pStyle w:val="1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b w:val="0"/>
                      <w:bCs w:val="0"/>
                      <w:color w:val="000000" w:themeColor="text1"/>
                      <w:sz w:val="21"/>
                      <w:szCs w:val="21"/>
                      <w:vertAlign w:val="baseline"/>
                      <w:lang w:val="en-US" w:eastAsia="zh-CN"/>
                      <w14:textFill>
                        <w14:solidFill>
                          <w14:schemeClr w14:val="tx1"/>
                        </w14:solidFill>
                      </w14:textFill>
                    </w:rPr>
                    <w:t>手术室动物诊疗废水处理设施排口</w:t>
                  </w:r>
                </w:p>
              </w:tc>
              <w:tc>
                <w:tcPr>
                  <w:tcW w:w="1160" w:type="pct"/>
                  <w:vMerge w:val="continue"/>
                  <w:tcBorders>
                    <w:tl2br w:val="nil"/>
                    <w:tr2bl w:val="nil"/>
                  </w:tcBorders>
                  <w:noWrap w:val="0"/>
                  <w:vAlign w:val="center"/>
                </w:tcPr>
                <w:p w14:paraId="72B07658">
                  <w:pPr>
                    <w:pStyle w:val="57"/>
                    <w:keepNext w:val="0"/>
                    <w:keepLines w:val="0"/>
                    <w:pageBreakBefore w:val="0"/>
                    <w:widowControl w:val="0"/>
                    <w:suppressLineNumbers w:val="0"/>
                    <w:kinsoku/>
                    <w:wordWrap/>
                    <w:overflowPunct/>
                    <w:topLinePunct w:val="0"/>
                    <w:autoSpaceDE/>
                    <w:autoSpaceDN/>
                    <w:bidi w:val="0"/>
                    <w:adjustRightInd w:val="0"/>
                    <w:snapToGrid w:val="0"/>
                    <w:spacing w:before="1" w:beforeAutospacing="0" w:after="0" w:afterAutospacing="0" w:line="240" w:lineRule="auto"/>
                    <w:ind w:left="71" w:right="42" w:firstLine="0" w:firstLineChars="0"/>
                    <w:jc w:val="center"/>
                    <w:textAlignment w:val="auto"/>
                    <w:rPr>
                      <w:rFonts w:hint="eastAsia" w:ascii="Times New Roman" w:hAnsi="Times New Roman" w:cs="Times New Roman"/>
                      <w:sz w:val="21"/>
                      <w:szCs w:val="21"/>
                      <w:lang w:val="en-US" w:eastAsia="zh-CN"/>
                    </w:rPr>
                  </w:pPr>
                </w:p>
              </w:tc>
              <w:tc>
                <w:tcPr>
                  <w:tcW w:w="696" w:type="pct"/>
                  <w:vMerge w:val="continue"/>
                  <w:tcBorders>
                    <w:tl2br w:val="nil"/>
                    <w:tr2bl w:val="nil"/>
                  </w:tcBorders>
                  <w:noWrap w:val="0"/>
                  <w:vAlign w:val="center"/>
                </w:tcPr>
                <w:p w14:paraId="04A753E9">
                  <w:pPr>
                    <w:pStyle w:val="57"/>
                    <w:keepNext w:val="0"/>
                    <w:keepLines w:val="0"/>
                    <w:pageBreakBefore w:val="0"/>
                    <w:widowControl w:val="0"/>
                    <w:suppressLineNumbers w:val="0"/>
                    <w:kinsoku/>
                    <w:wordWrap/>
                    <w:overflowPunct/>
                    <w:topLinePunct w:val="0"/>
                    <w:autoSpaceDE/>
                    <w:autoSpaceDN/>
                    <w:bidi w:val="0"/>
                    <w:adjustRightInd w:val="0"/>
                    <w:snapToGrid w:val="0"/>
                    <w:spacing w:before="1" w:beforeAutospacing="0" w:after="0" w:afterAutospacing="0" w:line="240" w:lineRule="auto"/>
                    <w:ind w:left="54" w:right="27" w:firstLine="0" w:firstLineChars="0"/>
                    <w:jc w:val="center"/>
                    <w:textAlignment w:val="auto"/>
                    <w:rPr>
                      <w:rFonts w:hint="eastAsia" w:ascii="Times New Roman" w:hAnsi="Times New Roman" w:eastAsia="宋体" w:cs="Times New Roman"/>
                      <w:sz w:val="21"/>
                      <w:szCs w:val="21"/>
                      <w:lang w:val="en-US" w:eastAsia="zh-CN"/>
                    </w:rPr>
                  </w:pPr>
                </w:p>
              </w:tc>
              <w:tc>
                <w:tcPr>
                  <w:tcW w:w="1728" w:type="pct"/>
                  <w:vMerge w:val="continue"/>
                  <w:tcBorders>
                    <w:tl2br w:val="nil"/>
                    <w:tr2bl w:val="nil"/>
                  </w:tcBorders>
                  <w:noWrap w:val="0"/>
                  <w:vAlign w:val="center"/>
                </w:tcPr>
                <w:p w14:paraId="485E71E7">
                  <w:pPr>
                    <w:pStyle w:val="57"/>
                    <w:keepNext w:val="0"/>
                    <w:keepLines w:val="0"/>
                    <w:pageBreakBefore w:val="0"/>
                    <w:widowControl w:val="0"/>
                    <w:suppressLineNumbers w:val="0"/>
                    <w:kinsoku/>
                    <w:wordWrap/>
                    <w:overflowPunct/>
                    <w:topLinePunct w:val="0"/>
                    <w:autoSpaceDE/>
                    <w:autoSpaceDN/>
                    <w:bidi w:val="0"/>
                    <w:adjustRightInd w:val="0"/>
                    <w:snapToGrid w:val="0"/>
                    <w:spacing w:before="4" w:beforeAutospacing="0" w:after="0" w:afterAutospacing="0" w:line="240" w:lineRule="auto"/>
                    <w:ind w:left="63" w:right="35" w:firstLine="0" w:firstLineChars="0"/>
                    <w:jc w:val="center"/>
                    <w:textAlignment w:val="auto"/>
                    <w:rPr>
                      <w:rFonts w:hint="default" w:ascii="Times New Roman" w:hAnsi="Times New Roman" w:cs="Times New Roman"/>
                      <w:color w:val="auto"/>
                      <w:sz w:val="21"/>
                      <w:szCs w:val="21"/>
                    </w:rPr>
                  </w:pPr>
                </w:p>
              </w:tc>
            </w:tr>
          </w:tbl>
          <w:p w14:paraId="4BB5837E">
            <w:pPr>
              <w:pStyle w:val="1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textAlignment w:val="auto"/>
              <w:rPr>
                <w:rFonts w:hint="default"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3、</w:t>
            </w:r>
            <w:r>
              <w:rPr>
                <w:rFonts w:hint="default" w:ascii="Times New Roman" w:hAnsi="Times New Roman" w:eastAsia="宋体" w:cs="Times New Roman"/>
                <w:b/>
                <w:bCs/>
                <w:sz w:val="24"/>
                <w:szCs w:val="24"/>
                <w:highlight w:val="none"/>
                <w:lang w:val="en-US" w:eastAsia="zh-CN"/>
              </w:rPr>
              <w:t>噪声</w:t>
            </w:r>
          </w:p>
          <w:p w14:paraId="49411233">
            <w:pPr>
              <w:pStyle w:val="6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2" w:firstLineChars="200"/>
              <w:textAlignment w:val="auto"/>
              <w:rPr>
                <w:rFonts w:hint="eastAsia"/>
                <w:b/>
                <w:bCs w:val="0"/>
                <w:color w:val="000000" w:themeColor="text1"/>
                <w:lang w:val="en-US" w:eastAsia="zh-CN"/>
                <w14:textFill>
                  <w14:solidFill>
                    <w14:schemeClr w14:val="tx1"/>
                  </w14:solidFill>
                </w14:textFill>
              </w:rPr>
            </w:pPr>
            <w:r>
              <w:rPr>
                <w:rFonts w:hint="eastAsia"/>
                <w:b/>
                <w:bCs w:val="0"/>
                <w:color w:val="000000" w:themeColor="text1"/>
                <w:lang w:val="en-US" w:eastAsia="zh-CN"/>
                <w14:textFill>
                  <w14:solidFill>
                    <w14:schemeClr w14:val="tx1"/>
                  </w14:solidFill>
                </w14:textFill>
              </w:rPr>
              <w:t>3.1</w:t>
            </w:r>
            <w:r>
              <w:rPr>
                <w:rFonts w:hint="default" w:cs="Times New Roman"/>
                <w:b/>
                <w:bCs w:val="0"/>
              </w:rPr>
              <w:t>噪声</w:t>
            </w:r>
            <w:r>
              <w:rPr>
                <w:rFonts w:hint="default" w:cs="Times New Roman"/>
                <w:b/>
                <w:bCs w:val="0"/>
                <w:lang w:eastAsia="zh-CN"/>
              </w:rPr>
              <w:t>源强分析</w:t>
            </w:r>
          </w:p>
          <w:p w14:paraId="092E550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cs="Times New Roman"/>
                <w:color w:val="000000" w:themeColor="text1"/>
                <w:kern w:val="2"/>
                <w:sz w:val="24"/>
                <w:szCs w:val="24"/>
                <w:highlight w:val="none"/>
                <w:lang w:val="en-US" w:eastAsia="zh-CN" w:bidi="ar-SA"/>
                <w14:textFill>
                  <w14:solidFill>
                    <w14:schemeClr w14:val="tx1"/>
                  </w14:solidFill>
                </w14:textFill>
              </w:rPr>
              <w:t>项</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目主要设备为常用医疗设备，运行过程中基本无噪声产生，</w:t>
            </w:r>
            <w:r>
              <w:rPr>
                <w:rFonts w:hint="eastAsia" w:cs="Times New Roman"/>
                <w:color w:val="000000" w:themeColor="text1"/>
                <w:kern w:val="2"/>
                <w:sz w:val="24"/>
                <w:szCs w:val="24"/>
                <w:highlight w:val="none"/>
                <w:lang w:val="en-US" w:eastAsia="zh-CN" w:bidi="ar-SA"/>
                <w14:textFill>
                  <w14:solidFill>
                    <w14:schemeClr w14:val="tx1"/>
                  </w14:solidFill>
                </w14:textFill>
              </w:rPr>
              <w:t>宠物诊疗</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废水处理装置噪声很小，可忽略不计。宠物就诊后病情轻者可直接离开，病情严重的宠物需安排住院观察，主要噪声为宠物叫声，偶发性宠物叫声，具有不定时性和突发性，噪声值约为60-70dB</w:t>
            </w:r>
            <w:r>
              <w:rPr>
                <w:rFonts w:hint="eastAsia" w:cs="Times New Roman"/>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A</w:t>
            </w:r>
            <w:r>
              <w:rPr>
                <w:rFonts w:hint="eastAsia" w:cs="Times New Roman"/>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，持续时间较短。主要噪声源强情况详见</w:t>
            </w:r>
            <w:r>
              <w:rPr>
                <w:rFonts w:hint="eastAsia" w:cs="Times New Roman"/>
                <w:color w:val="000000" w:themeColor="text1"/>
                <w:kern w:val="2"/>
                <w:sz w:val="24"/>
                <w:szCs w:val="24"/>
                <w:highlight w:val="none"/>
                <w:lang w:val="en-US" w:eastAsia="zh-CN" w:bidi="ar-SA"/>
                <w14:textFill>
                  <w14:solidFill>
                    <w14:schemeClr w14:val="tx1"/>
                  </w14:solidFill>
                </w14:textFill>
              </w:rPr>
              <w:t>下表</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p>
          <w:p w14:paraId="3392EB3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2" w:firstLineChars="200"/>
              <w:jc w:val="both"/>
              <w:textAlignment w:val="auto"/>
              <w:rPr>
                <w:rFonts w:hint="default"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t>表</w:t>
            </w:r>
            <w:r>
              <w:rPr>
                <w:rFonts w:hint="eastAsia" w:cs="Times New Roman"/>
                <w:b/>
                <w:bCs/>
                <w:color w:val="000000" w:themeColor="text1"/>
                <w:kern w:val="2"/>
                <w:sz w:val="21"/>
                <w:szCs w:val="21"/>
                <w:highlight w:val="none"/>
                <w:lang w:val="en-US" w:eastAsia="zh-CN" w:bidi="ar-SA"/>
                <w14:textFill>
                  <w14:solidFill>
                    <w14:schemeClr w14:val="tx1"/>
                  </w14:solidFill>
                </w14:textFill>
              </w:rPr>
              <w:t>4-5</w:t>
            </w:r>
            <w:r>
              <w:rPr>
                <w:rFonts w:hint="default"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t xml:space="preserve">   </w:t>
            </w:r>
            <w:r>
              <w:rPr>
                <w:rFonts w:hint="eastAsia" w:cs="Times New Roman"/>
                <w:b/>
                <w:bCs/>
                <w:color w:val="000000" w:themeColor="text1"/>
                <w:kern w:val="2"/>
                <w:sz w:val="21"/>
                <w:szCs w:val="21"/>
                <w:highlight w:val="none"/>
                <w:lang w:val="en-US" w:eastAsia="zh-CN" w:bidi="ar-SA"/>
                <w14:textFill>
                  <w14:solidFill>
                    <w14:schemeClr w14:val="tx1"/>
                  </w14:solidFill>
                </w14:textFill>
              </w:rPr>
              <w:t xml:space="preserve">  </w:t>
            </w:r>
            <w:r>
              <w:rPr>
                <w:rFonts w:hint="default"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t xml:space="preserve">工业企业噪声源强调查清单（室内声源）    </w:t>
            </w:r>
            <w:r>
              <w:rPr>
                <w:rFonts w:hint="eastAsia"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t xml:space="preserve">        </w:t>
            </w:r>
            <w:r>
              <w:rPr>
                <w:rFonts w:hint="default"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t xml:space="preserve">    单位：dB（A）</w:t>
            </w:r>
          </w:p>
          <w:tbl>
            <w:tblPr>
              <w:tblStyle w:val="31"/>
              <w:tblW w:w="820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70"/>
              <w:gridCol w:w="371"/>
              <w:gridCol w:w="371"/>
              <w:gridCol w:w="341"/>
              <w:gridCol w:w="539"/>
              <w:gridCol w:w="380"/>
              <w:gridCol w:w="386"/>
              <w:gridCol w:w="225"/>
              <w:gridCol w:w="220"/>
              <w:gridCol w:w="302"/>
              <w:gridCol w:w="302"/>
              <w:gridCol w:w="303"/>
              <w:gridCol w:w="302"/>
              <w:gridCol w:w="302"/>
              <w:gridCol w:w="302"/>
              <w:gridCol w:w="302"/>
              <w:gridCol w:w="286"/>
              <w:gridCol w:w="234"/>
              <w:gridCol w:w="307"/>
              <w:gridCol w:w="336"/>
              <w:gridCol w:w="322"/>
              <w:gridCol w:w="278"/>
              <w:gridCol w:w="336"/>
              <w:gridCol w:w="292"/>
              <w:gridCol w:w="263"/>
              <w:gridCol w:w="234"/>
            </w:tblGrid>
            <w:tr w14:paraId="2B169E6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93" w:hRule="exact"/>
                <w:jc w:val="center"/>
              </w:trPr>
              <w:tc>
                <w:tcPr>
                  <w:tcW w:w="225" w:type="pct"/>
                  <w:vMerge w:val="restart"/>
                  <w:tcBorders>
                    <w:tl2br w:val="nil"/>
                    <w:tr2bl w:val="nil"/>
                  </w:tcBorders>
                  <w:shd w:val="clear" w:color="auto" w:fill="auto"/>
                  <w:vAlign w:val="center"/>
                </w:tcPr>
                <w:p w14:paraId="78F3451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序号</w:t>
                  </w:r>
                </w:p>
              </w:tc>
              <w:tc>
                <w:tcPr>
                  <w:tcW w:w="226" w:type="pct"/>
                  <w:vMerge w:val="restart"/>
                  <w:tcBorders>
                    <w:tl2br w:val="nil"/>
                    <w:tr2bl w:val="nil"/>
                  </w:tcBorders>
                  <w:shd w:val="clear" w:color="auto" w:fill="auto"/>
                  <w:vAlign w:val="center"/>
                </w:tcPr>
                <w:p w14:paraId="2E55E30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建筑物名称</w:t>
                  </w:r>
                </w:p>
              </w:tc>
              <w:tc>
                <w:tcPr>
                  <w:tcW w:w="226" w:type="pct"/>
                  <w:vMerge w:val="restart"/>
                  <w:tcBorders>
                    <w:tl2br w:val="nil"/>
                    <w:tr2bl w:val="nil"/>
                  </w:tcBorders>
                  <w:shd w:val="clear" w:color="auto" w:fill="auto"/>
                  <w:vAlign w:val="center"/>
                </w:tcPr>
                <w:p w14:paraId="37082A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声源名称</w:t>
                  </w:r>
                </w:p>
              </w:tc>
              <w:tc>
                <w:tcPr>
                  <w:tcW w:w="207" w:type="pct"/>
                  <w:tcBorders>
                    <w:tl2br w:val="nil"/>
                    <w:tr2bl w:val="nil"/>
                  </w:tcBorders>
                  <w:shd w:val="clear" w:color="auto" w:fill="auto"/>
                  <w:vAlign w:val="center"/>
                </w:tcPr>
                <w:p w14:paraId="4EB1C06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声源源强</w:t>
                  </w:r>
                </w:p>
              </w:tc>
              <w:tc>
                <w:tcPr>
                  <w:tcW w:w="328" w:type="pct"/>
                  <w:vMerge w:val="restart"/>
                  <w:tcBorders>
                    <w:tl2br w:val="nil"/>
                    <w:tr2bl w:val="nil"/>
                  </w:tcBorders>
                  <w:shd w:val="clear" w:color="auto" w:fill="auto"/>
                  <w:vAlign w:val="center"/>
                </w:tcPr>
                <w:p w14:paraId="4B806EB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声源控制措施</w:t>
                  </w:r>
                </w:p>
              </w:tc>
              <w:tc>
                <w:tcPr>
                  <w:tcW w:w="603" w:type="pct"/>
                  <w:gridSpan w:val="3"/>
                  <w:tcBorders>
                    <w:tl2br w:val="nil"/>
                    <w:tr2bl w:val="nil"/>
                  </w:tcBorders>
                  <w:shd w:val="clear" w:color="auto" w:fill="auto"/>
                  <w:vAlign w:val="center"/>
                </w:tcPr>
                <w:p w14:paraId="0DCDE4C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空间相对位置/m</w:t>
                  </w:r>
                </w:p>
              </w:tc>
              <w:tc>
                <w:tcPr>
                  <w:tcW w:w="686" w:type="pct"/>
                  <w:gridSpan w:val="4"/>
                  <w:tcBorders>
                    <w:tl2br w:val="nil"/>
                    <w:tr2bl w:val="nil"/>
                  </w:tcBorders>
                  <w:shd w:val="clear" w:color="auto" w:fill="auto"/>
                  <w:vAlign w:val="center"/>
                </w:tcPr>
                <w:p w14:paraId="28E6382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距室内边界距离/m</w:t>
                  </w:r>
                </w:p>
              </w:tc>
              <w:tc>
                <w:tcPr>
                  <w:tcW w:w="736" w:type="pct"/>
                  <w:gridSpan w:val="4"/>
                  <w:tcBorders>
                    <w:tl2br w:val="nil"/>
                    <w:tr2bl w:val="nil"/>
                  </w:tcBorders>
                  <w:shd w:val="clear" w:color="auto" w:fill="auto"/>
                  <w:vAlign w:val="center"/>
                </w:tcPr>
                <w:p w14:paraId="16323D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室内边界声级/dB</w:t>
                  </w:r>
                  <w:r>
                    <w:rPr>
                      <w:rFonts w:hint="eastAsia" w:cs="Times New Roman"/>
                      <w:kern w:val="2"/>
                      <w:sz w:val="21"/>
                      <w:szCs w:val="21"/>
                      <w:lang w:eastAsia="zh-CN"/>
                    </w:rPr>
                    <w:t>（</w:t>
                  </w:r>
                  <w:r>
                    <w:rPr>
                      <w:rFonts w:hint="default" w:ascii="Times New Roman" w:hAnsi="Times New Roman" w:eastAsia="宋体" w:cs="Times New Roman"/>
                      <w:kern w:val="2"/>
                      <w:sz w:val="21"/>
                      <w:szCs w:val="21"/>
                      <w:lang w:eastAsia="zh-CN"/>
                    </w:rPr>
                    <w:t>A</w:t>
                  </w:r>
                  <w:r>
                    <w:rPr>
                      <w:rFonts w:hint="eastAsia" w:cs="Times New Roman"/>
                      <w:kern w:val="2"/>
                      <w:sz w:val="21"/>
                      <w:szCs w:val="21"/>
                      <w:lang w:eastAsia="zh-CN"/>
                    </w:rPr>
                    <w:t>）</w:t>
                  </w:r>
                </w:p>
              </w:tc>
              <w:tc>
                <w:tcPr>
                  <w:tcW w:w="174" w:type="pct"/>
                  <w:vMerge w:val="restart"/>
                  <w:tcBorders>
                    <w:tl2br w:val="nil"/>
                    <w:tr2bl w:val="nil"/>
                  </w:tcBorders>
                  <w:shd w:val="clear" w:color="auto" w:fill="auto"/>
                  <w:vAlign w:val="center"/>
                </w:tcPr>
                <w:p w14:paraId="41088B7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运行时段</w:t>
                  </w:r>
                </w:p>
              </w:tc>
              <w:tc>
                <w:tcPr>
                  <w:tcW w:w="730" w:type="pct"/>
                  <w:gridSpan w:val="4"/>
                  <w:tcBorders>
                    <w:tl2br w:val="nil"/>
                    <w:tr2bl w:val="nil"/>
                  </w:tcBorders>
                  <w:shd w:val="clear" w:color="auto" w:fill="auto"/>
                  <w:vAlign w:val="center"/>
                </w:tcPr>
                <w:p w14:paraId="1C05108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建筑物插入损失 / dB</w:t>
                  </w:r>
                  <w:r>
                    <w:rPr>
                      <w:rFonts w:hint="eastAsia" w:cs="Times New Roman"/>
                      <w:kern w:val="2"/>
                      <w:sz w:val="21"/>
                      <w:szCs w:val="21"/>
                      <w:lang w:eastAsia="zh-CN"/>
                    </w:rPr>
                    <w:t>（</w:t>
                  </w:r>
                  <w:r>
                    <w:rPr>
                      <w:rFonts w:hint="default" w:ascii="Times New Roman" w:hAnsi="Times New Roman" w:eastAsia="宋体" w:cs="Times New Roman"/>
                      <w:kern w:val="2"/>
                      <w:sz w:val="21"/>
                      <w:szCs w:val="21"/>
                      <w:lang w:eastAsia="zh-CN"/>
                    </w:rPr>
                    <w:t>A</w:t>
                  </w:r>
                  <w:r>
                    <w:rPr>
                      <w:rFonts w:hint="eastAsia" w:cs="Times New Roman"/>
                      <w:kern w:val="2"/>
                      <w:sz w:val="21"/>
                      <w:szCs w:val="21"/>
                      <w:lang w:eastAsia="zh-CN"/>
                    </w:rPr>
                    <w:t>）</w:t>
                  </w:r>
                </w:p>
              </w:tc>
              <w:tc>
                <w:tcPr>
                  <w:tcW w:w="854" w:type="pct"/>
                  <w:gridSpan w:val="5"/>
                  <w:tcBorders>
                    <w:tl2br w:val="nil"/>
                    <w:tr2bl w:val="nil"/>
                  </w:tcBorders>
                  <w:shd w:val="clear" w:color="auto" w:fill="auto"/>
                  <w:vAlign w:val="center"/>
                </w:tcPr>
                <w:p w14:paraId="5D74B64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建筑物外噪声声压级/dB</w:t>
                  </w:r>
                  <w:r>
                    <w:rPr>
                      <w:rFonts w:hint="eastAsia" w:cs="Times New Roman"/>
                      <w:kern w:val="2"/>
                      <w:sz w:val="21"/>
                      <w:szCs w:val="21"/>
                      <w:lang w:eastAsia="zh-CN"/>
                    </w:rPr>
                    <w:t>（</w:t>
                  </w:r>
                  <w:r>
                    <w:rPr>
                      <w:rFonts w:hint="default" w:ascii="Times New Roman" w:hAnsi="Times New Roman" w:eastAsia="宋体" w:cs="Times New Roman"/>
                      <w:kern w:val="2"/>
                      <w:sz w:val="21"/>
                      <w:szCs w:val="21"/>
                      <w:lang w:eastAsia="zh-CN"/>
                    </w:rPr>
                    <w:t>A</w:t>
                  </w:r>
                  <w:r>
                    <w:rPr>
                      <w:rFonts w:hint="eastAsia" w:cs="Times New Roman"/>
                      <w:kern w:val="2"/>
                      <w:sz w:val="21"/>
                      <w:szCs w:val="21"/>
                      <w:lang w:eastAsia="zh-CN"/>
                    </w:rPr>
                    <w:t>）</w:t>
                  </w:r>
                </w:p>
              </w:tc>
            </w:tr>
            <w:tr w14:paraId="0406292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5" w:type="pct"/>
                  <w:vMerge w:val="continue"/>
                  <w:tcBorders>
                    <w:tl2br w:val="nil"/>
                    <w:tr2bl w:val="nil"/>
                  </w:tcBorders>
                  <w:shd w:val="clear" w:color="auto" w:fill="auto"/>
                  <w:tcMar>
                    <w:top w:w="0" w:type="dxa"/>
                    <w:left w:w="0" w:type="dxa"/>
                    <w:bottom w:w="0" w:type="dxa"/>
                    <w:right w:w="0" w:type="dxa"/>
                  </w:tcMar>
                  <w:vAlign w:val="center"/>
                </w:tcPr>
                <w:p w14:paraId="0A69AC0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val="en-US" w:eastAsia="zh-CN"/>
                    </w:rPr>
                  </w:pPr>
                </w:p>
              </w:tc>
              <w:tc>
                <w:tcPr>
                  <w:tcW w:w="226" w:type="pct"/>
                  <w:vMerge w:val="continue"/>
                  <w:tcBorders>
                    <w:tl2br w:val="nil"/>
                    <w:tr2bl w:val="nil"/>
                  </w:tcBorders>
                  <w:shd w:val="clear" w:color="auto" w:fill="auto"/>
                  <w:tcMar>
                    <w:top w:w="0" w:type="dxa"/>
                    <w:left w:w="0" w:type="dxa"/>
                    <w:bottom w:w="0" w:type="dxa"/>
                    <w:right w:w="0" w:type="dxa"/>
                  </w:tcMar>
                  <w:vAlign w:val="center"/>
                </w:tcPr>
                <w:p w14:paraId="766AF63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p>
              </w:tc>
              <w:tc>
                <w:tcPr>
                  <w:tcW w:w="226" w:type="pct"/>
                  <w:vMerge w:val="continue"/>
                  <w:tcBorders>
                    <w:tl2br w:val="nil"/>
                    <w:tr2bl w:val="nil"/>
                  </w:tcBorders>
                  <w:shd w:val="clear" w:color="auto" w:fill="auto"/>
                  <w:tcMar>
                    <w:top w:w="0" w:type="dxa"/>
                    <w:left w:w="0" w:type="dxa"/>
                    <w:bottom w:w="0" w:type="dxa"/>
                    <w:right w:w="0" w:type="dxa"/>
                  </w:tcMar>
                  <w:vAlign w:val="center"/>
                </w:tcPr>
                <w:p w14:paraId="617A753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p>
              </w:tc>
              <w:tc>
                <w:tcPr>
                  <w:tcW w:w="207" w:type="pct"/>
                  <w:tcBorders>
                    <w:tl2br w:val="nil"/>
                    <w:tr2bl w:val="nil"/>
                  </w:tcBorders>
                  <w:shd w:val="clear" w:color="auto" w:fill="auto"/>
                  <w:tcMar>
                    <w:top w:w="0" w:type="dxa"/>
                    <w:left w:w="0" w:type="dxa"/>
                    <w:bottom w:w="0" w:type="dxa"/>
                    <w:right w:w="0" w:type="dxa"/>
                  </w:tcMar>
                  <w:vAlign w:val="center"/>
                </w:tcPr>
                <w:p w14:paraId="0AD7B8C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声功率级/dB</w:t>
                  </w:r>
                  <w:r>
                    <w:rPr>
                      <w:rFonts w:hint="eastAsia" w:cs="Times New Roman"/>
                      <w:kern w:val="2"/>
                      <w:sz w:val="21"/>
                      <w:szCs w:val="21"/>
                      <w:lang w:eastAsia="zh-CN"/>
                    </w:rPr>
                    <w:t>（</w:t>
                  </w:r>
                  <w:r>
                    <w:rPr>
                      <w:rFonts w:hint="default" w:ascii="Times New Roman" w:hAnsi="Times New Roman" w:eastAsia="宋体" w:cs="Times New Roman"/>
                      <w:kern w:val="2"/>
                      <w:sz w:val="21"/>
                      <w:szCs w:val="21"/>
                      <w:lang w:eastAsia="zh-CN"/>
                    </w:rPr>
                    <w:t>A</w:t>
                  </w:r>
                  <w:r>
                    <w:rPr>
                      <w:rFonts w:hint="eastAsia" w:cs="Times New Roman"/>
                      <w:kern w:val="2"/>
                      <w:sz w:val="21"/>
                      <w:szCs w:val="21"/>
                      <w:lang w:eastAsia="zh-CN"/>
                    </w:rPr>
                    <w:t>）</w:t>
                  </w:r>
                </w:p>
              </w:tc>
              <w:tc>
                <w:tcPr>
                  <w:tcW w:w="328" w:type="pct"/>
                  <w:vMerge w:val="continue"/>
                  <w:tcBorders>
                    <w:tl2br w:val="nil"/>
                    <w:tr2bl w:val="nil"/>
                  </w:tcBorders>
                  <w:shd w:val="clear" w:color="auto" w:fill="auto"/>
                  <w:tcMar>
                    <w:top w:w="0" w:type="dxa"/>
                    <w:left w:w="0" w:type="dxa"/>
                    <w:bottom w:w="0" w:type="dxa"/>
                    <w:right w:w="0" w:type="dxa"/>
                  </w:tcMar>
                  <w:vAlign w:val="center"/>
                </w:tcPr>
                <w:p w14:paraId="7A33AC4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p>
              </w:tc>
              <w:tc>
                <w:tcPr>
                  <w:tcW w:w="231" w:type="pct"/>
                  <w:tcBorders>
                    <w:tl2br w:val="nil"/>
                    <w:tr2bl w:val="nil"/>
                  </w:tcBorders>
                  <w:shd w:val="clear" w:color="auto" w:fill="auto"/>
                  <w:tcMar>
                    <w:top w:w="0" w:type="dxa"/>
                    <w:left w:w="0" w:type="dxa"/>
                    <w:bottom w:w="0" w:type="dxa"/>
                    <w:right w:w="0" w:type="dxa"/>
                  </w:tcMar>
                  <w:vAlign w:val="center"/>
                </w:tcPr>
                <w:p w14:paraId="1FCF047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X</w:t>
                  </w:r>
                </w:p>
              </w:tc>
              <w:tc>
                <w:tcPr>
                  <w:tcW w:w="235" w:type="pct"/>
                  <w:tcBorders>
                    <w:tl2br w:val="nil"/>
                    <w:tr2bl w:val="nil"/>
                  </w:tcBorders>
                  <w:shd w:val="clear" w:color="auto" w:fill="auto"/>
                  <w:tcMar>
                    <w:top w:w="0" w:type="dxa"/>
                    <w:left w:w="0" w:type="dxa"/>
                    <w:bottom w:w="0" w:type="dxa"/>
                    <w:right w:w="0" w:type="dxa"/>
                  </w:tcMar>
                  <w:vAlign w:val="center"/>
                </w:tcPr>
                <w:p w14:paraId="13FB9A5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Y</w:t>
                  </w:r>
                </w:p>
              </w:tc>
              <w:tc>
                <w:tcPr>
                  <w:tcW w:w="137" w:type="pct"/>
                  <w:tcBorders>
                    <w:tl2br w:val="nil"/>
                    <w:tr2bl w:val="nil"/>
                  </w:tcBorders>
                  <w:shd w:val="clear" w:color="auto" w:fill="auto"/>
                  <w:tcMar>
                    <w:top w:w="0" w:type="dxa"/>
                    <w:left w:w="0" w:type="dxa"/>
                    <w:bottom w:w="0" w:type="dxa"/>
                    <w:right w:w="0" w:type="dxa"/>
                  </w:tcMar>
                  <w:vAlign w:val="center"/>
                </w:tcPr>
                <w:p w14:paraId="5C64359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Z</w:t>
                  </w:r>
                </w:p>
              </w:tc>
              <w:tc>
                <w:tcPr>
                  <w:tcW w:w="134" w:type="pct"/>
                  <w:tcBorders>
                    <w:tl2br w:val="nil"/>
                    <w:tr2bl w:val="nil"/>
                  </w:tcBorders>
                  <w:shd w:val="clear" w:color="auto" w:fill="auto"/>
                  <w:tcMar>
                    <w:top w:w="0" w:type="dxa"/>
                    <w:left w:w="0" w:type="dxa"/>
                    <w:bottom w:w="0" w:type="dxa"/>
                    <w:right w:w="0" w:type="dxa"/>
                  </w:tcMar>
                  <w:vAlign w:val="center"/>
                </w:tcPr>
                <w:p w14:paraId="249EB53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val="en-US" w:eastAsia="zh-CN"/>
                    </w:rPr>
                    <w:t>东</w:t>
                  </w:r>
                </w:p>
              </w:tc>
              <w:tc>
                <w:tcPr>
                  <w:tcW w:w="184" w:type="pct"/>
                  <w:tcBorders>
                    <w:tl2br w:val="nil"/>
                    <w:tr2bl w:val="nil"/>
                  </w:tcBorders>
                  <w:shd w:val="clear" w:color="auto" w:fill="auto"/>
                  <w:tcMar>
                    <w:top w:w="0" w:type="dxa"/>
                    <w:left w:w="0" w:type="dxa"/>
                    <w:bottom w:w="0" w:type="dxa"/>
                    <w:right w:w="0" w:type="dxa"/>
                  </w:tcMar>
                  <w:vAlign w:val="center"/>
                </w:tcPr>
                <w:p w14:paraId="0B1D643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val="en-US" w:eastAsia="zh-CN"/>
                    </w:rPr>
                    <w:t>南</w:t>
                  </w:r>
                </w:p>
              </w:tc>
              <w:tc>
                <w:tcPr>
                  <w:tcW w:w="184" w:type="pct"/>
                  <w:tcBorders>
                    <w:tl2br w:val="nil"/>
                    <w:tr2bl w:val="nil"/>
                  </w:tcBorders>
                  <w:shd w:val="clear" w:color="auto" w:fill="auto"/>
                  <w:tcMar>
                    <w:top w:w="0" w:type="dxa"/>
                    <w:left w:w="0" w:type="dxa"/>
                    <w:bottom w:w="0" w:type="dxa"/>
                    <w:right w:w="0" w:type="dxa"/>
                  </w:tcMar>
                  <w:vAlign w:val="center"/>
                </w:tcPr>
                <w:p w14:paraId="2552009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val="en-US" w:eastAsia="zh-CN"/>
                    </w:rPr>
                    <w:t>西</w:t>
                  </w:r>
                </w:p>
              </w:tc>
              <w:tc>
                <w:tcPr>
                  <w:tcW w:w="184" w:type="pct"/>
                  <w:tcBorders>
                    <w:tl2br w:val="nil"/>
                    <w:tr2bl w:val="nil"/>
                  </w:tcBorders>
                  <w:shd w:val="clear" w:color="auto" w:fill="auto"/>
                  <w:tcMar>
                    <w:top w:w="0" w:type="dxa"/>
                    <w:left w:w="0" w:type="dxa"/>
                    <w:bottom w:w="0" w:type="dxa"/>
                    <w:right w:w="0" w:type="dxa"/>
                  </w:tcMar>
                  <w:vAlign w:val="center"/>
                </w:tcPr>
                <w:p w14:paraId="6754BC6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val="en-US" w:eastAsia="zh-CN"/>
                    </w:rPr>
                    <w:t>北</w:t>
                  </w:r>
                </w:p>
              </w:tc>
              <w:tc>
                <w:tcPr>
                  <w:tcW w:w="184" w:type="pct"/>
                  <w:tcBorders>
                    <w:tl2br w:val="nil"/>
                    <w:tr2bl w:val="nil"/>
                  </w:tcBorders>
                  <w:shd w:val="clear" w:color="auto" w:fill="auto"/>
                  <w:tcMar>
                    <w:top w:w="0" w:type="dxa"/>
                    <w:left w:w="0" w:type="dxa"/>
                    <w:bottom w:w="0" w:type="dxa"/>
                    <w:right w:w="0" w:type="dxa"/>
                  </w:tcMar>
                  <w:vAlign w:val="center"/>
                </w:tcPr>
                <w:p w14:paraId="27AE03A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val="en-US" w:eastAsia="zh-CN"/>
                    </w:rPr>
                    <w:t>东</w:t>
                  </w:r>
                </w:p>
              </w:tc>
              <w:tc>
                <w:tcPr>
                  <w:tcW w:w="184" w:type="pct"/>
                  <w:tcBorders>
                    <w:tl2br w:val="nil"/>
                    <w:tr2bl w:val="nil"/>
                  </w:tcBorders>
                  <w:shd w:val="clear" w:color="auto" w:fill="auto"/>
                  <w:tcMar>
                    <w:top w:w="0" w:type="dxa"/>
                    <w:left w:w="0" w:type="dxa"/>
                    <w:bottom w:w="0" w:type="dxa"/>
                    <w:right w:w="0" w:type="dxa"/>
                  </w:tcMar>
                  <w:vAlign w:val="center"/>
                </w:tcPr>
                <w:p w14:paraId="40F2C83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val="en-US" w:eastAsia="zh-CN"/>
                    </w:rPr>
                    <w:t>南</w:t>
                  </w:r>
                </w:p>
              </w:tc>
              <w:tc>
                <w:tcPr>
                  <w:tcW w:w="184" w:type="pct"/>
                  <w:tcBorders>
                    <w:tl2br w:val="nil"/>
                    <w:tr2bl w:val="nil"/>
                  </w:tcBorders>
                  <w:shd w:val="clear" w:color="auto" w:fill="auto"/>
                  <w:tcMar>
                    <w:top w:w="0" w:type="dxa"/>
                    <w:left w:w="0" w:type="dxa"/>
                    <w:bottom w:w="0" w:type="dxa"/>
                    <w:right w:w="0" w:type="dxa"/>
                  </w:tcMar>
                  <w:vAlign w:val="center"/>
                </w:tcPr>
                <w:p w14:paraId="6F9B9C3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val="en-US" w:eastAsia="zh-CN"/>
                    </w:rPr>
                    <w:t>西</w:t>
                  </w:r>
                </w:p>
              </w:tc>
              <w:tc>
                <w:tcPr>
                  <w:tcW w:w="184" w:type="pct"/>
                  <w:tcBorders>
                    <w:tl2br w:val="nil"/>
                    <w:tr2bl w:val="nil"/>
                  </w:tcBorders>
                  <w:shd w:val="clear" w:color="auto" w:fill="auto"/>
                  <w:tcMar>
                    <w:top w:w="0" w:type="dxa"/>
                    <w:left w:w="0" w:type="dxa"/>
                    <w:bottom w:w="0" w:type="dxa"/>
                    <w:right w:w="0" w:type="dxa"/>
                  </w:tcMar>
                  <w:vAlign w:val="center"/>
                </w:tcPr>
                <w:p w14:paraId="781950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val="en-US" w:eastAsia="zh-CN"/>
                    </w:rPr>
                    <w:t>北</w:t>
                  </w:r>
                </w:p>
              </w:tc>
              <w:tc>
                <w:tcPr>
                  <w:tcW w:w="174" w:type="pct"/>
                  <w:vMerge w:val="continue"/>
                  <w:tcBorders>
                    <w:tl2br w:val="nil"/>
                    <w:tr2bl w:val="nil"/>
                  </w:tcBorders>
                  <w:shd w:val="clear" w:color="auto" w:fill="auto"/>
                  <w:tcMar>
                    <w:top w:w="0" w:type="dxa"/>
                    <w:left w:w="0" w:type="dxa"/>
                    <w:bottom w:w="0" w:type="dxa"/>
                    <w:right w:w="0" w:type="dxa"/>
                  </w:tcMar>
                  <w:vAlign w:val="center"/>
                </w:tcPr>
                <w:p w14:paraId="74ED0E8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p>
              </w:tc>
              <w:tc>
                <w:tcPr>
                  <w:tcW w:w="142" w:type="pct"/>
                  <w:tcBorders>
                    <w:tl2br w:val="nil"/>
                    <w:tr2bl w:val="nil"/>
                  </w:tcBorders>
                  <w:shd w:val="clear" w:color="auto" w:fill="auto"/>
                  <w:tcMar>
                    <w:top w:w="0" w:type="dxa"/>
                    <w:left w:w="0" w:type="dxa"/>
                    <w:bottom w:w="0" w:type="dxa"/>
                    <w:right w:w="0" w:type="dxa"/>
                  </w:tcMar>
                  <w:vAlign w:val="center"/>
                </w:tcPr>
                <w:p w14:paraId="0C555F2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val="en-US" w:eastAsia="zh-CN"/>
                    </w:rPr>
                    <w:t>东</w:t>
                  </w:r>
                </w:p>
              </w:tc>
              <w:tc>
                <w:tcPr>
                  <w:tcW w:w="187" w:type="pct"/>
                  <w:tcBorders>
                    <w:tl2br w:val="nil"/>
                    <w:tr2bl w:val="nil"/>
                  </w:tcBorders>
                  <w:shd w:val="clear" w:color="auto" w:fill="auto"/>
                  <w:tcMar>
                    <w:top w:w="0" w:type="dxa"/>
                    <w:left w:w="0" w:type="dxa"/>
                    <w:bottom w:w="0" w:type="dxa"/>
                    <w:right w:w="0" w:type="dxa"/>
                  </w:tcMar>
                  <w:vAlign w:val="center"/>
                </w:tcPr>
                <w:p w14:paraId="0248940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val="en-US" w:eastAsia="zh-CN"/>
                    </w:rPr>
                    <w:t>南</w:t>
                  </w:r>
                </w:p>
              </w:tc>
              <w:tc>
                <w:tcPr>
                  <w:tcW w:w="204" w:type="pct"/>
                  <w:tcBorders>
                    <w:tl2br w:val="nil"/>
                    <w:tr2bl w:val="nil"/>
                  </w:tcBorders>
                  <w:shd w:val="clear" w:color="auto" w:fill="auto"/>
                  <w:tcMar>
                    <w:top w:w="0" w:type="dxa"/>
                    <w:left w:w="0" w:type="dxa"/>
                    <w:bottom w:w="0" w:type="dxa"/>
                    <w:right w:w="0" w:type="dxa"/>
                  </w:tcMar>
                  <w:vAlign w:val="center"/>
                </w:tcPr>
                <w:p w14:paraId="7DABDF2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val="en-US" w:eastAsia="zh-CN"/>
                    </w:rPr>
                    <w:t>西</w:t>
                  </w:r>
                </w:p>
              </w:tc>
              <w:tc>
                <w:tcPr>
                  <w:tcW w:w="196" w:type="pct"/>
                  <w:tcBorders>
                    <w:tl2br w:val="nil"/>
                    <w:tr2bl w:val="nil"/>
                  </w:tcBorders>
                  <w:shd w:val="clear" w:color="auto" w:fill="auto"/>
                  <w:tcMar>
                    <w:top w:w="0" w:type="dxa"/>
                    <w:left w:w="0" w:type="dxa"/>
                    <w:bottom w:w="0" w:type="dxa"/>
                    <w:right w:w="0" w:type="dxa"/>
                  </w:tcMar>
                  <w:vAlign w:val="center"/>
                </w:tcPr>
                <w:p w14:paraId="23682A0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val="en-US" w:eastAsia="zh-CN"/>
                    </w:rPr>
                    <w:t>北</w:t>
                  </w:r>
                </w:p>
              </w:tc>
              <w:tc>
                <w:tcPr>
                  <w:tcW w:w="169" w:type="pct"/>
                  <w:tcBorders>
                    <w:tl2br w:val="nil"/>
                    <w:tr2bl w:val="nil"/>
                  </w:tcBorders>
                  <w:shd w:val="clear" w:color="auto" w:fill="auto"/>
                  <w:tcMar>
                    <w:top w:w="0" w:type="dxa"/>
                    <w:left w:w="0" w:type="dxa"/>
                    <w:bottom w:w="0" w:type="dxa"/>
                    <w:right w:w="0" w:type="dxa"/>
                  </w:tcMar>
                  <w:vAlign w:val="center"/>
                </w:tcPr>
                <w:p w14:paraId="446832B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val="en-US" w:eastAsia="zh-CN"/>
                    </w:rPr>
                    <w:t>东</w:t>
                  </w:r>
                </w:p>
              </w:tc>
              <w:tc>
                <w:tcPr>
                  <w:tcW w:w="204" w:type="pct"/>
                  <w:tcBorders>
                    <w:tl2br w:val="nil"/>
                    <w:tr2bl w:val="nil"/>
                  </w:tcBorders>
                  <w:shd w:val="clear" w:color="auto" w:fill="auto"/>
                  <w:tcMar>
                    <w:top w:w="0" w:type="dxa"/>
                    <w:left w:w="0" w:type="dxa"/>
                    <w:bottom w:w="0" w:type="dxa"/>
                    <w:right w:w="0" w:type="dxa"/>
                  </w:tcMar>
                  <w:vAlign w:val="center"/>
                </w:tcPr>
                <w:p w14:paraId="002F57C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val="en-US" w:eastAsia="zh-CN"/>
                    </w:rPr>
                    <w:t>南</w:t>
                  </w:r>
                </w:p>
              </w:tc>
              <w:tc>
                <w:tcPr>
                  <w:tcW w:w="177" w:type="pct"/>
                  <w:tcBorders>
                    <w:tl2br w:val="nil"/>
                    <w:tr2bl w:val="nil"/>
                  </w:tcBorders>
                  <w:shd w:val="clear" w:color="auto" w:fill="auto"/>
                  <w:tcMar>
                    <w:top w:w="0" w:type="dxa"/>
                    <w:left w:w="0" w:type="dxa"/>
                    <w:bottom w:w="0" w:type="dxa"/>
                    <w:right w:w="0" w:type="dxa"/>
                  </w:tcMar>
                  <w:vAlign w:val="center"/>
                </w:tcPr>
                <w:p w14:paraId="01D849B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val="en-US" w:eastAsia="zh-CN"/>
                    </w:rPr>
                    <w:t>西</w:t>
                  </w:r>
                </w:p>
              </w:tc>
              <w:tc>
                <w:tcPr>
                  <w:tcW w:w="160" w:type="pct"/>
                  <w:tcBorders>
                    <w:tl2br w:val="nil"/>
                    <w:tr2bl w:val="nil"/>
                  </w:tcBorders>
                  <w:shd w:val="clear" w:color="auto" w:fill="auto"/>
                  <w:tcMar>
                    <w:top w:w="0" w:type="dxa"/>
                    <w:left w:w="0" w:type="dxa"/>
                    <w:bottom w:w="0" w:type="dxa"/>
                    <w:right w:w="0" w:type="dxa"/>
                  </w:tcMar>
                  <w:vAlign w:val="center"/>
                </w:tcPr>
                <w:p w14:paraId="48FDB2C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val="en-US" w:eastAsia="zh-CN"/>
                    </w:rPr>
                    <w:t>北</w:t>
                  </w:r>
                </w:p>
              </w:tc>
              <w:tc>
                <w:tcPr>
                  <w:tcW w:w="142" w:type="pct"/>
                  <w:tcBorders>
                    <w:tl2br w:val="nil"/>
                    <w:tr2bl w:val="nil"/>
                  </w:tcBorders>
                  <w:shd w:val="clear" w:color="auto" w:fill="auto"/>
                  <w:tcMar>
                    <w:top w:w="0" w:type="dxa"/>
                    <w:left w:w="0" w:type="dxa"/>
                    <w:bottom w:w="0" w:type="dxa"/>
                    <w:right w:w="0" w:type="dxa"/>
                  </w:tcMar>
                  <w:vAlign w:val="center"/>
                </w:tcPr>
                <w:p w14:paraId="3803BE4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建筑物外距离</w:t>
                  </w:r>
                </w:p>
              </w:tc>
            </w:tr>
            <w:tr w14:paraId="5F112CB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5" w:type="pct"/>
                  <w:tcBorders>
                    <w:tl2br w:val="nil"/>
                    <w:tr2bl w:val="nil"/>
                  </w:tcBorders>
                  <w:shd w:val="clear" w:color="auto" w:fill="auto"/>
                  <w:tcMar>
                    <w:top w:w="0" w:type="dxa"/>
                    <w:left w:w="0" w:type="dxa"/>
                    <w:bottom w:w="0" w:type="dxa"/>
                    <w:right w:w="0" w:type="dxa"/>
                  </w:tcMar>
                  <w:vAlign w:val="center"/>
                </w:tcPr>
                <w:p w14:paraId="7B117F7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rPr>
                    <w:t>1</w:t>
                  </w:r>
                </w:p>
              </w:tc>
              <w:tc>
                <w:tcPr>
                  <w:tcW w:w="226" w:type="pct"/>
                  <w:vMerge w:val="restart"/>
                  <w:tcBorders>
                    <w:tl2br w:val="nil"/>
                    <w:tr2bl w:val="nil"/>
                  </w:tcBorders>
                  <w:shd w:val="clear" w:color="auto" w:fill="auto"/>
                  <w:tcMar>
                    <w:top w:w="0" w:type="dxa"/>
                    <w:left w:w="0" w:type="dxa"/>
                    <w:bottom w:w="0" w:type="dxa"/>
                    <w:right w:w="0" w:type="dxa"/>
                  </w:tcMar>
                  <w:vAlign w:val="center"/>
                </w:tcPr>
                <w:p w14:paraId="3F46ECC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宠物医院</w:t>
                  </w:r>
                </w:p>
              </w:tc>
              <w:tc>
                <w:tcPr>
                  <w:tcW w:w="226" w:type="pct"/>
                  <w:tcBorders>
                    <w:tl2br w:val="nil"/>
                    <w:tr2bl w:val="nil"/>
                  </w:tcBorders>
                  <w:shd w:val="clear" w:color="auto" w:fill="auto"/>
                  <w:tcMar>
                    <w:top w:w="0" w:type="dxa"/>
                    <w:left w:w="0" w:type="dxa"/>
                    <w:bottom w:w="0" w:type="dxa"/>
                    <w:right w:w="0" w:type="dxa"/>
                  </w:tcMar>
                  <w:vAlign w:val="center"/>
                </w:tcPr>
                <w:p w14:paraId="281C87D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rPr>
                    <w:t>动物叫声1</w:t>
                  </w:r>
                </w:p>
              </w:tc>
              <w:tc>
                <w:tcPr>
                  <w:tcW w:w="207" w:type="pct"/>
                  <w:tcBorders>
                    <w:tl2br w:val="nil"/>
                    <w:tr2bl w:val="nil"/>
                  </w:tcBorders>
                  <w:shd w:val="clear" w:color="auto" w:fill="auto"/>
                  <w:tcMar>
                    <w:top w:w="0" w:type="dxa"/>
                    <w:left w:w="0" w:type="dxa"/>
                    <w:bottom w:w="0" w:type="dxa"/>
                    <w:right w:w="0" w:type="dxa"/>
                  </w:tcMar>
                  <w:vAlign w:val="center"/>
                </w:tcPr>
                <w:p w14:paraId="295AB06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rPr>
                    <w:t>70</w:t>
                  </w:r>
                </w:p>
              </w:tc>
              <w:tc>
                <w:tcPr>
                  <w:tcW w:w="328" w:type="pct"/>
                  <w:vMerge w:val="restart"/>
                  <w:tcBorders>
                    <w:tl2br w:val="nil"/>
                    <w:tr2bl w:val="nil"/>
                  </w:tcBorders>
                  <w:shd w:val="clear" w:color="auto" w:fill="auto"/>
                  <w:tcMar>
                    <w:top w:w="0" w:type="dxa"/>
                    <w:left w:w="0" w:type="dxa"/>
                    <w:bottom w:w="0" w:type="dxa"/>
                    <w:right w:w="0" w:type="dxa"/>
                  </w:tcMar>
                  <w:vAlign w:val="center"/>
                </w:tcPr>
                <w:p w14:paraId="5DB819C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合理喂食、隔离寄养、建筑隔声、距离衰减</w:t>
                  </w:r>
                </w:p>
              </w:tc>
              <w:tc>
                <w:tcPr>
                  <w:tcW w:w="380" w:type="dxa"/>
                  <w:tcBorders>
                    <w:tl2br w:val="nil"/>
                    <w:tr2bl w:val="nil"/>
                  </w:tcBorders>
                  <w:shd w:val="clear" w:color="auto" w:fill="auto"/>
                  <w:tcMar>
                    <w:top w:w="0" w:type="dxa"/>
                    <w:left w:w="0" w:type="dxa"/>
                    <w:bottom w:w="0" w:type="dxa"/>
                    <w:right w:w="0" w:type="dxa"/>
                  </w:tcMar>
                  <w:vAlign w:val="center"/>
                </w:tcPr>
                <w:p w14:paraId="5D24608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Arial" w:hAnsi="Arial" w:eastAsia="Arial" w:cs="Arial"/>
                      <w:sz w:val="20"/>
                    </w:rPr>
                    <w:t>-1.9</w:t>
                  </w:r>
                </w:p>
              </w:tc>
              <w:tc>
                <w:tcPr>
                  <w:tcW w:w="386" w:type="dxa"/>
                  <w:tcBorders>
                    <w:tl2br w:val="nil"/>
                    <w:tr2bl w:val="nil"/>
                  </w:tcBorders>
                  <w:shd w:val="clear" w:color="auto" w:fill="auto"/>
                  <w:tcMar>
                    <w:top w:w="0" w:type="dxa"/>
                    <w:left w:w="0" w:type="dxa"/>
                    <w:bottom w:w="0" w:type="dxa"/>
                    <w:right w:w="0" w:type="dxa"/>
                  </w:tcMar>
                  <w:vAlign w:val="center"/>
                </w:tcPr>
                <w:p w14:paraId="7B841C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Arial" w:hAnsi="Arial" w:eastAsia="Arial" w:cs="Arial"/>
                      <w:sz w:val="20"/>
                    </w:rPr>
                    <w:t>2.5</w:t>
                  </w:r>
                </w:p>
              </w:tc>
              <w:tc>
                <w:tcPr>
                  <w:tcW w:w="225" w:type="dxa"/>
                  <w:tcBorders>
                    <w:tl2br w:val="nil"/>
                    <w:tr2bl w:val="nil"/>
                  </w:tcBorders>
                  <w:shd w:val="clear" w:color="auto" w:fill="auto"/>
                  <w:tcMar>
                    <w:top w:w="0" w:type="dxa"/>
                    <w:left w:w="0" w:type="dxa"/>
                    <w:bottom w:w="0" w:type="dxa"/>
                    <w:right w:w="0" w:type="dxa"/>
                  </w:tcMar>
                  <w:vAlign w:val="center"/>
                </w:tcPr>
                <w:p w14:paraId="1737104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Arial" w:hAnsi="Arial" w:eastAsia="Arial" w:cs="Arial"/>
                      <w:sz w:val="20"/>
                    </w:rPr>
                    <w:t>1.2</w:t>
                  </w:r>
                </w:p>
              </w:tc>
              <w:tc>
                <w:tcPr>
                  <w:tcW w:w="220" w:type="dxa"/>
                  <w:tcBorders>
                    <w:tl2br w:val="nil"/>
                    <w:tr2bl w:val="nil"/>
                  </w:tcBorders>
                  <w:shd w:val="clear" w:color="auto" w:fill="auto"/>
                  <w:tcMar>
                    <w:top w:w="0" w:type="dxa"/>
                    <w:left w:w="0" w:type="dxa"/>
                    <w:bottom w:w="0" w:type="dxa"/>
                    <w:right w:w="0" w:type="dxa"/>
                  </w:tcMar>
                  <w:vAlign w:val="center"/>
                </w:tcPr>
                <w:p w14:paraId="6893AA1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Arial" w:hAnsi="Arial" w:eastAsia="Arial" w:cs="Arial"/>
                      <w:sz w:val="20"/>
                    </w:rPr>
                    <w:t>10.1</w:t>
                  </w:r>
                </w:p>
              </w:tc>
              <w:tc>
                <w:tcPr>
                  <w:tcW w:w="302" w:type="dxa"/>
                  <w:tcBorders>
                    <w:tl2br w:val="nil"/>
                    <w:tr2bl w:val="nil"/>
                  </w:tcBorders>
                  <w:shd w:val="clear" w:color="auto" w:fill="auto"/>
                  <w:tcMar>
                    <w:top w:w="0" w:type="dxa"/>
                    <w:left w:w="0" w:type="dxa"/>
                    <w:bottom w:w="0" w:type="dxa"/>
                    <w:right w:w="0" w:type="dxa"/>
                  </w:tcMar>
                  <w:vAlign w:val="center"/>
                </w:tcPr>
                <w:p w14:paraId="1AA3343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Arial" w:hAnsi="Arial" w:eastAsia="Arial" w:cs="Arial"/>
                      <w:sz w:val="20"/>
                    </w:rPr>
                    <w:t>5.2</w:t>
                  </w:r>
                </w:p>
              </w:tc>
              <w:tc>
                <w:tcPr>
                  <w:tcW w:w="302" w:type="dxa"/>
                  <w:tcBorders>
                    <w:tl2br w:val="nil"/>
                    <w:tr2bl w:val="nil"/>
                  </w:tcBorders>
                  <w:shd w:val="clear" w:color="auto" w:fill="auto"/>
                  <w:tcMar>
                    <w:top w:w="0" w:type="dxa"/>
                    <w:left w:w="0" w:type="dxa"/>
                    <w:bottom w:w="0" w:type="dxa"/>
                    <w:right w:w="0" w:type="dxa"/>
                  </w:tcMar>
                  <w:vAlign w:val="center"/>
                </w:tcPr>
                <w:p w14:paraId="073462A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Arial" w:hAnsi="Arial" w:eastAsia="Arial" w:cs="Arial"/>
                      <w:sz w:val="20"/>
                    </w:rPr>
                    <w:t>4.6</w:t>
                  </w:r>
                </w:p>
              </w:tc>
              <w:tc>
                <w:tcPr>
                  <w:tcW w:w="303" w:type="dxa"/>
                  <w:tcBorders>
                    <w:tl2br w:val="nil"/>
                    <w:tr2bl w:val="nil"/>
                  </w:tcBorders>
                  <w:shd w:val="clear" w:color="auto" w:fill="auto"/>
                  <w:tcMar>
                    <w:top w:w="0" w:type="dxa"/>
                    <w:left w:w="0" w:type="dxa"/>
                    <w:bottom w:w="0" w:type="dxa"/>
                    <w:right w:w="0" w:type="dxa"/>
                  </w:tcMar>
                  <w:vAlign w:val="center"/>
                </w:tcPr>
                <w:p w14:paraId="43ABD1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Arial" w:hAnsi="Arial" w:eastAsia="Arial" w:cs="Arial"/>
                      <w:sz w:val="20"/>
                    </w:rPr>
                    <w:t>2.3</w:t>
                  </w:r>
                </w:p>
              </w:tc>
              <w:tc>
                <w:tcPr>
                  <w:tcW w:w="302" w:type="dxa"/>
                  <w:tcBorders>
                    <w:tl2br w:val="nil"/>
                    <w:tr2bl w:val="nil"/>
                  </w:tcBorders>
                  <w:shd w:val="clear" w:color="auto" w:fill="auto"/>
                  <w:tcMar>
                    <w:top w:w="0" w:type="dxa"/>
                    <w:left w:w="0" w:type="dxa"/>
                    <w:bottom w:w="0" w:type="dxa"/>
                    <w:right w:w="0" w:type="dxa"/>
                  </w:tcMar>
                  <w:vAlign w:val="center"/>
                </w:tcPr>
                <w:p w14:paraId="43FA420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Arial" w:hAnsi="Arial" w:eastAsia="Arial" w:cs="Arial"/>
                      <w:sz w:val="20"/>
                    </w:rPr>
                    <w:t>59.4</w:t>
                  </w:r>
                </w:p>
              </w:tc>
              <w:tc>
                <w:tcPr>
                  <w:tcW w:w="302" w:type="dxa"/>
                  <w:tcBorders>
                    <w:tl2br w:val="nil"/>
                    <w:tr2bl w:val="nil"/>
                  </w:tcBorders>
                  <w:shd w:val="clear" w:color="auto" w:fill="auto"/>
                  <w:tcMar>
                    <w:top w:w="0" w:type="dxa"/>
                    <w:left w:w="0" w:type="dxa"/>
                    <w:bottom w:w="0" w:type="dxa"/>
                    <w:right w:w="0" w:type="dxa"/>
                  </w:tcMar>
                  <w:vAlign w:val="center"/>
                </w:tcPr>
                <w:p w14:paraId="7649AF7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Arial" w:hAnsi="Arial" w:eastAsia="Arial" w:cs="Arial"/>
                      <w:sz w:val="20"/>
                    </w:rPr>
                    <w:t>59.5</w:t>
                  </w:r>
                </w:p>
              </w:tc>
              <w:tc>
                <w:tcPr>
                  <w:tcW w:w="302" w:type="dxa"/>
                  <w:tcBorders>
                    <w:tl2br w:val="nil"/>
                    <w:tr2bl w:val="nil"/>
                  </w:tcBorders>
                  <w:shd w:val="clear" w:color="auto" w:fill="auto"/>
                  <w:tcMar>
                    <w:top w:w="0" w:type="dxa"/>
                    <w:left w:w="0" w:type="dxa"/>
                    <w:bottom w:w="0" w:type="dxa"/>
                    <w:right w:w="0" w:type="dxa"/>
                  </w:tcMar>
                  <w:vAlign w:val="center"/>
                </w:tcPr>
                <w:p w14:paraId="6EF0011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Arial" w:hAnsi="Arial" w:eastAsia="Arial" w:cs="Arial"/>
                      <w:sz w:val="20"/>
                    </w:rPr>
                    <w:t>59.6</w:t>
                  </w:r>
                </w:p>
              </w:tc>
              <w:tc>
                <w:tcPr>
                  <w:tcW w:w="302" w:type="dxa"/>
                  <w:tcBorders>
                    <w:tl2br w:val="nil"/>
                    <w:tr2bl w:val="nil"/>
                  </w:tcBorders>
                  <w:shd w:val="clear" w:color="auto" w:fill="auto"/>
                  <w:tcMar>
                    <w:top w:w="0" w:type="dxa"/>
                    <w:left w:w="0" w:type="dxa"/>
                    <w:bottom w:w="0" w:type="dxa"/>
                    <w:right w:w="0" w:type="dxa"/>
                  </w:tcMar>
                  <w:vAlign w:val="center"/>
                </w:tcPr>
                <w:p w14:paraId="5D6CA40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Arial" w:hAnsi="Arial" w:eastAsia="Arial" w:cs="Arial"/>
                      <w:sz w:val="20"/>
                    </w:rPr>
                    <w:t>60.1</w:t>
                  </w:r>
                </w:p>
              </w:tc>
              <w:tc>
                <w:tcPr>
                  <w:tcW w:w="174" w:type="pct"/>
                  <w:tcBorders>
                    <w:tl2br w:val="nil"/>
                    <w:tr2bl w:val="nil"/>
                  </w:tcBorders>
                  <w:shd w:val="clear" w:color="auto" w:fill="auto"/>
                  <w:tcMar>
                    <w:top w:w="0" w:type="dxa"/>
                    <w:left w:w="0" w:type="dxa"/>
                    <w:bottom w:w="0" w:type="dxa"/>
                    <w:right w:w="0" w:type="dxa"/>
                  </w:tcMar>
                  <w:vAlign w:val="center"/>
                </w:tcPr>
                <w:p w14:paraId="443B11D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sz w:val="21"/>
                      <w:szCs w:val="21"/>
                      <w:lang w:val="en-US" w:eastAsia="zh-CN"/>
                    </w:rPr>
                    <w:t>全天</w:t>
                  </w:r>
                </w:p>
              </w:tc>
              <w:tc>
                <w:tcPr>
                  <w:tcW w:w="234" w:type="dxa"/>
                  <w:tcBorders>
                    <w:tl2br w:val="nil"/>
                    <w:tr2bl w:val="nil"/>
                  </w:tcBorders>
                  <w:shd w:val="clear" w:color="auto" w:fill="auto"/>
                  <w:tcMar>
                    <w:top w:w="0" w:type="dxa"/>
                    <w:left w:w="0" w:type="dxa"/>
                    <w:bottom w:w="0" w:type="dxa"/>
                    <w:right w:w="0" w:type="dxa"/>
                  </w:tcMar>
                  <w:vAlign w:val="center"/>
                </w:tcPr>
                <w:p w14:paraId="54F7A5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Arial" w:hAnsi="Arial" w:eastAsia="Arial" w:cs="Arial"/>
                      <w:sz w:val="20"/>
                    </w:rPr>
                    <w:t>25.0</w:t>
                  </w:r>
                </w:p>
              </w:tc>
              <w:tc>
                <w:tcPr>
                  <w:tcW w:w="307" w:type="dxa"/>
                  <w:tcBorders>
                    <w:tl2br w:val="nil"/>
                    <w:tr2bl w:val="nil"/>
                  </w:tcBorders>
                  <w:shd w:val="clear" w:color="auto" w:fill="auto"/>
                  <w:tcMar>
                    <w:top w:w="0" w:type="dxa"/>
                    <w:left w:w="0" w:type="dxa"/>
                    <w:bottom w:w="0" w:type="dxa"/>
                    <w:right w:w="0" w:type="dxa"/>
                  </w:tcMar>
                  <w:vAlign w:val="center"/>
                </w:tcPr>
                <w:p w14:paraId="77276D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Arial" w:hAnsi="Arial" w:eastAsia="Arial" w:cs="Arial"/>
                      <w:sz w:val="20"/>
                    </w:rPr>
                    <w:t>25.0</w:t>
                  </w:r>
                </w:p>
              </w:tc>
              <w:tc>
                <w:tcPr>
                  <w:tcW w:w="336" w:type="dxa"/>
                  <w:tcBorders>
                    <w:tl2br w:val="nil"/>
                    <w:tr2bl w:val="nil"/>
                  </w:tcBorders>
                  <w:shd w:val="clear" w:color="auto" w:fill="auto"/>
                  <w:tcMar>
                    <w:top w:w="0" w:type="dxa"/>
                    <w:left w:w="0" w:type="dxa"/>
                    <w:bottom w:w="0" w:type="dxa"/>
                    <w:right w:w="0" w:type="dxa"/>
                  </w:tcMar>
                  <w:vAlign w:val="center"/>
                </w:tcPr>
                <w:p w14:paraId="43CA81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Arial" w:hAnsi="Arial" w:eastAsia="Arial" w:cs="Arial"/>
                      <w:sz w:val="20"/>
                    </w:rPr>
                    <w:t>25.0</w:t>
                  </w:r>
                </w:p>
              </w:tc>
              <w:tc>
                <w:tcPr>
                  <w:tcW w:w="322" w:type="dxa"/>
                  <w:tcBorders>
                    <w:tl2br w:val="nil"/>
                    <w:tr2bl w:val="nil"/>
                  </w:tcBorders>
                  <w:shd w:val="clear" w:color="auto" w:fill="auto"/>
                  <w:tcMar>
                    <w:top w:w="0" w:type="dxa"/>
                    <w:left w:w="0" w:type="dxa"/>
                    <w:bottom w:w="0" w:type="dxa"/>
                    <w:right w:w="0" w:type="dxa"/>
                  </w:tcMar>
                  <w:vAlign w:val="center"/>
                </w:tcPr>
                <w:p w14:paraId="1F9E2F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Arial" w:hAnsi="Arial" w:eastAsia="Arial" w:cs="Arial"/>
                      <w:sz w:val="20"/>
                    </w:rPr>
                    <w:t>25.0</w:t>
                  </w:r>
                </w:p>
              </w:tc>
              <w:tc>
                <w:tcPr>
                  <w:tcW w:w="278" w:type="dxa"/>
                  <w:tcBorders>
                    <w:tl2br w:val="nil"/>
                    <w:tr2bl w:val="nil"/>
                  </w:tcBorders>
                  <w:shd w:val="clear" w:color="auto" w:fill="auto"/>
                  <w:tcMar>
                    <w:top w:w="0" w:type="dxa"/>
                    <w:left w:w="0" w:type="dxa"/>
                    <w:bottom w:w="0" w:type="dxa"/>
                    <w:right w:w="0" w:type="dxa"/>
                  </w:tcMar>
                  <w:vAlign w:val="center"/>
                </w:tcPr>
                <w:p w14:paraId="53EC62F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Arial" w:hAnsi="Arial" w:eastAsia="Arial" w:cs="Arial"/>
                      <w:sz w:val="20"/>
                    </w:rPr>
                    <w:t>34.4</w:t>
                  </w:r>
                </w:p>
              </w:tc>
              <w:tc>
                <w:tcPr>
                  <w:tcW w:w="336" w:type="dxa"/>
                  <w:tcBorders>
                    <w:tl2br w:val="nil"/>
                    <w:tr2bl w:val="nil"/>
                  </w:tcBorders>
                  <w:shd w:val="clear" w:color="auto" w:fill="auto"/>
                  <w:tcMar>
                    <w:top w:w="0" w:type="dxa"/>
                    <w:left w:w="0" w:type="dxa"/>
                    <w:bottom w:w="0" w:type="dxa"/>
                    <w:right w:w="0" w:type="dxa"/>
                  </w:tcMar>
                  <w:vAlign w:val="center"/>
                </w:tcPr>
                <w:p w14:paraId="6F01A0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Arial" w:hAnsi="Arial" w:eastAsia="Arial" w:cs="Arial"/>
                      <w:sz w:val="20"/>
                    </w:rPr>
                    <w:t>34.5</w:t>
                  </w:r>
                </w:p>
              </w:tc>
              <w:tc>
                <w:tcPr>
                  <w:tcW w:w="292" w:type="dxa"/>
                  <w:tcBorders>
                    <w:tl2br w:val="nil"/>
                    <w:tr2bl w:val="nil"/>
                  </w:tcBorders>
                  <w:shd w:val="clear" w:color="auto" w:fill="auto"/>
                  <w:tcMar>
                    <w:top w:w="0" w:type="dxa"/>
                    <w:left w:w="0" w:type="dxa"/>
                    <w:bottom w:w="0" w:type="dxa"/>
                    <w:right w:w="0" w:type="dxa"/>
                  </w:tcMar>
                  <w:vAlign w:val="center"/>
                </w:tcPr>
                <w:p w14:paraId="766EB3D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Arial" w:hAnsi="Arial" w:eastAsia="Arial" w:cs="Arial"/>
                      <w:sz w:val="20"/>
                    </w:rPr>
                    <w:t>34.6</w:t>
                  </w:r>
                </w:p>
              </w:tc>
              <w:tc>
                <w:tcPr>
                  <w:tcW w:w="263" w:type="dxa"/>
                  <w:tcBorders>
                    <w:tl2br w:val="nil"/>
                    <w:tr2bl w:val="nil"/>
                  </w:tcBorders>
                  <w:shd w:val="clear" w:color="auto" w:fill="auto"/>
                  <w:tcMar>
                    <w:top w:w="0" w:type="dxa"/>
                    <w:left w:w="0" w:type="dxa"/>
                    <w:bottom w:w="0" w:type="dxa"/>
                    <w:right w:w="0" w:type="dxa"/>
                  </w:tcMar>
                  <w:vAlign w:val="center"/>
                </w:tcPr>
                <w:p w14:paraId="188CEE1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Arial" w:hAnsi="Arial" w:eastAsia="Arial" w:cs="Arial"/>
                      <w:sz w:val="20"/>
                    </w:rPr>
                    <w:t>35.1</w:t>
                  </w:r>
                </w:p>
              </w:tc>
              <w:tc>
                <w:tcPr>
                  <w:tcW w:w="234" w:type="dxa"/>
                  <w:tcBorders>
                    <w:tl2br w:val="nil"/>
                    <w:tr2bl w:val="nil"/>
                  </w:tcBorders>
                  <w:shd w:val="clear" w:color="auto" w:fill="auto"/>
                  <w:tcMar>
                    <w:top w:w="0" w:type="dxa"/>
                    <w:left w:w="0" w:type="dxa"/>
                    <w:bottom w:w="0" w:type="dxa"/>
                    <w:right w:w="0" w:type="dxa"/>
                  </w:tcMar>
                  <w:vAlign w:val="center"/>
                </w:tcPr>
                <w:p w14:paraId="765ADF2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Arial" w:hAnsi="Arial" w:eastAsia="Arial" w:cs="Arial"/>
                      <w:sz w:val="20"/>
                    </w:rPr>
                    <w:t>1</w:t>
                  </w:r>
                </w:p>
              </w:tc>
            </w:tr>
            <w:tr w14:paraId="7261B01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5" w:type="pct"/>
                  <w:tcBorders>
                    <w:tl2br w:val="nil"/>
                    <w:tr2bl w:val="nil"/>
                  </w:tcBorders>
                  <w:shd w:val="clear" w:color="auto" w:fill="auto"/>
                  <w:tcMar>
                    <w:top w:w="0" w:type="dxa"/>
                    <w:left w:w="0" w:type="dxa"/>
                    <w:bottom w:w="0" w:type="dxa"/>
                    <w:right w:w="0" w:type="dxa"/>
                  </w:tcMar>
                  <w:vAlign w:val="center"/>
                </w:tcPr>
                <w:p w14:paraId="67D3BB5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rPr>
                    <w:t>2</w:t>
                  </w:r>
                </w:p>
              </w:tc>
              <w:tc>
                <w:tcPr>
                  <w:tcW w:w="226" w:type="pct"/>
                  <w:vMerge w:val="continue"/>
                  <w:tcBorders>
                    <w:tl2br w:val="nil"/>
                    <w:tr2bl w:val="nil"/>
                  </w:tcBorders>
                  <w:shd w:val="clear" w:color="auto" w:fill="auto"/>
                  <w:tcMar>
                    <w:top w:w="0" w:type="dxa"/>
                    <w:left w:w="0" w:type="dxa"/>
                    <w:bottom w:w="0" w:type="dxa"/>
                    <w:right w:w="0" w:type="dxa"/>
                  </w:tcMar>
                  <w:vAlign w:val="center"/>
                </w:tcPr>
                <w:p w14:paraId="53C78C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p>
              </w:tc>
              <w:tc>
                <w:tcPr>
                  <w:tcW w:w="226" w:type="pct"/>
                  <w:tcBorders>
                    <w:tl2br w:val="nil"/>
                    <w:tr2bl w:val="nil"/>
                  </w:tcBorders>
                  <w:shd w:val="clear" w:color="auto" w:fill="auto"/>
                  <w:tcMar>
                    <w:top w:w="0" w:type="dxa"/>
                    <w:left w:w="0" w:type="dxa"/>
                    <w:bottom w:w="0" w:type="dxa"/>
                    <w:right w:w="0" w:type="dxa"/>
                  </w:tcMar>
                  <w:vAlign w:val="center"/>
                </w:tcPr>
                <w:p w14:paraId="3794CF4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rPr>
                    <w:t>动物叫声2</w:t>
                  </w:r>
                </w:p>
              </w:tc>
              <w:tc>
                <w:tcPr>
                  <w:tcW w:w="207" w:type="pct"/>
                  <w:tcBorders>
                    <w:tl2br w:val="nil"/>
                    <w:tr2bl w:val="nil"/>
                  </w:tcBorders>
                  <w:shd w:val="clear" w:color="auto" w:fill="auto"/>
                  <w:tcMar>
                    <w:top w:w="0" w:type="dxa"/>
                    <w:left w:w="0" w:type="dxa"/>
                    <w:bottom w:w="0" w:type="dxa"/>
                    <w:right w:w="0" w:type="dxa"/>
                  </w:tcMar>
                  <w:vAlign w:val="center"/>
                </w:tcPr>
                <w:p w14:paraId="5883629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rPr>
                    <w:t>70</w:t>
                  </w:r>
                </w:p>
              </w:tc>
              <w:tc>
                <w:tcPr>
                  <w:tcW w:w="328" w:type="pct"/>
                  <w:vMerge w:val="continue"/>
                  <w:tcBorders>
                    <w:tl2br w:val="nil"/>
                    <w:tr2bl w:val="nil"/>
                  </w:tcBorders>
                  <w:shd w:val="clear" w:color="auto" w:fill="auto"/>
                  <w:tcMar>
                    <w:top w:w="0" w:type="dxa"/>
                    <w:left w:w="0" w:type="dxa"/>
                    <w:bottom w:w="0" w:type="dxa"/>
                    <w:right w:w="0" w:type="dxa"/>
                  </w:tcMar>
                  <w:vAlign w:val="center"/>
                </w:tcPr>
                <w:p w14:paraId="4AB2AD7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val="en-US" w:eastAsia="en-US"/>
                    </w:rPr>
                  </w:pPr>
                </w:p>
              </w:tc>
              <w:tc>
                <w:tcPr>
                  <w:tcW w:w="380" w:type="dxa"/>
                  <w:tcBorders>
                    <w:tl2br w:val="nil"/>
                    <w:tr2bl w:val="nil"/>
                  </w:tcBorders>
                  <w:shd w:val="clear" w:color="auto" w:fill="auto"/>
                  <w:tcMar>
                    <w:top w:w="0" w:type="dxa"/>
                    <w:left w:w="0" w:type="dxa"/>
                    <w:bottom w:w="0" w:type="dxa"/>
                    <w:right w:w="0" w:type="dxa"/>
                  </w:tcMar>
                  <w:vAlign w:val="center"/>
                </w:tcPr>
                <w:p w14:paraId="7DE9989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Arial" w:hAnsi="Arial" w:eastAsia="Arial" w:cs="Arial"/>
                      <w:sz w:val="20"/>
                    </w:rPr>
                    <w:t>3.6</w:t>
                  </w:r>
                </w:p>
              </w:tc>
              <w:tc>
                <w:tcPr>
                  <w:tcW w:w="386" w:type="dxa"/>
                  <w:tcBorders>
                    <w:tl2br w:val="nil"/>
                    <w:tr2bl w:val="nil"/>
                  </w:tcBorders>
                  <w:shd w:val="clear" w:color="auto" w:fill="auto"/>
                  <w:tcMar>
                    <w:top w:w="0" w:type="dxa"/>
                    <w:left w:w="0" w:type="dxa"/>
                    <w:bottom w:w="0" w:type="dxa"/>
                    <w:right w:w="0" w:type="dxa"/>
                  </w:tcMar>
                  <w:vAlign w:val="center"/>
                </w:tcPr>
                <w:p w14:paraId="66AC749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Arial" w:hAnsi="Arial" w:eastAsia="Arial" w:cs="Arial"/>
                      <w:sz w:val="20"/>
                    </w:rPr>
                    <w:t>-2.8</w:t>
                  </w:r>
                </w:p>
              </w:tc>
              <w:tc>
                <w:tcPr>
                  <w:tcW w:w="225" w:type="dxa"/>
                  <w:tcBorders>
                    <w:tl2br w:val="nil"/>
                    <w:tr2bl w:val="nil"/>
                  </w:tcBorders>
                  <w:shd w:val="clear" w:color="auto" w:fill="auto"/>
                  <w:tcMar>
                    <w:top w:w="0" w:type="dxa"/>
                    <w:left w:w="0" w:type="dxa"/>
                    <w:bottom w:w="0" w:type="dxa"/>
                    <w:right w:w="0" w:type="dxa"/>
                  </w:tcMar>
                  <w:vAlign w:val="center"/>
                </w:tcPr>
                <w:p w14:paraId="0F18EC7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Arial" w:hAnsi="Arial" w:eastAsia="Arial" w:cs="Arial"/>
                      <w:sz w:val="20"/>
                    </w:rPr>
                    <w:t>1.2</w:t>
                  </w:r>
                </w:p>
              </w:tc>
              <w:tc>
                <w:tcPr>
                  <w:tcW w:w="220" w:type="dxa"/>
                  <w:tcBorders>
                    <w:tl2br w:val="nil"/>
                    <w:tr2bl w:val="nil"/>
                  </w:tcBorders>
                  <w:shd w:val="clear" w:color="auto" w:fill="auto"/>
                  <w:tcMar>
                    <w:top w:w="0" w:type="dxa"/>
                    <w:left w:w="0" w:type="dxa"/>
                    <w:bottom w:w="0" w:type="dxa"/>
                    <w:right w:w="0" w:type="dxa"/>
                  </w:tcMar>
                  <w:vAlign w:val="center"/>
                </w:tcPr>
                <w:p w14:paraId="34D8877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Arial" w:hAnsi="Arial" w:eastAsia="Arial" w:cs="Arial"/>
                      <w:sz w:val="20"/>
                    </w:rPr>
                    <w:t>3.0</w:t>
                  </w:r>
                </w:p>
              </w:tc>
              <w:tc>
                <w:tcPr>
                  <w:tcW w:w="302" w:type="dxa"/>
                  <w:tcBorders>
                    <w:tl2br w:val="nil"/>
                    <w:tr2bl w:val="nil"/>
                  </w:tcBorders>
                  <w:shd w:val="clear" w:color="auto" w:fill="auto"/>
                  <w:tcMar>
                    <w:top w:w="0" w:type="dxa"/>
                    <w:left w:w="0" w:type="dxa"/>
                    <w:bottom w:w="0" w:type="dxa"/>
                    <w:right w:w="0" w:type="dxa"/>
                  </w:tcMar>
                  <w:vAlign w:val="center"/>
                </w:tcPr>
                <w:p w14:paraId="237AB46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Arial" w:hAnsi="Arial" w:eastAsia="Arial" w:cs="Arial"/>
                      <w:sz w:val="20"/>
                    </w:rPr>
                    <w:t>3.0</w:t>
                  </w:r>
                </w:p>
              </w:tc>
              <w:tc>
                <w:tcPr>
                  <w:tcW w:w="302" w:type="dxa"/>
                  <w:tcBorders>
                    <w:tl2br w:val="nil"/>
                    <w:tr2bl w:val="nil"/>
                  </w:tcBorders>
                  <w:shd w:val="clear" w:color="auto" w:fill="auto"/>
                  <w:tcMar>
                    <w:top w:w="0" w:type="dxa"/>
                    <w:left w:w="0" w:type="dxa"/>
                    <w:bottom w:w="0" w:type="dxa"/>
                    <w:right w:w="0" w:type="dxa"/>
                  </w:tcMar>
                  <w:vAlign w:val="center"/>
                </w:tcPr>
                <w:p w14:paraId="32E631E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Arial" w:hAnsi="Arial" w:eastAsia="Arial" w:cs="Arial"/>
                      <w:sz w:val="20"/>
                    </w:rPr>
                    <w:t>12.1</w:t>
                  </w:r>
                </w:p>
              </w:tc>
              <w:tc>
                <w:tcPr>
                  <w:tcW w:w="303" w:type="dxa"/>
                  <w:tcBorders>
                    <w:tl2br w:val="nil"/>
                    <w:tr2bl w:val="nil"/>
                  </w:tcBorders>
                  <w:shd w:val="clear" w:color="auto" w:fill="auto"/>
                  <w:tcMar>
                    <w:top w:w="0" w:type="dxa"/>
                    <w:left w:w="0" w:type="dxa"/>
                    <w:bottom w:w="0" w:type="dxa"/>
                    <w:right w:w="0" w:type="dxa"/>
                  </w:tcMar>
                  <w:vAlign w:val="center"/>
                </w:tcPr>
                <w:p w14:paraId="5FF4590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Arial" w:hAnsi="Arial" w:eastAsia="Arial" w:cs="Arial"/>
                      <w:sz w:val="20"/>
                    </w:rPr>
                    <w:t>4.7</w:t>
                  </w:r>
                </w:p>
              </w:tc>
              <w:tc>
                <w:tcPr>
                  <w:tcW w:w="302" w:type="dxa"/>
                  <w:tcBorders>
                    <w:tl2br w:val="nil"/>
                    <w:tr2bl w:val="nil"/>
                  </w:tcBorders>
                  <w:shd w:val="clear" w:color="auto" w:fill="auto"/>
                  <w:tcMar>
                    <w:top w:w="0" w:type="dxa"/>
                    <w:left w:w="0" w:type="dxa"/>
                    <w:bottom w:w="0" w:type="dxa"/>
                    <w:right w:w="0" w:type="dxa"/>
                  </w:tcMar>
                  <w:vAlign w:val="center"/>
                </w:tcPr>
                <w:p w14:paraId="1719C0A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Arial" w:hAnsi="Arial" w:eastAsia="Arial" w:cs="Arial"/>
                      <w:sz w:val="20"/>
                    </w:rPr>
                    <w:t>59.8</w:t>
                  </w:r>
                </w:p>
              </w:tc>
              <w:tc>
                <w:tcPr>
                  <w:tcW w:w="302" w:type="dxa"/>
                  <w:tcBorders>
                    <w:tl2br w:val="nil"/>
                    <w:tr2bl w:val="nil"/>
                  </w:tcBorders>
                  <w:shd w:val="clear" w:color="auto" w:fill="auto"/>
                  <w:tcMar>
                    <w:top w:w="0" w:type="dxa"/>
                    <w:left w:w="0" w:type="dxa"/>
                    <w:bottom w:w="0" w:type="dxa"/>
                    <w:right w:w="0" w:type="dxa"/>
                  </w:tcMar>
                  <w:vAlign w:val="center"/>
                </w:tcPr>
                <w:p w14:paraId="7DE933F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Arial" w:hAnsi="Arial" w:eastAsia="Arial" w:cs="Arial"/>
                      <w:sz w:val="20"/>
                    </w:rPr>
                    <w:t>59.8</w:t>
                  </w:r>
                </w:p>
              </w:tc>
              <w:tc>
                <w:tcPr>
                  <w:tcW w:w="302" w:type="dxa"/>
                  <w:tcBorders>
                    <w:tl2br w:val="nil"/>
                    <w:tr2bl w:val="nil"/>
                  </w:tcBorders>
                  <w:shd w:val="clear" w:color="auto" w:fill="auto"/>
                  <w:tcMar>
                    <w:top w:w="0" w:type="dxa"/>
                    <w:left w:w="0" w:type="dxa"/>
                    <w:bottom w:w="0" w:type="dxa"/>
                    <w:right w:w="0" w:type="dxa"/>
                  </w:tcMar>
                  <w:vAlign w:val="center"/>
                </w:tcPr>
                <w:p w14:paraId="4311DDC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Arial" w:hAnsi="Arial" w:eastAsia="Arial" w:cs="Arial"/>
                      <w:sz w:val="20"/>
                    </w:rPr>
                    <w:t>59.4</w:t>
                  </w:r>
                </w:p>
              </w:tc>
              <w:tc>
                <w:tcPr>
                  <w:tcW w:w="302" w:type="dxa"/>
                  <w:tcBorders>
                    <w:tl2br w:val="nil"/>
                    <w:tr2bl w:val="nil"/>
                  </w:tcBorders>
                  <w:shd w:val="clear" w:color="auto" w:fill="auto"/>
                  <w:tcMar>
                    <w:top w:w="0" w:type="dxa"/>
                    <w:left w:w="0" w:type="dxa"/>
                    <w:bottom w:w="0" w:type="dxa"/>
                    <w:right w:w="0" w:type="dxa"/>
                  </w:tcMar>
                  <w:vAlign w:val="center"/>
                </w:tcPr>
                <w:p w14:paraId="1D0A151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Arial" w:hAnsi="Arial" w:eastAsia="Arial" w:cs="Arial"/>
                      <w:sz w:val="20"/>
                    </w:rPr>
                    <w:t>59.6</w:t>
                  </w:r>
                </w:p>
              </w:tc>
              <w:tc>
                <w:tcPr>
                  <w:tcW w:w="174" w:type="pct"/>
                  <w:tcBorders>
                    <w:tl2br w:val="nil"/>
                    <w:tr2bl w:val="nil"/>
                  </w:tcBorders>
                  <w:shd w:val="clear" w:color="auto" w:fill="auto"/>
                  <w:tcMar>
                    <w:top w:w="0" w:type="dxa"/>
                    <w:left w:w="0" w:type="dxa"/>
                    <w:bottom w:w="0" w:type="dxa"/>
                    <w:right w:w="0" w:type="dxa"/>
                  </w:tcMar>
                  <w:vAlign w:val="center"/>
                </w:tcPr>
                <w:p w14:paraId="6127EF2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val="en-US" w:eastAsia="zh-CN"/>
                    </w:rPr>
                    <w:t>全天</w:t>
                  </w:r>
                </w:p>
              </w:tc>
              <w:tc>
                <w:tcPr>
                  <w:tcW w:w="234" w:type="dxa"/>
                  <w:tcBorders>
                    <w:tl2br w:val="nil"/>
                    <w:tr2bl w:val="nil"/>
                  </w:tcBorders>
                  <w:shd w:val="clear" w:color="auto" w:fill="auto"/>
                  <w:tcMar>
                    <w:top w:w="0" w:type="dxa"/>
                    <w:left w:w="0" w:type="dxa"/>
                    <w:bottom w:w="0" w:type="dxa"/>
                    <w:right w:w="0" w:type="dxa"/>
                  </w:tcMar>
                  <w:vAlign w:val="center"/>
                </w:tcPr>
                <w:p w14:paraId="5B876D5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Arial" w:hAnsi="Arial" w:eastAsia="Arial" w:cs="Arial"/>
                      <w:sz w:val="20"/>
                    </w:rPr>
                    <w:t>25.0</w:t>
                  </w:r>
                </w:p>
              </w:tc>
              <w:tc>
                <w:tcPr>
                  <w:tcW w:w="307" w:type="dxa"/>
                  <w:tcBorders>
                    <w:tl2br w:val="nil"/>
                    <w:tr2bl w:val="nil"/>
                  </w:tcBorders>
                  <w:shd w:val="clear" w:color="auto" w:fill="auto"/>
                  <w:tcMar>
                    <w:top w:w="0" w:type="dxa"/>
                    <w:left w:w="0" w:type="dxa"/>
                    <w:bottom w:w="0" w:type="dxa"/>
                    <w:right w:w="0" w:type="dxa"/>
                  </w:tcMar>
                  <w:vAlign w:val="center"/>
                </w:tcPr>
                <w:p w14:paraId="5B33C2A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Arial" w:hAnsi="Arial" w:eastAsia="Arial" w:cs="Arial"/>
                      <w:sz w:val="20"/>
                    </w:rPr>
                    <w:t>25.0</w:t>
                  </w:r>
                </w:p>
              </w:tc>
              <w:tc>
                <w:tcPr>
                  <w:tcW w:w="336" w:type="dxa"/>
                  <w:tcBorders>
                    <w:tl2br w:val="nil"/>
                    <w:tr2bl w:val="nil"/>
                  </w:tcBorders>
                  <w:shd w:val="clear" w:color="auto" w:fill="auto"/>
                  <w:tcMar>
                    <w:top w:w="0" w:type="dxa"/>
                    <w:left w:w="0" w:type="dxa"/>
                    <w:bottom w:w="0" w:type="dxa"/>
                    <w:right w:w="0" w:type="dxa"/>
                  </w:tcMar>
                  <w:vAlign w:val="center"/>
                </w:tcPr>
                <w:p w14:paraId="1E67797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Arial" w:hAnsi="Arial" w:eastAsia="Arial" w:cs="Arial"/>
                      <w:sz w:val="20"/>
                    </w:rPr>
                    <w:t>25.0</w:t>
                  </w:r>
                </w:p>
              </w:tc>
              <w:tc>
                <w:tcPr>
                  <w:tcW w:w="322" w:type="dxa"/>
                  <w:tcBorders>
                    <w:tl2br w:val="nil"/>
                    <w:tr2bl w:val="nil"/>
                  </w:tcBorders>
                  <w:shd w:val="clear" w:color="auto" w:fill="auto"/>
                  <w:tcMar>
                    <w:top w:w="0" w:type="dxa"/>
                    <w:left w:w="0" w:type="dxa"/>
                    <w:bottom w:w="0" w:type="dxa"/>
                    <w:right w:w="0" w:type="dxa"/>
                  </w:tcMar>
                  <w:vAlign w:val="center"/>
                </w:tcPr>
                <w:p w14:paraId="0EEBD3D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Arial" w:hAnsi="Arial" w:eastAsia="Arial" w:cs="Arial"/>
                      <w:sz w:val="20"/>
                    </w:rPr>
                    <w:t>25.0</w:t>
                  </w:r>
                </w:p>
              </w:tc>
              <w:tc>
                <w:tcPr>
                  <w:tcW w:w="278" w:type="dxa"/>
                  <w:tcBorders>
                    <w:tl2br w:val="nil"/>
                    <w:tr2bl w:val="nil"/>
                  </w:tcBorders>
                  <w:shd w:val="clear" w:color="auto" w:fill="auto"/>
                  <w:tcMar>
                    <w:top w:w="0" w:type="dxa"/>
                    <w:left w:w="0" w:type="dxa"/>
                    <w:bottom w:w="0" w:type="dxa"/>
                    <w:right w:w="0" w:type="dxa"/>
                  </w:tcMar>
                  <w:vAlign w:val="center"/>
                </w:tcPr>
                <w:p w14:paraId="11C73A6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Arial" w:hAnsi="Arial" w:eastAsia="Arial" w:cs="Arial"/>
                      <w:sz w:val="20"/>
                    </w:rPr>
                    <w:t>34.8</w:t>
                  </w:r>
                </w:p>
              </w:tc>
              <w:tc>
                <w:tcPr>
                  <w:tcW w:w="336" w:type="dxa"/>
                  <w:tcBorders>
                    <w:tl2br w:val="nil"/>
                    <w:tr2bl w:val="nil"/>
                  </w:tcBorders>
                  <w:shd w:val="clear" w:color="auto" w:fill="auto"/>
                  <w:tcMar>
                    <w:top w:w="0" w:type="dxa"/>
                    <w:left w:w="0" w:type="dxa"/>
                    <w:bottom w:w="0" w:type="dxa"/>
                    <w:right w:w="0" w:type="dxa"/>
                  </w:tcMar>
                  <w:vAlign w:val="center"/>
                </w:tcPr>
                <w:p w14:paraId="692B3D5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Arial" w:hAnsi="Arial" w:eastAsia="Arial" w:cs="Arial"/>
                      <w:sz w:val="20"/>
                    </w:rPr>
                    <w:t>34.8</w:t>
                  </w:r>
                </w:p>
              </w:tc>
              <w:tc>
                <w:tcPr>
                  <w:tcW w:w="292" w:type="dxa"/>
                  <w:tcBorders>
                    <w:tl2br w:val="nil"/>
                    <w:tr2bl w:val="nil"/>
                  </w:tcBorders>
                  <w:shd w:val="clear" w:color="auto" w:fill="auto"/>
                  <w:tcMar>
                    <w:top w:w="0" w:type="dxa"/>
                    <w:left w:w="0" w:type="dxa"/>
                    <w:bottom w:w="0" w:type="dxa"/>
                    <w:right w:w="0" w:type="dxa"/>
                  </w:tcMar>
                  <w:vAlign w:val="center"/>
                </w:tcPr>
                <w:p w14:paraId="4DFDC6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Arial" w:hAnsi="Arial" w:eastAsia="Arial" w:cs="Arial"/>
                      <w:sz w:val="20"/>
                    </w:rPr>
                    <w:t>34.4</w:t>
                  </w:r>
                </w:p>
              </w:tc>
              <w:tc>
                <w:tcPr>
                  <w:tcW w:w="263" w:type="dxa"/>
                  <w:tcBorders>
                    <w:tl2br w:val="nil"/>
                    <w:tr2bl w:val="nil"/>
                  </w:tcBorders>
                  <w:shd w:val="clear" w:color="auto" w:fill="auto"/>
                  <w:tcMar>
                    <w:top w:w="0" w:type="dxa"/>
                    <w:left w:w="0" w:type="dxa"/>
                    <w:bottom w:w="0" w:type="dxa"/>
                    <w:right w:w="0" w:type="dxa"/>
                  </w:tcMar>
                  <w:vAlign w:val="center"/>
                </w:tcPr>
                <w:p w14:paraId="174581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Arial" w:hAnsi="Arial" w:eastAsia="Arial" w:cs="Arial"/>
                      <w:sz w:val="20"/>
                    </w:rPr>
                    <w:t>34.6</w:t>
                  </w:r>
                </w:p>
              </w:tc>
              <w:tc>
                <w:tcPr>
                  <w:tcW w:w="234" w:type="dxa"/>
                  <w:tcBorders>
                    <w:tl2br w:val="nil"/>
                    <w:tr2bl w:val="nil"/>
                  </w:tcBorders>
                  <w:shd w:val="clear" w:color="auto" w:fill="auto"/>
                  <w:tcMar>
                    <w:top w:w="0" w:type="dxa"/>
                    <w:left w:w="0" w:type="dxa"/>
                    <w:bottom w:w="0" w:type="dxa"/>
                    <w:right w:w="0" w:type="dxa"/>
                  </w:tcMar>
                  <w:vAlign w:val="center"/>
                </w:tcPr>
                <w:p w14:paraId="6B299E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Arial" w:hAnsi="Arial" w:eastAsia="Arial" w:cs="Arial"/>
                      <w:sz w:val="20"/>
                    </w:rPr>
                    <w:t>1</w:t>
                  </w:r>
                </w:p>
              </w:tc>
            </w:tr>
            <w:tr w14:paraId="5D58375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5" w:type="pct"/>
                  <w:tcBorders>
                    <w:tl2br w:val="nil"/>
                    <w:tr2bl w:val="nil"/>
                  </w:tcBorders>
                  <w:shd w:val="clear" w:color="auto" w:fill="auto"/>
                  <w:tcMar>
                    <w:top w:w="0" w:type="dxa"/>
                    <w:left w:w="0" w:type="dxa"/>
                    <w:bottom w:w="0" w:type="dxa"/>
                    <w:right w:w="0" w:type="dxa"/>
                  </w:tcMar>
                  <w:vAlign w:val="center"/>
                </w:tcPr>
                <w:p w14:paraId="0995FC5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rPr>
                    <w:t>3</w:t>
                  </w:r>
                </w:p>
              </w:tc>
              <w:tc>
                <w:tcPr>
                  <w:tcW w:w="226" w:type="pct"/>
                  <w:vMerge w:val="continue"/>
                  <w:tcBorders>
                    <w:tl2br w:val="nil"/>
                    <w:tr2bl w:val="nil"/>
                  </w:tcBorders>
                  <w:shd w:val="clear" w:color="auto" w:fill="auto"/>
                  <w:tcMar>
                    <w:top w:w="0" w:type="dxa"/>
                    <w:left w:w="0" w:type="dxa"/>
                    <w:bottom w:w="0" w:type="dxa"/>
                    <w:right w:w="0" w:type="dxa"/>
                  </w:tcMar>
                  <w:vAlign w:val="center"/>
                </w:tcPr>
                <w:p w14:paraId="02185B8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p>
              </w:tc>
              <w:tc>
                <w:tcPr>
                  <w:tcW w:w="226" w:type="pct"/>
                  <w:tcBorders>
                    <w:tl2br w:val="nil"/>
                    <w:tr2bl w:val="nil"/>
                  </w:tcBorders>
                  <w:shd w:val="clear" w:color="auto" w:fill="auto"/>
                  <w:tcMar>
                    <w:top w:w="0" w:type="dxa"/>
                    <w:left w:w="0" w:type="dxa"/>
                    <w:bottom w:w="0" w:type="dxa"/>
                    <w:right w:w="0" w:type="dxa"/>
                  </w:tcMar>
                  <w:vAlign w:val="center"/>
                </w:tcPr>
                <w:p w14:paraId="33ACEC4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rPr>
                    <w:t>动物叫声3</w:t>
                  </w:r>
                </w:p>
              </w:tc>
              <w:tc>
                <w:tcPr>
                  <w:tcW w:w="207" w:type="pct"/>
                  <w:tcBorders>
                    <w:tl2br w:val="nil"/>
                    <w:tr2bl w:val="nil"/>
                  </w:tcBorders>
                  <w:shd w:val="clear" w:color="auto" w:fill="auto"/>
                  <w:tcMar>
                    <w:top w:w="0" w:type="dxa"/>
                    <w:left w:w="0" w:type="dxa"/>
                    <w:bottom w:w="0" w:type="dxa"/>
                    <w:right w:w="0" w:type="dxa"/>
                  </w:tcMar>
                  <w:vAlign w:val="center"/>
                </w:tcPr>
                <w:p w14:paraId="0D98706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rPr>
                    <w:t>70</w:t>
                  </w:r>
                </w:p>
              </w:tc>
              <w:tc>
                <w:tcPr>
                  <w:tcW w:w="328" w:type="pct"/>
                  <w:vMerge w:val="continue"/>
                  <w:tcBorders>
                    <w:tl2br w:val="nil"/>
                    <w:tr2bl w:val="nil"/>
                  </w:tcBorders>
                  <w:shd w:val="clear" w:color="auto" w:fill="auto"/>
                  <w:tcMar>
                    <w:top w:w="0" w:type="dxa"/>
                    <w:left w:w="0" w:type="dxa"/>
                    <w:bottom w:w="0" w:type="dxa"/>
                    <w:right w:w="0" w:type="dxa"/>
                  </w:tcMar>
                  <w:vAlign w:val="center"/>
                </w:tcPr>
                <w:p w14:paraId="7E9B34A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val="en-US" w:eastAsia="en-US"/>
                    </w:rPr>
                  </w:pPr>
                </w:p>
              </w:tc>
              <w:tc>
                <w:tcPr>
                  <w:tcW w:w="380" w:type="dxa"/>
                  <w:tcBorders>
                    <w:tl2br w:val="nil"/>
                    <w:tr2bl w:val="nil"/>
                  </w:tcBorders>
                  <w:shd w:val="clear" w:color="auto" w:fill="auto"/>
                  <w:tcMar>
                    <w:top w:w="0" w:type="dxa"/>
                    <w:left w:w="0" w:type="dxa"/>
                    <w:bottom w:w="0" w:type="dxa"/>
                    <w:right w:w="0" w:type="dxa"/>
                  </w:tcMar>
                  <w:vAlign w:val="center"/>
                </w:tcPr>
                <w:p w14:paraId="4D6A312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Arial" w:hAnsi="Arial" w:eastAsia="Arial" w:cs="Arial"/>
                      <w:sz w:val="20"/>
                    </w:rPr>
                    <w:t>3.3</w:t>
                  </w:r>
                </w:p>
              </w:tc>
              <w:tc>
                <w:tcPr>
                  <w:tcW w:w="386" w:type="dxa"/>
                  <w:tcBorders>
                    <w:tl2br w:val="nil"/>
                    <w:tr2bl w:val="nil"/>
                  </w:tcBorders>
                  <w:shd w:val="clear" w:color="auto" w:fill="auto"/>
                  <w:tcMar>
                    <w:top w:w="0" w:type="dxa"/>
                    <w:left w:w="0" w:type="dxa"/>
                    <w:bottom w:w="0" w:type="dxa"/>
                    <w:right w:w="0" w:type="dxa"/>
                  </w:tcMar>
                  <w:vAlign w:val="center"/>
                </w:tcPr>
                <w:p w14:paraId="45637B2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Arial" w:hAnsi="Arial" w:eastAsia="Arial" w:cs="Arial"/>
                      <w:sz w:val="20"/>
                    </w:rPr>
                    <w:t>-0.2</w:t>
                  </w:r>
                </w:p>
              </w:tc>
              <w:tc>
                <w:tcPr>
                  <w:tcW w:w="225" w:type="dxa"/>
                  <w:tcBorders>
                    <w:tl2br w:val="nil"/>
                    <w:tr2bl w:val="nil"/>
                  </w:tcBorders>
                  <w:shd w:val="clear" w:color="auto" w:fill="auto"/>
                  <w:tcMar>
                    <w:top w:w="0" w:type="dxa"/>
                    <w:left w:w="0" w:type="dxa"/>
                    <w:bottom w:w="0" w:type="dxa"/>
                    <w:right w:w="0" w:type="dxa"/>
                  </w:tcMar>
                  <w:vAlign w:val="center"/>
                </w:tcPr>
                <w:p w14:paraId="4B0B8D8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Arial" w:hAnsi="Arial" w:eastAsia="Arial" w:cs="Arial"/>
                      <w:sz w:val="20"/>
                    </w:rPr>
                    <w:t>1.2</w:t>
                  </w:r>
                </w:p>
              </w:tc>
              <w:tc>
                <w:tcPr>
                  <w:tcW w:w="220" w:type="dxa"/>
                  <w:tcBorders>
                    <w:tl2br w:val="nil"/>
                    <w:tr2bl w:val="nil"/>
                  </w:tcBorders>
                  <w:shd w:val="clear" w:color="auto" w:fill="auto"/>
                  <w:tcMar>
                    <w:top w:w="0" w:type="dxa"/>
                    <w:left w:w="0" w:type="dxa"/>
                    <w:bottom w:w="0" w:type="dxa"/>
                    <w:right w:w="0" w:type="dxa"/>
                  </w:tcMar>
                  <w:vAlign w:val="center"/>
                </w:tcPr>
                <w:p w14:paraId="1CE7CF5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Arial" w:hAnsi="Arial" w:eastAsia="Arial" w:cs="Arial"/>
                      <w:sz w:val="20"/>
                    </w:rPr>
                    <w:t>4.2</w:t>
                  </w:r>
                </w:p>
              </w:tc>
              <w:tc>
                <w:tcPr>
                  <w:tcW w:w="302" w:type="dxa"/>
                  <w:tcBorders>
                    <w:tl2br w:val="nil"/>
                    <w:tr2bl w:val="nil"/>
                  </w:tcBorders>
                  <w:shd w:val="clear" w:color="auto" w:fill="auto"/>
                  <w:tcMar>
                    <w:top w:w="0" w:type="dxa"/>
                    <w:left w:w="0" w:type="dxa"/>
                    <w:bottom w:w="0" w:type="dxa"/>
                    <w:right w:w="0" w:type="dxa"/>
                  </w:tcMar>
                  <w:vAlign w:val="center"/>
                </w:tcPr>
                <w:p w14:paraId="1CC7578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Arial" w:hAnsi="Arial" w:eastAsia="Arial" w:cs="Arial"/>
                      <w:sz w:val="20"/>
                    </w:rPr>
                    <w:t>5.2</w:t>
                  </w:r>
                </w:p>
              </w:tc>
              <w:tc>
                <w:tcPr>
                  <w:tcW w:w="302" w:type="dxa"/>
                  <w:tcBorders>
                    <w:tl2br w:val="nil"/>
                    <w:tr2bl w:val="nil"/>
                  </w:tcBorders>
                  <w:shd w:val="clear" w:color="auto" w:fill="auto"/>
                  <w:tcMar>
                    <w:top w:w="0" w:type="dxa"/>
                    <w:left w:w="0" w:type="dxa"/>
                    <w:bottom w:w="0" w:type="dxa"/>
                    <w:right w:w="0" w:type="dxa"/>
                  </w:tcMar>
                  <w:vAlign w:val="center"/>
                </w:tcPr>
                <w:p w14:paraId="6ED54C9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Arial" w:hAnsi="Arial" w:eastAsia="Arial" w:cs="Arial"/>
                      <w:sz w:val="20"/>
                    </w:rPr>
                    <w:t>10.4</w:t>
                  </w:r>
                </w:p>
              </w:tc>
              <w:tc>
                <w:tcPr>
                  <w:tcW w:w="303" w:type="dxa"/>
                  <w:tcBorders>
                    <w:tl2br w:val="nil"/>
                    <w:tr2bl w:val="nil"/>
                  </w:tcBorders>
                  <w:shd w:val="clear" w:color="auto" w:fill="auto"/>
                  <w:tcMar>
                    <w:top w:w="0" w:type="dxa"/>
                    <w:left w:w="0" w:type="dxa"/>
                    <w:bottom w:w="0" w:type="dxa"/>
                    <w:right w:w="0" w:type="dxa"/>
                  </w:tcMar>
                  <w:vAlign w:val="center"/>
                </w:tcPr>
                <w:p w14:paraId="271C3E8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Arial" w:hAnsi="Arial" w:eastAsia="Arial" w:cs="Arial"/>
                      <w:sz w:val="20"/>
                    </w:rPr>
                    <w:t>2.5</w:t>
                  </w:r>
                </w:p>
              </w:tc>
              <w:tc>
                <w:tcPr>
                  <w:tcW w:w="302" w:type="dxa"/>
                  <w:tcBorders>
                    <w:tl2br w:val="nil"/>
                    <w:tr2bl w:val="nil"/>
                  </w:tcBorders>
                  <w:shd w:val="clear" w:color="auto" w:fill="auto"/>
                  <w:tcMar>
                    <w:top w:w="0" w:type="dxa"/>
                    <w:left w:w="0" w:type="dxa"/>
                    <w:bottom w:w="0" w:type="dxa"/>
                    <w:right w:w="0" w:type="dxa"/>
                  </w:tcMar>
                  <w:vAlign w:val="center"/>
                </w:tcPr>
                <w:p w14:paraId="0FC3E41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Arial" w:hAnsi="Arial" w:eastAsia="Arial" w:cs="Arial"/>
                      <w:sz w:val="20"/>
                    </w:rPr>
                    <w:t>59.6</w:t>
                  </w:r>
                </w:p>
              </w:tc>
              <w:tc>
                <w:tcPr>
                  <w:tcW w:w="302" w:type="dxa"/>
                  <w:tcBorders>
                    <w:tl2br w:val="nil"/>
                    <w:tr2bl w:val="nil"/>
                  </w:tcBorders>
                  <w:shd w:val="clear" w:color="auto" w:fill="auto"/>
                  <w:tcMar>
                    <w:top w:w="0" w:type="dxa"/>
                    <w:left w:w="0" w:type="dxa"/>
                    <w:bottom w:w="0" w:type="dxa"/>
                    <w:right w:w="0" w:type="dxa"/>
                  </w:tcMar>
                  <w:vAlign w:val="center"/>
                </w:tcPr>
                <w:p w14:paraId="65F4F5F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Arial" w:hAnsi="Arial" w:eastAsia="Arial" w:cs="Arial"/>
                      <w:sz w:val="20"/>
                    </w:rPr>
                    <w:t>59.5</w:t>
                  </w:r>
                </w:p>
              </w:tc>
              <w:tc>
                <w:tcPr>
                  <w:tcW w:w="302" w:type="dxa"/>
                  <w:tcBorders>
                    <w:tl2br w:val="nil"/>
                    <w:tr2bl w:val="nil"/>
                  </w:tcBorders>
                  <w:shd w:val="clear" w:color="auto" w:fill="auto"/>
                  <w:tcMar>
                    <w:top w:w="0" w:type="dxa"/>
                    <w:left w:w="0" w:type="dxa"/>
                    <w:bottom w:w="0" w:type="dxa"/>
                    <w:right w:w="0" w:type="dxa"/>
                  </w:tcMar>
                  <w:vAlign w:val="center"/>
                </w:tcPr>
                <w:p w14:paraId="7334369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Arial" w:hAnsi="Arial" w:eastAsia="Arial" w:cs="Arial"/>
                      <w:sz w:val="20"/>
                    </w:rPr>
                    <w:t>59.4</w:t>
                  </w:r>
                </w:p>
              </w:tc>
              <w:tc>
                <w:tcPr>
                  <w:tcW w:w="302" w:type="dxa"/>
                  <w:tcBorders>
                    <w:tl2br w:val="nil"/>
                    <w:tr2bl w:val="nil"/>
                  </w:tcBorders>
                  <w:shd w:val="clear" w:color="auto" w:fill="auto"/>
                  <w:tcMar>
                    <w:top w:w="0" w:type="dxa"/>
                    <w:left w:w="0" w:type="dxa"/>
                    <w:bottom w:w="0" w:type="dxa"/>
                    <w:right w:w="0" w:type="dxa"/>
                  </w:tcMar>
                  <w:vAlign w:val="center"/>
                </w:tcPr>
                <w:p w14:paraId="022198B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Arial" w:hAnsi="Arial" w:eastAsia="Arial" w:cs="Arial"/>
                      <w:sz w:val="20"/>
                    </w:rPr>
                    <w:t>60.0</w:t>
                  </w:r>
                </w:p>
              </w:tc>
              <w:tc>
                <w:tcPr>
                  <w:tcW w:w="174" w:type="pct"/>
                  <w:tcBorders>
                    <w:tl2br w:val="nil"/>
                    <w:tr2bl w:val="nil"/>
                  </w:tcBorders>
                  <w:shd w:val="clear" w:color="auto" w:fill="auto"/>
                  <w:tcMar>
                    <w:top w:w="0" w:type="dxa"/>
                    <w:left w:w="0" w:type="dxa"/>
                    <w:bottom w:w="0" w:type="dxa"/>
                    <w:right w:w="0" w:type="dxa"/>
                  </w:tcMar>
                  <w:vAlign w:val="center"/>
                </w:tcPr>
                <w:p w14:paraId="4FBEA82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21"/>
                      <w:szCs w:val="21"/>
                      <w:lang w:val="en-US" w:eastAsia="zh-CN"/>
                    </w:rPr>
                    <w:t>全天</w:t>
                  </w:r>
                </w:p>
              </w:tc>
              <w:tc>
                <w:tcPr>
                  <w:tcW w:w="234" w:type="dxa"/>
                  <w:tcBorders>
                    <w:tl2br w:val="nil"/>
                    <w:tr2bl w:val="nil"/>
                  </w:tcBorders>
                  <w:shd w:val="clear" w:color="auto" w:fill="auto"/>
                  <w:tcMar>
                    <w:top w:w="0" w:type="dxa"/>
                    <w:left w:w="0" w:type="dxa"/>
                    <w:bottom w:w="0" w:type="dxa"/>
                    <w:right w:w="0" w:type="dxa"/>
                  </w:tcMar>
                  <w:vAlign w:val="center"/>
                </w:tcPr>
                <w:p w14:paraId="206BC68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Arial" w:hAnsi="Arial" w:eastAsia="Arial" w:cs="Arial"/>
                      <w:sz w:val="20"/>
                    </w:rPr>
                    <w:t>25.0</w:t>
                  </w:r>
                </w:p>
              </w:tc>
              <w:tc>
                <w:tcPr>
                  <w:tcW w:w="307" w:type="dxa"/>
                  <w:tcBorders>
                    <w:tl2br w:val="nil"/>
                    <w:tr2bl w:val="nil"/>
                  </w:tcBorders>
                  <w:shd w:val="clear" w:color="auto" w:fill="auto"/>
                  <w:tcMar>
                    <w:top w:w="0" w:type="dxa"/>
                    <w:left w:w="0" w:type="dxa"/>
                    <w:bottom w:w="0" w:type="dxa"/>
                    <w:right w:w="0" w:type="dxa"/>
                  </w:tcMar>
                  <w:vAlign w:val="center"/>
                </w:tcPr>
                <w:p w14:paraId="6CDB2DF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Arial" w:hAnsi="Arial" w:eastAsia="Arial" w:cs="Arial"/>
                      <w:sz w:val="20"/>
                    </w:rPr>
                    <w:t>25.0</w:t>
                  </w:r>
                </w:p>
              </w:tc>
              <w:tc>
                <w:tcPr>
                  <w:tcW w:w="336" w:type="dxa"/>
                  <w:tcBorders>
                    <w:tl2br w:val="nil"/>
                    <w:tr2bl w:val="nil"/>
                  </w:tcBorders>
                  <w:shd w:val="clear" w:color="auto" w:fill="auto"/>
                  <w:tcMar>
                    <w:top w:w="0" w:type="dxa"/>
                    <w:left w:w="0" w:type="dxa"/>
                    <w:bottom w:w="0" w:type="dxa"/>
                    <w:right w:w="0" w:type="dxa"/>
                  </w:tcMar>
                  <w:vAlign w:val="center"/>
                </w:tcPr>
                <w:p w14:paraId="621D361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Arial" w:hAnsi="Arial" w:eastAsia="Arial" w:cs="Arial"/>
                      <w:sz w:val="20"/>
                    </w:rPr>
                    <w:t>25.0</w:t>
                  </w:r>
                </w:p>
              </w:tc>
              <w:tc>
                <w:tcPr>
                  <w:tcW w:w="322" w:type="dxa"/>
                  <w:tcBorders>
                    <w:tl2br w:val="nil"/>
                    <w:tr2bl w:val="nil"/>
                  </w:tcBorders>
                  <w:shd w:val="clear" w:color="auto" w:fill="auto"/>
                  <w:tcMar>
                    <w:top w:w="0" w:type="dxa"/>
                    <w:left w:w="0" w:type="dxa"/>
                    <w:bottom w:w="0" w:type="dxa"/>
                    <w:right w:w="0" w:type="dxa"/>
                  </w:tcMar>
                  <w:vAlign w:val="center"/>
                </w:tcPr>
                <w:p w14:paraId="1839D8C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Arial" w:hAnsi="Arial" w:eastAsia="Arial" w:cs="Arial"/>
                      <w:sz w:val="20"/>
                    </w:rPr>
                    <w:t>25.0</w:t>
                  </w:r>
                </w:p>
              </w:tc>
              <w:tc>
                <w:tcPr>
                  <w:tcW w:w="278" w:type="dxa"/>
                  <w:tcBorders>
                    <w:tl2br w:val="nil"/>
                    <w:tr2bl w:val="nil"/>
                  </w:tcBorders>
                  <w:shd w:val="clear" w:color="auto" w:fill="auto"/>
                  <w:tcMar>
                    <w:top w:w="0" w:type="dxa"/>
                    <w:left w:w="0" w:type="dxa"/>
                    <w:bottom w:w="0" w:type="dxa"/>
                    <w:right w:w="0" w:type="dxa"/>
                  </w:tcMar>
                  <w:vAlign w:val="center"/>
                </w:tcPr>
                <w:p w14:paraId="3820177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Arial" w:hAnsi="Arial" w:eastAsia="Arial" w:cs="Arial"/>
                      <w:sz w:val="20"/>
                    </w:rPr>
                    <w:t>34.6</w:t>
                  </w:r>
                </w:p>
              </w:tc>
              <w:tc>
                <w:tcPr>
                  <w:tcW w:w="336" w:type="dxa"/>
                  <w:tcBorders>
                    <w:tl2br w:val="nil"/>
                    <w:tr2bl w:val="nil"/>
                  </w:tcBorders>
                  <w:shd w:val="clear" w:color="auto" w:fill="auto"/>
                  <w:tcMar>
                    <w:top w:w="0" w:type="dxa"/>
                    <w:left w:w="0" w:type="dxa"/>
                    <w:bottom w:w="0" w:type="dxa"/>
                    <w:right w:w="0" w:type="dxa"/>
                  </w:tcMar>
                  <w:vAlign w:val="center"/>
                </w:tcPr>
                <w:p w14:paraId="3CB0AF1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Arial" w:hAnsi="Arial" w:eastAsia="Arial" w:cs="Arial"/>
                      <w:sz w:val="20"/>
                    </w:rPr>
                    <w:t>34.5</w:t>
                  </w:r>
                </w:p>
              </w:tc>
              <w:tc>
                <w:tcPr>
                  <w:tcW w:w="292" w:type="dxa"/>
                  <w:tcBorders>
                    <w:tl2br w:val="nil"/>
                    <w:tr2bl w:val="nil"/>
                  </w:tcBorders>
                  <w:shd w:val="clear" w:color="auto" w:fill="auto"/>
                  <w:tcMar>
                    <w:top w:w="0" w:type="dxa"/>
                    <w:left w:w="0" w:type="dxa"/>
                    <w:bottom w:w="0" w:type="dxa"/>
                    <w:right w:w="0" w:type="dxa"/>
                  </w:tcMar>
                  <w:vAlign w:val="center"/>
                </w:tcPr>
                <w:p w14:paraId="263931E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Arial" w:hAnsi="Arial" w:eastAsia="Arial" w:cs="Arial"/>
                      <w:sz w:val="20"/>
                    </w:rPr>
                    <w:t>34.4</w:t>
                  </w:r>
                </w:p>
              </w:tc>
              <w:tc>
                <w:tcPr>
                  <w:tcW w:w="263" w:type="dxa"/>
                  <w:tcBorders>
                    <w:tl2br w:val="nil"/>
                    <w:tr2bl w:val="nil"/>
                  </w:tcBorders>
                  <w:shd w:val="clear" w:color="auto" w:fill="auto"/>
                  <w:tcMar>
                    <w:top w:w="0" w:type="dxa"/>
                    <w:left w:w="0" w:type="dxa"/>
                    <w:bottom w:w="0" w:type="dxa"/>
                    <w:right w:w="0" w:type="dxa"/>
                  </w:tcMar>
                  <w:vAlign w:val="center"/>
                </w:tcPr>
                <w:p w14:paraId="4D1C33B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Arial" w:hAnsi="Arial" w:eastAsia="Arial" w:cs="Arial"/>
                      <w:sz w:val="20"/>
                    </w:rPr>
                    <w:t>35.0</w:t>
                  </w:r>
                </w:p>
              </w:tc>
              <w:tc>
                <w:tcPr>
                  <w:tcW w:w="234" w:type="dxa"/>
                  <w:tcBorders>
                    <w:tl2br w:val="nil"/>
                    <w:tr2bl w:val="nil"/>
                  </w:tcBorders>
                  <w:shd w:val="clear" w:color="auto" w:fill="auto"/>
                  <w:tcMar>
                    <w:top w:w="0" w:type="dxa"/>
                    <w:left w:w="0" w:type="dxa"/>
                    <w:bottom w:w="0" w:type="dxa"/>
                    <w:right w:w="0" w:type="dxa"/>
                  </w:tcMar>
                  <w:vAlign w:val="center"/>
                </w:tcPr>
                <w:p w14:paraId="2600952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eastAsia="zh-CN"/>
                    </w:rPr>
                  </w:pPr>
                  <w:r>
                    <w:rPr>
                      <w:rFonts w:hint="default" w:ascii="Arial" w:hAnsi="Arial" w:eastAsia="Arial" w:cs="Arial"/>
                      <w:sz w:val="20"/>
                    </w:rPr>
                    <w:t>1</w:t>
                  </w:r>
                </w:p>
              </w:tc>
            </w:tr>
            <w:tr w14:paraId="0EC5604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26"/>
                  <w:shd w:val="clear" w:color="auto" w:fill="auto"/>
                </w:tcPr>
                <w:p w14:paraId="4F6C3F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2"/>
                      <w:sz w:val="21"/>
                      <w:szCs w:val="21"/>
                      <w:lang w:val="en-US" w:eastAsia="zh-CN"/>
                    </w:rPr>
                    <w:t>原点坐标为：</w:t>
                  </w:r>
                  <w:bookmarkStart w:id="42" w:name="PO_7"/>
                  <w:r>
                    <w:rPr>
                      <w:rFonts w:hint="default" w:ascii="Times New Roman" w:hAnsi="Times New Roman" w:eastAsia="宋体" w:cs="Times New Roman"/>
                      <w:kern w:val="2"/>
                      <w:sz w:val="21"/>
                      <w:szCs w:val="21"/>
                      <w:lang w:val="en-US" w:eastAsia="zh-CN"/>
                    </w:rPr>
                    <w:t>86.1662903,41.723594</w:t>
                  </w:r>
                  <w:bookmarkEnd w:id="42"/>
                </w:p>
              </w:tc>
            </w:tr>
          </w:tbl>
          <w:p w14:paraId="407FC988">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auto"/>
              <w:outlineLvl w:val="1"/>
              <w:rPr>
                <w:rFonts w:hint="default" w:ascii="Times New Roman" w:hAnsi="Times New Roman" w:eastAsia="宋体" w:cs="Times New Roman"/>
                <w:b/>
                <w:bCs/>
                <w:color w:val="000000" w:themeColor="text1"/>
                <w:kern w:val="2"/>
                <w:sz w:val="24"/>
                <w:szCs w:val="32"/>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4"/>
                <w:szCs w:val="32"/>
                <w:highlight w:val="none"/>
                <w:lang w:val="en-US" w:eastAsia="zh-CN" w:bidi="ar-SA"/>
                <w14:textFill>
                  <w14:solidFill>
                    <w14:schemeClr w14:val="tx1"/>
                  </w14:solidFill>
                </w14:textFill>
              </w:rPr>
              <w:t>3.2</w:t>
            </w:r>
            <w:r>
              <w:rPr>
                <w:rFonts w:hint="eastAsia" w:ascii="Times New Roman" w:hAnsi="Times New Roman" w:eastAsia="宋体" w:cs="Times New Roman"/>
                <w:b/>
                <w:bCs/>
                <w:color w:val="000000" w:themeColor="text1"/>
                <w:kern w:val="2"/>
                <w:sz w:val="24"/>
                <w:szCs w:val="32"/>
                <w:highlight w:val="none"/>
                <w:lang w:val="en-US" w:eastAsia="zh-CN" w:bidi="ar-SA"/>
                <w14:textFill>
                  <w14:solidFill>
                    <w14:schemeClr w14:val="tx1"/>
                  </w14:solidFill>
                </w14:textFill>
              </w:rPr>
              <w:t>预测模式选用</w:t>
            </w:r>
          </w:p>
          <w:p w14:paraId="4D38530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采用《环境影响评价技术导则</w:t>
            </w:r>
            <w:r>
              <w:rPr>
                <w:rFonts w:hint="eastAsia" w:cs="Times New Roman"/>
                <w:color w:val="000000" w:themeColor="text1"/>
                <w:kern w:val="2"/>
                <w:sz w:val="24"/>
                <w:szCs w:val="24"/>
                <w:highlight w:val="none"/>
                <w:lang w:val="en-US" w:eastAsia="zh-CN" w:bidi="ar-SA"/>
                <w14:textFill>
                  <w14:solidFill>
                    <w14:schemeClr w14:val="tx1"/>
                  </w14:solidFill>
                </w14:textFill>
              </w:rPr>
              <w:t xml:space="preserve"> 声</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环境》（HJ2.4-2021）中推荐的模式进行计算。</w:t>
            </w:r>
          </w:p>
          <w:p w14:paraId="079A04A2">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auto"/>
              <w:outlineLvl w:val="1"/>
              <w:rPr>
                <w:rFonts w:hint="default" w:ascii="Times New Roman" w:hAnsi="Times New Roman" w:eastAsia="宋体" w:cs="Times New Roman"/>
                <w:b/>
                <w:bCs/>
                <w:color w:val="000000" w:themeColor="text1"/>
                <w:kern w:val="2"/>
                <w:sz w:val="24"/>
                <w:szCs w:val="32"/>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4"/>
                <w:szCs w:val="32"/>
                <w:highlight w:val="none"/>
                <w:lang w:val="en-US" w:eastAsia="zh-CN" w:bidi="ar-SA"/>
                <w14:textFill>
                  <w14:solidFill>
                    <w14:schemeClr w14:val="tx1"/>
                  </w14:solidFill>
                </w14:textFill>
              </w:rPr>
              <w:t>3.3</w:t>
            </w:r>
            <w:r>
              <w:rPr>
                <w:rFonts w:hint="eastAsia" w:ascii="Times New Roman" w:hAnsi="Times New Roman" w:eastAsia="宋体" w:cs="Times New Roman"/>
                <w:b/>
                <w:bCs/>
                <w:color w:val="000000" w:themeColor="text1"/>
                <w:kern w:val="2"/>
                <w:sz w:val="24"/>
                <w:szCs w:val="32"/>
                <w:highlight w:val="none"/>
                <w:lang w:val="en-US" w:eastAsia="zh-CN" w:bidi="ar-SA"/>
                <w14:textFill>
                  <w14:solidFill>
                    <w14:schemeClr w14:val="tx1"/>
                  </w14:solidFill>
                </w14:textFill>
              </w:rPr>
              <w:t>噪声影响分析及预测结果</w:t>
            </w:r>
          </w:p>
          <w:p w14:paraId="0C6C046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本</w:t>
            </w:r>
            <w:r>
              <w:rPr>
                <w:rFonts w:hint="eastAsia" w:ascii="Times New Roman" w:hAnsi="Times New Roman" w:cs="Times New Roman"/>
                <w:color w:val="000000" w:themeColor="text1"/>
                <w:kern w:val="0"/>
                <w:sz w:val="24"/>
                <w:szCs w:val="24"/>
                <w:highlight w:val="none"/>
                <w:lang w:val="en-US" w:eastAsia="zh-CN"/>
                <w14:textFill>
                  <w14:solidFill>
                    <w14:schemeClr w14:val="tx1"/>
                  </w14:solidFill>
                </w14:textFill>
              </w:rPr>
              <w:t>项目所有生产设备均布置在院区内部，生产设备噪声源采取减振、墙体隔声等措施，其噪声可得到有效控制</w:t>
            </w:r>
            <w:r>
              <w:rPr>
                <w:rFonts w:hint="eastAsia" w:cs="Times New Roman"/>
                <w:color w:val="000000" w:themeColor="text1"/>
                <w:kern w:val="0"/>
                <w:sz w:val="24"/>
                <w:szCs w:val="24"/>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预测结果见下表</w:t>
            </w:r>
            <w:r>
              <w:rPr>
                <w:rFonts w:hint="eastAsia" w:cs="Times New Roman"/>
                <w:color w:val="000000" w:themeColor="text1"/>
                <w:kern w:val="2"/>
                <w:sz w:val="24"/>
                <w:szCs w:val="24"/>
                <w:highlight w:val="none"/>
                <w:lang w:val="en-US" w:eastAsia="zh-CN" w:bidi="ar-SA"/>
                <w14:textFill>
                  <w14:solidFill>
                    <w14:schemeClr w14:val="tx1"/>
                  </w14:solidFill>
                </w14:textFill>
              </w:rPr>
              <w:t>4-6</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p>
          <w:p w14:paraId="3E35800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2" w:firstLineChars="200"/>
              <w:jc w:val="both"/>
              <w:textAlignment w:val="auto"/>
              <w:rPr>
                <w:rFonts w:hint="default"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t>表4-6              各厂界噪声预测结果                         单位：dB</w:t>
            </w:r>
            <w:r>
              <w:rPr>
                <w:rFonts w:hint="eastAsia" w:cs="Times New Roman"/>
                <w:b/>
                <w:bCs/>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t>A</w:t>
            </w:r>
            <w:r>
              <w:rPr>
                <w:rFonts w:hint="eastAsia" w:cs="Times New Roman"/>
                <w:b/>
                <w:bCs/>
                <w:color w:val="000000" w:themeColor="text1"/>
                <w:kern w:val="2"/>
                <w:sz w:val="21"/>
                <w:szCs w:val="21"/>
                <w:highlight w:val="none"/>
                <w:lang w:val="en-US" w:eastAsia="zh-CN" w:bidi="ar-SA"/>
                <w14:textFill>
                  <w14:solidFill>
                    <w14:schemeClr w14:val="tx1"/>
                  </w14:solidFill>
                </w14:textFill>
              </w:rPr>
              <w:t>）</w:t>
            </w:r>
          </w:p>
          <w:tbl>
            <w:tblPr>
              <w:tblStyle w:val="31"/>
              <w:tblW w:w="822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60"/>
              <w:gridCol w:w="777"/>
              <w:gridCol w:w="777"/>
              <w:gridCol w:w="777"/>
              <w:gridCol w:w="958"/>
              <w:gridCol w:w="1363"/>
              <w:gridCol w:w="1364"/>
              <w:gridCol w:w="1144"/>
            </w:tblGrid>
            <w:tr w14:paraId="1DF20B9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1101" w:type="dxa"/>
                  <w:vMerge w:val="restart"/>
                  <w:tcBorders>
                    <w:tl2br w:val="nil"/>
                    <w:tr2bl w:val="nil"/>
                  </w:tcBorders>
                  <w:shd w:val="clear" w:color="auto" w:fill="auto"/>
                  <w:vAlign w:val="center"/>
                </w:tcPr>
                <w:p w14:paraId="5E42365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1"/>
                      <w:szCs w:val="21"/>
                      <w14:textFill>
                        <w14:solidFill>
                          <w14:schemeClr w14:val="tx1"/>
                        </w14:solidFill>
                      </w14:textFill>
                    </w:rPr>
                    <w:t>预测方位</w:t>
                  </w:r>
                </w:p>
              </w:tc>
              <w:tc>
                <w:tcPr>
                  <w:tcW w:w="2409" w:type="dxa"/>
                  <w:gridSpan w:val="3"/>
                  <w:tcBorders>
                    <w:tl2br w:val="nil"/>
                    <w:tr2bl w:val="nil"/>
                  </w:tcBorders>
                  <w:shd w:val="clear" w:color="auto" w:fill="auto"/>
                  <w:vAlign w:val="center"/>
                </w:tcPr>
                <w:p w14:paraId="7364829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最大值点</w:t>
                  </w:r>
                  <w:r>
                    <w:rPr>
                      <w:rFonts w:hint="default" w:ascii="Times New Roman" w:hAnsi="Times New Roman" w:eastAsia="宋体" w:cs="Times New Roman"/>
                      <w:b w:val="0"/>
                      <w:bCs/>
                      <w:color w:val="000000" w:themeColor="text1"/>
                      <w:sz w:val="21"/>
                      <w:szCs w:val="21"/>
                      <w14:textFill>
                        <w14:solidFill>
                          <w14:schemeClr w14:val="tx1"/>
                        </w14:solidFill>
                      </w14:textFill>
                    </w:rPr>
                    <w:t>空间相对位置/m</w:t>
                  </w:r>
                </w:p>
              </w:tc>
              <w:tc>
                <w:tcPr>
                  <w:tcW w:w="993" w:type="dxa"/>
                  <w:vMerge w:val="restart"/>
                  <w:tcBorders>
                    <w:tl2br w:val="nil"/>
                    <w:tr2bl w:val="nil"/>
                  </w:tcBorders>
                  <w:shd w:val="clear" w:color="auto" w:fill="auto"/>
                  <w:vAlign w:val="center"/>
                </w:tcPr>
                <w:p w14:paraId="641808E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1"/>
                      <w:szCs w:val="21"/>
                      <w14:textFill>
                        <w14:solidFill>
                          <w14:schemeClr w14:val="tx1"/>
                        </w14:solidFill>
                      </w14:textFill>
                    </w:rPr>
                    <w:t>时段</w:t>
                  </w:r>
                </w:p>
              </w:tc>
              <w:tc>
                <w:tcPr>
                  <w:tcW w:w="1417" w:type="dxa"/>
                  <w:vMerge w:val="restart"/>
                  <w:tcBorders>
                    <w:tl2br w:val="nil"/>
                    <w:tr2bl w:val="nil"/>
                  </w:tcBorders>
                  <w:shd w:val="clear" w:color="auto" w:fill="auto"/>
                  <w:vAlign w:val="center"/>
                </w:tcPr>
                <w:p w14:paraId="7B82565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1"/>
                      <w:szCs w:val="21"/>
                      <w14:textFill>
                        <w14:solidFill>
                          <w14:schemeClr w14:val="tx1"/>
                        </w14:solidFill>
                      </w14:textFill>
                    </w:rPr>
                    <w:t>贡献值（dB</w:t>
                  </w:r>
                  <w:r>
                    <w:rPr>
                      <w:rFonts w:hint="eastAsia" w:cs="Times New Roman"/>
                      <w:b w:val="0"/>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b w:val="0"/>
                      <w:bCs/>
                      <w:color w:val="000000" w:themeColor="text1"/>
                      <w:sz w:val="21"/>
                      <w:szCs w:val="21"/>
                      <w14:textFill>
                        <w14:solidFill>
                          <w14:schemeClr w14:val="tx1"/>
                        </w14:solidFill>
                      </w14:textFill>
                    </w:rPr>
                    <w:t>A</w:t>
                  </w:r>
                  <w:r>
                    <w:rPr>
                      <w:rFonts w:hint="eastAsia" w:cs="Times New Roman"/>
                      <w:b w:val="0"/>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b w:val="0"/>
                      <w:bCs/>
                      <w:color w:val="000000" w:themeColor="text1"/>
                      <w:sz w:val="21"/>
                      <w:szCs w:val="21"/>
                      <w14:textFill>
                        <w14:solidFill>
                          <w14:schemeClr w14:val="tx1"/>
                        </w14:solidFill>
                      </w14:textFill>
                    </w:rPr>
                    <w:t>）</w:t>
                  </w:r>
                </w:p>
              </w:tc>
              <w:tc>
                <w:tcPr>
                  <w:tcW w:w="1418" w:type="dxa"/>
                  <w:vMerge w:val="restart"/>
                  <w:tcBorders>
                    <w:tl2br w:val="nil"/>
                    <w:tr2bl w:val="nil"/>
                  </w:tcBorders>
                  <w:shd w:val="clear" w:color="auto" w:fill="auto"/>
                  <w:vAlign w:val="center"/>
                </w:tcPr>
                <w:p w14:paraId="4A9FBA8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1"/>
                      <w:szCs w:val="21"/>
                      <w14:textFill>
                        <w14:solidFill>
                          <w14:schemeClr w14:val="tx1"/>
                        </w14:solidFill>
                      </w14:textFill>
                    </w:rPr>
                    <w:t>标准限值（dB</w:t>
                  </w:r>
                  <w:r>
                    <w:rPr>
                      <w:rFonts w:hint="eastAsia" w:cs="Times New Roman"/>
                      <w:b w:val="0"/>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b w:val="0"/>
                      <w:bCs/>
                      <w:color w:val="000000" w:themeColor="text1"/>
                      <w:sz w:val="21"/>
                      <w:szCs w:val="21"/>
                      <w14:textFill>
                        <w14:solidFill>
                          <w14:schemeClr w14:val="tx1"/>
                        </w14:solidFill>
                      </w14:textFill>
                    </w:rPr>
                    <w:t>A</w:t>
                  </w:r>
                  <w:r>
                    <w:rPr>
                      <w:rFonts w:hint="eastAsia" w:cs="Times New Roman"/>
                      <w:b w:val="0"/>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b w:val="0"/>
                      <w:bCs/>
                      <w:color w:val="000000" w:themeColor="text1"/>
                      <w:sz w:val="21"/>
                      <w:szCs w:val="21"/>
                      <w14:textFill>
                        <w14:solidFill>
                          <w14:schemeClr w14:val="tx1"/>
                        </w14:solidFill>
                      </w14:textFill>
                    </w:rPr>
                    <w:t>）</w:t>
                  </w:r>
                </w:p>
              </w:tc>
              <w:tc>
                <w:tcPr>
                  <w:tcW w:w="1188" w:type="dxa"/>
                  <w:vMerge w:val="restart"/>
                  <w:tcBorders>
                    <w:tl2br w:val="nil"/>
                    <w:tr2bl w:val="nil"/>
                  </w:tcBorders>
                  <w:shd w:val="clear" w:color="auto" w:fill="auto"/>
                  <w:vAlign w:val="center"/>
                </w:tcPr>
                <w:p w14:paraId="6E43C9A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1"/>
                      <w:szCs w:val="21"/>
                      <w14:textFill>
                        <w14:solidFill>
                          <w14:schemeClr w14:val="tx1"/>
                        </w14:solidFill>
                      </w14:textFill>
                    </w:rPr>
                    <w:t>达标情况</w:t>
                  </w:r>
                </w:p>
              </w:tc>
            </w:tr>
            <w:tr w14:paraId="1FBE55F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1101" w:type="dxa"/>
                  <w:vMerge w:val="continue"/>
                  <w:tcBorders>
                    <w:tl2br w:val="nil"/>
                    <w:tr2bl w:val="nil"/>
                  </w:tcBorders>
                  <w:shd w:val="clear" w:color="auto" w:fill="auto"/>
                  <w:vAlign w:val="center"/>
                </w:tcPr>
                <w:p w14:paraId="660D7C5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03" w:type="dxa"/>
                  <w:tcBorders>
                    <w:tl2br w:val="nil"/>
                    <w:tr2bl w:val="nil"/>
                  </w:tcBorders>
                  <w:shd w:val="clear" w:color="auto" w:fill="auto"/>
                  <w:vAlign w:val="center"/>
                </w:tcPr>
                <w:p w14:paraId="6B84DAE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X</w:t>
                  </w:r>
                </w:p>
              </w:tc>
              <w:tc>
                <w:tcPr>
                  <w:tcW w:w="803" w:type="dxa"/>
                  <w:tcBorders>
                    <w:tl2br w:val="nil"/>
                    <w:tr2bl w:val="nil"/>
                  </w:tcBorders>
                  <w:shd w:val="clear" w:color="auto" w:fill="auto"/>
                  <w:vAlign w:val="center"/>
                </w:tcPr>
                <w:p w14:paraId="428462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Y</w:t>
                  </w:r>
                </w:p>
              </w:tc>
              <w:tc>
                <w:tcPr>
                  <w:tcW w:w="803" w:type="dxa"/>
                  <w:tcBorders>
                    <w:tl2br w:val="nil"/>
                    <w:tr2bl w:val="nil"/>
                  </w:tcBorders>
                  <w:shd w:val="clear" w:color="auto" w:fill="auto"/>
                  <w:vAlign w:val="center"/>
                </w:tcPr>
                <w:p w14:paraId="509D2FB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Z</w:t>
                  </w:r>
                </w:p>
              </w:tc>
              <w:tc>
                <w:tcPr>
                  <w:tcW w:w="993" w:type="dxa"/>
                  <w:vMerge w:val="continue"/>
                  <w:tcBorders>
                    <w:tl2br w:val="nil"/>
                    <w:tr2bl w:val="nil"/>
                  </w:tcBorders>
                  <w:shd w:val="clear" w:color="auto" w:fill="auto"/>
                  <w:vAlign w:val="center"/>
                </w:tcPr>
                <w:p w14:paraId="494B4CA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417" w:type="dxa"/>
                  <w:vMerge w:val="continue"/>
                  <w:tcBorders>
                    <w:tl2br w:val="nil"/>
                    <w:tr2bl w:val="nil"/>
                  </w:tcBorders>
                  <w:shd w:val="clear" w:color="auto" w:fill="auto"/>
                  <w:vAlign w:val="center"/>
                </w:tcPr>
                <w:p w14:paraId="07D83CD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418" w:type="dxa"/>
                  <w:vMerge w:val="continue"/>
                  <w:tcBorders>
                    <w:tl2br w:val="nil"/>
                    <w:tr2bl w:val="nil"/>
                  </w:tcBorders>
                  <w:shd w:val="clear" w:color="auto" w:fill="auto"/>
                  <w:vAlign w:val="center"/>
                </w:tcPr>
                <w:p w14:paraId="059A04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188" w:type="dxa"/>
                  <w:vMerge w:val="continue"/>
                  <w:tcBorders>
                    <w:tl2br w:val="nil"/>
                    <w:tr2bl w:val="nil"/>
                  </w:tcBorders>
                  <w:shd w:val="clear" w:color="auto" w:fill="auto"/>
                  <w:vAlign w:val="center"/>
                </w:tcPr>
                <w:p w14:paraId="7446AA8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14:paraId="0D48CD4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1101" w:type="dxa"/>
                  <w:vMerge w:val="restart"/>
                  <w:tcBorders>
                    <w:tl2br w:val="nil"/>
                    <w:tr2bl w:val="nil"/>
                  </w:tcBorders>
                  <w:shd w:val="clear" w:color="auto" w:fill="auto"/>
                  <w:vAlign w:val="center"/>
                </w:tcPr>
                <w:p w14:paraId="4371399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东侧</w:t>
                  </w:r>
                </w:p>
              </w:tc>
              <w:tc>
                <w:tcPr>
                  <w:tcW w:w="803" w:type="dxa"/>
                  <w:tcBorders>
                    <w:tl2br w:val="nil"/>
                    <w:tr2bl w:val="nil"/>
                  </w:tcBorders>
                  <w:shd w:val="clear" w:color="auto" w:fill="auto"/>
                  <w:vAlign w:val="center"/>
                </w:tcPr>
                <w:p w14:paraId="342FD65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7.1</w:t>
                  </w:r>
                </w:p>
              </w:tc>
              <w:tc>
                <w:tcPr>
                  <w:tcW w:w="803" w:type="dxa"/>
                  <w:tcBorders>
                    <w:tl2br w:val="nil"/>
                    <w:tr2bl w:val="nil"/>
                  </w:tcBorders>
                  <w:shd w:val="clear" w:color="auto" w:fill="auto"/>
                  <w:vAlign w:val="center"/>
                </w:tcPr>
                <w:p w14:paraId="068F149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-4.6</w:t>
                  </w:r>
                </w:p>
              </w:tc>
              <w:tc>
                <w:tcPr>
                  <w:tcW w:w="803" w:type="dxa"/>
                  <w:tcBorders>
                    <w:tl2br w:val="nil"/>
                    <w:tr2bl w:val="nil"/>
                  </w:tcBorders>
                  <w:shd w:val="clear" w:color="auto" w:fill="auto"/>
                  <w:vAlign w:val="center"/>
                </w:tcPr>
                <w:p w14:paraId="00C0F29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1.2</w:t>
                  </w:r>
                </w:p>
              </w:tc>
              <w:tc>
                <w:tcPr>
                  <w:tcW w:w="993" w:type="dxa"/>
                  <w:tcBorders>
                    <w:tl2br w:val="nil"/>
                    <w:tr2bl w:val="nil"/>
                  </w:tcBorders>
                  <w:shd w:val="clear" w:color="auto" w:fill="auto"/>
                  <w:vAlign w:val="center"/>
                </w:tcPr>
                <w:p w14:paraId="068D496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昼间</w:t>
                  </w:r>
                </w:p>
              </w:tc>
              <w:tc>
                <w:tcPr>
                  <w:tcW w:w="1417" w:type="dxa"/>
                  <w:tcBorders>
                    <w:tl2br w:val="nil"/>
                    <w:tr2bl w:val="nil"/>
                  </w:tcBorders>
                  <w:shd w:val="clear" w:color="auto" w:fill="auto"/>
                  <w:vAlign w:val="center"/>
                </w:tcPr>
                <w:p w14:paraId="0BE4A53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38.5</w:t>
                  </w:r>
                </w:p>
              </w:tc>
              <w:tc>
                <w:tcPr>
                  <w:tcW w:w="1418" w:type="dxa"/>
                  <w:tcBorders>
                    <w:tl2br w:val="nil"/>
                    <w:tr2bl w:val="nil"/>
                  </w:tcBorders>
                  <w:shd w:val="clear" w:color="auto" w:fill="auto"/>
                  <w:vAlign w:val="center"/>
                </w:tcPr>
                <w:p w14:paraId="7024947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60</w:t>
                  </w:r>
                </w:p>
              </w:tc>
              <w:tc>
                <w:tcPr>
                  <w:tcW w:w="1188" w:type="dxa"/>
                  <w:tcBorders>
                    <w:tl2br w:val="nil"/>
                    <w:tr2bl w:val="nil"/>
                  </w:tcBorders>
                  <w:shd w:val="clear" w:color="auto" w:fill="auto"/>
                  <w:vAlign w:val="center"/>
                </w:tcPr>
                <w:p w14:paraId="05FC4F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达标</w:t>
                  </w:r>
                </w:p>
              </w:tc>
            </w:tr>
            <w:tr w14:paraId="0D537C0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1101" w:type="dxa"/>
                  <w:vMerge w:val="continue"/>
                  <w:tcBorders>
                    <w:tl2br w:val="nil"/>
                    <w:tr2bl w:val="nil"/>
                  </w:tcBorders>
                  <w:shd w:val="clear" w:color="auto" w:fill="auto"/>
                  <w:vAlign w:val="center"/>
                </w:tcPr>
                <w:p w14:paraId="7E6B803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东侧</w:t>
                  </w:r>
                </w:p>
              </w:tc>
              <w:tc>
                <w:tcPr>
                  <w:tcW w:w="803" w:type="dxa"/>
                  <w:tcBorders>
                    <w:tl2br w:val="nil"/>
                    <w:tr2bl w:val="nil"/>
                  </w:tcBorders>
                  <w:shd w:val="clear" w:color="auto" w:fill="auto"/>
                  <w:vAlign w:val="center"/>
                </w:tcPr>
                <w:p w14:paraId="0803A6A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7.1</w:t>
                  </w:r>
                </w:p>
              </w:tc>
              <w:tc>
                <w:tcPr>
                  <w:tcW w:w="803" w:type="dxa"/>
                  <w:tcBorders>
                    <w:tl2br w:val="nil"/>
                    <w:tr2bl w:val="nil"/>
                  </w:tcBorders>
                  <w:shd w:val="clear" w:color="auto" w:fill="auto"/>
                  <w:vAlign w:val="center"/>
                </w:tcPr>
                <w:p w14:paraId="2E18E37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-4.6</w:t>
                  </w:r>
                </w:p>
              </w:tc>
              <w:tc>
                <w:tcPr>
                  <w:tcW w:w="803" w:type="dxa"/>
                  <w:tcBorders>
                    <w:tl2br w:val="nil"/>
                    <w:tr2bl w:val="nil"/>
                  </w:tcBorders>
                  <w:shd w:val="clear" w:color="auto" w:fill="auto"/>
                  <w:vAlign w:val="center"/>
                </w:tcPr>
                <w:p w14:paraId="7C3EFD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1.2</w:t>
                  </w:r>
                </w:p>
              </w:tc>
              <w:tc>
                <w:tcPr>
                  <w:tcW w:w="993" w:type="dxa"/>
                  <w:tcBorders>
                    <w:tl2br w:val="nil"/>
                    <w:tr2bl w:val="nil"/>
                  </w:tcBorders>
                  <w:shd w:val="clear" w:color="auto" w:fill="auto"/>
                  <w:vAlign w:val="center"/>
                </w:tcPr>
                <w:p w14:paraId="62A45E7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夜间</w:t>
                  </w:r>
                </w:p>
              </w:tc>
              <w:tc>
                <w:tcPr>
                  <w:tcW w:w="1417" w:type="dxa"/>
                  <w:tcBorders>
                    <w:tl2br w:val="nil"/>
                    <w:tr2bl w:val="nil"/>
                  </w:tcBorders>
                  <w:shd w:val="clear" w:color="auto" w:fill="auto"/>
                  <w:vAlign w:val="center"/>
                </w:tcPr>
                <w:p w14:paraId="3FD7909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38.5</w:t>
                  </w:r>
                </w:p>
              </w:tc>
              <w:tc>
                <w:tcPr>
                  <w:tcW w:w="1418" w:type="dxa"/>
                  <w:tcBorders>
                    <w:tl2br w:val="nil"/>
                    <w:tr2bl w:val="nil"/>
                  </w:tcBorders>
                  <w:shd w:val="clear" w:color="auto" w:fill="auto"/>
                  <w:vAlign w:val="center"/>
                </w:tcPr>
                <w:p w14:paraId="13110AF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5</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w:t>
                  </w:r>
                </w:p>
              </w:tc>
              <w:tc>
                <w:tcPr>
                  <w:tcW w:w="1188" w:type="dxa"/>
                  <w:tcBorders>
                    <w:tl2br w:val="nil"/>
                    <w:tr2bl w:val="nil"/>
                  </w:tcBorders>
                  <w:shd w:val="clear" w:color="auto" w:fill="auto"/>
                  <w:vAlign w:val="center"/>
                </w:tcPr>
                <w:p w14:paraId="13CAD14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达标</w:t>
                  </w:r>
                </w:p>
              </w:tc>
            </w:tr>
            <w:tr w14:paraId="5F0C7D7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1101" w:type="dxa"/>
                  <w:vMerge w:val="restart"/>
                  <w:tcBorders>
                    <w:tl2br w:val="nil"/>
                    <w:tr2bl w:val="nil"/>
                  </w:tcBorders>
                  <w:shd w:val="clear" w:color="auto" w:fill="auto"/>
                  <w:vAlign w:val="center"/>
                </w:tcPr>
                <w:p w14:paraId="7482602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南侧</w:t>
                  </w:r>
                </w:p>
              </w:tc>
              <w:tc>
                <w:tcPr>
                  <w:tcW w:w="803" w:type="dxa"/>
                  <w:tcBorders>
                    <w:tl2br w:val="nil"/>
                    <w:tr2bl w:val="nil"/>
                  </w:tcBorders>
                  <w:shd w:val="clear" w:color="auto" w:fill="auto"/>
                  <w:vAlign w:val="center"/>
                </w:tcPr>
                <w:p w14:paraId="15FCC22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0.3</w:t>
                  </w:r>
                </w:p>
              </w:tc>
              <w:tc>
                <w:tcPr>
                  <w:tcW w:w="803" w:type="dxa"/>
                  <w:tcBorders>
                    <w:tl2br w:val="nil"/>
                    <w:tr2bl w:val="nil"/>
                  </w:tcBorders>
                  <w:shd w:val="clear" w:color="auto" w:fill="auto"/>
                  <w:vAlign w:val="center"/>
                </w:tcPr>
                <w:p w14:paraId="55D9EF2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-5.4</w:t>
                  </w:r>
                </w:p>
              </w:tc>
              <w:tc>
                <w:tcPr>
                  <w:tcW w:w="803" w:type="dxa"/>
                  <w:tcBorders>
                    <w:tl2br w:val="nil"/>
                    <w:tr2bl w:val="nil"/>
                  </w:tcBorders>
                  <w:shd w:val="clear" w:color="auto" w:fill="auto"/>
                  <w:vAlign w:val="center"/>
                </w:tcPr>
                <w:p w14:paraId="007032F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1.2</w:t>
                  </w:r>
                </w:p>
              </w:tc>
              <w:tc>
                <w:tcPr>
                  <w:tcW w:w="993" w:type="dxa"/>
                  <w:tcBorders>
                    <w:tl2br w:val="nil"/>
                    <w:tr2bl w:val="nil"/>
                  </w:tcBorders>
                  <w:shd w:val="clear" w:color="auto" w:fill="auto"/>
                  <w:vAlign w:val="center"/>
                </w:tcPr>
                <w:p w14:paraId="70D79E2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昼间</w:t>
                  </w:r>
                </w:p>
              </w:tc>
              <w:tc>
                <w:tcPr>
                  <w:tcW w:w="1417" w:type="dxa"/>
                  <w:tcBorders>
                    <w:tl2br w:val="nil"/>
                    <w:tr2bl w:val="nil"/>
                  </w:tcBorders>
                  <w:shd w:val="clear" w:color="auto" w:fill="auto"/>
                  <w:vAlign w:val="center"/>
                </w:tcPr>
                <w:p w14:paraId="350D884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40.6</w:t>
                  </w:r>
                </w:p>
              </w:tc>
              <w:tc>
                <w:tcPr>
                  <w:tcW w:w="1418" w:type="dxa"/>
                  <w:tcBorders>
                    <w:tl2br w:val="nil"/>
                    <w:tr2bl w:val="nil"/>
                  </w:tcBorders>
                  <w:shd w:val="clear" w:color="auto" w:fill="auto"/>
                  <w:vAlign w:val="center"/>
                </w:tcPr>
                <w:p w14:paraId="5E64949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60</w:t>
                  </w:r>
                </w:p>
              </w:tc>
              <w:tc>
                <w:tcPr>
                  <w:tcW w:w="1188" w:type="dxa"/>
                  <w:tcBorders>
                    <w:tl2br w:val="nil"/>
                    <w:tr2bl w:val="nil"/>
                  </w:tcBorders>
                  <w:shd w:val="clear" w:color="auto" w:fill="auto"/>
                  <w:vAlign w:val="center"/>
                </w:tcPr>
                <w:p w14:paraId="662D970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达标</w:t>
                  </w:r>
                </w:p>
              </w:tc>
            </w:tr>
            <w:tr w14:paraId="75F144C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01" w:type="dxa"/>
                  <w:vMerge w:val="continue"/>
                  <w:tcBorders>
                    <w:tl2br w:val="nil"/>
                    <w:tr2bl w:val="nil"/>
                  </w:tcBorders>
                  <w:shd w:val="clear" w:color="auto" w:fill="auto"/>
                  <w:vAlign w:val="center"/>
                </w:tcPr>
                <w:p w14:paraId="4AE8DC7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南侧</w:t>
                  </w:r>
                </w:p>
              </w:tc>
              <w:tc>
                <w:tcPr>
                  <w:tcW w:w="803" w:type="dxa"/>
                  <w:tcBorders>
                    <w:tl2br w:val="nil"/>
                    <w:tr2bl w:val="nil"/>
                  </w:tcBorders>
                  <w:shd w:val="clear" w:color="auto" w:fill="auto"/>
                  <w:vAlign w:val="center"/>
                </w:tcPr>
                <w:p w14:paraId="070CE6B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0.3</w:t>
                  </w:r>
                </w:p>
              </w:tc>
              <w:tc>
                <w:tcPr>
                  <w:tcW w:w="803" w:type="dxa"/>
                  <w:tcBorders>
                    <w:tl2br w:val="nil"/>
                    <w:tr2bl w:val="nil"/>
                  </w:tcBorders>
                  <w:shd w:val="clear" w:color="auto" w:fill="auto"/>
                  <w:vAlign w:val="center"/>
                </w:tcPr>
                <w:p w14:paraId="3636D45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-5.4</w:t>
                  </w:r>
                </w:p>
              </w:tc>
              <w:tc>
                <w:tcPr>
                  <w:tcW w:w="803" w:type="dxa"/>
                  <w:tcBorders>
                    <w:tl2br w:val="nil"/>
                    <w:tr2bl w:val="nil"/>
                  </w:tcBorders>
                  <w:shd w:val="clear" w:color="auto" w:fill="auto"/>
                  <w:vAlign w:val="center"/>
                </w:tcPr>
                <w:p w14:paraId="6B0761B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1.2</w:t>
                  </w:r>
                </w:p>
              </w:tc>
              <w:tc>
                <w:tcPr>
                  <w:tcW w:w="993" w:type="dxa"/>
                  <w:tcBorders>
                    <w:tl2br w:val="nil"/>
                    <w:tr2bl w:val="nil"/>
                  </w:tcBorders>
                  <w:shd w:val="clear" w:color="auto" w:fill="auto"/>
                  <w:vAlign w:val="center"/>
                </w:tcPr>
                <w:p w14:paraId="4EA098A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夜间</w:t>
                  </w:r>
                </w:p>
              </w:tc>
              <w:tc>
                <w:tcPr>
                  <w:tcW w:w="1417" w:type="dxa"/>
                  <w:tcBorders>
                    <w:tl2br w:val="nil"/>
                    <w:tr2bl w:val="nil"/>
                  </w:tcBorders>
                  <w:shd w:val="clear" w:color="auto" w:fill="auto"/>
                  <w:vAlign w:val="center"/>
                </w:tcPr>
                <w:p w14:paraId="48D2BD8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40.6</w:t>
                  </w:r>
                </w:p>
              </w:tc>
              <w:tc>
                <w:tcPr>
                  <w:tcW w:w="1418" w:type="dxa"/>
                  <w:tcBorders>
                    <w:tl2br w:val="nil"/>
                    <w:tr2bl w:val="nil"/>
                  </w:tcBorders>
                  <w:shd w:val="clear" w:color="auto" w:fill="auto"/>
                  <w:vAlign w:val="center"/>
                </w:tcPr>
                <w:p w14:paraId="481BF61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50</w:t>
                  </w:r>
                </w:p>
              </w:tc>
              <w:tc>
                <w:tcPr>
                  <w:tcW w:w="1188" w:type="dxa"/>
                  <w:tcBorders>
                    <w:tl2br w:val="nil"/>
                    <w:tr2bl w:val="nil"/>
                  </w:tcBorders>
                  <w:shd w:val="clear" w:color="auto" w:fill="auto"/>
                  <w:vAlign w:val="center"/>
                </w:tcPr>
                <w:p w14:paraId="03614C8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达标</w:t>
                  </w:r>
                </w:p>
              </w:tc>
            </w:tr>
            <w:tr w14:paraId="7B1EAFD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01" w:type="dxa"/>
                  <w:vMerge w:val="restart"/>
                  <w:tcBorders>
                    <w:tl2br w:val="nil"/>
                    <w:tr2bl w:val="nil"/>
                  </w:tcBorders>
                  <w:shd w:val="clear" w:color="auto" w:fill="auto"/>
                  <w:vAlign w:val="center"/>
                </w:tcPr>
                <w:p w14:paraId="0A42E85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西侧</w:t>
                  </w:r>
                </w:p>
              </w:tc>
              <w:tc>
                <w:tcPr>
                  <w:tcW w:w="803" w:type="dxa"/>
                  <w:tcBorders>
                    <w:tl2br w:val="nil"/>
                    <w:tr2bl w:val="nil"/>
                  </w:tcBorders>
                  <w:shd w:val="clear" w:color="auto" w:fill="auto"/>
                  <w:vAlign w:val="center"/>
                </w:tcPr>
                <w:p w14:paraId="373AD9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-7</w:t>
                  </w:r>
                </w:p>
              </w:tc>
              <w:tc>
                <w:tcPr>
                  <w:tcW w:w="803" w:type="dxa"/>
                  <w:tcBorders>
                    <w:tl2br w:val="nil"/>
                    <w:tr2bl w:val="nil"/>
                  </w:tcBorders>
                  <w:shd w:val="clear" w:color="auto" w:fill="auto"/>
                  <w:vAlign w:val="center"/>
                </w:tcPr>
                <w:p w14:paraId="6F33F62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w:t>
                  </w:r>
                </w:p>
              </w:tc>
              <w:tc>
                <w:tcPr>
                  <w:tcW w:w="803" w:type="dxa"/>
                  <w:tcBorders>
                    <w:tl2br w:val="nil"/>
                    <w:tr2bl w:val="nil"/>
                  </w:tcBorders>
                  <w:shd w:val="clear" w:color="auto" w:fill="auto"/>
                  <w:vAlign w:val="center"/>
                </w:tcPr>
                <w:p w14:paraId="3ABE88F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1.2</w:t>
                  </w:r>
                </w:p>
              </w:tc>
              <w:tc>
                <w:tcPr>
                  <w:tcW w:w="993" w:type="dxa"/>
                  <w:tcBorders>
                    <w:tl2br w:val="nil"/>
                    <w:tr2bl w:val="nil"/>
                  </w:tcBorders>
                  <w:shd w:val="clear" w:color="auto" w:fill="auto"/>
                  <w:vAlign w:val="center"/>
                </w:tcPr>
                <w:p w14:paraId="011E48A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昼间</w:t>
                  </w:r>
                </w:p>
              </w:tc>
              <w:tc>
                <w:tcPr>
                  <w:tcW w:w="1417" w:type="dxa"/>
                  <w:tcBorders>
                    <w:tl2br w:val="nil"/>
                    <w:tr2bl w:val="nil"/>
                  </w:tcBorders>
                  <w:shd w:val="clear" w:color="auto" w:fill="auto"/>
                  <w:vAlign w:val="center"/>
                </w:tcPr>
                <w:p w14:paraId="5124DC0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36.1</w:t>
                  </w:r>
                </w:p>
              </w:tc>
              <w:tc>
                <w:tcPr>
                  <w:tcW w:w="1418" w:type="dxa"/>
                  <w:tcBorders>
                    <w:tl2br w:val="nil"/>
                    <w:tr2bl w:val="nil"/>
                  </w:tcBorders>
                  <w:shd w:val="clear" w:color="auto" w:fill="auto"/>
                  <w:vAlign w:val="center"/>
                </w:tcPr>
                <w:p w14:paraId="437724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60</w:t>
                  </w:r>
                </w:p>
              </w:tc>
              <w:tc>
                <w:tcPr>
                  <w:tcW w:w="1188" w:type="dxa"/>
                  <w:tcBorders>
                    <w:tl2br w:val="nil"/>
                    <w:tr2bl w:val="nil"/>
                  </w:tcBorders>
                  <w:shd w:val="clear" w:color="auto" w:fill="auto"/>
                  <w:vAlign w:val="center"/>
                </w:tcPr>
                <w:p w14:paraId="58F1BC9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达标</w:t>
                  </w:r>
                </w:p>
              </w:tc>
            </w:tr>
            <w:tr w14:paraId="2D877D8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1101" w:type="dxa"/>
                  <w:vMerge w:val="continue"/>
                  <w:tcBorders>
                    <w:tl2br w:val="nil"/>
                    <w:tr2bl w:val="nil"/>
                  </w:tcBorders>
                  <w:shd w:val="clear" w:color="auto" w:fill="auto"/>
                  <w:vAlign w:val="center"/>
                </w:tcPr>
                <w:p w14:paraId="171254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西侧</w:t>
                  </w:r>
                </w:p>
              </w:tc>
              <w:tc>
                <w:tcPr>
                  <w:tcW w:w="803" w:type="dxa"/>
                  <w:tcBorders>
                    <w:tl2br w:val="nil"/>
                    <w:tr2bl w:val="nil"/>
                  </w:tcBorders>
                  <w:shd w:val="clear" w:color="auto" w:fill="auto"/>
                  <w:vAlign w:val="center"/>
                </w:tcPr>
                <w:p w14:paraId="720E568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-7</w:t>
                  </w:r>
                </w:p>
              </w:tc>
              <w:tc>
                <w:tcPr>
                  <w:tcW w:w="803" w:type="dxa"/>
                  <w:tcBorders>
                    <w:tl2br w:val="nil"/>
                    <w:tr2bl w:val="nil"/>
                  </w:tcBorders>
                  <w:shd w:val="clear" w:color="auto" w:fill="auto"/>
                  <w:vAlign w:val="center"/>
                </w:tcPr>
                <w:p w14:paraId="4F4A17C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w:t>
                  </w:r>
                </w:p>
              </w:tc>
              <w:tc>
                <w:tcPr>
                  <w:tcW w:w="803" w:type="dxa"/>
                  <w:tcBorders>
                    <w:tl2br w:val="nil"/>
                    <w:tr2bl w:val="nil"/>
                  </w:tcBorders>
                  <w:shd w:val="clear" w:color="auto" w:fill="auto"/>
                  <w:vAlign w:val="center"/>
                </w:tcPr>
                <w:p w14:paraId="2912AD8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1.2</w:t>
                  </w:r>
                </w:p>
              </w:tc>
              <w:tc>
                <w:tcPr>
                  <w:tcW w:w="993" w:type="dxa"/>
                  <w:tcBorders>
                    <w:tl2br w:val="nil"/>
                    <w:tr2bl w:val="nil"/>
                  </w:tcBorders>
                  <w:shd w:val="clear" w:color="auto" w:fill="auto"/>
                  <w:vAlign w:val="center"/>
                </w:tcPr>
                <w:p w14:paraId="0D82F7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夜间</w:t>
                  </w:r>
                </w:p>
              </w:tc>
              <w:tc>
                <w:tcPr>
                  <w:tcW w:w="1417" w:type="dxa"/>
                  <w:tcBorders>
                    <w:tl2br w:val="nil"/>
                    <w:tr2bl w:val="nil"/>
                  </w:tcBorders>
                  <w:shd w:val="clear" w:color="auto" w:fill="auto"/>
                  <w:vAlign w:val="center"/>
                </w:tcPr>
                <w:p w14:paraId="0AFDB6A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36.1</w:t>
                  </w:r>
                </w:p>
              </w:tc>
              <w:tc>
                <w:tcPr>
                  <w:tcW w:w="1418" w:type="dxa"/>
                  <w:tcBorders>
                    <w:tl2br w:val="nil"/>
                    <w:tr2bl w:val="nil"/>
                  </w:tcBorders>
                  <w:shd w:val="clear" w:color="auto" w:fill="auto"/>
                  <w:vAlign w:val="center"/>
                </w:tcPr>
                <w:p w14:paraId="3B0C772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50</w:t>
                  </w:r>
                </w:p>
              </w:tc>
              <w:tc>
                <w:tcPr>
                  <w:tcW w:w="1188" w:type="dxa"/>
                  <w:tcBorders>
                    <w:tl2br w:val="nil"/>
                    <w:tr2bl w:val="nil"/>
                  </w:tcBorders>
                  <w:shd w:val="clear" w:color="auto" w:fill="auto"/>
                  <w:vAlign w:val="center"/>
                </w:tcPr>
                <w:p w14:paraId="3729739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达标</w:t>
                  </w:r>
                </w:p>
              </w:tc>
            </w:tr>
            <w:tr w14:paraId="61BCD6E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1101" w:type="dxa"/>
                  <w:vMerge w:val="restart"/>
                  <w:tcBorders>
                    <w:tl2br w:val="nil"/>
                    <w:tr2bl w:val="nil"/>
                  </w:tcBorders>
                  <w:shd w:val="clear" w:color="auto" w:fill="auto"/>
                  <w:vAlign w:val="center"/>
                </w:tcPr>
                <w:p w14:paraId="79E8B49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北侧</w:t>
                  </w:r>
                </w:p>
              </w:tc>
              <w:tc>
                <w:tcPr>
                  <w:tcW w:w="803" w:type="dxa"/>
                  <w:tcBorders>
                    <w:tl2br w:val="nil"/>
                    <w:tr2bl w:val="nil"/>
                  </w:tcBorders>
                  <w:shd w:val="clear" w:color="auto" w:fill="auto"/>
                  <w:vAlign w:val="center"/>
                </w:tcPr>
                <w:p w14:paraId="26EF083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2.9</w:t>
                  </w:r>
                </w:p>
              </w:tc>
              <w:tc>
                <w:tcPr>
                  <w:tcW w:w="803" w:type="dxa"/>
                  <w:tcBorders>
                    <w:tl2br w:val="nil"/>
                    <w:tr2bl w:val="nil"/>
                  </w:tcBorders>
                  <w:shd w:val="clear" w:color="auto" w:fill="auto"/>
                  <w:vAlign w:val="center"/>
                </w:tcPr>
                <w:p w14:paraId="0E5C85C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3.9</w:t>
                  </w:r>
                </w:p>
              </w:tc>
              <w:tc>
                <w:tcPr>
                  <w:tcW w:w="803" w:type="dxa"/>
                  <w:tcBorders>
                    <w:tl2br w:val="nil"/>
                    <w:tr2bl w:val="nil"/>
                  </w:tcBorders>
                  <w:shd w:val="clear" w:color="auto" w:fill="auto"/>
                  <w:vAlign w:val="center"/>
                </w:tcPr>
                <w:p w14:paraId="131952A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1.2</w:t>
                  </w:r>
                </w:p>
              </w:tc>
              <w:tc>
                <w:tcPr>
                  <w:tcW w:w="993" w:type="dxa"/>
                  <w:tcBorders>
                    <w:tl2br w:val="nil"/>
                    <w:tr2bl w:val="nil"/>
                  </w:tcBorders>
                  <w:shd w:val="clear" w:color="auto" w:fill="auto"/>
                  <w:vAlign w:val="center"/>
                </w:tcPr>
                <w:p w14:paraId="3AE281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昼间</w:t>
                  </w:r>
                </w:p>
              </w:tc>
              <w:tc>
                <w:tcPr>
                  <w:tcW w:w="1417" w:type="dxa"/>
                  <w:tcBorders>
                    <w:tl2br w:val="nil"/>
                    <w:tr2bl w:val="nil"/>
                  </w:tcBorders>
                  <w:shd w:val="clear" w:color="auto" w:fill="auto"/>
                  <w:vAlign w:val="center"/>
                </w:tcPr>
                <w:p w14:paraId="6046F59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41.5</w:t>
                  </w:r>
                </w:p>
              </w:tc>
              <w:tc>
                <w:tcPr>
                  <w:tcW w:w="1418" w:type="dxa"/>
                  <w:tcBorders>
                    <w:tl2br w:val="nil"/>
                    <w:tr2bl w:val="nil"/>
                  </w:tcBorders>
                  <w:shd w:val="clear" w:color="auto" w:fill="auto"/>
                  <w:vAlign w:val="center"/>
                </w:tcPr>
                <w:p w14:paraId="651FD0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60</w:t>
                  </w:r>
                </w:p>
              </w:tc>
              <w:tc>
                <w:tcPr>
                  <w:tcW w:w="1188" w:type="dxa"/>
                  <w:tcBorders>
                    <w:tl2br w:val="nil"/>
                    <w:tr2bl w:val="nil"/>
                  </w:tcBorders>
                  <w:shd w:val="clear" w:color="auto" w:fill="auto"/>
                  <w:vAlign w:val="center"/>
                </w:tcPr>
                <w:p w14:paraId="7873EEB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达标</w:t>
                  </w:r>
                </w:p>
              </w:tc>
            </w:tr>
            <w:tr w14:paraId="06F4293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01" w:type="dxa"/>
                  <w:vMerge w:val="continue"/>
                  <w:tcBorders>
                    <w:tl2br w:val="nil"/>
                    <w:tr2bl w:val="nil"/>
                  </w:tcBorders>
                  <w:shd w:val="clear" w:color="auto" w:fill="auto"/>
                  <w:vAlign w:val="center"/>
                </w:tcPr>
                <w:p w14:paraId="010ED16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北侧</w:t>
                  </w:r>
                </w:p>
              </w:tc>
              <w:tc>
                <w:tcPr>
                  <w:tcW w:w="803" w:type="dxa"/>
                  <w:tcBorders>
                    <w:tl2br w:val="nil"/>
                    <w:tr2bl w:val="nil"/>
                  </w:tcBorders>
                  <w:shd w:val="clear" w:color="auto" w:fill="auto"/>
                  <w:vAlign w:val="center"/>
                </w:tcPr>
                <w:p w14:paraId="37B069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2.9</w:t>
                  </w:r>
                </w:p>
              </w:tc>
              <w:tc>
                <w:tcPr>
                  <w:tcW w:w="803" w:type="dxa"/>
                  <w:tcBorders>
                    <w:tl2br w:val="nil"/>
                    <w:tr2bl w:val="nil"/>
                  </w:tcBorders>
                  <w:shd w:val="clear" w:color="auto" w:fill="auto"/>
                  <w:vAlign w:val="center"/>
                </w:tcPr>
                <w:p w14:paraId="27FDB30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3.9</w:t>
                  </w:r>
                </w:p>
              </w:tc>
              <w:tc>
                <w:tcPr>
                  <w:tcW w:w="803" w:type="dxa"/>
                  <w:tcBorders>
                    <w:tl2br w:val="nil"/>
                    <w:tr2bl w:val="nil"/>
                  </w:tcBorders>
                  <w:shd w:val="clear" w:color="auto" w:fill="auto"/>
                  <w:vAlign w:val="center"/>
                </w:tcPr>
                <w:p w14:paraId="68BF188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1.2</w:t>
                  </w:r>
                </w:p>
              </w:tc>
              <w:tc>
                <w:tcPr>
                  <w:tcW w:w="993" w:type="dxa"/>
                  <w:tcBorders>
                    <w:tl2br w:val="nil"/>
                    <w:tr2bl w:val="nil"/>
                  </w:tcBorders>
                  <w:shd w:val="clear" w:color="auto" w:fill="auto"/>
                  <w:vAlign w:val="center"/>
                </w:tcPr>
                <w:p w14:paraId="13006E6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夜间</w:t>
                  </w:r>
                </w:p>
              </w:tc>
              <w:tc>
                <w:tcPr>
                  <w:tcW w:w="1417" w:type="dxa"/>
                  <w:tcBorders>
                    <w:tl2br w:val="nil"/>
                    <w:tr2bl w:val="nil"/>
                  </w:tcBorders>
                  <w:shd w:val="clear" w:color="auto" w:fill="auto"/>
                  <w:vAlign w:val="center"/>
                </w:tcPr>
                <w:p w14:paraId="7C99762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41.5</w:t>
                  </w:r>
                </w:p>
              </w:tc>
              <w:tc>
                <w:tcPr>
                  <w:tcW w:w="1418" w:type="dxa"/>
                  <w:tcBorders>
                    <w:tl2br w:val="nil"/>
                    <w:tr2bl w:val="nil"/>
                  </w:tcBorders>
                  <w:shd w:val="clear" w:color="auto" w:fill="auto"/>
                  <w:vAlign w:val="center"/>
                </w:tcPr>
                <w:p w14:paraId="3C35907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50</w:t>
                  </w:r>
                </w:p>
              </w:tc>
              <w:tc>
                <w:tcPr>
                  <w:tcW w:w="1188" w:type="dxa"/>
                  <w:tcBorders>
                    <w:tl2br w:val="nil"/>
                    <w:tr2bl w:val="nil"/>
                  </w:tcBorders>
                  <w:shd w:val="clear" w:color="auto" w:fill="auto"/>
                  <w:vAlign w:val="center"/>
                </w:tcPr>
                <w:p w14:paraId="5628A30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达标</w:t>
                  </w:r>
                </w:p>
              </w:tc>
            </w:tr>
          </w:tbl>
          <w:p w14:paraId="0AD97F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Times New Roman" w:hAnsi="Times New Roman" w:cs="Times New Roman"/>
                <w:color w:val="000000" w:themeColor="text1"/>
                <w:kern w:val="0"/>
                <w:sz w:val="24"/>
                <w:szCs w:val="24"/>
                <w:highlight w:val="none"/>
                <w14:textFill>
                  <w14:solidFill>
                    <w14:schemeClr w14:val="tx1"/>
                  </w14:solidFill>
                </w14:textFill>
              </w:rPr>
            </w:pPr>
            <w:r>
              <w:rPr>
                <w:rFonts w:hint="eastAsia" w:ascii="Times New Roman" w:hAnsi="Times New Roman" w:cs="Times New Roman"/>
                <w:color w:val="000000" w:themeColor="text1"/>
                <w:kern w:val="0"/>
                <w:sz w:val="24"/>
                <w:szCs w:val="24"/>
                <w:highlight w:val="none"/>
                <w:lang w:val="en-US" w:eastAsia="zh-CN"/>
                <w14:textFill>
                  <w14:solidFill>
                    <w14:schemeClr w14:val="tx1"/>
                  </w14:solidFill>
                </w14:textFill>
              </w:rPr>
              <w:t>据表</w:t>
            </w:r>
            <w:r>
              <w:rPr>
                <w:rFonts w:hint="eastAsia" w:cs="Times New Roman"/>
                <w:color w:val="000000" w:themeColor="text1"/>
                <w:kern w:val="0"/>
                <w:sz w:val="24"/>
                <w:szCs w:val="24"/>
                <w:highlight w:val="none"/>
                <w:lang w:val="en-US" w:eastAsia="zh-CN"/>
                <w14:textFill>
                  <w14:solidFill>
                    <w14:schemeClr w14:val="tx1"/>
                  </w14:solidFill>
                </w14:textFill>
              </w:rPr>
              <w:t>4-6</w:t>
            </w:r>
            <w:r>
              <w:rPr>
                <w:rFonts w:hint="eastAsia" w:ascii="Times New Roman" w:hAnsi="Times New Roman" w:cs="Times New Roman"/>
                <w:color w:val="000000" w:themeColor="text1"/>
                <w:kern w:val="0"/>
                <w:sz w:val="24"/>
                <w:szCs w:val="24"/>
                <w:highlight w:val="none"/>
                <w:lang w:val="en-US" w:eastAsia="zh-CN"/>
                <w14:textFill>
                  <w14:solidFill>
                    <w14:schemeClr w14:val="tx1"/>
                  </w14:solidFill>
                </w14:textFill>
              </w:rPr>
              <w:t>预测结果可知，加上</w:t>
            </w:r>
            <w:r>
              <w:rPr>
                <w:rFonts w:hint="eastAsia" w:ascii="Times New Roman" w:hAnsi="Times New Roman" w:cs="Times New Roman"/>
                <w:color w:val="000000" w:themeColor="text1"/>
                <w:kern w:val="0"/>
                <w:sz w:val="24"/>
                <w:szCs w:val="24"/>
                <w:highlight w:val="none"/>
                <w:lang w:eastAsia="zh-CN"/>
                <w14:textFill>
                  <w14:solidFill>
                    <w14:schemeClr w14:val="tx1"/>
                  </w14:solidFill>
                </w14:textFill>
              </w:rPr>
              <w:t>项目</w:t>
            </w:r>
            <w:r>
              <w:rPr>
                <w:rFonts w:hint="eastAsia" w:ascii="Times New Roman" w:hAnsi="Times New Roman" w:cs="Times New Roman"/>
                <w:color w:val="000000" w:themeColor="text1"/>
                <w:kern w:val="0"/>
                <w:sz w:val="24"/>
                <w:szCs w:val="24"/>
                <w:highlight w:val="none"/>
                <w14:textFill>
                  <w14:solidFill>
                    <w14:schemeClr w14:val="tx1"/>
                  </w14:solidFill>
                </w14:textFill>
              </w:rPr>
              <w:t>厂界四周边界噪声经距离衰减</w:t>
            </w:r>
            <w:r>
              <w:rPr>
                <w:rFonts w:hint="eastAsia" w:ascii="Times New Roman" w:hAnsi="Times New Roman" w:cs="Times New Roman"/>
                <w:color w:val="000000" w:themeColor="text1"/>
                <w:kern w:val="0"/>
                <w:sz w:val="24"/>
                <w:szCs w:val="24"/>
                <w:highlight w:val="none"/>
                <w:lang w:val="en-US" w:eastAsia="zh-CN"/>
                <w14:textFill>
                  <w14:solidFill>
                    <w14:schemeClr w14:val="tx1"/>
                  </w14:solidFill>
                </w14:textFill>
              </w:rPr>
              <w:t>等因素</w:t>
            </w:r>
            <w:r>
              <w:rPr>
                <w:rFonts w:hint="eastAsia" w:ascii="Times New Roman" w:hAnsi="Times New Roman" w:cs="Times New Roman"/>
                <w:color w:val="000000" w:themeColor="text1"/>
                <w:kern w:val="0"/>
                <w:sz w:val="24"/>
                <w:szCs w:val="24"/>
                <w:highlight w:val="none"/>
                <w14:textFill>
                  <w14:solidFill>
                    <w14:schemeClr w14:val="tx1"/>
                  </w14:solidFill>
                </w14:textFill>
              </w:rPr>
              <w:t>，</w:t>
            </w:r>
            <w:r>
              <w:rPr>
                <w:rFonts w:hint="eastAsia" w:ascii="Times New Roman" w:hAnsi="Times New Roman" w:cs="Times New Roman"/>
                <w:color w:val="000000" w:themeColor="text1"/>
                <w:kern w:val="0"/>
                <w:sz w:val="24"/>
                <w:szCs w:val="24"/>
                <w:highlight w:val="none"/>
                <w:lang w:val="en-US" w:eastAsia="zh-CN"/>
                <w14:textFill>
                  <w14:solidFill>
                    <w14:schemeClr w14:val="tx1"/>
                  </w14:solidFill>
                </w14:textFill>
              </w:rPr>
              <w:t>项目运行后，</w:t>
            </w:r>
            <w:r>
              <w:rPr>
                <w:rFonts w:hint="eastAsia" w:cs="Times New Roman"/>
                <w:color w:val="000000" w:themeColor="text1"/>
                <w:kern w:val="0"/>
                <w:sz w:val="24"/>
                <w:szCs w:val="24"/>
                <w:highlight w:val="none"/>
                <w:lang w:val="en-US" w:eastAsia="zh-CN"/>
                <w14:textFill>
                  <w14:solidFill>
                    <w14:schemeClr w14:val="tx1"/>
                  </w14:solidFill>
                </w14:textFill>
              </w:rPr>
              <w:t>预测</w:t>
            </w:r>
            <w:r>
              <w:rPr>
                <w:rFonts w:hint="eastAsia" w:ascii="Times New Roman" w:hAnsi="Times New Roman" w:cs="Times New Roman"/>
                <w:color w:val="000000" w:themeColor="text1"/>
                <w:kern w:val="0"/>
                <w:sz w:val="24"/>
                <w:szCs w:val="24"/>
                <w:highlight w:val="none"/>
                <w:lang w:val="en-US" w:eastAsia="zh-CN"/>
                <w14:textFill>
                  <w14:solidFill>
                    <w14:schemeClr w14:val="tx1"/>
                  </w14:solidFill>
                </w14:textFill>
              </w:rPr>
              <w:t>值</w:t>
            </w:r>
            <w:r>
              <w:rPr>
                <w:rFonts w:hint="eastAsia" w:ascii="Times New Roman" w:hAnsi="Times New Roman" w:cs="Times New Roman"/>
                <w:color w:val="000000" w:themeColor="text1"/>
                <w:kern w:val="0"/>
                <w:sz w:val="24"/>
                <w:szCs w:val="24"/>
                <w:highlight w:val="none"/>
                <w14:textFill>
                  <w14:solidFill>
                    <w14:schemeClr w14:val="tx1"/>
                  </w14:solidFill>
                </w14:textFill>
              </w:rPr>
              <w:t>满足《</w:t>
            </w:r>
            <w:r>
              <w:rPr>
                <w:rFonts w:hint="eastAsia" w:ascii="Times New Roman" w:hAnsi="Times New Roman" w:cs="Times New Roman"/>
                <w:color w:val="000000" w:themeColor="text1"/>
                <w:kern w:val="0"/>
                <w:sz w:val="24"/>
                <w:szCs w:val="24"/>
                <w:highlight w:val="none"/>
                <w:lang w:eastAsia="zh-CN"/>
                <w14:textFill>
                  <w14:solidFill>
                    <w14:schemeClr w14:val="tx1"/>
                  </w14:solidFill>
                </w14:textFill>
              </w:rPr>
              <w:t>工业企业厂界环境噪声排放标准</w:t>
            </w:r>
            <w:r>
              <w:rPr>
                <w:rFonts w:hint="eastAsia" w:ascii="Times New Roman" w:hAnsi="Times New Roman" w:cs="Times New Roman"/>
                <w:color w:val="000000" w:themeColor="text1"/>
                <w:kern w:val="0"/>
                <w:sz w:val="24"/>
                <w:szCs w:val="24"/>
                <w:highlight w:val="none"/>
                <w14:textFill>
                  <w14:solidFill>
                    <w14:schemeClr w14:val="tx1"/>
                  </w14:solidFill>
                </w14:textFill>
              </w:rPr>
              <w:t>》（GB12348-2008）</w:t>
            </w:r>
            <w:r>
              <w:rPr>
                <w:rFonts w:hint="eastAsia" w:cs="Times New Roman"/>
                <w:color w:val="000000" w:themeColor="text1"/>
                <w:kern w:val="0"/>
                <w:sz w:val="24"/>
                <w:szCs w:val="24"/>
                <w:highlight w:val="none"/>
                <w:lang w:val="en-US" w:eastAsia="zh-CN"/>
                <w14:textFill>
                  <w14:solidFill>
                    <w14:schemeClr w14:val="tx1"/>
                  </w14:solidFill>
                </w14:textFill>
              </w:rPr>
              <w:t>2</w:t>
            </w:r>
            <w:r>
              <w:rPr>
                <w:rFonts w:hint="eastAsia" w:ascii="Times New Roman" w:hAnsi="Times New Roman" w:cs="Times New Roman"/>
                <w:color w:val="000000" w:themeColor="text1"/>
                <w:kern w:val="0"/>
                <w:sz w:val="24"/>
                <w:szCs w:val="24"/>
                <w:highlight w:val="none"/>
                <w14:textFill>
                  <w14:solidFill>
                    <w14:schemeClr w14:val="tx1"/>
                  </w14:solidFill>
                </w14:textFill>
              </w:rPr>
              <w:t>类标准</w:t>
            </w:r>
            <w:r>
              <w:rPr>
                <w:rFonts w:hint="eastAsia" w:ascii="Times New Roman" w:hAnsi="Times New Roman" w:cs="Times New Roman"/>
                <w:color w:val="000000" w:themeColor="text1"/>
                <w:kern w:val="0"/>
                <w:sz w:val="24"/>
                <w:szCs w:val="24"/>
                <w:highlight w:val="none"/>
                <w:lang w:eastAsia="zh-CN"/>
                <w14:textFill>
                  <w14:solidFill>
                    <w14:schemeClr w14:val="tx1"/>
                  </w14:solidFill>
                </w14:textFill>
              </w:rPr>
              <w:t>中</w:t>
            </w:r>
            <w:r>
              <w:rPr>
                <w:rFonts w:hint="eastAsia" w:ascii="Times New Roman" w:hAnsi="Times New Roman" w:cs="Times New Roman"/>
                <w:color w:val="000000" w:themeColor="text1"/>
                <w:kern w:val="0"/>
                <w:sz w:val="24"/>
                <w:szCs w:val="24"/>
                <w:highlight w:val="none"/>
                <w:lang w:val="en-US" w:eastAsia="zh-CN"/>
                <w14:textFill>
                  <w14:solidFill>
                    <w14:schemeClr w14:val="tx1"/>
                  </w14:solidFill>
                </w14:textFill>
              </w:rPr>
              <w:t>昼夜</w:t>
            </w:r>
            <w:r>
              <w:rPr>
                <w:rFonts w:hint="eastAsia" w:ascii="Times New Roman" w:hAnsi="Times New Roman" w:cs="Times New Roman"/>
                <w:color w:val="000000" w:themeColor="text1"/>
                <w:kern w:val="0"/>
                <w:sz w:val="24"/>
                <w:szCs w:val="24"/>
                <w:highlight w:val="none"/>
                <w14:textFill>
                  <w14:solidFill>
                    <w14:schemeClr w14:val="tx1"/>
                  </w14:solidFill>
                </w14:textFill>
              </w:rPr>
              <w:t>（昼间</w:t>
            </w:r>
            <w:r>
              <w:rPr>
                <w:rFonts w:hint="eastAsia" w:cs="Times New Roman"/>
                <w:color w:val="000000" w:themeColor="text1"/>
                <w:kern w:val="0"/>
                <w:sz w:val="24"/>
                <w:szCs w:val="24"/>
                <w:highlight w:val="none"/>
                <w:lang w:val="en-US" w:eastAsia="zh-CN"/>
                <w14:textFill>
                  <w14:solidFill>
                    <w14:schemeClr w14:val="tx1"/>
                  </w14:solidFill>
                </w14:textFill>
              </w:rPr>
              <w:t>60</w:t>
            </w:r>
            <w:r>
              <w:rPr>
                <w:rFonts w:hint="eastAsia" w:ascii="Times New Roman" w:hAnsi="Times New Roman" w:cs="Times New Roman"/>
                <w:color w:val="000000" w:themeColor="text1"/>
                <w:kern w:val="0"/>
                <w:sz w:val="24"/>
                <w:szCs w:val="24"/>
                <w:highlight w:val="none"/>
                <w14:textFill>
                  <w14:solidFill>
                    <w14:schemeClr w14:val="tx1"/>
                  </w14:solidFill>
                </w14:textFill>
              </w:rPr>
              <w:t>dB（A）</w:t>
            </w:r>
            <w:r>
              <w:rPr>
                <w:rFonts w:hint="eastAsia" w:ascii="Times New Roman" w:hAnsi="Times New Roman" w:cs="Times New Roman"/>
                <w:color w:val="000000" w:themeColor="text1"/>
                <w:kern w:val="0"/>
                <w:sz w:val="24"/>
                <w:szCs w:val="24"/>
                <w:highlight w:val="none"/>
                <w:lang w:eastAsia="zh-CN"/>
                <w14:textFill>
                  <w14:solidFill>
                    <w14:schemeClr w14:val="tx1"/>
                  </w14:solidFill>
                </w14:textFill>
              </w:rPr>
              <w:t>夜间</w:t>
            </w:r>
            <w:r>
              <w:rPr>
                <w:rFonts w:hint="eastAsia" w:cs="Times New Roman"/>
                <w:color w:val="000000" w:themeColor="text1"/>
                <w:kern w:val="0"/>
                <w:sz w:val="24"/>
                <w:szCs w:val="24"/>
                <w:highlight w:val="none"/>
                <w:lang w:val="en-US" w:eastAsia="zh-CN"/>
                <w14:textFill>
                  <w14:solidFill>
                    <w14:schemeClr w14:val="tx1"/>
                  </w14:solidFill>
                </w14:textFill>
              </w:rPr>
              <w:t>50</w:t>
            </w:r>
            <w:r>
              <w:rPr>
                <w:rFonts w:hint="eastAsia" w:ascii="Times New Roman" w:hAnsi="Times New Roman" w:cs="Times New Roman"/>
                <w:color w:val="000000" w:themeColor="text1"/>
                <w:kern w:val="0"/>
                <w:sz w:val="24"/>
                <w:szCs w:val="24"/>
                <w:highlight w:val="none"/>
                <w14:textFill>
                  <w14:solidFill>
                    <w14:schemeClr w14:val="tx1"/>
                  </w14:solidFill>
                </w14:textFill>
              </w:rPr>
              <w:t>dB（A））</w:t>
            </w:r>
            <w:r>
              <w:rPr>
                <w:rFonts w:hint="eastAsia" w:ascii="Times New Roman" w:hAnsi="Times New Roman" w:cs="Times New Roman"/>
                <w:color w:val="000000" w:themeColor="text1"/>
                <w:kern w:val="0"/>
                <w:sz w:val="24"/>
                <w:szCs w:val="24"/>
                <w:highlight w:val="none"/>
                <w:lang w:eastAsia="zh-CN"/>
                <w14:textFill>
                  <w14:solidFill>
                    <w14:schemeClr w14:val="tx1"/>
                  </w14:solidFill>
                </w14:textFill>
              </w:rPr>
              <w:t>的排放</w:t>
            </w:r>
            <w:r>
              <w:rPr>
                <w:rFonts w:hint="eastAsia" w:ascii="Times New Roman" w:hAnsi="Times New Roman" w:cs="Times New Roman"/>
                <w:color w:val="000000" w:themeColor="text1"/>
                <w:kern w:val="0"/>
                <w:sz w:val="24"/>
                <w:szCs w:val="24"/>
                <w:highlight w:val="none"/>
                <w14:textFill>
                  <w14:solidFill>
                    <w14:schemeClr w14:val="tx1"/>
                  </w14:solidFill>
                </w14:textFill>
              </w:rPr>
              <w:t>要求。</w:t>
            </w:r>
          </w:p>
          <w:p w14:paraId="53C5D5C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Times New Roman" w:hAnsi="Times New Roman" w:cs="Times New Roman"/>
                <w:color w:val="000000" w:themeColor="text1"/>
                <w:kern w:val="0"/>
                <w:sz w:val="24"/>
                <w:szCs w:val="24"/>
                <w:highlight w:val="none"/>
                <w:lang w:eastAsia="zh-CN"/>
                <w14:textFill>
                  <w14:solidFill>
                    <w14:schemeClr w14:val="tx1"/>
                  </w14:solidFill>
                </w14:textFill>
              </w:rPr>
            </w:pPr>
            <w:r>
              <w:rPr>
                <w:rFonts w:hint="eastAsia" w:cs="Times New Roman"/>
                <w:color w:val="000000" w:themeColor="text1"/>
                <w:kern w:val="0"/>
                <w:sz w:val="24"/>
                <w:szCs w:val="24"/>
                <w:highlight w:val="none"/>
                <w:lang w:val="en-US" w:eastAsia="zh-CN"/>
                <w14:textFill>
                  <w14:solidFill>
                    <w14:schemeClr w14:val="tx1"/>
                  </w14:solidFill>
                </w14:textFill>
              </w:rPr>
              <w:t>本项目</w:t>
            </w:r>
            <w:r>
              <w:rPr>
                <w:rFonts w:hint="eastAsia" w:ascii="Times New Roman" w:hAnsi="Times New Roman" w:cs="Times New Roman"/>
                <w:color w:val="000000" w:themeColor="text1"/>
                <w:kern w:val="0"/>
                <w:sz w:val="24"/>
                <w:szCs w:val="24"/>
                <w:highlight w:val="none"/>
                <w:lang w:val="en-US" w:eastAsia="zh-CN"/>
                <w14:textFill>
                  <w14:solidFill>
                    <w14:schemeClr w14:val="tx1"/>
                  </w14:solidFill>
                </w14:textFill>
              </w:rPr>
              <w:t>对噪声污染</w:t>
            </w:r>
            <w:r>
              <w:rPr>
                <w:rFonts w:hint="eastAsia" w:cs="Times New Roman"/>
                <w:color w:val="000000" w:themeColor="text1"/>
                <w:kern w:val="0"/>
                <w:sz w:val="24"/>
                <w:szCs w:val="24"/>
                <w:highlight w:val="none"/>
                <w:lang w:val="en-US" w:eastAsia="zh-CN"/>
                <w14:textFill>
                  <w14:solidFill>
                    <w14:schemeClr w14:val="tx1"/>
                  </w14:solidFill>
                </w14:textFill>
              </w:rPr>
              <w:t>已</w:t>
            </w:r>
            <w:r>
              <w:rPr>
                <w:rFonts w:hint="eastAsia" w:ascii="Times New Roman" w:hAnsi="Times New Roman" w:cs="Times New Roman"/>
                <w:color w:val="000000" w:themeColor="text1"/>
                <w:kern w:val="0"/>
                <w:sz w:val="24"/>
                <w:szCs w:val="24"/>
                <w:highlight w:val="none"/>
                <w:lang w:val="en-US" w:eastAsia="zh-CN"/>
                <w14:textFill>
                  <w14:solidFill>
                    <w14:schemeClr w14:val="tx1"/>
                  </w14:solidFill>
                </w14:textFill>
              </w:rPr>
              <w:t>采取以下措施进行防治：</w:t>
            </w:r>
          </w:p>
          <w:p w14:paraId="0AA66DA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Times New Roman" w:hAnsi="Times New Roman" w:cs="Times New Roman"/>
                <w:color w:val="000000" w:themeColor="text1"/>
                <w:kern w:val="0"/>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kern w:val="0"/>
                <w:sz w:val="24"/>
                <w:szCs w:val="24"/>
                <w:highlight w:val="none"/>
                <w:lang w:val="en-US" w:eastAsia="zh-CN"/>
                <w14:textFill>
                  <w14:solidFill>
                    <w14:schemeClr w14:val="tx1"/>
                  </w14:solidFill>
                </w14:textFill>
              </w:rPr>
              <w:t>①</w:t>
            </w:r>
            <w:r>
              <w:rPr>
                <w:rFonts w:hint="eastAsia" w:cs="Times New Roman"/>
                <w:color w:val="000000" w:themeColor="text1"/>
                <w:kern w:val="0"/>
                <w:sz w:val="24"/>
                <w:szCs w:val="24"/>
                <w:highlight w:val="none"/>
                <w:lang w:val="en-US" w:eastAsia="zh-CN"/>
                <w14:textFill>
                  <w14:solidFill>
                    <w14:schemeClr w14:val="tx1"/>
                  </w14:solidFill>
                </w14:textFill>
              </w:rPr>
              <w:t>宠</w:t>
            </w:r>
            <w:r>
              <w:rPr>
                <w:rFonts w:hint="eastAsia" w:ascii="Times New Roman" w:hAnsi="Times New Roman" w:cs="Times New Roman"/>
                <w:color w:val="000000" w:themeColor="text1"/>
                <w:kern w:val="0"/>
                <w:sz w:val="24"/>
                <w:szCs w:val="24"/>
                <w:highlight w:val="none"/>
                <w:lang w:val="en-US" w:eastAsia="zh-CN"/>
                <w14:textFill>
                  <w14:solidFill>
                    <w14:schemeClr w14:val="tx1"/>
                  </w14:solidFill>
                </w14:textFill>
              </w:rPr>
              <w:t>物叫声及人员活动噪声具有不定时性和突发性，也具有可控性，可经合理管理预防。一般宠物在饥饿或口渴时以及人为骚扰情况下易烦躁、多动，才会发出叫声，</w:t>
            </w:r>
            <w:r>
              <w:rPr>
                <w:rFonts w:hint="eastAsia" w:cs="Times New Roman"/>
                <w:color w:val="000000" w:themeColor="text1"/>
                <w:kern w:val="0"/>
                <w:sz w:val="24"/>
                <w:szCs w:val="24"/>
                <w:highlight w:val="none"/>
                <w:lang w:val="en-US" w:eastAsia="zh-CN"/>
                <w14:textFill>
                  <w14:solidFill>
                    <w14:schemeClr w14:val="tx1"/>
                  </w14:solidFill>
                </w14:textFill>
              </w:rPr>
              <w:t>通过员工</w:t>
            </w:r>
            <w:r>
              <w:rPr>
                <w:rFonts w:hint="eastAsia" w:ascii="Times New Roman" w:hAnsi="Times New Roman" w:cs="Times New Roman"/>
                <w:color w:val="000000" w:themeColor="text1"/>
                <w:kern w:val="0"/>
                <w:sz w:val="24"/>
                <w:szCs w:val="24"/>
                <w:highlight w:val="none"/>
                <w:lang w:val="en-US" w:eastAsia="zh-CN"/>
                <w14:textFill>
                  <w14:solidFill>
                    <w14:schemeClr w14:val="tx1"/>
                  </w14:solidFill>
                </w14:textFill>
              </w:rPr>
              <w:t>合理喂食，避免宠物因饥饿或口渴而发出叫声，有效控制宠物活动噪声；减少人为对宠物的骚扰、</w:t>
            </w:r>
            <w:r>
              <w:rPr>
                <w:rFonts w:hint="eastAsia" w:cs="Times New Roman"/>
                <w:color w:val="000000" w:themeColor="text1"/>
                <w:kern w:val="0"/>
                <w:sz w:val="24"/>
                <w:szCs w:val="24"/>
                <w:highlight w:val="none"/>
                <w:lang w:val="en-US" w:eastAsia="zh-CN"/>
                <w14:textFill>
                  <w14:solidFill>
                    <w14:schemeClr w14:val="tx1"/>
                  </w14:solidFill>
                </w14:textFill>
              </w:rPr>
              <w:t>驱赶。</w:t>
            </w:r>
          </w:p>
          <w:p w14:paraId="0D926D3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Times New Roman" w:hAnsi="Times New Roman" w:cs="Times New Roman"/>
                <w:color w:val="000000" w:themeColor="text1"/>
                <w:kern w:val="0"/>
                <w:sz w:val="24"/>
                <w:szCs w:val="24"/>
                <w:highlight w:val="none"/>
                <w:lang w:eastAsia="zh-CN"/>
                <w14:textFill>
                  <w14:solidFill>
                    <w14:schemeClr w14:val="tx1"/>
                  </w14:solidFill>
                </w14:textFill>
              </w:rPr>
            </w:pPr>
            <w:r>
              <w:rPr>
                <w:rFonts w:hint="default" w:ascii="Times New Roman" w:hAnsi="Times New Roman" w:cs="Times New Roman"/>
                <w:color w:val="000000" w:themeColor="text1"/>
                <w:kern w:val="0"/>
                <w:sz w:val="24"/>
                <w:szCs w:val="24"/>
                <w:highlight w:val="none"/>
                <w:lang w:val="en-US" w:eastAsia="zh-CN"/>
                <w14:textFill>
                  <w14:solidFill>
                    <w14:schemeClr w14:val="tx1"/>
                  </w14:solidFill>
                </w14:textFill>
              </w:rPr>
              <w:t>②</w:t>
            </w:r>
            <w:r>
              <w:rPr>
                <w:rFonts w:hint="eastAsia" w:ascii="Times New Roman" w:hAnsi="Times New Roman" w:cs="Times New Roman"/>
                <w:color w:val="000000" w:themeColor="text1"/>
                <w:kern w:val="0"/>
                <w:sz w:val="24"/>
                <w:szCs w:val="24"/>
                <w:highlight w:val="none"/>
                <w:lang w:val="en-US" w:eastAsia="zh-CN"/>
                <w14:textFill>
                  <w14:solidFill>
                    <w14:schemeClr w14:val="tx1"/>
                  </w14:solidFill>
                </w14:textFill>
              </w:rPr>
              <w:t>已对院内合理</w:t>
            </w:r>
            <w:r>
              <w:rPr>
                <w:rFonts w:hint="eastAsia" w:cs="Times New Roman"/>
                <w:color w:val="000000" w:themeColor="text1"/>
                <w:kern w:val="0"/>
                <w:sz w:val="24"/>
                <w:szCs w:val="24"/>
                <w:highlight w:val="none"/>
                <w:lang w:val="en-US" w:eastAsia="zh-CN"/>
                <w14:textFill>
                  <w14:solidFill>
                    <w14:schemeClr w14:val="tx1"/>
                  </w14:solidFill>
                </w14:textFill>
              </w:rPr>
              <w:t>布局，</w:t>
            </w:r>
            <w:r>
              <w:rPr>
                <w:rFonts w:hint="eastAsia" w:ascii="Times New Roman" w:hAnsi="Times New Roman" w:cs="Times New Roman"/>
                <w:color w:val="000000" w:themeColor="text1"/>
                <w:kern w:val="0"/>
                <w:sz w:val="24"/>
                <w:szCs w:val="24"/>
                <w:highlight w:val="none"/>
                <w:lang w:val="en-US" w:eastAsia="zh-CN"/>
                <w14:textFill>
                  <w14:solidFill>
                    <w14:schemeClr w14:val="tx1"/>
                  </w14:solidFill>
                </w14:textFill>
              </w:rPr>
              <w:t>利用距离衰减，墙体隔声减少对厂界外环境的影响。</w:t>
            </w:r>
          </w:p>
          <w:p w14:paraId="342F75B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Times New Roman" w:hAnsi="Times New Roman" w:cs="Times New Roman"/>
                <w:color w:val="000000" w:themeColor="text1"/>
                <w:kern w:val="0"/>
                <w:sz w:val="24"/>
                <w:szCs w:val="24"/>
                <w:highlight w:val="none"/>
                <w:lang w:eastAsia="zh-CN"/>
                <w14:textFill>
                  <w14:solidFill>
                    <w14:schemeClr w14:val="tx1"/>
                  </w14:solidFill>
                </w14:textFill>
              </w:rPr>
            </w:pPr>
            <w:r>
              <w:rPr>
                <w:rFonts w:hint="eastAsia" w:ascii="Times New Roman" w:hAnsi="Times New Roman" w:cs="Times New Roman"/>
                <w:color w:val="000000" w:themeColor="text1"/>
                <w:kern w:val="0"/>
                <w:sz w:val="24"/>
                <w:szCs w:val="24"/>
                <w:highlight w:val="none"/>
                <w:lang w:val="en-US" w:eastAsia="zh-CN"/>
                <w14:textFill>
                  <w14:solidFill>
                    <w14:schemeClr w14:val="tx1"/>
                  </w14:solidFill>
                </w14:textFill>
              </w:rPr>
              <w:t>③</w:t>
            </w:r>
            <w:r>
              <w:rPr>
                <w:rFonts w:hint="eastAsia" w:cs="Times New Roman"/>
                <w:color w:val="000000" w:themeColor="text1"/>
                <w:kern w:val="0"/>
                <w:sz w:val="24"/>
                <w:szCs w:val="24"/>
                <w:highlight w:val="none"/>
                <w:lang w:val="en-US" w:eastAsia="zh-CN"/>
                <w14:textFill>
                  <w14:solidFill>
                    <w14:schemeClr w14:val="tx1"/>
                  </w14:solidFill>
                </w14:textFill>
              </w:rPr>
              <w:t>已</w:t>
            </w:r>
            <w:r>
              <w:rPr>
                <w:rFonts w:hint="eastAsia" w:ascii="Times New Roman" w:hAnsi="Times New Roman" w:cs="Times New Roman"/>
                <w:color w:val="000000" w:themeColor="text1"/>
                <w:kern w:val="0"/>
                <w:sz w:val="24"/>
                <w:szCs w:val="24"/>
                <w:highlight w:val="none"/>
                <w:lang w:val="en-US" w:eastAsia="zh-CN"/>
                <w14:textFill>
                  <w14:solidFill>
                    <w14:schemeClr w14:val="tx1"/>
                  </w14:solidFill>
                </w14:textFill>
              </w:rPr>
              <w:t>加强职工环保意识教育，防止人为噪声，院区内做好人员管理</w:t>
            </w:r>
            <w:r>
              <w:rPr>
                <w:rFonts w:hint="eastAsia" w:cs="Times New Roman"/>
                <w:color w:val="000000" w:themeColor="text1"/>
                <w:kern w:val="0"/>
                <w:sz w:val="24"/>
                <w:szCs w:val="24"/>
                <w:highlight w:val="none"/>
                <w:lang w:val="en-US" w:eastAsia="zh-CN"/>
                <w14:textFill>
                  <w14:solidFill>
                    <w14:schemeClr w14:val="tx1"/>
                  </w14:solidFill>
                </w14:textFill>
              </w:rPr>
              <w:t>。</w:t>
            </w:r>
          </w:p>
          <w:p w14:paraId="66A15BBB">
            <w:pPr>
              <w:keepNext w:val="0"/>
              <w:keepLines w:val="0"/>
              <w:suppressLineNumbers w:val="0"/>
              <w:spacing w:before="0" w:beforeAutospacing="0" w:after="0" w:afterAutospacing="0"/>
              <w:ind w:left="0" w:right="0"/>
              <w:rPr>
                <w:rFonts w:hint="eastAsia"/>
                <w:b/>
                <w:bCs/>
                <w:color w:val="000000"/>
                <w:spacing w:val="0"/>
                <w:kern w:val="0"/>
              </w:rPr>
            </w:pPr>
            <w:r>
              <w:rPr>
                <w:rFonts w:hint="default"/>
                <w:b/>
                <w:bCs/>
                <w:color w:val="000000"/>
                <w:spacing w:val="0"/>
                <w:kern w:val="0"/>
              </w:rPr>
              <w:t>3.</w:t>
            </w:r>
            <w:r>
              <w:rPr>
                <w:rFonts w:hint="eastAsia"/>
                <w:b/>
                <w:bCs/>
                <w:color w:val="000000"/>
                <w:spacing w:val="0"/>
                <w:kern w:val="0"/>
                <w:lang w:val="en-US" w:eastAsia="zh-CN"/>
              </w:rPr>
              <w:t>4</w:t>
            </w:r>
            <w:r>
              <w:rPr>
                <w:rFonts w:hint="default" w:cs="Times New Roman" w:asciiTheme="minorEastAsia" w:hAnsiTheme="minorEastAsia" w:eastAsiaTheme="minorEastAsia"/>
                <w:b/>
                <w:lang w:eastAsia="zh-CN"/>
              </w:rPr>
              <w:t>声</w:t>
            </w:r>
            <w:r>
              <w:rPr>
                <w:rFonts w:hint="default" w:cs="Times New Roman" w:asciiTheme="minorEastAsia" w:hAnsiTheme="minorEastAsia" w:eastAsiaTheme="minorEastAsia"/>
                <w:b/>
                <w:spacing w:val="-3"/>
                <w:lang w:eastAsia="zh-CN"/>
              </w:rPr>
              <w:t>环境</w:t>
            </w:r>
            <w:r>
              <w:rPr>
                <w:rFonts w:hint="default" w:cs="Times New Roman" w:asciiTheme="minorEastAsia" w:hAnsiTheme="minorEastAsia" w:eastAsiaTheme="minorEastAsia"/>
                <w:b/>
                <w:lang w:eastAsia="zh-CN"/>
              </w:rPr>
              <w:t>保护</w:t>
            </w:r>
            <w:r>
              <w:rPr>
                <w:rFonts w:hint="default" w:cs="Times New Roman" w:asciiTheme="minorEastAsia" w:hAnsiTheme="minorEastAsia" w:eastAsiaTheme="minorEastAsia"/>
                <w:b/>
                <w:spacing w:val="-3"/>
                <w:lang w:eastAsia="zh-CN"/>
              </w:rPr>
              <w:t>目</w:t>
            </w:r>
            <w:r>
              <w:rPr>
                <w:rFonts w:hint="default" w:cs="Times New Roman" w:asciiTheme="minorEastAsia" w:hAnsiTheme="minorEastAsia" w:eastAsiaTheme="minorEastAsia"/>
                <w:b/>
                <w:lang w:eastAsia="zh-CN"/>
              </w:rPr>
              <w:t>标</w:t>
            </w:r>
            <w:r>
              <w:rPr>
                <w:rFonts w:hint="default" w:cs="Times New Roman" w:asciiTheme="minorEastAsia" w:hAnsiTheme="minorEastAsia" w:eastAsiaTheme="minorEastAsia"/>
                <w:b/>
                <w:spacing w:val="-3"/>
                <w:lang w:eastAsia="zh-CN"/>
              </w:rPr>
              <w:t>噪</w:t>
            </w:r>
            <w:r>
              <w:rPr>
                <w:rFonts w:hint="default" w:cs="Times New Roman" w:asciiTheme="minorEastAsia" w:hAnsiTheme="minorEastAsia" w:eastAsiaTheme="minorEastAsia"/>
                <w:b/>
                <w:lang w:eastAsia="zh-CN"/>
              </w:rPr>
              <w:t>声</w:t>
            </w:r>
            <w:r>
              <w:rPr>
                <w:rFonts w:hint="default" w:cs="Times New Roman" w:asciiTheme="minorEastAsia" w:hAnsiTheme="minorEastAsia" w:eastAsiaTheme="minorEastAsia"/>
                <w:b/>
                <w:spacing w:val="-3"/>
                <w:lang w:eastAsia="zh-CN"/>
              </w:rPr>
              <w:t>预</w:t>
            </w:r>
            <w:r>
              <w:rPr>
                <w:rFonts w:hint="default" w:cs="Times New Roman" w:asciiTheme="minorEastAsia" w:hAnsiTheme="minorEastAsia" w:eastAsiaTheme="minorEastAsia"/>
                <w:b/>
                <w:lang w:eastAsia="zh-CN"/>
              </w:rPr>
              <w:t>测</w:t>
            </w:r>
            <w:r>
              <w:rPr>
                <w:rFonts w:hint="default" w:cs="Times New Roman" w:asciiTheme="minorEastAsia" w:hAnsiTheme="minorEastAsia" w:eastAsiaTheme="minorEastAsia"/>
                <w:b/>
                <w:spacing w:val="-3"/>
                <w:lang w:eastAsia="zh-CN"/>
              </w:rPr>
              <w:t>结</w:t>
            </w:r>
            <w:r>
              <w:rPr>
                <w:rFonts w:hint="default" w:cs="Times New Roman" w:asciiTheme="minorEastAsia" w:hAnsiTheme="minorEastAsia" w:eastAsiaTheme="minorEastAsia"/>
                <w:b/>
                <w:lang w:eastAsia="zh-CN"/>
              </w:rPr>
              <w:t>果</w:t>
            </w:r>
            <w:r>
              <w:rPr>
                <w:rFonts w:hint="default" w:cs="Times New Roman" w:asciiTheme="minorEastAsia" w:hAnsiTheme="minorEastAsia" w:eastAsiaTheme="minorEastAsia"/>
                <w:b/>
                <w:spacing w:val="-3"/>
                <w:lang w:eastAsia="zh-CN"/>
              </w:rPr>
              <w:t>与</w:t>
            </w:r>
            <w:r>
              <w:rPr>
                <w:rFonts w:hint="default" w:cs="Times New Roman" w:asciiTheme="minorEastAsia" w:hAnsiTheme="minorEastAsia" w:eastAsiaTheme="minorEastAsia"/>
                <w:b/>
                <w:lang w:eastAsia="zh-CN"/>
              </w:rPr>
              <w:t>达标</w:t>
            </w:r>
            <w:r>
              <w:rPr>
                <w:rFonts w:hint="default" w:cs="Times New Roman" w:asciiTheme="minorEastAsia" w:hAnsiTheme="minorEastAsia" w:eastAsiaTheme="minorEastAsia"/>
                <w:b/>
                <w:spacing w:val="-3"/>
                <w:lang w:eastAsia="zh-CN"/>
              </w:rPr>
              <w:t>分</w:t>
            </w:r>
            <w:r>
              <w:rPr>
                <w:rFonts w:hint="default" w:cs="Times New Roman" w:asciiTheme="minorEastAsia" w:hAnsiTheme="minorEastAsia" w:eastAsiaTheme="minorEastAsia"/>
                <w:b/>
                <w:lang w:eastAsia="zh-CN"/>
              </w:rPr>
              <w:t>析</w:t>
            </w:r>
          </w:p>
          <w:p w14:paraId="1D0EABA0">
            <w:pPr>
              <w:keepNext w:val="0"/>
              <w:keepLines w:val="0"/>
              <w:suppressLineNumbers w:val="0"/>
              <w:snapToGrid w:val="0"/>
              <w:spacing w:before="0" w:beforeAutospacing="0" w:after="0" w:afterAutospacing="0" w:line="360" w:lineRule="auto"/>
              <w:ind w:left="0" w:right="0" w:firstLine="480" w:firstLineChars="200"/>
              <w:rPr>
                <w:rFonts w:hint="default" w:ascii="Times New Roman" w:hAnsi="Times New Roman" w:cs="Times New Roman" w:eastAsiaTheme="minorEastAsia"/>
                <w:color w:val="auto"/>
                <w:sz w:val="24"/>
                <w:szCs w:val="24"/>
                <w:lang w:eastAsia="zh-CN"/>
              </w:rPr>
            </w:pPr>
            <w:r>
              <w:rPr>
                <w:rFonts w:hint="eastAsia"/>
                <w:color w:val="000000"/>
                <w:spacing w:val="0"/>
                <w:kern w:val="0"/>
                <w:szCs w:val="24"/>
              </w:rPr>
              <w:t>本项目所有设备均置于</w:t>
            </w:r>
            <w:r>
              <w:rPr>
                <w:rFonts w:hint="eastAsia"/>
                <w:color w:val="000000"/>
                <w:spacing w:val="0"/>
                <w:kern w:val="0"/>
                <w:szCs w:val="24"/>
                <w:lang w:val="en-US" w:eastAsia="zh-CN"/>
              </w:rPr>
              <w:t>封闭房间</w:t>
            </w:r>
            <w:r>
              <w:rPr>
                <w:rFonts w:hint="eastAsia"/>
                <w:color w:val="000000"/>
                <w:spacing w:val="0"/>
                <w:kern w:val="0"/>
                <w:szCs w:val="24"/>
              </w:rPr>
              <w:t>内，</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运行过程中基本无噪声产生</w:t>
            </w:r>
            <w:r>
              <w:rPr>
                <w:rFonts w:hint="eastAsia"/>
                <w:color w:val="000000"/>
                <w:spacing w:val="0"/>
                <w:kern w:val="0"/>
                <w:szCs w:val="24"/>
              </w:rPr>
              <w:t>，</w:t>
            </w:r>
            <w:r>
              <w:rPr>
                <w:rFonts w:hint="default" w:ascii="Times New Roman" w:hAnsi="Times New Roman" w:cs="Times New Roman" w:eastAsiaTheme="minorEastAsia"/>
                <w:color w:val="auto"/>
                <w:sz w:val="24"/>
                <w:szCs w:val="24"/>
                <w:lang w:eastAsia="zh-CN"/>
              </w:rPr>
              <w:t>通过预测模型计算，声环境保护目标噪声预测结果与达标分析见</w:t>
            </w:r>
            <w:r>
              <w:rPr>
                <w:rFonts w:hint="eastAsia" w:ascii="Times New Roman" w:hAnsi="Times New Roman" w:cs="Times New Roman" w:eastAsiaTheme="minorEastAsia"/>
                <w:color w:val="auto"/>
                <w:sz w:val="24"/>
                <w:szCs w:val="24"/>
                <w:lang w:val="en-US" w:eastAsia="zh-CN"/>
              </w:rPr>
              <w:t>下</w:t>
            </w:r>
            <w:r>
              <w:rPr>
                <w:rFonts w:hint="default" w:ascii="Times New Roman" w:hAnsi="Times New Roman" w:cs="Times New Roman" w:eastAsiaTheme="minorEastAsia"/>
                <w:color w:val="auto"/>
                <w:sz w:val="24"/>
                <w:szCs w:val="24"/>
                <w:lang w:eastAsia="zh-CN"/>
              </w:rPr>
              <w:t>表</w:t>
            </w:r>
          </w:p>
          <w:p w14:paraId="4C4F4A41">
            <w:pPr>
              <w:keepNext w:val="0"/>
              <w:keepLines w:val="0"/>
              <w:suppressLineNumbers w:val="0"/>
              <w:adjustRightInd w:val="0"/>
              <w:snapToGrid w:val="0"/>
              <w:spacing w:before="0" w:beforeAutospacing="0" w:after="0" w:afterAutospacing="0" w:line="240" w:lineRule="auto"/>
              <w:ind w:left="0" w:right="0" w:firstLine="422" w:firstLineChars="200"/>
              <w:rPr>
                <w:rFonts w:hint="default"/>
                <w:b/>
                <w:bCs/>
                <w:color w:val="000000"/>
                <w:spacing w:val="0"/>
                <w:kern w:val="0"/>
                <w:sz w:val="21"/>
                <w:szCs w:val="21"/>
                <w:highlight w:val="yellow"/>
                <w:lang w:eastAsia="zh-CN"/>
              </w:rPr>
            </w:pPr>
            <w:r>
              <w:rPr>
                <w:rFonts w:hint="default"/>
                <w:b/>
                <w:bCs/>
                <w:color w:val="000000"/>
                <w:spacing w:val="0"/>
                <w:kern w:val="0"/>
                <w:sz w:val="21"/>
                <w:szCs w:val="21"/>
                <w:lang w:eastAsia="zh-CN"/>
              </w:rPr>
              <w:t>表</w:t>
            </w:r>
            <w:r>
              <w:rPr>
                <w:rFonts w:hint="eastAsia"/>
                <w:b/>
                <w:bCs/>
                <w:color w:val="000000"/>
                <w:spacing w:val="0"/>
                <w:kern w:val="0"/>
                <w:sz w:val="21"/>
                <w:szCs w:val="21"/>
                <w:lang w:val="en-US" w:eastAsia="zh-CN"/>
              </w:rPr>
              <w:t xml:space="preserve">4-7         </w:t>
            </w:r>
            <w:r>
              <w:rPr>
                <w:rFonts w:hint="default"/>
                <w:b/>
                <w:bCs/>
                <w:color w:val="000000"/>
                <w:spacing w:val="0"/>
                <w:kern w:val="0"/>
                <w:sz w:val="21"/>
                <w:szCs w:val="21"/>
                <w:highlight w:val="none"/>
                <w:lang w:eastAsia="zh-CN"/>
              </w:rPr>
              <w:t>工业企业声环境保护目标噪声预测结果与达标分析表</w:t>
            </w:r>
          </w:p>
          <w:tbl>
            <w:tblPr>
              <w:tblStyle w:val="31"/>
              <w:tblW w:w="825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29"/>
              <w:gridCol w:w="1148"/>
              <w:gridCol w:w="482"/>
              <w:gridCol w:w="482"/>
              <w:gridCol w:w="482"/>
              <w:gridCol w:w="482"/>
              <w:gridCol w:w="447"/>
              <w:gridCol w:w="447"/>
              <w:gridCol w:w="496"/>
              <w:gridCol w:w="496"/>
              <w:gridCol w:w="496"/>
              <w:gridCol w:w="496"/>
              <w:gridCol w:w="487"/>
              <w:gridCol w:w="486"/>
              <w:gridCol w:w="450"/>
              <w:gridCol w:w="450"/>
            </w:tblGrid>
            <w:tr w14:paraId="2676D54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00" w:hRule="exact"/>
                <w:jc w:val="center"/>
              </w:trPr>
              <w:tc>
                <w:tcPr>
                  <w:tcW w:w="429" w:type="dxa"/>
                  <w:vMerge w:val="restart"/>
                  <w:tcBorders>
                    <w:tl2br w:val="nil"/>
                    <w:tr2bl w:val="nil"/>
                  </w:tcBorders>
                  <w:shd w:val="clear" w:color="auto" w:fill="auto"/>
                  <w:vAlign w:val="center"/>
                </w:tcPr>
                <w:p w14:paraId="5E0C92D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序号</w:t>
                  </w:r>
                </w:p>
              </w:tc>
              <w:tc>
                <w:tcPr>
                  <w:tcW w:w="1148" w:type="dxa"/>
                  <w:vMerge w:val="restart"/>
                  <w:tcBorders>
                    <w:tl2br w:val="nil"/>
                    <w:tr2bl w:val="nil"/>
                  </w:tcBorders>
                  <w:shd w:val="clear" w:color="auto" w:fill="auto"/>
                  <w:vAlign w:val="center"/>
                </w:tcPr>
                <w:p w14:paraId="5BA8B89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声环境保护目标名称</w:t>
                  </w:r>
                </w:p>
              </w:tc>
              <w:tc>
                <w:tcPr>
                  <w:tcW w:w="964" w:type="dxa"/>
                  <w:gridSpan w:val="2"/>
                  <w:tcBorders>
                    <w:tl2br w:val="nil"/>
                    <w:tr2bl w:val="nil"/>
                  </w:tcBorders>
                  <w:shd w:val="clear" w:color="auto" w:fill="auto"/>
                  <w:vAlign w:val="center"/>
                </w:tcPr>
                <w:p w14:paraId="47561AF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sz w:val="21"/>
                      <w:szCs w:val="21"/>
                      <w:lang w:eastAsia="zh-CN"/>
                    </w:rPr>
                  </w:pPr>
                  <w:r>
                    <w:rPr>
                      <w:rFonts w:hint="default" w:ascii="Times New Roman" w:hAnsi="Times New Roman" w:eastAsia="宋体" w:cs="Times New Roman"/>
                      <w:b w:val="0"/>
                      <w:bCs/>
                      <w:sz w:val="21"/>
                      <w:szCs w:val="21"/>
                    </w:rPr>
                    <w:t>噪声背景值/dB</w:t>
                  </w:r>
                  <w:r>
                    <w:rPr>
                      <w:rFonts w:hint="eastAsia" w:cs="Times New Roman"/>
                      <w:b w:val="0"/>
                      <w:bCs/>
                      <w:sz w:val="21"/>
                      <w:szCs w:val="21"/>
                      <w:lang w:eastAsia="zh-CN"/>
                    </w:rPr>
                    <w:t>（</w:t>
                  </w:r>
                  <w:r>
                    <w:rPr>
                      <w:rFonts w:hint="default" w:ascii="Times New Roman" w:hAnsi="Times New Roman" w:eastAsia="宋体" w:cs="Times New Roman"/>
                      <w:b w:val="0"/>
                      <w:bCs/>
                      <w:sz w:val="21"/>
                      <w:szCs w:val="21"/>
                    </w:rPr>
                    <w:t>A</w:t>
                  </w:r>
                  <w:r>
                    <w:rPr>
                      <w:rFonts w:hint="eastAsia" w:cs="Times New Roman"/>
                      <w:b w:val="0"/>
                      <w:bCs/>
                      <w:sz w:val="21"/>
                      <w:szCs w:val="21"/>
                      <w:lang w:eastAsia="zh-CN"/>
                    </w:rPr>
                    <w:t>）</w:t>
                  </w:r>
                </w:p>
              </w:tc>
              <w:tc>
                <w:tcPr>
                  <w:tcW w:w="964" w:type="dxa"/>
                  <w:gridSpan w:val="2"/>
                  <w:tcBorders>
                    <w:tl2br w:val="nil"/>
                    <w:tr2bl w:val="nil"/>
                  </w:tcBorders>
                  <w:shd w:val="clear" w:color="auto" w:fill="auto"/>
                  <w:vAlign w:val="center"/>
                </w:tcPr>
                <w:p w14:paraId="0F296BD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sz w:val="21"/>
                      <w:szCs w:val="21"/>
                      <w:lang w:eastAsia="zh-CN"/>
                    </w:rPr>
                  </w:pPr>
                  <w:r>
                    <w:rPr>
                      <w:rFonts w:hint="default" w:ascii="Times New Roman" w:hAnsi="Times New Roman" w:eastAsia="宋体" w:cs="Times New Roman"/>
                      <w:b w:val="0"/>
                      <w:bCs/>
                      <w:sz w:val="21"/>
                      <w:szCs w:val="21"/>
                    </w:rPr>
                    <w:t>噪声现状值/dB</w:t>
                  </w:r>
                  <w:r>
                    <w:rPr>
                      <w:rFonts w:hint="eastAsia" w:cs="Times New Roman"/>
                      <w:b w:val="0"/>
                      <w:bCs/>
                      <w:sz w:val="21"/>
                      <w:szCs w:val="21"/>
                      <w:lang w:eastAsia="zh-CN"/>
                    </w:rPr>
                    <w:t>（</w:t>
                  </w:r>
                  <w:r>
                    <w:rPr>
                      <w:rFonts w:hint="default" w:ascii="Times New Roman" w:hAnsi="Times New Roman" w:eastAsia="宋体" w:cs="Times New Roman"/>
                      <w:b w:val="0"/>
                      <w:bCs/>
                      <w:sz w:val="21"/>
                      <w:szCs w:val="21"/>
                    </w:rPr>
                    <w:t>A</w:t>
                  </w:r>
                  <w:r>
                    <w:rPr>
                      <w:rFonts w:hint="eastAsia" w:cs="Times New Roman"/>
                      <w:b w:val="0"/>
                      <w:bCs/>
                      <w:sz w:val="21"/>
                      <w:szCs w:val="21"/>
                      <w:lang w:eastAsia="zh-CN"/>
                    </w:rPr>
                    <w:t>）</w:t>
                  </w:r>
                </w:p>
              </w:tc>
              <w:tc>
                <w:tcPr>
                  <w:tcW w:w="894" w:type="dxa"/>
                  <w:gridSpan w:val="2"/>
                  <w:tcBorders>
                    <w:tl2br w:val="nil"/>
                    <w:tr2bl w:val="nil"/>
                  </w:tcBorders>
                  <w:shd w:val="clear" w:color="auto" w:fill="auto"/>
                  <w:vAlign w:val="center"/>
                </w:tcPr>
                <w:p w14:paraId="76C92D2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sz w:val="21"/>
                      <w:szCs w:val="21"/>
                      <w:lang w:eastAsia="zh-CN"/>
                    </w:rPr>
                  </w:pPr>
                  <w:r>
                    <w:rPr>
                      <w:rFonts w:hint="default" w:ascii="Times New Roman" w:hAnsi="Times New Roman" w:eastAsia="宋体" w:cs="Times New Roman"/>
                      <w:b w:val="0"/>
                      <w:bCs/>
                      <w:sz w:val="21"/>
                      <w:szCs w:val="21"/>
                    </w:rPr>
                    <w:t>噪声标准/dB</w:t>
                  </w:r>
                  <w:r>
                    <w:rPr>
                      <w:rFonts w:hint="eastAsia" w:cs="Times New Roman"/>
                      <w:b w:val="0"/>
                      <w:bCs/>
                      <w:sz w:val="21"/>
                      <w:szCs w:val="21"/>
                      <w:lang w:eastAsia="zh-CN"/>
                    </w:rPr>
                    <w:t>（</w:t>
                  </w:r>
                  <w:r>
                    <w:rPr>
                      <w:rFonts w:hint="default" w:ascii="Times New Roman" w:hAnsi="Times New Roman" w:eastAsia="宋体" w:cs="Times New Roman"/>
                      <w:b w:val="0"/>
                      <w:bCs/>
                      <w:sz w:val="21"/>
                      <w:szCs w:val="21"/>
                    </w:rPr>
                    <w:t>A</w:t>
                  </w:r>
                  <w:r>
                    <w:rPr>
                      <w:rFonts w:hint="eastAsia" w:cs="Times New Roman"/>
                      <w:b w:val="0"/>
                      <w:bCs/>
                      <w:sz w:val="21"/>
                      <w:szCs w:val="21"/>
                      <w:lang w:eastAsia="zh-CN"/>
                    </w:rPr>
                    <w:t>）</w:t>
                  </w:r>
                </w:p>
              </w:tc>
              <w:tc>
                <w:tcPr>
                  <w:tcW w:w="992" w:type="dxa"/>
                  <w:gridSpan w:val="2"/>
                  <w:tcBorders>
                    <w:tl2br w:val="nil"/>
                    <w:tr2bl w:val="nil"/>
                  </w:tcBorders>
                  <w:shd w:val="clear" w:color="auto" w:fill="auto"/>
                  <w:vAlign w:val="center"/>
                </w:tcPr>
                <w:p w14:paraId="6C27DC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sz w:val="21"/>
                      <w:szCs w:val="21"/>
                      <w:lang w:eastAsia="zh-CN"/>
                    </w:rPr>
                  </w:pPr>
                  <w:r>
                    <w:rPr>
                      <w:rFonts w:hint="default" w:ascii="Times New Roman" w:hAnsi="Times New Roman" w:eastAsia="宋体" w:cs="Times New Roman"/>
                      <w:b w:val="0"/>
                      <w:bCs/>
                      <w:sz w:val="21"/>
                      <w:szCs w:val="21"/>
                    </w:rPr>
                    <w:t>噪声贡献值/dB</w:t>
                  </w:r>
                  <w:r>
                    <w:rPr>
                      <w:rFonts w:hint="eastAsia" w:cs="Times New Roman"/>
                      <w:b w:val="0"/>
                      <w:bCs/>
                      <w:sz w:val="21"/>
                      <w:szCs w:val="21"/>
                      <w:lang w:eastAsia="zh-CN"/>
                    </w:rPr>
                    <w:t>（</w:t>
                  </w:r>
                  <w:r>
                    <w:rPr>
                      <w:rFonts w:hint="default" w:ascii="Times New Roman" w:hAnsi="Times New Roman" w:eastAsia="宋体" w:cs="Times New Roman"/>
                      <w:b w:val="0"/>
                      <w:bCs/>
                      <w:sz w:val="21"/>
                      <w:szCs w:val="21"/>
                    </w:rPr>
                    <w:t>A</w:t>
                  </w:r>
                  <w:r>
                    <w:rPr>
                      <w:rFonts w:hint="eastAsia" w:cs="Times New Roman"/>
                      <w:b w:val="0"/>
                      <w:bCs/>
                      <w:sz w:val="21"/>
                      <w:szCs w:val="21"/>
                      <w:lang w:eastAsia="zh-CN"/>
                    </w:rPr>
                    <w:t>）</w:t>
                  </w:r>
                </w:p>
              </w:tc>
              <w:tc>
                <w:tcPr>
                  <w:tcW w:w="992" w:type="dxa"/>
                  <w:gridSpan w:val="2"/>
                  <w:tcBorders>
                    <w:tl2br w:val="nil"/>
                    <w:tr2bl w:val="nil"/>
                  </w:tcBorders>
                  <w:shd w:val="clear" w:color="auto" w:fill="auto"/>
                  <w:vAlign w:val="center"/>
                </w:tcPr>
                <w:p w14:paraId="3214478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sz w:val="21"/>
                      <w:szCs w:val="21"/>
                      <w:lang w:eastAsia="zh-CN"/>
                    </w:rPr>
                  </w:pPr>
                  <w:r>
                    <w:rPr>
                      <w:rFonts w:hint="default" w:ascii="Times New Roman" w:hAnsi="Times New Roman" w:eastAsia="宋体" w:cs="Times New Roman"/>
                      <w:b w:val="0"/>
                      <w:bCs/>
                      <w:sz w:val="21"/>
                      <w:szCs w:val="21"/>
                    </w:rPr>
                    <w:t>噪声预测值/dB</w:t>
                  </w:r>
                  <w:r>
                    <w:rPr>
                      <w:rFonts w:hint="eastAsia" w:cs="Times New Roman"/>
                      <w:b w:val="0"/>
                      <w:bCs/>
                      <w:sz w:val="21"/>
                      <w:szCs w:val="21"/>
                      <w:lang w:eastAsia="zh-CN"/>
                    </w:rPr>
                    <w:t>（</w:t>
                  </w:r>
                  <w:r>
                    <w:rPr>
                      <w:rFonts w:hint="default" w:ascii="Times New Roman" w:hAnsi="Times New Roman" w:eastAsia="宋体" w:cs="Times New Roman"/>
                      <w:b w:val="0"/>
                      <w:bCs/>
                      <w:sz w:val="21"/>
                      <w:szCs w:val="21"/>
                    </w:rPr>
                    <w:t>A</w:t>
                  </w:r>
                  <w:r>
                    <w:rPr>
                      <w:rFonts w:hint="eastAsia" w:cs="Times New Roman"/>
                      <w:b w:val="0"/>
                      <w:bCs/>
                      <w:sz w:val="21"/>
                      <w:szCs w:val="21"/>
                      <w:lang w:eastAsia="zh-CN"/>
                    </w:rPr>
                    <w:t>）</w:t>
                  </w:r>
                </w:p>
              </w:tc>
              <w:tc>
                <w:tcPr>
                  <w:tcW w:w="973" w:type="dxa"/>
                  <w:gridSpan w:val="2"/>
                  <w:tcBorders>
                    <w:tl2br w:val="nil"/>
                    <w:tr2bl w:val="nil"/>
                  </w:tcBorders>
                  <w:shd w:val="clear" w:color="auto" w:fill="auto"/>
                  <w:vAlign w:val="center"/>
                </w:tcPr>
                <w:p w14:paraId="199C821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sz w:val="21"/>
                      <w:szCs w:val="21"/>
                      <w:lang w:eastAsia="zh-CN"/>
                    </w:rPr>
                  </w:pPr>
                  <w:r>
                    <w:rPr>
                      <w:rFonts w:hint="default" w:ascii="Times New Roman" w:hAnsi="Times New Roman" w:eastAsia="宋体" w:cs="Times New Roman"/>
                      <w:b w:val="0"/>
                      <w:bCs/>
                      <w:sz w:val="21"/>
                      <w:szCs w:val="21"/>
                    </w:rPr>
                    <w:t>较现状增量/dB</w:t>
                  </w:r>
                  <w:r>
                    <w:rPr>
                      <w:rFonts w:hint="eastAsia" w:cs="Times New Roman"/>
                      <w:b w:val="0"/>
                      <w:bCs/>
                      <w:sz w:val="21"/>
                      <w:szCs w:val="21"/>
                      <w:lang w:eastAsia="zh-CN"/>
                    </w:rPr>
                    <w:t>（</w:t>
                  </w:r>
                  <w:r>
                    <w:rPr>
                      <w:rFonts w:hint="default" w:ascii="Times New Roman" w:hAnsi="Times New Roman" w:eastAsia="宋体" w:cs="Times New Roman"/>
                      <w:b w:val="0"/>
                      <w:bCs/>
                      <w:sz w:val="21"/>
                      <w:szCs w:val="21"/>
                    </w:rPr>
                    <w:t>A</w:t>
                  </w:r>
                  <w:r>
                    <w:rPr>
                      <w:rFonts w:hint="eastAsia" w:cs="Times New Roman"/>
                      <w:b w:val="0"/>
                      <w:bCs/>
                      <w:sz w:val="21"/>
                      <w:szCs w:val="21"/>
                      <w:lang w:eastAsia="zh-CN"/>
                    </w:rPr>
                    <w:t>）</w:t>
                  </w:r>
                </w:p>
              </w:tc>
              <w:tc>
                <w:tcPr>
                  <w:tcW w:w="900" w:type="dxa"/>
                  <w:gridSpan w:val="2"/>
                  <w:tcBorders>
                    <w:tl2br w:val="nil"/>
                    <w:tr2bl w:val="nil"/>
                  </w:tcBorders>
                  <w:shd w:val="clear" w:color="auto" w:fill="auto"/>
                  <w:vAlign w:val="center"/>
                </w:tcPr>
                <w:p w14:paraId="12BFF2D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超标和达标情况</w:t>
                  </w:r>
                </w:p>
              </w:tc>
            </w:tr>
            <w:tr w14:paraId="41A41B6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Merge w:val="continue"/>
                  <w:tcBorders>
                    <w:tl2br w:val="nil"/>
                    <w:tr2bl w:val="nil"/>
                  </w:tcBorders>
                  <w:shd w:val="clear" w:color="auto" w:fill="auto"/>
                  <w:vAlign w:val="center"/>
                </w:tcPr>
                <w:p w14:paraId="686D4D5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sz w:val="21"/>
                      <w:szCs w:val="21"/>
                    </w:rPr>
                  </w:pPr>
                </w:p>
              </w:tc>
              <w:tc>
                <w:tcPr>
                  <w:tcW w:w="1148" w:type="dxa"/>
                  <w:vMerge w:val="continue"/>
                  <w:tcBorders>
                    <w:tl2br w:val="nil"/>
                    <w:tr2bl w:val="nil"/>
                  </w:tcBorders>
                  <w:shd w:val="clear" w:color="auto" w:fill="auto"/>
                  <w:vAlign w:val="center"/>
                </w:tcPr>
                <w:p w14:paraId="5FBCBDB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sz w:val="21"/>
                      <w:szCs w:val="21"/>
                    </w:rPr>
                  </w:pPr>
                </w:p>
              </w:tc>
              <w:tc>
                <w:tcPr>
                  <w:tcW w:w="482" w:type="dxa"/>
                  <w:tcBorders>
                    <w:tl2br w:val="nil"/>
                    <w:tr2bl w:val="nil"/>
                  </w:tcBorders>
                  <w:shd w:val="clear" w:color="auto" w:fill="auto"/>
                  <w:vAlign w:val="center"/>
                </w:tcPr>
                <w:p w14:paraId="7B0D7D0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昼间</w:t>
                  </w:r>
                </w:p>
              </w:tc>
              <w:tc>
                <w:tcPr>
                  <w:tcW w:w="482" w:type="dxa"/>
                  <w:tcBorders>
                    <w:tl2br w:val="nil"/>
                    <w:tr2bl w:val="nil"/>
                  </w:tcBorders>
                  <w:shd w:val="clear" w:color="auto" w:fill="auto"/>
                  <w:vAlign w:val="center"/>
                </w:tcPr>
                <w:p w14:paraId="1E3F00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夜间</w:t>
                  </w:r>
                </w:p>
              </w:tc>
              <w:tc>
                <w:tcPr>
                  <w:tcW w:w="482" w:type="dxa"/>
                  <w:tcBorders>
                    <w:tl2br w:val="nil"/>
                    <w:tr2bl w:val="nil"/>
                  </w:tcBorders>
                  <w:shd w:val="clear" w:color="auto" w:fill="auto"/>
                  <w:vAlign w:val="center"/>
                </w:tcPr>
                <w:p w14:paraId="54F6EFB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昼间</w:t>
                  </w:r>
                </w:p>
              </w:tc>
              <w:tc>
                <w:tcPr>
                  <w:tcW w:w="482" w:type="dxa"/>
                  <w:tcBorders>
                    <w:tl2br w:val="nil"/>
                    <w:tr2bl w:val="nil"/>
                  </w:tcBorders>
                  <w:shd w:val="clear" w:color="auto" w:fill="auto"/>
                  <w:vAlign w:val="center"/>
                </w:tcPr>
                <w:p w14:paraId="51D1421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夜间</w:t>
                  </w:r>
                </w:p>
              </w:tc>
              <w:tc>
                <w:tcPr>
                  <w:tcW w:w="447" w:type="dxa"/>
                  <w:tcBorders>
                    <w:tl2br w:val="nil"/>
                    <w:tr2bl w:val="nil"/>
                  </w:tcBorders>
                  <w:shd w:val="clear" w:color="auto" w:fill="auto"/>
                  <w:vAlign w:val="center"/>
                </w:tcPr>
                <w:p w14:paraId="7231997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昼间</w:t>
                  </w:r>
                </w:p>
              </w:tc>
              <w:tc>
                <w:tcPr>
                  <w:tcW w:w="447" w:type="dxa"/>
                  <w:tcBorders>
                    <w:tl2br w:val="nil"/>
                    <w:tr2bl w:val="nil"/>
                  </w:tcBorders>
                  <w:shd w:val="clear" w:color="auto" w:fill="auto"/>
                  <w:vAlign w:val="center"/>
                </w:tcPr>
                <w:p w14:paraId="2CF76A4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夜间</w:t>
                  </w:r>
                </w:p>
              </w:tc>
              <w:tc>
                <w:tcPr>
                  <w:tcW w:w="496" w:type="dxa"/>
                  <w:tcBorders>
                    <w:tl2br w:val="nil"/>
                    <w:tr2bl w:val="nil"/>
                  </w:tcBorders>
                  <w:shd w:val="clear" w:color="auto" w:fill="auto"/>
                  <w:vAlign w:val="center"/>
                </w:tcPr>
                <w:p w14:paraId="750DF2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昼间</w:t>
                  </w:r>
                </w:p>
              </w:tc>
              <w:tc>
                <w:tcPr>
                  <w:tcW w:w="496" w:type="dxa"/>
                  <w:tcBorders>
                    <w:tl2br w:val="nil"/>
                    <w:tr2bl w:val="nil"/>
                  </w:tcBorders>
                  <w:shd w:val="clear" w:color="auto" w:fill="auto"/>
                  <w:vAlign w:val="center"/>
                </w:tcPr>
                <w:p w14:paraId="4D5AD4D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夜间</w:t>
                  </w:r>
                </w:p>
              </w:tc>
              <w:tc>
                <w:tcPr>
                  <w:tcW w:w="496" w:type="dxa"/>
                  <w:tcBorders>
                    <w:tl2br w:val="nil"/>
                    <w:tr2bl w:val="nil"/>
                  </w:tcBorders>
                  <w:shd w:val="clear" w:color="auto" w:fill="auto"/>
                  <w:vAlign w:val="center"/>
                </w:tcPr>
                <w:p w14:paraId="5D07FCA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昼间</w:t>
                  </w:r>
                </w:p>
              </w:tc>
              <w:tc>
                <w:tcPr>
                  <w:tcW w:w="496" w:type="dxa"/>
                  <w:tcBorders>
                    <w:tl2br w:val="nil"/>
                    <w:tr2bl w:val="nil"/>
                  </w:tcBorders>
                  <w:shd w:val="clear" w:color="auto" w:fill="auto"/>
                  <w:vAlign w:val="center"/>
                </w:tcPr>
                <w:p w14:paraId="7184839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夜间</w:t>
                  </w:r>
                </w:p>
              </w:tc>
              <w:tc>
                <w:tcPr>
                  <w:tcW w:w="487" w:type="dxa"/>
                  <w:tcBorders>
                    <w:tl2br w:val="nil"/>
                    <w:tr2bl w:val="nil"/>
                  </w:tcBorders>
                  <w:shd w:val="clear" w:color="auto" w:fill="auto"/>
                  <w:vAlign w:val="center"/>
                </w:tcPr>
                <w:p w14:paraId="64AB242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昼间</w:t>
                  </w:r>
                </w:p>
              </w:tc>
              <w:tc>
                <w:tcPr>
                  <w:tcW w:w="486" w:type="dxa"/>
                  <w:tcBorders>
                    <w:tl2br w:val="nil"/>
                    <w:tr2bl w:val="nil"/>
                  </w:tcBorders>
                  <w:shd w:val="clear" w:color="auto" w:fill="auto"/>
                  <w:vAlign w:val="center"/>
                </w:tcPr>
                <w:p w14:paraId="327B0C2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夜间</w:t>
                  </w:r>
                </w:p>
              </w:tc>
              <w:tc>
                <w:tcPr>
                  <w:tcW w:w="450" w:type="dxa"/>
                  <w:tcBorders>
                    <w:tl2br w:val="nil"/>
                    <w:tr2bl w:val="nil"/>
                  </w:tcBorders>
                  <w:shd w:val="clear" w:color="auto" w:fill="auto"/>
                  <w:vAlign w:val="center"/>
                </w:tcPr>
                <w:p w14:paraId="16EFED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昼间</w:t>
                  </w:r>
                </w:p>
              </w:tc>
              <w:tc>
                <w:tcPr>
                  <w:tcW w:w="450" w:type="dxa"/>
                  <w:tcBorders>
                    <w:tl2br w:val="nil"/>
                    <w:tr2bl w:val="nil"/>
                  </w:tcBorders>
                  <w:shd w:val="clear" w:color="auto" w:fill="auto"/>
                  <w:vAlign w:val="center"/>
                </w:tcPr>
                <w:p w14:paraId="4DF40EF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夜间</w:t>
                  </w:r>
                </w:p>
              </w:tc>
            </w:tr>
            <w:tr w14:paraId="2BEF41B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9" w:type="dxa"/>
                  <w:tcBorders>
                    <w:tl2br w:val="nil"/>
                    <w:tr2bl w:val="nil"/>
                  </w:tcBorders>
                  <w:shd w:val="clear" w:color="auto" w:fill="auto"/>
                  <w:vAlign w:val="center"/>
                </w:tcPr>
                <w:p w14:paraId="0BAA4D6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1</w:t>
                  </w:r>
                </w:p>
              </w:tc>
              <w:tc>
                <w:tcPr>
                  <w:tcW w:w="1148" w:type="dxa"/>
                  <w:tcBorders>
                    <w:tl2br w:val="nil"/>
                    <w:tr2bl w:val="nil"/>
                  </w:tcBorders>
                  <w:shd w:val="clear" w:color="auto" w:fill="auto"/>
                  <w:vAlign w:val="center"/>
                </w:tcPr>
                <w:p w14:paraId="10B18F9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兴旺家园小区</w:t>
                  </w:r>
                </w:p>
              </w:tc>
              <w:tc>
                <w:tcPr>
                  <w:tcW w:w="482" w:type="dxa"/>
                  <w:tcBorders>
                    <w:tl2br w:val="nil"/>
                    <w:tr2bl w:val="nil"/>
                  </w:tcBorders>
                  <w:shd w:val="clear" w:color="auto" w:fill="auto"/>
                  <w:vAlign w:val="center"/>
                </w:tcPr>
                <w:p w14:paraId="33C6791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48</w:t>
                  </w:r>
                </w:p>
              </w:tc>
              <w:tc>
                <w:tcPr>
                  <w:tcW w:w="482" w:type="dxa"/>
                  <w:tcBorders>
                    <w:tl2br w:val="nil"/>
                    <w:tr2bl w:val="nil"/>
                  </w:tcBorders>
                  <w:shd w:val="clear" w:color="auto" w:fill="auto"/>
                  <w:vAlign w:val="center"/>
                </w:tcPr>
                <w:p w14:paraId="5B811D8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sz w:val="21"/>
                      <w:szCs w:val="21"/>
                      <w:lang w:val="en-US" w:eastAsia="zh-CN"/>
                    </w:rPr>
                  </w:pPr>
                  <w:r>
                    <w:rPr>
                      <w:rFonts w:hint="eastAsia" w:cs="Times New Roman"/>
                      <w:b w:val="0"/>
                      <w:bCs/>
                      <w:sz w:val="21"/>
                      <w:szCs w:val="21"/>
                      <w:lang w:val="en-US" w:eastAsia="zh-CN"/>
                    </w:rPr>
                    <w:t>42</w:t>
                  </w:r>
                </w:p>
              </w:tc>
              <w:tc>
                <w:tcPr>
                  <w:tcW w:w="482" w:type="dxa"/>
                  <w:tcBorders>
                    <w:tl2br w:val="nil"/>
                    <w:tr2bl w:val="nil"/>
                  </w:tcBorders>
                  <w:shd w:val="clear" w:color="auto" w:fill="auto"/>
                  <w:vAlign w:val="center"/>
                </w:tcPr>
                <w:p w14:paraId="034559D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48</w:t>
                  </w:r>
                </w:p>
              </w:tc>
              <w:tc>
                <w:tcPr>
                  <w:tcW w:w="482" w:type="dxa"/>
                  <w:tcBorders>
                    <w:tl2br w:val="nil"/>
                    <w:tr2bl w:val="nil"/>
                  </w:tcBorders>
                  <w:shd w:val="clear" w:color="auto" w:fill="auto"/>
                  <w:vAlign w:val="center"/>
                </w:tcPr>
                <w:p w14:paraId="05D1D2F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sz w:val="21"/>
                      <w:szCs w:val="21"/>
                    </w:rPr>
                  </w:pPr>
                  <w:r>
                    <w:rPr>
                      <w:rFonts w:hint="eastAsia" w:cs="Times New Roman"/>
                      <w:b w:val="0"/>
                      <w:bCs/>
                      <w:sz w:val="21"/>
                      <w:szCs w:val="21"/>
                      <w:lang w:val="en-US" w:eastAsia="zh-CN"/>
                    </w:rPr>
                    <w:t>42</w:t>
                  </w:r>
                </w:p>
              </w:tc>
              <w:tc>
                <w:tcPr>
                  <w:tcW w:w="447" w:type="dxa"/>
                  <w:tcBorders>
                    <w:tl2br w:val="nil"/>
                    <w:tr2bl w:val="nil"/>
                  </w:tcBorders>
                  <w:shd w:val="clear" w:color="auto" w:fill="auto"/>
                  <w:vAlign w:val="center"/>
                </w:tcPr>
                <w:p w14:paraId="14B0406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sz w:val="21"/>
                      <w:szCs w:val="21"/>
                      <w:lang w:eastAsia="zh-CN"/>
                    </w:rPr>
                  </w:pPr>
                  <w:r>
                    <w:rPr>
                      <w:rFonts w:hint="default" w:ascii="Times New Roman" w:hAnsi="Times New Roman" w:eastAsia="宋体" w:cs="Times New Roman"/>
                      <w:b w:val="0"/>
                      <w:bCs/>
                      <w:sz w:val="21"/>
                      <w:szCs w:val="21"/>
                    </w:rPr>
                    <w:t>6</w:t>
                  </w:r>
                  <w:r>
                    <w:rPr>
                      <w:rFonts w:hint="eastAsia" w:cs="Times New Roman"/>
                      <w:b w:val="0"/>
                      <w:bCs/>
                      <w:sz w:val="21"/>
                      <w:szCs w:val="21"/>
                      <w:lang w:val="en-US" w:eastAsia="zh-CN"/>
                    </w:rPr>
                    <w:t>0</w:t>
                  </w:r>
                </w:p>
              </w:tc>
              <w:tc>
                <w:tcPr>
                  <w:tcW w:w="447" w:type="dxa"/>
                  <w:tcBorders>
                    <w:tl2br w:val="nil"/>
                    <w:tr2bl w:val="nil"/>
                  </w:tcBorders>
                  <w:shd w:val="clear" w:color="auto" w:fill="auto"/>
                  <w:vAlign w:val="center"/>
                </w:tcPr>
                <w:p w14:paraId="0543A3F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sz w:val="21"/>
                      <w:szCs w:val="21"/>
                      <w:lang w:eastAsia="zh-CN"/>
                    </w:rPr>
                  </w:pPr>
                  <w:r>
                    <w:rPr>
                      <w:rFonts w:hint="default" w:ascii="Times New Roman" w:hAnsi="Times New Roman" w:eastAsia="宋体" w:cs="Times New Roman"/>
                      <w:b w:val="0"/>
                      <w:bCs/>
                      <w:sz w:val="21"/>
                      <w:szCs w:val="21"/>
                    </w:rPr>
                    <w:t>5</w:t>
                  </w:r>
                  <w:r>
                    <w:rPr>
                      <w:rFonts w:hint="eastAsia" w:cs="Times New Roman"/>
                      <w:b w:val="0"/>
                      <w:bCs/>
                      <w:sz w:val="21"/>
                      <w:szCs w:val="21"/>
                      <w:lang w:val="en-US" w:eastAsia="zh-CN"/>
                    </w:rPr>
                    <w:t>0</w:t>
                  </w:r>
                </w:p>
              </w:tc>
              <w:tc>
                <w:tcPr>
                  <w:tcW w:w="496" w:type="dxa"/>
                  <w:tcBorders>
                    <w:tl2br w:val="nil"/>
                    <w:tr2bl w:val="nil"/>
                  </w:tcBorders>
                  <w:shd w:val="clear" w:color="auto" w:fill="auto"/>
                  <w:vAlign w:val="center"/>
                </w:tcPr>
                <w:p w14:paraId="3CD9E6F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sz w:val="21"/>
                      <w:szCs w:val="21"/>
                      <w:highlight w:val="yellow"/>
                    </w:rPr>
                  </w:pPr>
                  <w:r>
                    <w:rPr>
                      <w:rFonts w:hint="default" w:ascii="Times New Roman" w:hAnsi="Times New Roman" w:eastAsia="Arial" w:cs="Times New Roman"/>
                      <w:sz w:val="20"/>
                    </w:rPr>
                    <w:t>27.6</w:t>
                  </w:r>
                </w:p>
              </w:tc>
              <w:tc>
                <w:tcPr>
                  <w:tcW w:w="496" w:type="dxa"/>
                  <w:tcBorders>
                    <w:tl2br w:val="nil"/>
                    <w:tr2bl w:val="nil"/>
                  </w:tcBorders>
                  <w:shd w:val="clear" w:color="auto" w:fill="auto"/>
                  <w:vAlign w:val="center"/>
                </w:tcPr>
                <w:p w14:paraId="521F7F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sz w:val="21"/>
                      <w:szCs w:val="21"/>
                      <w:highlight w:val="yellow"/>
                    </w:rPr>
                  </w:pPr>
                  <w:r>
                    <w:rPr>
                      <w:rFonts w:hint="default" w:ascii="Times New Roman" w:hAnsi="Times New Roman" w:eastAsia="Arial" w:cs="Times New Roman"/>
                      <w:sz w:val="20"/>
                    </w:rPr>
                    <w:t>27.6</w:t>
                  </w:r>
                </w:p>
              </w:tc>
              <w:tc>
                <w:tcPr>
                  <w:tcW w:w="496" w:type="dxa"/>
                  <w:tcBorders>
                    <w:tl2br w:val="nil"/>
                    <w:tr2bl w:val="nil"/>
                  </w:tcBorders>
                  <w:shd w:val="clear" w:color="auto" w:fill="auto"/>
                  <w:vAlign w:val="center"/>
                </w:tcPr>
                <w:p w14:paraId="6056450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sz w:val="21"/>
                      <w:szCs w:val="21"/>
                      <w:highlight w:val="yellow"/>
                    </w:rPr>
                  </w:pPr>
                  <w:r>
                    <w:rPr>
                      <w:rFonts w:hint="default" w:ascii="Times New Roman" w:hAnsi="Times New Roman" w:eastAsia="Arial" w:cs="Times New Roman"/>
                      <w:sz w:val="20"/>
                    </w:rPr>
                    <w:t>48.0</w:t>
                  </w:r>
                </w:p>
              </w:tc>
              <w:tc>
                <w:tcPr>
                  <w:tcW w:w="496" w:type="dxa"/>
                  <w:tcBorders>
                    <w:tl2br w:val="nil"/>
                    <w:tr2bl w:val="nil"/>
                  </w:tcBorders>
                  <w:shd w:val="clear" w:color="auto" w:fill="auto"/>
                  <w:vAlign w:val="center"/>
                </w:tcPr>
                <w:p w14:paraId="1F4680D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sz w:val="21"/>
                      <w:szCs w:val="21"/>
                      <w:highlight w:val="yellow"/>
                    </w:rPr>
                  </w:pPr>
                  <w:r>
                    <w:rPr>
                      <w:rFonts w:hint="default" w:ascii="Times New Roman" w:hAnsi="Times New Roman" w:eastAsia="Arial" w:cs="Times New Roman"/>
                      <w:sz w:val="20"/>
                    </w:rPr>
                    <w:t>43.1</w:t>
                  </w:r>
                </w:p>
              </w:tc>
              <w:tc>
                <w:tcPr>
                  <w:tcW w:w="487" w:type="dxa"/>
                  <w:tcBorders>
                    <w:tl2br w:val="nil"/>
                    <w:tr2bl w:val="nil"/>
                  </w:tcBorders>
                  <w:shd w:val="clear" w:color="auto" w:fill="auto"/>
                  <w:vAlign w:val="center"/>
                </w:tcPr>
                <w:p w14:paraId="3309E33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sz w:val="21"/>
                      <w:szCs w:val="21"/>
                      <w:highlight w:val="yellow"/>
                    </w:rPr>
                  </w:pPr>
                  <w:r>
                    <w:rPr>
                      <w:rFonts w:hint="default" w:ascii="Times New Roman" w:hAnsi="Times New Roman" w:eastAsia="Arial" w:cs="Times New Roman"/>
                      <w:sz w:val="20"/>
                    </w:rPr>
                    <w:t>0.0</w:t>
                  </w:r>
                </w:p>
              </w:tc>
              <w:tc>
                <w:tcPr>
                  <w:tcW w:w="486" w:type="dxa"/>
                  <w:tcBorders>
                    <w:tl2br w:val="nil"/>
                    <w:tr2bl w:val="nil"/>
                  </w:tcBorders>
                  <w:shd w:val="clear" w:color="auto" w:fill="auto"/>
                  <w:vAlign w:val="center"/>
                </w:tcPr>
                <w:p w14:paraId="7C17627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sz w:val="21"/>
                      <w:szCs w:val="21"/>
                      <w:highlight w:val="yellow"/>
                    </w:rPr>
                  </w:pPr>
                  <w:r>
                    <w:rPr>
                      <w:rFonts w:hint="default" w:ascii="Times New Roman" w:hAnsi="Times New Roman" w:eastAsia="Arial" w:cs="Times New Roman"/>
                      <w:sz w:val="20"/>
                    </w:rPr>
                    <w:t>0.1</w:t>
                  </w:r>
                </w:p>
              </w:tc>
              <w:tc>
                <w:tcPr>
                  <w:tcW w:w="450" w:type="dxa"/>
                  <w:tcBorders>
                    <w:tl2br w:val="nil"/>
                    <w:tr2bl w:val="nil"/>
                  </w:tcBorders>
                  <w:shd w:val="clear" w:color="auto" w:fill="auto"/>
                  <w:vAlign w:val="center"/>
                </w:tcPr>
                <w:p w14:paraId="4E130C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达标</w:t>
                  </w:r>
                </w:p>
              </w:tc>
              <w:tc>
                <w:tcPr>
                  <w:tcW w:w="450" w:type="dxa"/>
                  <w:tcBorders>
                    <w:tl2br w:val="nil"/>
                    <w:tr2bl w:val="nil"/>
                  </w:tcBorders>
                  <w:shd w:val="clear" w:color="auto" w:fill="auto"/>
                  <w:vAlign w:val="center"/>
                </w:tcPr>
                <w:p w14:paraId="3E06DE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达标</w:t>
                  </w:r>
                </w:p>
              </w:tc>
            </w:tr>
          </w:tbl>
          <w:p w14:paraId="4388ECF8">
            <w:pPr>
              <w:pStyle w:val="1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480" w:firstLineChars="200"/>
              <w:textAlignment w:val="auto"/>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sz w:val="24"/>
                <w:szCs w:val="24"/>
                <w:lang w:val="en-US" w:eastAsia="zh-CN"/>
              </w:rPr>
              <w:t>由上表可知</w:t>
            </w:r>
            <w:r>
              <w:rPr>
                <w:rFonts w:hint="eastAsia" w:ascii="Times New Roman" w:hAnsi="Times New Roman" w:eastAsia="宋体" w:cs="Times New Roman"/>
                <w:color w:val="000000"/>
                <w:sz w:val="24"/>
                <w:szCs w:val="24"/>
                <w:lang w:val="en-US" w:eastAsia="zh-CN"/>
              </w:rPr>
              <w:t>，</w:t>
            </w:r>
            <w:r>
              <w:rPr>
                <w:rFonts w:hint="default" w:ascii="Times New Roman" w:hAnsi="Times New Roman" w:eastAsia="宋体" w:cs="Times New Roman"/>
                <w:color w:val="000000"/>
                <w:sz w:val="24"/>
                <w:szCs w:val="24"/>
                <w:lang w:val="en-US" w:eastAsia="zh-CN"/>
              </w:rPr>
              <w:t>正常工况下，项目声环境保护目标噪声满足</w:t>
            </w:r>
            <w:r>
              <w:rPr>
                <w:rFonts w:hint="default" w:ascii="Times New Roman" w:hAnsi="Times New Roman" w:eastAsia="宋体" w:cs="Times New Roman"/>
                <w:color w:val="302116"/>
                <w:sz w:val="24"/>
                <w:szCs w:val="24"/>
                <w:lang w:eastAsia="zh-CN"/>
              </w:rPr>
              <w:t>《声环境质量标准》</w:t>
            </w:r>
            <w:r>
              <w:rPr>
                <w:rFonts w:hint="eastAsia" w:cs="Times New Roman"/>
                <w:color w:val="302116"/>
                <w:sz w:val="24"/>
                <w:szCs w:val="24"/>
                <w:lang w:eastAsia="zh-CN"/>
              </w:rPr>
              <w:t>（</w:t>
            </w:r>
            <w:r>
              <w:rPr>
                <w:rFonts w:hint="default" w:ascii="Times New Roman" w:hAnsi="Times New Roman" w:eastAsia="宋体" w:cs="Times New Roman"/>
                <w:color w:val="302116"/>
                <w:sz w:val="24"/>
                <w:szCs w:val="24"/>
                <w:lang w:eastAsia="zh-CN"/>
              </w:rPr>
              <w:t>GB3096-2008</w:t>
            </w:r>
            <w:r>
              <w:rPr>
                <w:rFonts w:hint="eastAsia" w:cs="Times New Roman"/>
                <w:color w:val="302116"/>
                <w:sz w:val="24"/>
                <w:szCs w:val="24"/>
                <w:lang w:eastAsia="zh-CN"/>
              </w:rPr>
              <w:t>）</w:t>
            </w:r>
            <w:r>
              <w:rPr>
                <w:rFonts w:hint="eastAsia" w:ascii="Times New Roman" w:hAnsi="Times New Roman" w:eastAsia="宋体" w:cs="Times New Roman"/>
                <w:color w:val="302116"/>
                <w:sz w:val="24"/>
                <w:szCs w:val="24"/>
                <w:lang w:val="en-US" w:eastAsia="zh-CN"/>
              </w:rPr>
              <w:t>2</w:t>
            </w:r>
            <w:r>
              <w:rPr>
                <w:rFonts w:hint="default" w:ascii="Times New Roman" w:hAnsi="Times New Roman" w:eastAsia="宋体" w:cs="Times New Roman"/>
                <w:color w:val="302116"/>
                <w:sz w:val="24"/>
                <w:szCs w:val="24"/>
                <w:lang w:eastAsia="zh-CN"/>
              </w:rPr>
              <w:t>类标准</w:t>
            </w:r>
            <w:r>
              <w:rPr>
                <w:rFonts w:hint="default" w:ascii="Times New Roman" w:hAnsi="Times New Roman" w:eastAsia="宋体" w:cs="Times New Roman"/>
                <w:color w:val="000000"/>
                <w:sz w:val="24"/>
                <w:szCs w:val="24"/>
                <w:lang w:val="en-US" w:eastAsia="zh-CN"/>
              </w:rPr>
              <w:t>。</w:t>
            </w:r>
          </w:p>
          <w:p w14:paraId="46068541">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outlineLvl w:val="9"/>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3.</w:t>
            </w:r>
            <w:r>
              <w:rPr>
                <w:rFonts w:hint="eastAsia" w:cs="Times New Roman"/>
                <w:b/>
                <w:bCs/>
                <w:color w:val="000000" w:themeColor="text1"/>
                <w:sz w:val="24"/>
                <w:szCs w:val="24"/>
                <w:highlight w:val="none"/>
                <w:lang w:val="en-US" w:eastAsia="zh-CN"/>
                <w14:textFill>
                  <w14:solidFill>
                    <w14:schemeClr w14:val="tx1"/>
                  </w14:solidFill>
                </w14:textFill>
              </w:rPr>
              <w:t>5</w:t>
            </w: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自行监测计划</w:t>
            </w:r>
          </w:p>
          <w:p w14:paraId="75CEE7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Style w:val="64"/>
                <w:rFonts w:hint="eastAsia" w:ascii="Times New Roman" w:hAnsi="Times New Roman" w:eastAsia="宋体" w:cs="Times New Roman"/>
                <w:bCs/>
                <w:color w:val="000000" w:themeColor="text1"/>
                <w:sz w:val="24"/>
                <w:szCs w:val="24"/>
                <w:highlight w:val="none"/>
                <w:lang w:val="en-US" w:eastAsia="zh-CN"/>
                <w14:textFill>
                  <w14:solidFill>
                    <w14:schemeClr w14:val="tx1"/>
                  </w14:solidFill>
                </w14:textFill>
              </w:rPr>
            </w:pPr>
            <w:r>
              <w:rPr>
                <w:rStyle w:val="64"/>
                <w:rFonts w:hint="eastAsia" w:ascii="Times New Roman" w:hAnsi="Times New Roman" w:eastAsia="宋体" w:cs="Times New Roman"/>
                <w:bCs/>
                <w:color w:val="000000" w:themeColor="text1"/>
                <w:sz w:val="24"/>
                <w:szCs w:val="24"/>
                <w:highlight w:val="none"/>
                <w:lang w:val="en-US" w:eastAsia="zh-CN"/>
                <w14:textFill>
                  <w14:solidFill>
                    <w14:schemeClr w14:val="tx1"/>
                  </w14:solidFill>
                </w14:textFill>
              </w:rPr>
              <w:t>根据</w:t>
            </w:r>
            <w:r>
              <w:rPr>
                <w:rStyle w:val="64"/>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《排污单位自行监测技术指南 总则》（HJ 819-2017）要求制定自行监测计划</w:t>
            </w:r>
            <w:r>
              <w:rPr>
                <w:rStyle w:val="64"/>
                <w:rFonts w:hint="eastAsia" w:ascii="Times New Roman" w:hAnsi="Times New Roman" w:eastAsia="宋体" w:cs="Times New Roman"/>
                <w:bCs/>
                <w:color w:val="000000" w:themeColor="text1"/>
                <w:sz w:val="24"/>
                <w:szCs w:val="24"/>
                <w:highlight w:val="none"/>
                <w:lang w:val="en-US" w:eastAsia="zh-CN"/>
                <w14:textFill>
                  <w14:solidFill>
                    <w14:schemeClr w14:val="tx1"/>
                  </w14:solidFill>
                </w14:textFill>
              </w:rPr>
              <w:t>，本项目噪声污染源监测计划见下表。</w:t>
            </w:r>
          </w:p>
          <w:p w14:paraId="069D9B3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422" w:firstLineChars="200"/>
              <w:jc w:val="both"/>
              <w:textAlignment w:val="auto"/>
              <w:rPr>
                <w:rFonts w:hint="eastAsia" w:ascii="宋体" w:hAnsi="宋体" w:eastAsia="宋体" w:cs="宋体"/>
                <w:b/>
                <w:bCs w:val="0"/>
                <w:color w:val="000000" w:themeColor="text1"/>
                <w:kern w:val="24"/>
                <w:sz w:val="21"/>
                <w:szCs w:val="21"/>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24"/>
                <w:sz w:val="21"/>
                <w:szCs w:val="21"/>
                <w:highlight w:val="none"/>
                <w:lang w:val="en-US" w:eastAsia="zh-CN" w:bidi="ar-SA"/>
                <w14:textFill>
                  <w14:solidFill>
                    <w14:schemeClr w14:val="tx1"/>
                  </w14:solidFill>
                </w14:textFill>
              </w:rPr>
              <w:t>表</w:t>
            </w:r>
            <w:r>
              <w:rPr>
                <w:rFonts w:hint="eastAsia" w:cs="Times New Roman"/>
                <w:b/>
                <w:bCs w:val="0"/>
                <w:color w:val="000000" w:themeColor="text1"/>
                <w:kern w:val="24"/>
                <w:sz w:val="21"/>
                <w:szCs w:val="21"/>
                <w:highlight w:val="none"/>
                <w:lang w:val="en-US" w:eastAsia="zh-CN" w:bidi="ar-SA"/>
                <w14:textFill>
                  <w14:solidFill>
                    <w14:schemeClr w14:val="tx1"/>
                  </w14:solidFill>
                </w14:textFill>
              </w:rPr>
              <w:t>4-8</w:t>
            </w:r>
            <w:r>
              <w:rPr>
                <w:rFonts w:hint="default" w:ascii="Times New Roman" w:hAnsi="Times New Roman" w:eastAsia="宋体" w:cs="Times New Roman"/>
                <w:b/>
                <w:bCs w:val="0"/>
                <w:color w:val="000000" w:themeColor="text1"/>
                <w:kern w:val="24"/>
                <w:sz w:val="21"/>
                <w:szCs w:val="21"/>
                <w:highlight w:val="none"/>
                <w:lang w:val="en-US" w:eastAsia="zh-CN" w:bidi="ar-SA"/>
                <w14:textFill>
                  <w14:solidFill>
                    <w14:schemeClr w14:val="tx1"/>
                  </w14:solidFill>
                </w14:textFill>
              </w:rPr>
              <w:t xml:space="preserve"> </w:t>
            </w:r>
            <w:r>
              <w:rPr>
                <w:rFonts w:hint="eastAsia" w:ascii="宋体" w:hAnsi="宋体" w:eastAsia="宋体" w:cs="宋体"/>
                <w:b/>
                <w:bCs w:val="0"/>
                <w:color w:val="000000" w:themeColor="text1"/>
                <w:kern w:val="24"/>
                <w:sz w:val="21"/>
                <w:szCs w:val="21"/>
                <w:highlight w:val="none"/>
                <w:lang w:val="en-US" w:eastAsia="zh-CN" w:bidi="ar-SA"/>
                <w14:textFill>
                  <w14:solidFill>
                    <w14:schemeClr w14:val="tx1"/>
                  </w14:solidFill>
                </w14:textFill>
              </w:rPr>
              <w:t xml:space="preserve">                   声环境监测计划</w:t>
            </w:r>
          </w:p>
          <w:tbl>
            <w:tblPr>
              <w:tblStyle w:val="31"/>
              <w:tblW w:w="4929"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281"/>
              <w:gridCol w:w="1094"/>
              <w:gridCol w:w="1348"/>
              <w:gridCol w:w="946"/>
              <w:gridCol w:w="4344"/>
            </w:tblGrid>
            <w:tr w14:paraId="194E8B5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74" w:type="pct"/>
                  <w:tcBorders>
                    <w:tl2br w:val="nil"/>
                    <w:tr2bl w:val="nil"/>
                  </w:tcBorders>
                  <w:noWrap w:val="0"/>
                  <w:vAlign w:val="center"/>
                </w:tcPr>
                <w:p w14:paraId="336782A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cs="Times New Roman"/>
                      <w:color w:val="000000" w:themeColor="text1"/>
                      <w:sz w:val="21"/>
                      <w:highlight w:val="none"/>
                      <w:lang w:eastAsia="zh-CN"/>
                      <w14:textFill>
                        <w14:solidFill>
                          <w14:schemeClr w14:val="tx1"/>
                        </w14:solidFill>
                      </w14:textFill>
                    </w:rPr>
                  </w:pPr>
                  <w:r>
                    <w:rPr>
                      <w:rFonts w:hint="eastAsia" w:ascii="Times New Roman" w:hAnsi="Times New Roman" w:cs="Times New Roman"/>
                      <w:color w:val="000000" w:themeColor="text1"/>
                      <w:sz w:val="21"/>
                      <w:highlight w:val="none"/>
                      <w:lang w:eastAsia="zh-CN"/>
                      <w14:textFill>
                        <w14:solidFill>
                          <w14:schemeClr w14:val="tx1"/>
                        </w14:solidFill>
                      </w14:textFill>
                    </w:rPr>
                    <w:t>项目</w:t>
                  </w:r>
                </w:p>
              </w:tc>
              <w:tc>
                <w:tcPr>
                  <w:tcW w:w="682" w:type="pct"/>
                  <w:tcBorders>
                    <w:tl2br w:val="nil"/>
                    <w:tr2bl w:val="nil"/>
                  </w:tcBorders>
                  <w:noWrap w:val="0"/>
                  <w:vAlign w:val="center"/>
                </w:tcPr>
                <w:p w14:paraId="56FFBE7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cs="Times New Roman"/>
                      <w:color w:val="000000" w:themeColor="text1"/>
                      <w:sz w:val="21"/>
                      <w:highlight w:val="none"/>
                      <w:lang w:eastAsia="zh-CN"/>
                      <w14:textFill>
                        <w14:solidFill>
                          <w14:schemeClr w14:val="tx1"/>
                        </w14:solidFill>
                      </w14:textFill>
                    </w:rPr>
                  </w:pPr>
                  <w:r>
                    <w:rPr>
                      <w:rFonts w:hint="eastAsia" w:ascii="Times New Roman" w:hAnsi="Times New Roman" w:cs="Times New Roman"/>
                      <w:color w:val="000000" w:themeColor="text1"/>
                      <w:sz w:val="21"/>
                      <w:highlight w:val="none"/>
                      <w:lang w:eastAsia="zh-CN"/>
                      <w14:textFill>
                        <w14:solidFill>
                          <w14:schemeClr w14:val="tx1"/>
                        </w14:solidFill>
                      </w14:textFill>
                    </w:rPr>
                    <w:t>监测点位</w:t>
                  </w:r>
                </w:p>
              </w:tc>
              <w:tc>
                <w:tcPr>
                  <w:tcW w:w="841" w:type="pct"/>
                  <w:tcBorders>
                    <w:tl2br w:val="nil"/>
                    <w:tr2bl w:val="nil"/>
                  </w:tcBorders>
                  <w:noWrap w:val="0"/>
                  <w:vAlign w:val="center"/>
                </w:tcPr>
                <w:p w14:paraId="69FA4AF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cs="Times New Roman"/>
                      <w:color w:val="000000" w:themeColor="text1"/>
                      <w:sz w:val="21"/>
                      <w:highlight w:val="none"/>
                      <w14:textFill>
                        <w14:solidFill>
                          <w14:schemeClr w14:val="tx1"/>
                        </w14:solidFill>
                      </w14:textFill>
                    </w:rPr>
                  </w:pPr>
                  <w:r>
                    <w:rPr>
                      <w:rFonts w:hint="eastAsia" w:ascii="Times New Roman" w:hAnsi="Times New Roman" w:cs="Times New Roman"/>
                      <w:color w:val="000000" w:themeColor="text1"/>
                      <w:sz w:val="21"/>
                      <w:highlight w:val="none"/>
                      <w14:textFill>
                        <w14:solidFill>
                          <w14:schemeClr w14:val="tx1"/>
                        </w14:solidFill>
                      </w14:textFill>
                    </w:rPr>
                    <w:t>监测项目</w:t>
                  </w:r>
                </w:p>
              </w:tc>
              <w:tc>
                <w:tcPr>
                  <w:tcW w:w="589" w:type="pct"/>
                  <w:tcBorders>
                    <w:tl2br w:val="nil"/>
                    <w:tr2bl w:val="nil"/>
                  </w:tcBorders>
                  <w:noWrap w:val="0"/>
                  <w:vAlign w:val="center"/>
                </w:tcPr>
                <w:p w14:paraId="1E988F7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cs="Times New Roman"/>
                      <w:color w:val="000000" w:themeColor="text1"/>
                      <w:sz w:val="21"/>
                      <w:highlight w:val="none"/>
                      <w14:textFill>
                        <w14:solidFill>
                          <w14:schemeClr w14:val="tx1"/>
                        </w14:solidFill>
                      </w14:textFill>
                    </w:rPr>
                  </w:pPr>
                  <w:r>
                    <w:rPr>
                      <w:rFonts w:hint="eastAsia" w:ascii="Times New Roman" w:hAnsi="Times New Roman" w:cs="Times New Roman"/>
                      <w:color w:val="000000" w:themeColor="text1"/>
                      <w:sz w:val="21"/>
                      <w:highlight w:val="none"/>
                      <w14:textFill>
                        <w14:solidFill>
                          <w14:schemeClr w14:val="tx1"/>
                        </w14:solidFill>
                      </w14:textFill>
                    </w:rPr>
                    <w:t>监测频率</w:t>
                  </w:r>
                </w:p>
              </w:tc>
              <w:tc>
                <w:tcPr>
                  <w:tcW w:w="2711" w:type="pct"/>
                  <w:tcBorders>
                    <w:tl2br w:val="nil"/>
                    <w:tr2bl w:val="nil"/>
                  </w:tcBorders>
                  <w:noWrap w:val="0"/>
                  <w:vAlign w:val="center"/>
                </w:tcPr>
                <w:p w14:paraId="2673CB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cs="Times New Roman"/>
                      <w:color w:val="000000" w:themeColor="text1"/>
                      <w:sz w:val="21"/>
                      <w:highlight w:val="none"/>
                      <w14:textFill>
                        <w14:solidFill>
                          <w14:schemeClr w14:val="tx1"/>
                        </w14:solidFill>
                      </w14:textFill>
                    </w:rPr>
                  </w:pPr>
                  <w:r>
                    <w:rPr>
                      <w:rFonts w:hint="eastAsia" w:ascii="Times New Roman" w:hAnsi="Times New Roman" w:cs="Times New Roman"/>
                      <w:color w:val="000000" w:themeColor="text1"/>
                      <w:sz w:val="21"/>
                      <w:highlight w:val="none"/>
                      <w14:textFill>
                        <w14:solidFill>
                          <w14:schemeClr w14:val="tx1"/>
                        </w14:solidFill>
                      </w14:textFill>
                    </w:rPr>
                    <w:t>排放标准</w:t>
                  </w:r>
                </w:p>
              </w:tc>
            </w:tr>
            <w:tr w14:paraId="3BE4E05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174" w:type="pct"/>
                  <w:tcBorders>
                    <w:tl2br w:val="nil"/>
                    <w:tr2bl w:val="nil"/>
                  </w:tcBorders>
                  <w:noWrap w:val="0"/>
                  <w:vAlign w:val="center"/>
                </w:tcPr>
                <w:p w14:paraId="7F4BF2A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cs="Times New Roman"/>
                      <w:color w:val="000000" w:themeColor="text1"/>
                      <w:sz w:val="21"/>
                      <w:highlight w:val="none"/>
                      <w:lang w:eastAsia="zh-CN"/>
                      <w14:textFill>
                        <w14:solidFill>
                          <w14:schemeClr w14:val="tx1"/>
                        </w14:solidFill>
                      </w14:textFill>
                    </w:rPr>
                  </w:pPr>
                  <w:r>
                    <w:rPr>
                      <w:rFonts w:hint="eastAsia" w:ascii="Times New Roman" w:hAnsi="Times New Roman" w:cs="Times New Roman"/>
                      <w:color w:val="000000" w:themeColor="text1"/>
                      <w:sz w:val="21"/>
                      <w:highlight w:val="none"/>
                      <w:lang w:eastAsia="zh-CN"/>
                      <w14:textFill>
                        <w14:solidFill>
                          <w14:schemeClr w14:val="tx1"/>
                        </w14:solidFill>
                      </w14:textFill>
                    </w:rPr>
                    <w:t>噪声</w:t>
                  </w:r>
                </w:p>
              </w:tc>
              <w:tc>
                <w:tcPr>
                  <w:tcW w:w="682" w:type="pct"/>
                  <w:tcBorders>
                    <w:tl2br w:val="nil"/>
                    <w:tr2bl w:val="nil"/>
                  </w:tcBorders>
                  <w:noWrap w:val="0"/>
                  <w:vAlign w:val="center"/>
                </w:tcPr>
                <w:p w14:paraId="208A5A7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cs="Times New Roman"/>
                      <w:color w:val="000000" w:themeColor="text1"/>
                      <w:sz w:val="21"/>
                      <w:highlight w:val="none"/>
                      <w:lang w:eastAsia="zh-CN"/>
                      <w14:textFill>
                        <w14:solidFill>
                          <w14:schemeClr w14:val="tx1"/>
                        </w14:solidFill>
                      </w14:textFill>
                    </w:rPr>
                  </w:pPr>
                  <w:r>
                    <w:rPr>
                      <w:rFonts w:hint="eastAsia" w:ascii="Times New Roman" w:hAnsi="Times New Roman" w:cs="Times New Roman"/>
                      <w:color w:val="000000" w:themeColor="text1"/>
                      <w:sz w:val="21"/>
                      <w:highlight w:val="none"/>
                      <w:lang w:eastAsia="zh-CN"/>
                      <w14:textFill>
                        <w14:solidFill>
                          <w14:schemeClr w14:val="tx1"/>
                        </w14:solidFill>
                      </w14:textFill>
                    </w:rPr>
                    <w:t>厂界外1m处</w:t>
                  </w:r>
                </w:p>
              </w:tc>
              <w:tc>
                <w:tcPr>
                  <w:tcW w:w="841" w:type="pct"/>
                  <w:tcBorders>
                    <w:tl2br w:val="nil"/>
                    <w:tr2bl w:val="nil"/>
                  </w:tcBorders>
                  <w:noWrap w:val="0"/>
                  <w:vAlign w:val="center"/>
                </w:tcPr>
                <w:p w14:paraId="2CE04B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cs="Times New Roman"/>
                      <w:color w:val="000000" w:themeColor="text1"/>
                      <w:sz w:val="21"/>
                      <w:highlight w:val="none"/>
                      <w14:textFill>
                        <w14:solidFill>
                          <w14:schemeClr w14:val="tx1"/>
                        </w14:solidFill>
                      </w14:textFill>
                    </w:rPr>
                  </w:pPr>
                  <w:r>
                    <w:rPr>
                      <w:rFonts w:hint="eastAsia" w:ascii="Times New Roman" w:hAnsi="Times New Roman" w:cs="Times New Roman"/>
                      <w:color w:val="000000" w:themeColor="text1"/>
                      <w:sz w:val="21"/>
                      <w:highlight w:val="none"/>
                      <w14:textFill>
                        <w14:solidFill>
                          <w14:schemeClr w14:val="tx1"/>
                        </w14:solidFill>
                      </w14:textFill>
                    </w:rPr>
                    <w:t>等效连续A声级</w:t>
                  </w:r>
                </w:p>
              </w:tc>
              <w:tc>
                <w:tcPr>
                  <w:tcW w:w="589" w:type="pct"/>
                  <w:tcBorders>
                    <w:tl2br w:val="nil"/>
                    <w:tr2bl w:val="nil"/>
                  </w:tcBorders>
                  <w:noWrap w:val="0"/>
                  <w:vAlign w:val="center"/>
                </w:tcPr>
                <w:p w14:paraId="77AAA47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cs="Times New Roman"/>
                      <w:color w:val="000000" w:themeColor="text1"/>
                      <w:sz w:val="21"/>
                      <w:highlight w:val="none"/>
                      <w14:textFill>
                        <w14:solidFill>
                          <w14:schemeClr w14:val="tx1"/>
                        </w14:solidFill>
                      </w14:textFill>
                    </w:rPr>
                  </w:pPr>
                  <w:r>
                    <w:rPr>
                      <w:rFonts w:hint="eastAsia" w:ascii="Times New Roman" w:hAnsi="Times New Roman" w:cs="Times New Roman"/>
                      <w:color w:val="000000" w:themeColor="text1"/>
                      <w:sz w:val="21"/>
                      <w:highlight w:val="none"/>
                      <w14:textFill>
                        <w14:solidFill>
                          <w14:schemeClr w14:val="tx1"/>
                        </w14:solidFill>
                      </w14:textFill>
                    </w:rPr>
                    <w:t>每</w:t>
                  </w:r>
                  <w:r>
                    <w:rPr>
                      <w:rFonts w:hint="eastAsia" w:ascii="Times New Roman" w:hAnsi="Times New Roman" w:cs="Times New Roman"/>
                      <w:color w:val="000000" w:themeColor="text1"/>
                      <w:sz w:val="21"/>
                      <w:highlight w:val="none"/>
                      <w:lang w:eastAsia="zh-CN"/>
                      <w14:textFill>
                        <w14:solidFill>
                          <w14:schemeClr w14:val="tx1"/>
                        </w14:solidFill>
                      </w14:textFill>
                    </w:rPr>
                    <w:t>季度</w:t>
                  </w:r>
                  <w:r>
                    <w:rPr>
                      <w:rFonts w:hint="eastAsia" w:ascii="Times New Roman" w:hAnsi="Times New Roman" w:cs="Times New Roman"/>
                      <w:color w:val="000000" w:themeColor="text1"/>
                      <w:sz w:val="21"/>
                      <w:highlight w:val="none"/>
                      <w14:textFill>
                        <w14:solidFill>
                          <w14:schemeClr w14:val="tx1"/>
                        </w14:solidFill>
                      </w14:textFill>
                    </w:rPr>
                    <w:t>1次</w:t>
                  </w:r>
                </w:p>
              </w:tc>
              <w:tc>
                <w:tcPr>
                  <w:tcW w:w="2711" w:type="pct"/>
                  <w:tcBorders>
                    <w:tl2br w:val="nil"/>
                    <w:tr2bl w:val="nil"/>
                  </w:tcBorders>
                  <w:noWrap w:val="0"/>
                  <w:vAlign w:val="center"/>
                </w:tcPr>
                <w:p w14:paraId="56CDBCB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cs="Times New Roman"/>
                      <w:color w:val="000000" w:themeColor="text1"/>
                      <w:sz w:val="21"/>
                      <w:highlight w:val="none"/>
                      <w14:textFill>
                        <w14:solidFill>
                          <w14:schemeClr w14:val="tx1"/>
                        </w14:solidFill>
                      </w14:textFill>
                    </w:rPr>
                  </w:pPr>
                  <w:r>
                    <w:rPr>
                      <w:rFonts w:hint="eastAsia" w:cs="Times New Roman"/>
                      <w:color w:val="000000" w:themeColor="text1"/>
                      <w:sz w:val="21"/>
                      <w:highlight w:val="none"/>
                      <w:lang w:val="en-US" w:eastAsia="zh-CN"/>
                      <w14:textFill>
                        <w14:solidFill>
                          <w14:schemeClr w14:val="tx1"/>
                        </w14:solidFill>
                      </w14:textFill>
                    </w:rPr>
                    <w:t>厂界</w:t>
                  </w:r>
                  <w:r>
                    <w:rPr>
                      <w:rFonts w:hint="eastAsia" w:ascii="Times New Roman" w:hAnsi="Times New Roman" w:cs="Times New Roman"/>
                      <w:color w:val="000000" w:themeColor="text1"/>
                      <w:sz w:val="21"/>
                      <w:highlight w:val="none"/>
                      <w:lang w:val="en-US" w:eastAsia="zh-CN"/>
                      <w14:textFill>
                        <w14:solidFill>
                          <w14:schemeClr w14:val="tx1"/>
                        </w14:solidFill>
                      </w14:textFill>
                    </w:rPr>
                    <w:t>执行《工业企业厂界环境噪声排放标准》（GB12348-2008）</w:t>
                  </w:r>
                  <w:r>
                    <w:rPr>
                      <w:rFonts w:hint="eastAsia" w:cs="Times New Roman"/>
                      <w:color w:val="000000" w:themeColor="text1"/>
                      <w:sz w:val="21"/>
                      <w:highlight w:val="none"/>
                      <w:lang w:val="en-US" w:eastAsia="zh-CN"/>
                      <w14:textFill>
                        <w14:solidFill>
                          <w14:schemeClr w14:val="tx1"/>
                        </w14:solidFill>
                      </w14:textFill>
                    </w:rPr>
                    <w:t>2</w:t>
                  </w:r>
                  <w:r>
                    <w:rPr>
                      <w:rFonts w:hint="eastAsia" w:ascii="Times New Roman" w:hAnsi="Times New Roman" w:cs="Times New Roman"/>
                      <w:color w:val="000000" w:themeColor="text1"/>
                      <w:sz w:val="21"/>
                      <w:highlight w:val="none"/>
                      <w:lang w:val="en-US" w:eastAsia="zh-CN"/>
                      <w14:textFill>
                        <w14:solidFill>
                          <w14:schemeClr w14:val="tx1"/>
                        </w14:solidFill>
                      </w14:textFill>
                    </w:rPr>
                    <w:t>类标准</w:t>
                  </w:r>
                </w:p>
              </w:tc>
            </w:tr>
          </w:tbl>
          <w:p w14:paraId="4BC39EA8">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lang w:val="en-US" w:eastAsia="zh-CN"/>
              </w:rPr>
            </w:pP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综上所述，本项目生产过程中噪声排放对项目区声环境影响很小。</w:t>
            </w:r>
          </w:p>
          <w:bookmarkEnd w:id="41"/>
          <w:p w14:paraId="7C689AD6">
            <w:pPr>
              <w:pStyle w:val="5"/>
              <w:suppressLineNumbers w:val="0"/>
              <w:bidi w:val="0"/>
              <w:spacing w:before="0" w:beforeAutospacing="0" w:after="0" w:afterAutospacing="0"/>
              <w:ind w:left="0" w:right="0"/>
              <w:jc w:val="both"/>
              <w:rPr>
                <w:rFonts w:hint="default" w:ascii="Times New Roman" w:hAnsi="Times New Roman" w:eastAsia="宋体" w:cs="Times New Roman"/>
                <w:color w:val="000000"/>
                <w:highlight w:val="none"/>
                <w:lang w:val="en-US" w:eastAsia="zh-CN"/>
              </w:rPr>
            </w:pPr>
            <w:bookmarkStart w:id="43" w:name="_Toc31999"/>
            <w:r>
              <w:rPr>
                <w:rFonts w:hint="default" w:ascii="Times New Roman" w:hAnsi="Times New Roman" w:eastAsia="宋体" w:cs="Times New Roman"/>
                <w:color w:val="000000"/>
                <w:highlight w:val="none"/>
                <w:lang w:val="en-US" w:eastAsia="zh-CN"/>
              </w:rPr>
              <w:t>4、固体废物影响分析</w:t>
            </w:r>
            <w:bookmarkEnd w:id="43"/>
          </w:p>
          <w:p w14:paraId="527BB31E">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Style w:val="104"/>
                <w:rFonts w:hint="default" w:ascii="Times New Roman" w:hAnsi="Times New Roman" w:eastAsia="宋体" w:cs="Times New Roman"/>
                <w:b/>
                <w:bCs w:val="0"/>
                <w:color w:val="000000"/>
                <w:spacing w:val="0"/>
                <w:sz w:val="24"/>
                <w:szCs w:val="24"/>
                <w:highlight w:val="none"/>
                <w:lang w:val="en-US" w:eastAsia="zh-CN"/>
              </w:rPr>
            </w:pPr>
            <w:bookmarkStart w:id="44" w:name="_Toc15241"/>
            <w:r>
              <w:rPr>
                <w:rStyle w:val="104"/>
                <w:rFonts w:hint="default" w:ascii="Times New Roman" w:hAnsi="Times New Roman" w:eastAsia="宋体" w:cs="Times New Roman"/>
                <w:b/>
                <w:bCs w:val="0"/>
                <w:color w:val="000000"/>
                <w:spacing w:val="0"/>
                <w:sz w:val="24"/>
                <w:szCs w:val="24"/>
                <w:highlight w:val="none"/>
                <w:lang w:val="en-US" w:eastAsia="zh-CN"/>
              </w:rPr>
              <w:t>4.1一般工业固废</w:t>
            </w:r>
          </w:p>
          <w:p w14:paraId="7269D09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宋体" w:cs="Times New Roman"/>
                <w:lang w:val="en-US" w:eastAsia="zh-CN"/>
              </w:rPr>
            </w:pPr>
            <w:r>
              <w:rPr>
                <w:rStyle w:val="104"/>
                <w:rFonts w:hint="default" w:ascii="Times New Roman" w:hAnsi="Times New Roman" w:eastAsia="宋体" w:cs="Times New Roman"/>
                <w:b/>
                <w:bCs w:val="0"/>
                <w:color w:val="000000"/>
                <w:spacing w:val="0"/>
                <w:sz w:val="24"/>
                <w:szCs w:val="24"/>
                <w:highlight w:val="none"/>
                <w:lang w:val="en-US" w:eastAsia="zh-CN"/>
              </w:rPr>
              <w:t>4.1.1宠物粪便</w:t>
            </w:r>
          </w:p>
          <w:p w14:paraId="2580318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根据企业提供资料，宠物医院以3-5天的短期寄养为主，本项目预计寄养健康宠物按200只/年计，每只宠物寄养时间平均按5天计。健康宠物粪便产生量按0.</w:t>
            </w:r>
            <w:r>
              <w:rPr>
                <w:rFonts w:hint="eastAsia" w:cs="Times New Roman"/>
                <w:color w:val="auto"/>
                <w:highlight w:val="none"/>
                <w:lang w:val="en-US" w:eastAsia="zh-CN"/>
              </w:rPr>
              <w:t>1</w:t>
            </w:r>
            <w:r>
              <w:rPr>
                <w:rFonts w:hint="default" w:ascii="Times New Roman" w:hAnsi="Times New Roman" w:eastAsia="宋体" w:cs="Times New Roman"/>
                <w:color w:val="auto"/>
                <w:highlight w:val="none"/>
                <w:lang w:val="en-US" w:eastAsia="zh-CN"/>
              </w:rPr>
              <w:t>kg只·天计算，则本项目寄养废物产生量为0.</w:t>
            </w:r>
            <w:r>
              <w:rPr>
                <w:rFonts w:hint="eastAsia" w:cs="Times New Roman"/>
                <w:color w:val="auto"/>
                <w:highlight w:val="none"/>
                <w:lang w:val="en-US" w:eastAsia="zh-CN"/>
              </w:rPr>
              <w:t>1</w:t>
            </w:r>
            <w:r>
              <w:rPr>
                <w:rFonts w:hint="default" w:ascii="Times New Roman" w:hAnsi="Times New Roman" w:eastAsia="宋体" w:cs="Times New Roman"/>
                <w:color w:val="auto"/>
                <w:highlight w:val="none"/>
                <w:lang w:val="en-US" w:eastAsia="zh-CN"/>
              </w:rPr>
              <w:t>t/a，</w:t>
            </w:r>
            <w:r>
              <w:rPr>
                <w:rFonts w:hint="default" w:ascii="Segoe UI" w:hAnsi="Segoe UI" w:eastAsia="Segoe UI" w:cs="Segoe UI"/>
                <w:i w:val="0"/>
                <w:iCs w:val="0"/>
                <w:caps w:val="0"/>
                <w:spacing w:val="0"/>
                <w:sz w:val="24"/>
                <w:szCs w:val="24"/>
                <w:shd w:val="clear" w:fill="FFFFFF"/>
              </w:rPr>
              <w:t>使用一次性拾便袋、专用拾便铲或一次性纸巾清理，</w:t>
            </w:r>
            <w:r>
              <w:rPr>
                <w:rFonts w:hint="eastAsia" w:ascii="Times New Roman" w:hAnsi="Times New Roman" w:eastAsia="宋体" w:cs="Times New Roman"/>
                <w:color w:val="auto"/>
                <w:highlight w:val="none"/>
                <w:lang w:val="en-US" w:eastAsia="zh-CN"/>
              </w:rPr>
              <w:t>集中</w:t>
            </w:r>
            <w:r>
              <w:rPr>
                <w:rFonts w:hint="default" w:ascii="Times New Roman" w:hAnsi="Times New Roman" w:eastAsia="宋体" w:cs="Times New Roman"/>
                <w:color w:val="auto"/>
                <w:highlight w:val="none"/>
                <w:lang w:val="en-US" w:eastAsia="zh-CN"/>
              </w:rPr>
              <w:t>收集后定期交环卫部门处理。</w:t>
            </w:r>
          </w:p>
          <w:p w14:paraId="5DE9AEA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宋体" w:cs="Times New Roman"/>
                <w:lang w:val="en-US" w:eastAsia="zh-CN"/>
              </w:rPr>
            </w:pPr>
            <w:r>
              <w:rPr>
                <w:rStyle w:val="104"/>
                <w:rFonts w:hint="default" w:ascii="Times New Roman" w:hAnsi="Times New Roman" w:eastAsia="宋体" w:cs="Times New Roman"/>
                <w:b/>
                <w:bCs w:val="0"/>
                <w:color w:val="000000"/>
                <w:spacing w:val="0"/>
                <w:sz w:val="24"/>
                <w:szCs w:val="24"/>
                <w:highlight w:val="none"/>
                <w:lang w:val="en-US" w:eastAsia="zh-CN"/>
              </w:rPr>
              <w:t>4.1.2美容废弃物</w:t>
            </w:r>
          </w:p>
          <w:p w14:paraId="333C651D">
            <w:pPr>
              <w:pStyle w:val="5"/>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宠物在美容室进行修剪产生的动物毛、指甲等会产生废物</w:t>
            </w:r>
            <w:r>
              <w:rPr>
                <w:rFonts w:hint="eastAsia" w:cs="Times New Roman"/>
                <w:b w:val="0"/>
                <w:bCs w:val="0"/>
                <w:lang w:val="en-US" w:eastAsia="zh-CN"/>
              </w:rPr>
              <w:t>（</w:t>
            </w:r>
            <w:r>
              <w:rPr>
                <w:rFonts w:hint="default" w:ascii="Times New Roman" w:hAnsi="Times New Roman" w:eastAsia="宋体" w:cs="Times New Roman"/>
                <w:b w:val="0"/>
                <w:bCs w:val="0"/>
                <w:lang w:val="en-US" w:eastAsia="zh-CN"/>
              </w:rPr>
              <w:t>包括洗浴时产生的动物毛</w:t>
            </w:r>
            <w:r>
              <w:rPr>
                <w:rFonts w:hint="eastAsia" w:cs="Times New Roman"/>
                <w:b w:val="0"/>
                <w:bCs w:val="0"/>
                <w:lang w:val="en-US" w:eastAsia="zh-CN"/>
              </w:rPr>
              <w:t>）</w:t>
            </w:r>
            <w:r>
              <w:rPr>
                <w:rFonts w:hint="default" w:ascii="Times New Roman" w:hAnsi="Times New Roman" w:eastAsia="宋体" w:cs="Times New Roman"/>
                <w:b w:val="0"/>
                <w:bCs w:val="0"/>
                <w:lang w:val="en-US" w:eastAsia="zh-CN"/>
              </w:rPr>
              <w:t>，美容垃圾产生量约为0.</w:t>
            </w:r>
            <w:r>
              <w:rPr>
                <w:rFonts w:hint="eastAsia" w:ascii="Times New Roman" w:hAnsi="Times New Roman" w:eastAsia="宋体" w:cs="Times New Roman"/>
                <w:b w:val="0"/>
                <w:bCs w:val="0"/>
                <w:lang w:val="en-US" w:eastAsia="zh-CN"/>
              </w:rPr>
              <w:t>1</w:t>
            </w:r>
            <w:r>
              <w:rPr>
                <w:rFonts w:hint="default" w:ascii="Times New Roman" w:hAnsi="Times New Roman" w:eastAsia="宋体" w:cs="Times New Roman"/>
                <w:b w:val="0"/>
                <w:bCs w:val="0"/>
                <w:lang w:val="en-US" w:eastAsia="zh-CN"/>
              </w:rPr>
              <w:t>ta，</w:t>
            </w:r>
            <w:r>
              <w:rPr>
                <w:rFonts w:hint="eastAsia" w:ascii="Times New Roman" w:hAnsi="Times New Roman" w:eastAsia="宋体" w:cs="Times New Roman"/>
                <w:b w:val="0"/>
                <w:bCs w:val="0"/>
                <w:lang w:val="en-US" w:eastAsia="zh-CN"/>
              </w:rPr>
              <w:t>集中</w:t>
            </w:r>
            <w:r>
              <w:rPr>
                <w:rFonts w:hint="default" w:ascii="Times New Roman" w:hAnsi="Times New Roman" w:eastAsia="宋体" w:cs="Times New Roman"/>
                <w:b w:val="0"/>
                <w:bCs w:val="0"/>
                <w:lang w:val="en-US" w:eastAsia="zh-CN"/>
              </w:rPr>
              <w:t>收集后定期交环卫部门处理。</w:t>
            </w:r>
          </w:p>
          <w:p w14:paraId="3019692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Style w:val="104"/>
                <w:rFonts w:hint="default" w:ascii="Times New Roman" w:hAnsi="Times New Roman" w:eastAsia="宋体" w:cs="Times New Roman"/>
                <w:b/>
                <w:bCs w:val="0"/>
                <w:color w:val="000000"/>
                <w:spacing w:val="0"/>
                <w:sz w:val="24"/>
                <w:szCs w:val="24"/>
                <w:highlight w:val="none"/>
                <w:lang w:val="en-US" w:eastAsia="zh-CN"/>
              </w:rPr>
            </w:pPr>
            <w:r>
              <w:rPr>
                <w:rStyle w:val="104"/>
                <w:rFonts w:hint="default" w:ascii="Times New Roman" w:hAnsi="Times New Roman" w:eastAsia="宋体" w:cs="Times New Roman"/>
                <w:b/>
                <w:bCs w:val="0"/>
                <w:color w:val="000000"/>
                <w:spacing w:val="0"/>
                <w:sz w:val="24"/>
                <w:szCs w:val="24"/>
                <w:highlight w:val="none"/>
                <w:lang w:val="en-US" w:eastAsia="zh-CN"/>
              </w:rPr>
              <w:t>4.1.3废包装</w:t>
            </w:r>
          </w:p>
          <w:p w14:paraId="1946CF6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宋体" w:cs="Times New Roman"/>
                <w:b w:val="0"/>
                <w:bCs/>
                <w:lang w:val="en-US" w:eastAsia="zh-CN"/>
              </w:rPr>
            </w:pPr>
            <w:r>
              <w:rPr>
                <w:rStyle w:val="104"/>
                <w:rFonts w:hint="default" w:ascii="Times New Roman" w:hAnsi="Times New Roman" w:eastAsia="宋体" w:cs="Times New Roman"/>
                <w:b w:val="0"/>
                <w:bCs/>
                <w:color w:val="000000"/>
                <w:spacing w:val="0"/>
                <w:sz w:val="24"/>
                <w:szCs w:val="24"/>
                <w:highlight w:val="none"/>
                <w:lang w:val="en-US" w:eastAsia="zh-CN"/>
              </w:rPr>
              <w:t>本项目各类原料一般采用塑料、纸进行包装，原料使用拆包后，产生一定量的废包装材料</w:t>
            </w:r>
            <w:r>
              <w:rPr>
                <w:rStyle w:val="104"/>
                <w:rFonts w:hint="eastAsia" w:ascii="Times New Roman" w:hAnsi="Times New Roman" w:eastAsia="宋体" w:cs="Times New Roman"/>
                <w:b w:val="0"/>
                <w:bCs/>
                <w:color w:val="000000"/>
                <w:spacing w:val="0"/>
                <w:sz w:val="24"/>
                <w:szCs w:val="24"/>
                <w:highlight w:val="none"/>
                <w:lang w:val="en-US" w:eastAsia="zh-CN"/>
              </w:rPr>
              <w:t>，</w:t>
            </w:r>
            <w:r>
              <w:rPr>
                <w:rStyle w:val="104"/>
                <w:rFonts w:hint="default" w:ascii="Times New Roman" w:hAnsi="Times New Roman" w:eastAsia="宋体" w:cs="Times New Roman"/>
                <w:b w:val="0"/>
                <w:bCs/>
                <w:color w:val="000000"/>
                <w:spacing w:val="0"/>
                <w:sz w:val="24"/>
                <w:szCs w:val="24"/>
                <w:highlight w:val="none"/>
                <w:lang w:val="en-US" w:eastAsia="zh-CN"/>
              </w:rPr>
              <w:t>根据原材料使用情况，本项目废包装材料产生量约为0.1t</w:t>
            </w:r>
            <w:r>
              <w:rPr>
                <w:rStyle w:val="104"/>
                <w:rFonts w:hint="eastAsia" w:ascii="Times New Roman" w:hAnsi="Times New Roman" w:eastAsia="宋体" w:cs="Times New Roman"/>
                <w:b w:val="0"/>
                <w:bCs/>
                <w:color w:val="000000"/>
                <w:spacing w:val="0"/>
                <w:sz w:val="24"/>
                <w:szCs w:val="24"/>
                <w:highlight w:val="none"/>
                <w:lang w:val="en-US" w:eastAsia="zh-CN"/>
              </w:rPr>
              <w:t>/</w:t>
            </w:r>
            <w:r>
              <w:rPr>
                <w:rStyle w:val="104"/>
                <w:rFonts w:hint="default" w:ascii="Times New Roman" w:hAnsi="Times New Roman" w:eastAsia="宋体" w:cs="Times New Roman"/>
                <w:b w:val="0"/>
                <w:bCs/>
                <w:color w:val="000000"/>
                <w:spacing w:val="0"/>
                <w:sz w:val="24"/>
                <w:szCs w:val="24"/>
                <w:highlight w:val="none"/>
                <w:lang w:val="en-US" w:eastAsia="zh-CN"/>
              </w:rPr>
              <w:t>a</w:t>
            </w:r>
            <w:r>
              <w:rPr>
                <w:rStyle w:val="104"/>
                <w:rFonts w:hint="eastAsia" w:ascii="Times New Roman" w:hAnsi="Times New Roman" w:eastAsia="宋体" w:cs="Times New Roman"/>
                <w:b w:val="0"/>
                <w:bCs/>
                <w:color w:val="000000"/>
                <w:spacing w:val="0"/>
                <w:sz w:val="24"/>
                <w:szCs w:val="24"/>
                <w:highlight w:val="none"/>
                <w:lang w:val="en-US" w:eastAsia="zh-CN"/>
              </w:rPr>
              <w:t>，集中</w:t>
            </w:r>
            <w:r>
              <w:rPr>
                <w:rStyle w:val="104"/>
                <w:rFonts w:hint="default" w:ascii="Times New Roman" w:hAnsi="Times New Roman" w:eastAsia="宋体" w:cs="Times New Roman"/>
                <w:b w:val="0"/>
                <w:bCs/>
                <w:color w:val="000000"/>
                <w:spacing w:val="0"/>
                <w:sz w:val="24"/>
                <w:szCs w:val="24"/>
                <w:highlight w:val="none"/>
                <w:lang w:val="en-US" w:eastAsia="zh-CN"/>
              </w:rPr>
              <w:t>收集后</w:t>
            </w:r>
            <w:r>
              <w:rPr>
                <w:rFonts w:hint="default" w:ascii="Times New Roman" w:hAnsi="Times New Roman" w:eastAsia="宋体" w:cs="Times New Roman"/>
                <w:color w:val="000000"/>
                <w:sz w:val="24"/>
                <w:szCs w:val="24"/>
                <w:highlight w:val="none"/>
                <w:lang w:val="en-US" w:eastAsia="zh-CN"/>
              </w:rPr>
              <w:t>定期交环卫部门处理。</w:t>
            </w:r>
          </w:p>
          <w:p w14:paraId="0862D0C7">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宋体" w:cs="Times New Roman"/>
                <w:b/>
                <w:bCs w:val="0"/>
                <w:color w:val="000000"/>
                <w:sz w:val="24"/>
                <w:szCs w:val="24"/>
                <w:highlight w:val="none"/>
                <w:lang w:val="en-US" w:eastAsia="zh-CN"/>
              </w:rPr>
            </w:pPr>
            <w:r>
              <w:rPr>
                <w:rFonts w:hint="default" w:ascii="Times New Roman" w:hAnsi="Times New Roman" w:eastAsia="宋体" w:cs="Times New Roman"/>
                <w:b/>
                <w:bCs w:val="0"/>
                <w:color w:val="000000"/>
                <w:sz w:val="24"/>
                <w:szCs w:val="24"/>
                <w:highlight w:val="none"/>
                <w:lang w:val="en-US" w:eastAsia="zh-CN"/>
              </w:rPr>
              <w:t>4.2生活垃圾</w:t>
            </w:r>
          </w:p>
          <w:p w14:paraId="0A8260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生活垃圾来源于厂区人员日常生活，本项目人员按</w:t>
            </w:r>
            <w:r>
              <w:rPr>
                <w:rFonts w:hint="eastAsia" w:cs="Times New Roman"/>
                <w:color w:val="000000"/>
                <w:sz w:val="24"/>
                <w:szCs w:val="24"/>
                <w:highlight w:val="none"/>
                <w:lang w:val="en-US" w:eastAsia="zh-CN"/>
              </w:rPr>
              <w:t>8</w:t>
            </w:r>
            <w:r>
              <w:rPr>
                <w:rFonts w:hint="default" w:ascii="Times New Roman" w:hAnsi="Times New Roman" w:eastAsia="宋体" w:cs="Times New Roman"/>
                <w:color w:val="000000"/>
                <w:sz w:val="24"/>
                <w:szCs w:val="24"/>
                <w:highlight w:val="none"/>
                <w:lang w:val="en-US" w:eastAsia="zh-CN"/>
              </w:rPr>
              <w:t>人计，年运营</w:t>
            </w:r>
            <w:r>
              <w:rPr>
                <w:rFonts w:hint="eastAsia" w:cs="Times New Roman"/>
                <w:color w:val="000000"/>
                <w:sz w:val="24"/>
                <w:szCs w:val="24"/>
                <w:highlight w:val="none"/>
                <w:lang w:val="en-US" w:eastAsia="zh-CN"/>
              </w:rPr>
              <w:t>365</w:t>
            </w:r>
            <w:r>
              <w:rPr>
                <w:rFonts w:hint="default" w:ascii="Times New Roman" w:hAnsi="Times New Roman" w:eastAsia="宋体" w:cs="Times New Roman"/>
                <w:color w:val="000000"/>
                <w:sz w:val="24"/>
                <w:szCs w:val="24"/>
                <w:highlight w:val="none"/>
                <w:lang w:val="en-US" w:eastAsia="zh-CN"/>
              </w:rPr>
              <w:t>天，生活垃圾产生量按照0.5kg/人·天计算，则生活垃圾产生量为</w:t>
            </w:r>
            <w:r>
              <w:rPr>
                <w:rFonts w:hint="eastAsia" w:cs="Times New Roman"/>
                <w:color w:val="000000"/>
                <w:sz w:val="24"/>
                <w:szCs w:val="24"/>
                <w:highlight w:val="none"/>
                <w:lang w:val="en-US" w:eastAsia="zh-CN"/>
              </w:rPr>
              <w:t>1.46</w:t>
            </w:r>
            <w:r>
              <w:rPr>
                <w:rFonts w:hint="default" w:ascii="Times New Roman" w:hAnsi="Times New Roman" w:eastAsia="宋体" w:cs="Times New Roman"/>
                <w:color w:val="000000"/>
                <w:sz w:val="24"/>
                <w:szCs w:val="24"/>
                <w:highlight w:val="none"/>
                <w:lang w:val="en-US" w:eastAsia="zh-CN"/>
              </w:rPr>
              <w:t>t/a，生活垃圾经生活垃圾桶收集后定期交环卫部门处理。</w:t>
            </w:r>
          </w:p>
          <w:p w14:paraId="440C58E2">
            <w:pPr>
              <w:pStyle w:val="5"/>
              <w:suppressLineNumbers w:val="0"/>
              <w:bidi w:val="0"/>
              <w:spacing w:before="0" w:beforeAutospacing="0" w:after="0" w:afterAutospacing="0"/>
              <w:ind w:left="0" w:right="0" w:firstLine="482" w:firstLineChars="200"/>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4.</w:t>
            </w:r>
            <w:r>
              <w:rPr>
                <w:rFonts w:hint="eastAsia" w:cs="Times New Roman"/>
                <w:highlight w:val="none"/>
                <w:lang w:val="en-US" w:eastAsia="zh-CN"/>
              </w:rPr>
              <w:t>3动物诊疗废物</w:t>
            </w:r>
          </w:p>
          <w:p w14:paraId="716BEFDB">
            <w:pPr>
              <w:pStyle w:val="10"/>
              <w:keepNext w:val="0"/>
              <w:keepLines w:val="0"/>
              <w:suppressLineNumbers w:val="0"/>
              <w:spacing w:before="0" w:beforeAutospacing="0" w:after="0" w:afterAutospacing="0"/>
              <w:ind w:left="0" w:right="0"/>
              <w:rPr>
                <w:rFonts w:hint="default"/>
                <w:lang w:val="en-US" w:eastAsia="zh-CN"/>
              </w:rPr>
            </w:pPr>
            <w:r>
              <w:rPr>
                <w:rFonts w:hint="default"/>
              </w:rPr>
              <w:t>按照《动物诊疗机构管理办法》第二十六条动物诊疗机构应当按照国家规定处理染疫动物及其排泄物、污染物和动物病理组织等。动物诊疗机构应当参照《医疗废物管理条例》的有关规定处理诊疗废弃物，不得随意丢弃诊疗废弃物，排放未经无害化处理的诊疗废水</w:t>
            </w:r>
            <w:r>
              <w:rPr>
                <w:rFonts w:hint="default"/>
                <w:lang w:eastAsia="zh-CN"/>
              </w:rPr>
              <w:t>。</w:t>
            </w:r>
          </w:p>
          <w:p w14:paraId="7BF79371">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综上本项目动物诊疗废物按照医疗废物进行管理，</w:t>
            </w:r>
            <w:r>
              <w:rPr>
                <w:rFonts w:hint="default" w:ascii="Times New Roman" w:hAnsi="Times New Roman" w:eastAsia="宋体" w:cs="Times New Roman"/>
                <w:b w:val="0"/>
                <w:bCs w:val="0"/>
                <w:lang w:val="en-US" w:eastAsia="zh-CN"/>
              </w:rPr>
              <w:t>本项目产生的动物诊疗废物</w:t>
            </w:r>
            <w:r>
              <w:rPr>
                <w:rFonts w:hint="eastAsia" w:cs="Times New Roman"/>
                <w:b w:val="0"/>
                <w:bCs w:val="0"/>
                <w:lang w:val="en-US" w:eastAsia="zh-CN"/>
              </w:rPr>
              <w:t>包括：</w:t>
            </w:r>
            <w:r>
              <w:rPr>
                <w:rFonts w:hint="default" w:ascii="Times New Roman" w:hAnsi="Times New Roman" w:eastAsia="宋体" w:cs="Times New Roman"/>
                <w:b w:val="0"/>
                <w:bCs w:val="0"/>
                <w:lang w:val="en-US" w:eastAsia="zh-CN"/>
              </w:rPr>
              <w:t>纱布、棉球、棉签、一次性手套、一次性输液管、宠物服务废水</w:t>
            </w:r>
            <w:r>
              <w:rPr>
                <w:rFonts w:hint="eastAsia" w:cs="Times New Roman"/>
                <w:b w:val="0"/>
                <w:bCs w:val="0"/>
                <w:lang w:val="en-US" w:eastAsia="zh-CN"/>
              </w:rPr>
              <w:t>处理设施过滤的残渣、</w:t>
            </w:r>
            <w:r>
              <w:rPr>
                <w:rFonts w:hint="default" w:ascii="Times New Roman" w:hAnsi="Times New Roman" w:eastAsia="宋体" w:cs="Times New Roman"/>
                <w:b w:val="0"/>
                <w:bCs w:val="0"/>
                <w:lang w:val="en-US" w:eastAsia="zh-CN"/>
              </w:rPr>
              <w:t>一次性针头、一次性注射器、废弃的手术刀片等</w:t>
            </w:r>
            <w:r>
              <w:rPr>
                <w:rFonts w:hint="eastAsia" w:cs="Times New Roman"/>
                <w:b w:val="0"/>
                <w:bCs w:val="0"/>
                <w:lang w:val="en-US" w:eastAsia="zh-CN"/>
              </w:rPr>
              <w:t>、</w:t>
            </w:r>
            <w:r>
              <w:rPr>
                <w:rFonts w:hint="default" w:ascii="Times New Roman" w:hAnsi="Times New Roman" w:eastAsia="宋体" w:cs="Times New Roman"/>
                <w:b w:val="0"/>
                <w:bCs w:val="0"/>
                <w:lang w:val="en-US" w:eastAsia="zh-CN"/>
              </w:rPr>
              <w:t>开颅和胸腔手术切除的组织</w:t>
            </w:r>
            <w:r>
              <w:rPr>
                <w:rFonts w:hint="eastAsia" w:cs="Times New Roman"/>
                <w:b w:val="0"/>
                <w:bCs w:val="0"/>
                <w:lang w:val="en-US" w:eastAsia="zh-CN"/>
              </w:rPr>
              <w:t>、</w:t>
            </w:r>
            <w:r>
              <w:rPr>
                <w:rFonts w:hint="default" w:ascii="Times New Roman" w:hAnsi="Times New Roman" w:eastAsia="宋体" w:cs="Times New Roman"/>
                <w:b w:val="0"/>
                <w:bCs w:val="0"/>
                <w:lang w:val="en-US" w:eastAsia="zh-CN"/>
              </w:rPr>
              <w:t>化验室检验室废液残渣、废弃的体温计等</w:t>
            </w:r>
            <w:r>
              <w:rPr>
                <w:rFonts w:hint="eastAsia" w:cs="Times New Roman"/>
                <w:b w:val="0"/>
                <w:bCs w:val="0"/>
                <w:lang w:val="en-US" w:eastAsia="zh-CN"/>
              </w:rPr>
              <w:t>、</w:t>
            </w:r>
            <w:r>
              <w:rPr>
                <w:rFonts w:hint="default" w:ascii="Times New Roman" w:hAnsi="Times New Roman" w:eastAsia="宋体" w:cs="Times New Roman"/>
                <w:b w:val="0"/>
                <w:bCs w:val="0"/>
                <w:lang w:val="en-US" w:eastAsia="zh-CN"/>
              </w:rPr>
              <w:t>过期、淘汰、变质或被污染的废弃的抗生素、非处方类的药品、沾染药品（含处方粮）的废包装袋等。</w:t>
            </w:r>
            <w:r>
              <w:rPr>
                <w:rFonts w:hint="eastAsia" w:cs="Times New Roman"/>
                <w:sz w:val="24"/>
                <w:szCs w:val="24"/>
                <w:lang w:val="en-US" w:eastAsia="zh-CN"/>
              </w:rPr>
              <w:t>此外，本项目一般不会出现宠物死亡情况，若有宠物在治疗过程中因意外不幸死亡，尸体由宠物主带回妥善处理，本项目不进行宠物尸体处理。</w:t>
            </w:r>
          </w:p>
          <w:p w14:paraId="0835E486">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val="0"/>
                <w:bCs w:val="0"/>
                <w:lang w:val="en-US" w:eastAsia="zh-CN"/>
              </w:rPr>
              <w:t>根据企业提供资料，本项目产生的动物诊疗废物</w:t>
            </w:r>
            <w:r>
              <w:rPr>
                <w:rFonts w:hint="eastAsia" w:cs="Times New Roman"/>
                <w:b w:val="0"/>
                <w:bCs w:val="0"/>
                <w:lang w:val="en-US" w:eastAsia="zh-CN"/>
              </w:rPr>
              <w:t>产生量</w:t>
            </w:r>
            <w:r>
              <w:rPr>
                <w:rFonts w:hint="default" w:ascii="Times New Roman" w:hAnsi="Times New Roman" w:eastAsia="宋体" w:cs="Times New Roman"/>
                <w:b w:val="0"/>
                <w:bCs w:val="0"/>
                <w:lang w:val="en-US" w:eastAsia="zh-CN"/>
              </w:rPr>
              <w:t>约</w:t>
            </w:r>
            <w:r>
              <w:rPr>
                <w:rFonts w:hint="eastAsia" w:cs="Times New Roman"/>
                <w:b w:val="0"/>
                <w:bCs w:val="0"/>
                <w:lang w:val="en-US" w:eastAsia="zh-CN"/>
              </w:rPr>
              <w:t>为</w:t>
            </w:r>
            <w:r>
              <w:rPr>
                <w:rFonts w:hint="default" w:ascii="Times New Roman" w:hAnsi="Times New Roman" w:eastAsia="宋体" w:cs="Times New Roman"/>
                <w:b w:val="0"/>
                <w:bCs w:val="0"/>
                <w:lang w:val="en-US" w:eastAsia="zh-CN"/>
              </w:rPr>
              <w:t>0.3t/a。</w:t>
            </w:r>
            <w:r>
              <w:rPr>
                <w:rFonts w:hint="eastAsia" w:cs="Times New Roman"/>
                <w:b w:val="0"/>
                <w:bCs w:val="0"/>
                <w:lang w:val="en-US" w:eastAsia="zh-CN"/>
              </w:rPr>
              <w:t>其中包含</w:t>
            </w:r>
            <w:r>
              <w:rPr>
                <w:rFonts w:hint="default" w:ascii="Times New Roman" w:hAnsi="Times New Roman" w:eastAsia="宋体" w:cs="Times New Roman"/>
                <w:sz w:val="24"/>
                <w:szCs w:val="24"/>
                <w:lang w:val="en-US" w:eastAsia="zh-CN"/>
              </w:rPr>
              <w:t>本项目将产生的动物诊疗废物分类装入专用垃圾包装袋、利器盒内。保证废物包装完好及封口紧密，防止所盛装的废物泄漏污染环境，需如实填写动物诊疗废物转运台账，保证委托处理的动物诊疗废物与填写的内容保持一致。项目产生的动物诊疗废物收集至</w:t>
            </w:r>
            <w:r>
              <w:rPr>
                <w:rFonts w:hint="default" w:ascii="Times New Roman" w:hAnsi="Times New Roman" w:eastAsia="宋体" w:cs="Times New Roman"/>
                <w:color w:val="000000"/>
                <w:kern w:val="2"/>
                <w:sz w:val="24"/>
                <w:szCs w:val="24"/>
                <w:lang w:val="en-US" w:eastAsia="zh-CN" w:bidi="ar-SA"/>
              </w:rPr>
              <w:t>医疗废物专用暂时贮存柜（箱）</w:t>
            </w:r>
            <w:r>
              <w:rPr>
                <w:rFonts w:hint="default" w:ascii="Times New Roman" w:hAnsi="Times New Roman" w:eastAsia="宋体" w:cs="Times New Roman"/>
                <w:sz w:val="24"/>
                <w:szCs w:val="24"/>
                <w:lang w:val="en-US" w:eastAsia="zh-CN"/>
              </w:rPr>
              <w:t>暂存处理，定期委托库尔勒天达环卫有限责任公司处理</w:t>
            </w:r>
            <w:r>
              <w:rPr>
                <w:rFonts w:hint="eastAsia" w:ascii="Times New Roman" w:hAnsi="Times New Roman" w:eastAsia="宋体" w:cs="Times New Roman"/>
                <w:sz w:val="24"/>
                <w:szCs w:val="24"/>
                <w:lang w:val="en-US" w:eastAsia="zh-CN"/>
              </w:rPr>
              <w:t>。</w:t>
            </w:r>
          </w:p>
          <w:p w14:paraId="2DAF9075">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
                <w:bCs w:val="0"/>
                <w:color w:val="000000"/>
                <w:sz w:val="21"/>
                <w:szCs w:val="21"/>
                <w:highlight w:val="none"/>
                <w:lang w:val="en-US" w:eastAsia="zh-CN"/>
              </w:rPr>
            </w:pPr>
            <w:r>
              <w:rPr>
                <w:rFonts w:hint="default" w:ascii="Times New Roman" w:hAnsi="Times New Roman" w:eastAsia="宋体" w:cs="Times New Roman"/>
                <w:b/>
                <w:bCs w:val="0"/>
                <w:color w:val="000000"/>
                <w:sz w:val="21"/>
                <w:szCs w:val="21"/>
                <w:highlight w:val="none"/>
                <w:lang w:val="en-US" w:eastAsia="zh-CN"/>
              </w:rPr>
              <w:t>表4-</w:t>
            </w:r>
            <w:r>
              <w:rPr>
                <w:rFonts w:hint="eastAsia" w:ascii="Times New Roman" w:hAnsi="Times New Roman" w:eastAsia="宋体" w:cs="Times New Roman"/>
                <w:b/>
                <w:bCs w:val="0"/>
                <w:color w:val="000000"/>
                <w:sz w:val="21"/>
                <w:szCs w:val="21"/>
                <w:highlight w:val="none"/>
                <w:lang w:val="en-US" w:eastAsia="zh-CN"/>
              </w:rPr>
              <w:t>1</w:t>
            </w:r>
            <w:r>
              <w:rPr>
                <w:rFonts w:hint="eastAsia" w:cs="Times New Roman"/>
                <w:b/>
                <w:bCs w:val="0"/>
                <w:color w:val="000000"/>
                <w:sz w:val="21"/>
                <w:szCs w:val="21"/>
                <w:highlight w:val="none"/>
                <w:lang w:val="en-US" w:eastAsia="zh-CN"/>
              </w:rPr>
              <w:t>0</w:t>
            </w:r>
            <w:r>
              <w:rPr>
                <w:rFonts w:hint="default" w:ascii="Times New Roman" w:hAnsi="Times New Roman" w:eastAsia="宋体" w:cs="Times New Roman"/>
                <w:b/>
                <w:bCs w:val="0"/>
                <w:color w:val="000000"/>
                <w:sz w:val="21"/>
                <w:szCs w:val="21"/>
                <w:highlight w:val="none"/>
                <w:lang w:val="en-US" w:eastAsia="zh-CN"/>
              </w:rPr>
              <w:t xml:space="preserve">       </w:t>
            </w:r>
            <w:r>
              <w:rPr>
                <w:rFonts w:hint="eastAsia" w:cs="Times New Roman"/>
                <w:b/>
                <w:bCs w:val="0"/>
                <w:color w:val="000000"/>
                <w:sz w:val="21"/>
                <w:szCs w:val="21"/>
                <w:highlight w:val="none"/>
                <w:lang w:val="en-US" w:eastAsia="zh-CN"/>
              </w:rPr>
              <w:t>固体废物</w:t>
            </w:r>
            <w:r>
              <w:rPr>
                <w:rFonts w:hint="default" w:ascii="Times New Roman" w:hAnsi="Times New Roman" w:eastAsia="宋体" w:cs="Times New Roman"/>
                <w:b/>
                <w:bCs w:val="0"/>
                <w:color w:val="000000"/>
                <w:sz w:val="21"/>
                <w:szCs w:val="21"/>
                <w:highlight w:val="none"/>
                <w:lang w:val="en-US" w:eastAsia="zh-CN"/>
              </w:rPr>
              <w:t>污染源源强核算结果及相关参数一览表</w:t>
            </w:r>
          </w:p>
          <w:tbl>
            <w:tblPr>
              <w:tblStyle w:val="32"/>
              <w:tblW w:w="811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61"/>
              <w:gridCol w:w="716"/>
              <w:gridCol w:w="747"/>
              <w:gridCol w:w="482"/>
              <w:gridCol w:w="1167"/>
              <w:gridCol w:w="431"/>
              <w:gridCol w:w="623"/>
              <w:gridCol w:w="1170"/>
              <w:gridCol w:w="722"/>
              <w:gridCol w:w="1199"/>
            </w:tblGrid>
            <w:tr w14:paraId="2BAA5A6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restart"/>
                  <w:tcBorders>
                    <w:tl2br w:val="nil"/>
                    <w:tr2bl w:val="nil"/>
                  </w:tcBorders>
                  <w:vAlign w:val="center"/>
                </w:tcPr>
                <w:p w14:paraId="53BEBB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t>工序/生产线</w:t>
                  </w:r>
                </w:p>
              </w:tc>
              <w:tc>
                <w:tcPr>
                  <w:tcW w:w="716" w:type="dxa"/>
                  <w:vMerge w:val="restart"/>
                  <w:tcBorders>
                    <w:tl2br w:val="nil"/>
                    <w:tr2bl w:val="nil"/>
                  </w:tcBorders>
                  <w:vAlign w:val="center"/>
                </w:tcPr>
                <w:p w14:paraId="2302F3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t>装置</w:t>
                  </w:r>
                </w:p>
              </w:tc>
              <w:tc>
                <w:tcPr>
                  <w:tcW w:w="747" w:type="dxa"/>
                  <w:vMerge w:val="restart"/>
                  <w:tcBorders>
                    <w:tl2br w:val="nil"/>
                    <w:tr2bl w:val="nil"/>
                  </w:tcBorders>
                  <w:vAlign w:val="center"/>
                </w:tcPr>
                <w:p w14:paraId="2517E5B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t>固体废物名称</w:t>
                  </w:r>
                </w:p>
              </w:tc>
              <w:tc>
                <w:tcPr>
                  <w:tcW w:w="482" w:type="dxa"/>
                  <w:vMerge w:val="restart"/>
                  <w:tcBorders>
                    <w:tl2br w:val="nil"/>
                    <w:tr2bl w:val="nil"/>
                  </w:tcBorders>
                  <w:vAlign w:val="center"/>
                </w:tcPr>
                <w:p w14:paraId="24A0E22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t>固废属性</w:t>
                  </w:r>
                </w:p>
              </w:tc>
              <w:tc>
                <w:tcPr>
                  <w:tcW w:w="1167" w:type="dxa"/>
                  <w:vMerge w:val="restart"/>
                  <w:tcBorders>
                    <w:tl2br w:val="nil"/>
                    <w:tr2bl w:val="nil"/>
                  </w:tcBorders>
                  <w:vAlign w:val="center"/>
                </w:tcPr>
                <w:p w14:paraId="1046B43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t>固废代码</w:t>
                  </w:r>
                </w:p>
              </w:tc>
              <w:tc>
                <w:tcPr>
                  <w:tcW w:w="1054" w:type="dxa"/>
                  <w:gridSpan w:val="2"/>
                  <w:tcBorders>
                    <w:tl2br w:val="nil"/>
                    <w:tr2bl w:val="nil"/>
                  </w:tcBorders>
                  <w:vAlign w:val="center"/>
                </w:tcPr>
                <w:p w14:paraId="0F753B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t>产生情况</w:t>
                  </w:r>
                </w:p>
              </w:tc>
              <w:tc>
                <w:tcPr>
                  <w:tcW w:w="1892" w:type="dxa"/>
                  <w:gridSpan w:val="2"/>
                  <w:tcBorders>
                    <w:tl2br w:val="nil"/>
                    <w:tr2bl w:val="nil"/>
                  </w:tcBorders>
                  <w:vAlign w:val="center"/>
                </w:tcPr>
                <w:p w14:paraId="13BE0CD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t>处置措施</w:t>
                  </w:r>
                </w:p>
              </w:tc>
              <w:tc>
                <w:tcPr>
                  <w:tcW w:w="1199" w:type="dxa"/>
                  <w:vMerge w:val="restart"/>
                  <w:tcBorders>
                    <w:tl2br w:val="nil"/>
                    <w:tr2bl w:val="nil"/>
                  </w:tcBorders>
                  <w:vAlign w:val="center"/>
                </w:tcPr>
                <w:p w14:paraId="4B50048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t>最终去向</w:t>
                  </w:r>
                </w:p>
              </w:tc>
            </w:tr>
            <w:tr w14:paraId="0BB49CC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continue"/>
                  <w:tcBorders>
                    <w:tl2br w:val="nil"/>
                    <w:tr2bl w:val="nil"/>
                  </w:tcBorders>
                  <w:vAlign w:val="center"/>
                </w:tcPr>
                <w:p w14:paraId="5103AD4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pPr>
                </w:p>
              </w:tc>
              <w:tc>
                <w:tcPr>
                  <w:tcW w:w="716" w:type="dxa"/>
                  <w:vMerge w:val="continue"/>
                  <w:tcBorders>
                    <w:tl2br w:val="nil"/>
                    <w:tr2bl w:val="nil"/>
                  </w:tcBorders>
                  <w:vAlign w:val="center"/>
                </w:tcPr>
                <w:p w14:paraId="6E6475E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pPr>
                </w:p>
              </w:tc>
              <w:tc>
                <w:tcPr>
                  <w:tcW w:w="747" w:type="dxa"/>
                  <w:vMerge w:val="continue"/>
                  <w:tcBorders>
                    <w:tl2br w:val="nil"/>
                    <w:tr2bl w:val="nil"/>
                  </w:tcBorders>
                  <w:vAlign w:val="center"/>
                </w:tcPr>
                <w:p w14:paraId="6FA5DA0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pPr>
                </w:p>
              </w:tc>
              <w:tc>
                <w:tcPr>
                  <w:tcW w:w="482" w:type="dxa"/>
                  <w:vMerge w:val="continue"/>
                  <w:tcBorders>
                    <w:tl2br w:val="nil"/>
                    <w:tr2bl w:val="nil"/>
                  </w:tcBorders>
                  <w:vAlign w:val="center"/>
                </w:tcPr>
                <w:p w14:paraId="416BF1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pPr>
                </w:p>
              </w:tc>
              <w:tc>
                <w:tcPr>
                  <w:tcW w:w="1167" w:type="dxa"/>
                  <w:vMerge w:val="continue"/>
                  <w:tcBorders>
                    <w:tl2br w:val="nil"/>
                    <w:tr2bl w:val="nil"/>
                  </w:tcBorders>
                  <w:vAlign w:val="center"/>
                </w:tcPr>
                <w:p w14:paraId="2CFD0D3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pPr>
                </w:p>
              </w:tc>
              <w:tc>
                <w:tcPr>
                  <w:tcW w:w="431" w:type="dxa"/>
                  <w:tcBorders>
                    <w:tl2br w:val="nil"/>
                    <w:tr2bl w:val="nil"/>
                  </w:tcBorders>
                  <w:vAlign w:val="center"/>
                </w:tcPr>
                <w:p w14:paraId="64F6447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t>核算方法</w:t>
                  </w:r>
                </w:p>
              </w:tc>
              <w:tc>
                <w:tcPr>
                  <w:tcW w:w="623" w:type="dxa"/>
                  <w:tcBorders>
                    <w:tl2br w:val="nil"/>
                    <w:tr2bl w:val="nil"/>
                  </w:tcBorders>
                  <w:vAlign w:val="center"/>
                </w:tcPr>
                <w:p w14:paraId="53DC7AC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t>产生量（t/a）</w:t>
                  </w:r>
                </w:p>
              </w:tc>
              <w:tc>
                <w:tcPr>
                  <w:tcW w:w="1170" w:type="dxa"/>
                  <w:tcBorders>
                    <w:tl2br w:val="nil"/>
                    <w:tr2bl w:val="nil"/>
                  </w:tcBorders>
                  <w:vAlign w:val="center"/>
                </w:tcPr>
                <w:p w14:paraId="583CD4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t>工艺</w:t>
                  </w:r>
                </w:p>
              </w:tc>
              <w:tc>
                <w:tcPr>
                  <w:tcW w:w="722" w:type="dxa"/>
                  <w:tcBorders>
                    <w:tl2br w:val="nil"/>
                    <w:tr2bl w:val="nil"/>
                  </w:tcBorders>
                  <w:vAlign w:val="center"/>
                </w:tcPr>
                <w:p w14:paraId="5E0FB08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t>处置量（t/a）</w:t>
                  </w:r>
                </w:p>
              </w:tc>
              <w:tc>
                <w:tcPr>
                  <w:tcW w:w="1199" w:type="dxa"/>
                  <w:vMerge w:val="continue"/>
                  <w:tcBorders>
                    <w:tl2br w:val="nil"/>
                    <w:tr2bl w:val="nil"/>
                  </w:tcBorders>
                  <w:vAlign w:val="center"/>
                </w:tcPr>
                <w:p w14:paraId="6CA1992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pPr>
                </w:p>
              </w:tc>
            </w:tr>
            <w:tr w14:paraId="45E2F63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restart"/>
                  <w:tcBorders>
                    <w:tl2br w:val="nil"/>
                    <w:tr2bl w:val="nil"/>
                  </w:tcBorders>
                  <w:vAlign w:val="center"/>
                </w:tcPr>
                <w:p w14:paraId="039971F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pPr>
                  <w:r>
                    <w:rPr>
                      <w:rFonts w:hint="eastAsia" w:cs="Times New Roman"/>
                      <w:color w:val="000000" w:themeColor="text1"/>
                      <w:spacing w:val="0"/>
                      <w:kern w:val="0"/>
                      <w:position w:val="0"/>
                      <w:sz w:val="21"/>
                      <w:szCs w:val="21"/>
                      <w:highlight w:val="none"/>
                      <w:lang w:val="en-US" w:eastAsia="zh-CN"/>
                      <w14:textFill>
                        <w14:solidFill>
                          <w14:schemeClr w14:val="tx1"/>
                        </w14:solidFill>
                      </w14:textFill>
                    </w:rPr>
                    <w:t>医院运营</w:t>
                  </w:r>
                </w:p>
              </w:tc>
              <w:tc>
                <w:tcPr>
                  <w:tcW w:w="716" w:type="dxa"/>
                  <w:tcBorders>
                    <w:tl2br w:val="nil"/>
                    <w:tr2bl w:val="nil"/>
                  </w:tcBorders>
                  <w:vAlign w:val="center"/>
                </w:tcPr>
                <w:p w14:paraId="6A1B856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pPr>
                  <w:r>
                    <w:rPr>
                      <w:rFonts w:hint="eastAsia" w:cs="Times New Roman"/>
                      <w:color w:val="000000" w:themeColor="text1"/>
                      <w:spacing w:val="0"/>
                      <w:kern w:val="0"/>
                      <w:position w:val="0"/>
                      <w:sz w:val="21"/>
                      <w:szCs w:val="21"/>
                      <w:highlight w:val="none"/>
                      <w:lang w:val="en-US" w:eastAsia="zh-CN"/>
                      <w14:textFill>
                        <w14:solidFill>
                          <w14:schemeClr w14:val="tx1"/>
                        </w14:solidFill>
                      </w14:textFill>
                    </w:rPr>
                    <w:t>宠物寄养</w:t>
                  </w:r>
                </w:p>
              </w:tc>
              <w:tc>
                <w:tcPr>
                  <w:tcW w:w="747" w:type="dxa"/>
                  <w:tcBorders>
                    <w:tl2br w:val="nil"/>
                    <w:tr2bl w:val="nil"/>
                  </w:tcBorders>
                  <w:vAlign w:val="center"/>
                </w:tcPr>
                <w:p w14:paraId="7387540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pPr>
                  <w:r>
                    <w:rPr>
                      <w:rFonts w:hint="eastAsia" w:cs="Times New Roman"/>
                      <w:color w:val="000000" w:themeColor="text1"/>
                      <w:spacing w:val="0"/>
                      <w:kern w:val="0"/>
                      <w:position w:val="0"/>
                      <w:sz w:val="21"/>
                      <w:szCs w:val="21"/>
                      <w:highlight w:val="none"/>
                      <w:lang w:val="en-US" w:eastAsia="zh-CN"/>
                      <w14:textFill>
                        <w14:solidFill>
                          <w14:schemeClr w14:val="tx1"/>
                        </w14:solidFill>
                      </w14:textFill>
                    </w:rPr>
                    <w:t>宠物粪便</w:t>
                  </w:r>
                </w:p>
              </w:tc>
              <w:tc>
                <w:tcPr>
                  <w:tcW w:w="482" w:type="dxa"/>
                  <w:tcBorders>
                    <w:tl2br w:val="nil"/>
                    <w:tr2bl w:val="nil"/>
                  </w:tcBorders>
                  <w:vAlign w:val="center"/>
                </w:tcPr>
                <w:p w14:paraId="4A24476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t>一般固废</w:t>
                  </w:r>
                </w:p>
              </w:tc>
              <w:tc>
                <w:tcPr>
                  <w:tcW w:w="1167" w:type="dxa"/>
                  <w:tcBorders>
                    <w:tl2br w:val="nil"/>
                    <w:tr2bl w:val="nil"/>
                  </w:tcBorders>
                  <w:vAlign w:val="center"/>
                </w:tcPr>
                <w:p w14:paraId="15C109A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t>900-002-S64</w:t>
                  </w:r>
                </w:p>
              </w:tc>
              <w:tc>
                <w:tcPr>
                  <w:tcW w:w="431" w:type="dxa"/>
                  <w:tcBorders>
                    <w:tl2br w:val="nil"/>
                    <w:tr2bl w:val="nil"/>
                  </w:tcBorders>
                  <w:vAlign w:val="center"/>
                </w:tcPr>
                <w:p w14:paraId="22A5C0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t>类比法</w:t>
                  </w:r>
                </w:p>
              </w:tc>
              <w:tc>
                <w:tcPr>
                  <w:tcW w:w="623" w:type="dxa"/>
                  <w:tcBorders>
                    <w:tl2br w:val="nil"/>
                    <w:tr2bl w:val="nil"/>
                  </w:tcBorders>
                  <w:vAlign w:val="center"/>
                </w:tcPr>
                <w:p w14:paraId="71E6F20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pPr>
                  <w:r>
                    <w:rPr>
                      <w:rFonts w:hint="eastAsia" w:cs="Times New Roman"/>
                      <w:color w:val="000000" w:themeColor="text1"/>
                      <w:spacing w:val="0"/>
                      <w:kern w:val="0"/>
                      <w:position w:val="0"/>
                      <w:sz w:val="21"/>
                      <w:szCs w:val="21"/>
                      <w:highlight w:val="none"/>
                      <w:lang w:val="en-US" w:eastAsia="zh-CN"/>
                      <w14:textFill>
                        <w14:solidFill>
                          <w14:schemeClr w14:val="tx1"/>
                        </w14:solidFill>
                      </w14:textFill>
                    </w:rPr>
                    <w:t>0.1</w:t>
                  </w:r>
                </w:p>
              </w:tc>
              <w:tc>
                <w:tcPr>
                  <w:tcW w:w="1170" w:type="dxa"/>
                  <w:tcBorders>
                    <w:tl2br w:val="nil"/>
                    <w:tr2bl w:val="nil"/>
                  </w:tcBorders>
                  <w:vAlign w:val="center"/>
                </w:tcPr>
                <w:p w14:paraId="4949E82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kern w:val="0"/>
                      <w:sz w:val="21"/>
                      <w:szCs w:val="21"/>
                      <w:highlight w:val="none"/>
                      <w:lang w:val="en-US" w:eastAsia="zh-CN" w:bidi="ar-SA"/>
                    </w:rPr>
                    <w:t>集中收集后定期交环卫部门处理</w:t>
                  </w:r>
                </w:p>
              </w:tc>
              <w:tc>
                <w:tcPr>
                  <w:tcW w:w="722" w:type="dxa"/>
                  <w:tcBorders>
                    <w:tl2br w:val="nil"/>
                    <w:tr2bl w:val="nil"/>
                  </w:tcBorders>
                  <w:vAlign w:val="center"/>
                </w:tcPr>
                <w:p w14:paraId="24471AE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pPr>
                  <w:r>
                    <w:rPr>
                      <w:rFonts w:hint="eastAsia" w:cs="Times New Roman"/>
                      <w:color w:val="000000" w:themeColor="text1"/>
                      <w:spacing w:val="0"/>
                      <w:kern w:val="0"/>
                      <w:position w:val="0"/>
                      <w:sz w:val="21"/>
                      <w:szCs w:val="21"/>
                      <w:highlight w:val="none"/>
                      <w:lang w:val="en-US" w:eastAsia="zh-CN"/>
                      <w14:textFill>
                        <w14:solidFill>
                          <w14:schemeClr w14:val="tx1"/>
                        </w14:solidFill>
                      </w14:textFill>
                    </w:rPr>
                    <w:t>0.1</w:t>
                  </w:r>
                </w:p>
              </w:tc>
              <w:tc>
                <w:tcPr>
                  <w:tcW w:w="1199" w:type="dxa"/>
                  <w:tcBorders>
                    <w:tl2br w:val="nil"/>
                    <w:tr2bl w:val="nil"/>
                  </w:tcBorders>
                  <w:vAlign w:val="center"/>
                </w:tcPr>
                <w:p w14:paraId="2F00292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kern w:val="0"/>
                      <w:sz w:val="21"/>
                      <w:szCs w:val="21"/>
                      <w:highlight w:val="none"/>
                      <w:lang w:val="en-US" w:eastAsia="zh-CN" w:bidi="ar-SA"/>
                    </w:rPr>
                    <w:t>集中收集后定期交环卫部门处理</w:t>
                  </w:r>
                </w:p>
              </w:tc>
            </w:tr>
            <w:tr w14:paraId="1E4A6B1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continue"/>
                  <w:tcBorders>
                    <w:tl2br w:val="nil"/>
                    <w:tr2bl w:val="nil"/>
                  </w:tcBorders>
                  <w:vAlign w:val="center"/>
                </w:tcPr>
                <w:p w14:paraId="2783B12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pPr>
                </w:p>
              </w:tc>
              <w:tc>
                <w:tcPr>
                  <w:tcW w:w="716" w:type="dxa"/>
                  <w:tcBorders>
                    <w:tl2br w:val="nil"/>
                    <w:tr2bl w:val="nil"/>
                  </w:tcBorders>
                  <w:vAlign w:val="center"/>
                </w:tcPr>
                <w:p w14:paraId="5DA0115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pPr>
                  <w:r>
                    <w:rPr>
                      <w:rFonts w:hint="eastAsia" w:cs="Times New Roman"/>
                      <w:color w:val="000000" w:themeColor="text1"/>
                      <w:spacing w:val="0"/>
                      <w:kern w:val="0"/>
                      <w:position w:val="0"/>
                      <w:sz w:val="21"/>
                      <w:szCs w:val="21"/>
                      <w:highlight w:val="none"/>
                      <w:lang w:val="en-US" w:eastAsia="zh-CN"/>
                      <w14:textFill>
                        <w14:solidFill>
                          <w14:schemeClr w14:val="tx1"/>
                        </w14:solidFill>
                      </w14:textFill>
                    </w:rPr>
                    <w:t>宠物美容</w:t>
                  </w:r>
                </w:p>
              </w:tc>
              <w:tc>
                <w:tcPr>
                  <w:tcW w:w="747" w:type="dxa"/>
                  <w:tcBorders>
                    <w:tl2br w:val="nil"/>
                    <w:tr2bl w:val="nil"/>
                  </w:tcBorders>
                  <w:shd w:val="clear" w:color="auto" w:fill="auto"/>
                  <w:vAlign w:val="center"/>
                </w:tcPr>
                <w:p w14:paraId="1F7CFDBA">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SA"/>
                    </w:rPr>
                  </w:pPr>
                  <w:r>
                    <w:rPr>
                      <w:rFonts w:hint="eastAsia" w:cs="Times New Roman"/>
                      <w:sz w:val="21"/>
                      <w:szCs w:val="21"/>
                      <w:lang w:val="en-US" w:eastAsia="zh-CN"/>
                    </w:rPr>
                    <w:t>美容废弃物</w:t>
                  </w:r>
                </w:p>
              </w:tc>
              <w:tc>
                <w:tcPr>
                  <w:tcW w:w="482" w:type="dxa"/>
                  <w:tcBorders>
                    <w:tl2br w:val="nil"/>
                    <w:tr2bl w:val="nil"/>
                  </w:tcBorders>
                  <w:vAlign w:val="center"/>
                </w:tcPr>
                <w:p w14:paraId="326DC1D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t>一般固废</w:t>
                  </w:r>
                </w:p>
              </w:tc>
              <w:tc>
                <w:tcPr>
                  <w:tcW w:w="1167" w:type="dxa"/>
                  <w:tcBorders>
                    <w:tl2br w:val="nil"/>
                    <w:tr2bl w:val="nil"/>
                  </w:tcBorders>
                  <w:vAlign w:val="center"/>
                </w:tcPr>
                <w:p w14:paraId="7C8CEB47">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t>900-099-S64</w:t>
                  </w:r>
                </w:p>
              </w:tc>
              <w:tc>
                <w:tcPr>
                  <w:tcW w:w="431" w:type="dxa"/>
                  <w:tcBorders>
                    <w:tl2br w:val="nil"/>
                    <w:tr2bl w:val="nil"/>
                  </w:tcBorders>
                  <w:vAlign w:val="center"/>
                </w:tcPr>
                <w:p w14:paraId="26A00E3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t>类比法</w:t>
                  </w:r>
                </w:p>
              </w:tc>
              <w:tc>
                <w:tcPr>
                  <w:tcW w:w="623" w:type="dxa"/>
                  <w:tcBorders>
                    <w:tl2br w:val="nil"/>
                    <w:tr2bl w:val="nil"/>
                  </w:tcBorders>
                  <w:vAlign w:val="center"/>
                </w:tcPr>
                <w:p w14:paraId="7408DCE8">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pPr>
                  <w:r>
                    <w:rPr>
                      <w:rFonts w:hint="eastAsia" w:cs="Times New Roman"/>
                      <w:color w:val="000000" w:themeColor="text1"/>
                      <w:spacing w:val="0"/>
                      <w:kern w:val="0"/>
                      <w:position w:val="0"/>
                      <w:sz w:val="21"/>
                      <w:szCs w:val="21"/>
                      <w:highlight w:val="none"/>
                      <w:lang w:val="en-US" w:eastAsia="zh-CN"/>
                      <w14:textFill>
                        <w14:solidFill>
                          <w14:schemeClr w14:val="tx1"/>
                        </w14:solidFill>
                      </w14:textFill>
                    </w:rPr>
                    <w:t>0.1</w:t>
                  </w:r>
                </w:p>
              </w:tc>
              <w:tc>
                <w:tcPr>
                  <w:tcW w:w="1170" w:type="dxa"/>
                  <w:tcBorders>
                    <w:tl2br w:val="nil"/>
                    <w:tr2bl w:val="nil"/>
                  </w:tcBorders>
                  <w:vAlign w:val="center"/>
                </w:tcPr>
                <w:p w14:paraId="5740D63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kern w:val="0"/>
                      <w:sz w:val="21"/>
                      <w:szCs w:val="21"/>
                      <w:highlight w:val="none"/>
                      <w:lang w:val="en-US" w:eastAsia="zh-CN" w:bidi="ar-SA"/>
                    </w:rPr>
                    <w:t>集中收集后定期交环卫部门处理</w:t>
                  </w:r>
                </w:p>
              </w:tc>
              <w:tc>
                <w:tcPr>
                  <w:tcW w:w="722" w:type="dxa"/>
                  <w:tcBorders>
                    <w:tl2br w:val="nil"/>
                    <w:tr2bl w:val="nil"/>
                  </w:tcBorders>
                  <w:vAlign w:val="center"/>
                </w:tcPr>
                <w:p w14:paraId="408CE3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pPr>
                  <w:r>
                    <w:rPr>
                      <w:rFonts w:hint="eastAsia" w:cs="Times New Roman"/>
                      <w:color w:val="000000" w:themeColor="text1"/>
                      <w:spacing w:val="0"/>
                      <w:kern w:val="0"/>
                      <w:position w:val="0"/>
                      <w:sz w:val="21"/>
                      <w:szCs w:val="21"/>
                      <w:highlight w:val="none"/>
                      <w:lang w:val="en-US" w:eastAsia="zh-CN"/>
                      <w14:textFill>
                        <w14:solidFill>
                          <w14:schemeClr w14:val="tx1"/>
                        </w14:solidFill>
                      </w14:textFill>
                    </w:rPr>
                    <w:t>0.1</w:t>
                  </w:r>
                </w:p>
              </w:tc>
              <w:tc>
                <w:tcPr>
                  <w:tcW w:w="1199" w:type="dxa"/>
                  <w:tcBorders>
                    <w:tl2br w:val="nil"/>
                    <w:tr2bl w:val="nil"/>
                  </w:tcBorders>
                  <w:shd w:val="clear" w:color="auto" w:fill="auto"/>
                  <w:vAlign w:val="center"/>
                </w:tcPr>
                <w:p w14:paraId="1D47457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val="en-US" w:eastAsia="zh-CN" w:bidi="ar-SA"/>
                    </w:rPr>
                    <w:t>集中收集后定期交环卫部门处理</w:t>
                  </w:r>
                </w:p>
              </w:tc>
            </w:tr>
            <w:tr w14:paraId="2C8A657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861" w:type="dxa"/>
                  <w:vMerge w:val="continue"/>
                  <w:tcBorders>
                    <w:tl2br w:val="nil"/>
                    <w:tr2bl w:val="nil"/>
                  </w:tcBorders>
                  <w:vAlign w:val="center"/>
                </w:tcPr>
                <w:p w14:paraId="2A4E31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pPr>
                </w:p>
              </w:tc>
              <w:tc>
                <w:tcPr>
                  <w:tcW w:w="716" w:type="dxa"/>
                  <w:tcBorders>
                    <w:tl2br w:val="nil"/>
                    <w:tr2bl w:val="nil"/>
                  </w:tcBorders>
                  <w:vAlign w:val="center"/>
                </w:tcPr>
                <w:p w14:paraId="1DED246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pPr>
                  <w:r>
                    <w:rPr>
                      <w:rFonts w:hint="eastAsia" w:cs="Times New Roman"/>
                      <w:color w:val="000000" w:themeColor="text1"/>
                      <w:spacing w:val="0"/>
                      <w:kern w:val="0"/>
                      <w:position w:val="0"/>
                      <w:sz w:val="21"/>
                      <w:szCs w:val="21"/>
                      <w:highlight w:val="none"/>
                      <w:lang w:val="en-US" w:eastAsia="zh-CN"/>
                      <w14:textFill>
                        <w14:solidFill>
                          <w14:schemeClr w14:val="tx1"/>
                        </w14:solidFill>
                      </w14:textFill>
                    </w:rPr>
                    <w:t>宠物服务</w:t>
                  </w:r>
                </w:p>
              </w:tc>
              <w:tc>
                <w:tcPr>
                  <w:tcW w:w="747" w:type="dxa"/>
                  <w:tcBorders>
                    <w:tl2br w:val="nil"/>
                    <w:tr2bl w:val="nil"/>
                  </w:tcBorders>
                  <w:shd w:val="clear" w:color="auto" w:fill="auto"/>
                  <w:vAlign w:val="center"/>
                </w:tcPr>
                <w:p w14:paraId="5A6BC830">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t>废包装</w:t>
                  </w:r>
                </w:p>
              </w:tc>
              <w:tc>
                <w:tcPr>
                  <w:tcW w:w="482" w:type="dxa"/>
                  <w:tcBorders>
                    <w:tl2br w:val="nil"/>
                    <w:tr2bl w:val="nil"/>
                  </w:tcBorders>
                  <w:vAlign w:val="center"/>
                </w:tcPr>
                <w:p w14:paraId="0A0306D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t>一般固废</w:t>
                  </w:r>
                </w:p>
              </w:tc>
              <w:tc>
                <w:tcPr>
                  <w:tcW w:w="1167" w:type="dxa"/>
                  <w:tcBorders>
                    <w:tl2br w:val="nil"/>
                    <w:tr2bl w:val="nil"/>
                  </w:tcBorders>
                  <w:vAlign w:val="center"/>
                </w:tcPr>
                <w:p w14:paraId="00F1409D">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t>900-001-S62</w:t>
                  </w:r>
                </w:p>
              </w:tc>
              <w:tc>
                <w:tcPr>
                  <w:tcW w:w="431" w:type="dxa"/>
                  <w:tcBorders>
                    <w:tl2br w:val="nil"/>
                    <w:tr2bl w:val="nil"/>
                  </w:tcBorders>
                  <w:vAlign w:val="center"/>
                </w:tcPr>
                <w:p w14:paraId="78DEA8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t>类比法</w:t>
                  </w:r>
                </w:p>
              </w:tc>
              <w:tc>
                <w:tcPr>
                  <w:tcW w:w="623" w:type="dxa"/>
                  <w:tcBorders>
                    <w:tl2br w:val="nil"/>
                    <w:tr2bl w:val="nil"/>
                  </w:tcBorders>
                  <w:vAlign w:val="center"/>
                </w:tcPr>
                <w:p w14:paraId="16C6A5B2">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pPr>
                  <w:r>
                    <w:rPr>
                      <w:rFonts w:hint="eastAsia" w:cs="Times New Roman"/>
                      <w:color w:val="000000" w:themeColor="text1"/>
                      <w:spacing w:val="0"/>
                      <w:kern w:val="0"/>
                      <w:position w:val="0"/>
                      <w:sz w:val="21"/>
                      <w:szCs w:val="21"/>
                      <w:highlight w:val="none"/>
                      <w:lang w:val="en-US" w:eastAsia="zh-CN"/>
                      <w14:textFill>
                        <w14:solidFill>
                          <w14:schemeClr w14:val="tx1"/>
                        </w14:solidFill>
                      </w14:textFill>
                    </w:rPr>
                    <w:t>0.1</w:t>
                  </w:r>
                </w:p>
              </w:tc>
              <w:tc>
                <w:tcPr>
                  <w:tcW w:w="1170" w:type="dxa"/>
                  <w:tcBorders>
                    <w:tl2br w:val="nil"/>
                    <w:tr2bl w:val="nil"/>
                  </w:tcBorders>
                  <w:vAlign w:val="center"/>
                </w:tcPr>
                <w:p w14:paraId="08C3DCF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t>集中收集后定期交环卫部门处理</w:t>
                  </w:r>
                </w:p>
              </w:tc>
              <w:tc>
                <w:tcPr>
                  <w:tcW w:w="722" w:type="dxa"/>
                  <w:tcBorders>
                    <w:tl2br w:val="nil"/>
                    <w:tr2bl w:val="nil"/>
                  </w:tcBorders>
                  <w:vAlign w:val="center"/>
                </w:tcPr>
                <w:p w14:paraId="0B5F94B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pPr>
                  <w:r>
                    <w:rPr>
                      <w:rFonts w:hint="eastAsia" w:cs="Times New Roman"/>
                      <w:color w:val="000000" w:themeColor="text1"/>
                      <w:spacing w:val="0"/>
                      <w:kern w:val="0"/>
                      <w:position w:val="0"/>
                      <w:sz w:val="21"/>
                      <w:szCs w:val="21"/>
                      <w:highlight w:val="none"/>
                      <w:lang w:val="en-US" w:eastAsia="zh-CN"/>
                      <w14:textFill>
                        <w14:solidFill>
                          <w14:schemeClr w14:val="tx1"/>
                        </w14:solidFill>
                      </w14:textFill>
                    </w:rPr>
                    <w:t>0.1</w:t>
                  </w:r>
                </w:p>
              </w:tc>
              <w:tc>
                <w:tcPr>
                  <w:tcW w:w="1199" w:type="dxa"/>
                  <w:tcBorders>
                    <w:tl2br w:val="nil"/>
                    <w:tr2bl w:val="nil"/>
                  </w:tcBorders>
                  <w:shd w:val="clear" w:color="auto" w:fill="auto"/>
                  <w:vAlign w:val="center"/>
                </w:tcPr>
                <w:p w14:paraId="7957230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val="en-US" w:eastAsia="zh-CN" w:bidi="ar-SA"/>
                    </w:rPr>
                    <w:t>集中收集后定期交环卫部门处理</w:t>
                  </w:r>
                </w:p>
              </w:tc>
            </w:tr>
            <w:tr w14:paraId="4F225D2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continue"/>
                  <w:tcBorders>
                    <w:tl2br w:val="nil"/>
                    <w:tr2bl w:val="nil"/>
                  </w:tcBorders>
                  <w:vAlign w:val="center"/>
                </w:tcPr>
                <w:p w14:paraId="458036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pPr>
                </w:p>
              </w:tc>
              <w:tc>
                <w:tcPr>
                  <w:tcW w:w="716" w:type="dxa"/>
                  <w:tcBorders>
                    <w:tl2br w:val="nil"/>
                    <w:tr2bl w:val="nil"/>
                  </w:tcBorders>
                  <w:vAlign w:val="center"/>
                </w:tcPr>
                <w:p w14:paraId="31D03E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pPr>
                  <w:r>
                    <w:rPr>
                      <w:rFonts w:hint="eastAsia" w:cs="Times New Roman"/>
                      <w:color w:val="000000" w:themeColor="text1"/>
                      <w:spacing w:val="0"/>
                      <w:kern w:val="0"/>
                      <w:position w:val="0"/>
                      <w:sz w:val="21"/>
                      <w:szCs w:val="21"/>
                      <w:highlight w:val="none"/>
                      <w:lang w:val="en-US" w:eastAsia="zh-CN"/>
                      <w14:textFill>
                        <w14:solidFill>
                          <w14:schemeClr w14:val="tx1"/>
                        </w14:solidFill>
                      </w14:textFill>
                    </w:rPr>
                    <w:t>宠物诊疗、疫苗接种</w:t>
                  </w:r>
                </w:p>
              </w:tc>
              <w:tc>
                <w:tcPr>
                  <w:tcW w:w="747" w:type="dxa"/>
                  <w:tcBorders>
                    <w:tl2br w:val="nil"/>
                    <w:tr2bl w:val="nil"/>
                  </w:tcBorders>
                  <w:shd w:val="clear" w:color="auto" w:fill="auto"/>
                  <w:vAlign w:val="center"/>
                </w:tcPr>
                <w:p w14:paraId="504DF7FA">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SA"/>
                    </w:rPr>
                  </w:pPr>
                  <w:r>
                    <w:rPr>
                      <w:rFonts w:hint="eastAsia" w:cs="Times New Roman"/>
                      <w:color w:val="auto"/>
                      <w:sz w:val="21"/>
                      <w:szCs w:val="21"/>
                      <w:highlight w:val="none"/>
                      <w:lang w:val="en-US" w:eastAsia="zh-CN"/>
                    </w:rPr>
                    <w:t>动物诊疗废物</w:t>
                  </w:r>
                </w:p>
              </w:tc>
              <w:tc>
                <w:tcPr>
                  <w:tcW w:w="482" w:type="dxa"/>
                  <w:tcBorders>
                    <w:tl2br w:val="nil"/>
                    <w:tr2bl w:val="nil"/>
                  </w:tcBorders>
                  <w:vAlign w:val="center"/>
                </w:tcPr>
                <w:p w14:paraId="506CDC3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pPr>
                  <w:r>
                    <w:rPr>
                      <w:rFonts w:hint="eastAsia" w:cs="Times New Roman"/>
                      <w:color w:val="000000" w:themeColor="text1"/>
                      <w:spacing w:val="0"/>
                      <w:kern w:val="0"/>
                      <w:position w:val="0"/>
                      <w:sz w:val="21"/>
                      <w:szCs w:val="21"/>
                      <w:highlight w:val="none"/>
                      <w:lang w:val="en-US" w:eastAsia="zh-CN"/>
                      <w14:textFill>
                        <w14:solidFill>
                          <w14:schemeClr w14:val="tx1"/>
                        </w14:solidFill>
                      </w14:textFill>
                    </w:rPr>
                    <w:t>/</w:t>
                  </w:r>
                </w:p>
              </w:tc>
              <w:tc>
                <w:tcPr>
                  <w:tcW w:w="1167" w:type="dxa"/>
                  <w:tcBorders>
                    <w:tl2br w:val="nil"/>
                    <w:tr2bl w:val="nil"/>
                  </w:tcBorders>
                  <w:vAlign w:val="center"/>
                </w:tcPr>
                <w:p w14:paraId="63A1AE03">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pPr>
                  <w:r>
                    <w:rPr>
                      <w:rFonts w:hint="eastAsia" w:cs="Times New Roman"/>
                      <w:color w:val="000000" w:themeColor="text1"/>
                      <w:spacing w:val="0"/>
                      <w:kern w:val="0"/>
                      <w:position w:val="0"/>
                      <w:sz w:val="21"/>
                      <w:szCs w:val="21"/>
                      <w:highlight w:val="none"/>
                      <w:lang w:val="en-US" w:eastAsia="zh-CN"/>
                      <w14:textFill>
                        <w14:solidFill>
                          <w14:schemeClr w14:val="tx1"/>
                        </w14:solidFill>
                      </w14:textFill>
                    </w:rPr>
                    <w:t>/</w:t>
                  </w:r>
                </w:p>
              </w:tc>
              <w:tc>
                <w:tcPr>
                  <w:tcW w:w="431" w:type="dxa"/>
                  <w:tcBorders>
                    <w:tl2br w:val="nil"/>
                    <w:tr2bl w:val="nil"/>
                  </w:tcBorders>
                  <w:vAlign w:val="center"/>
                </w:tcPr>
                <w:p w14:paraId="22ADAEC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t>类比法</w:t>
                  </w:r>
                </w:p>
              </w:tc>
              <w:tc>
                <w:tcPr>
                  <w:tcW w:w="623" w:type="dxa"/>
                  <w:tcBorders>
                    <w:tl2br w:val="nil"/>
                    <w:tr2bl w:val="nil"/>
                  </w:tcBorders>
                  <w:vAlign w:val="center"/>
                </w:tcPr>
                <w:p w14:paraId="7747957B">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pPr>
                  <w:r>
                    <w:rPr>
                      <w:rFonts w:hint="eastAsia" w:cs="Times New Roman"/>
                      <w:color w:val="000000" w:themeColor="text1"/>
                      <w:spacing w:val="0"/>
                      <w:kern w:val="0"/>
                      <w:position w:val="0"/>
                      <w:sz w:val="21"/>
                      <w:szCs w:val="21"/>
                      <w:highlight w:val="none"/>
                      <w:lang w:val="en-US" w:eastAsia="zh-CN"/>
                      <w14:textFill>
                        <w14:solidFill>
                          <w14:schemeClr w14:val="tx1"/>
                        </w14:solidFill>
                      </w14:textFill>
                    </w:rPr>
                    <w:t>0.3</w:t>
                  </w:r>
                </w:p>
              </w:tc>
              <w:tc>
                <w:tcPr>
                  <w:tcW w:w="1170" w:type="dxa"/>
                  <w:tcBorders>
                    <w:tl2br w:val="nil"/>
                    <w:tr2bl w:val="nil"/>
                  </w:tcBorders>
                  <w:vAlign w:val="center"/>
                </w:tcPr>
                <w:p w14:paraId="241FD216">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sz w:val="21"/>
                      <w:szCs w:val="21"/>
                    </w:rPr>
                    <w:t>集中收集</w:t>
                  </w:r>
                  <w:r>
                    <w:rPr>
                      <w:rFonts w:hint="eastAsia" w:ascii="Times New Roman" w:hAnsi="Times New Roman" w:eastAsia="宋体" w:cs="Times New Roman"/>
                      <w:sz w:val="21"/>
                      <w:szCs w:val="21"/>
                      <w:lang w:val="en-US" w:eastAsia="zh-CN"/>
                    </w:rPr>
                    <w:t>至</w:t>
                  </w:r>
                  <w:r>
                    <w:rPr>
                      <w:rFonts w:hint="default" w:ascii="Times New Roman" w:hAnsi="Times New Roman" w:eastAsia="宋体" w:cs="Times New Roman"/>
                      <w:sz w:val="21"/>
                      <w:szCs w:val="21"/>
                      <w:lang w:val="en-US" w:eastAsia="zh-CN"/>
                    </w:rPr>
                    <w:t>医疗废物专用暂时贮存柜（箱）</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定期委托库尔勒天达环卫有限责任公司处理</w:t>
                  </w:r>
                </w:p>
              </w:tc>
              <w:tc>
                <w:tcPr>
                  <w:tcW w:w="722" w:type="dxa"/>
                  <w:tcBorders>
                    <w:tl2br w:val="nil"/>
                    <w:tr2bl w:val="nil"/>
                  </w:tcBorders>
                  <w:vAlign w:val="center"/>
                </w:tcPr>
                <w:p w14:paraId="3D6BDC67">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kern w:val="0"/>
                      <w:position w:val="0"/>
                      <w:sz w:val="21"/>
                      <w:szCs w:val="21"/>
                      <w:highlight w:val="none"/>
                      <w:lang w:val="en-US" w:eastAsia="zh-CN"/>
                      <w14:textFill>
                        <w14:solidFill>
                          <w14:schemeClr w14:val="tx1"/>
                        </w14:solidFill>
                      </w14:textFill>
                    </w:rPr>
                  </w:pPr>
                  <w:r>
                    <w:rPr>
                      <w:rFonts w:hint="eastAsia" w:cs="Times New Roman"/>
                      <w:color w:val="000000" w:themeColor="text1"/>
                      <w:spacing w:val="0"/>
                      <w:kern w:val="0"/>
                      <w:position w:val="0"/>
                      <w:sz w:val="21"/>
                      <w:szCs w:val="21"/>
                      <w:highlight w:val="none"/>
                      <w:lang w:val="en-US" w:eastAsia="zh-CN"/>
                      <w14:textFill>
                        <w14:solidFill>
                          <w14:schemeClr w14:val="tx1"/>
                        </w14:solidFill>
                      </w14:textFill>
                    </w:rPr>
                    <w:t>0.3</w:t>
                  </w:r>
                </w:p>
              </w:tc>
              <w:tc>
                <w:tcPr>
                  <w:tcW w:w="1199" w:type="dxa"/>
                  <w:tcBorders>
                    <w:tl2br w:val="nil"/>
                    <w:tr2bl w:val="nil"/>
                  </w:tcBorders>
                  <w:shd w:val="clear" w:color="auto" w:fill="auto"/>
                  <w:vAlign w:val="center"/>
                </w:tcPr>
                <w:p w14:paraId="292F3817">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sz w:val="21"/>
                      <w:szCs w:val="21"/>
                    </w:rPr>
                    <w:t>集中收集</w:t>
                  </w:r>
                  <w:r>
                    <w:rPr>
                      <w:rFonts w:hint="eastAsia" w:ascii="Times New Roman" w:hAnsi="Times New Roman" w:eastAsia="宋体" w:cs="Times New Roman"/>
                      <w:sz w:val="21"/>
                      <w:szCs w:val="21"/>
                      <w:lang w:val="en-US" w:eastAsia="zh-CN"/>
                    </w:rPr>
                    <w:t>至</w:t>
                  </w:r>
                  <w:r>
                    <w:rPr>
                      <w:rFonts w:hint="default" w:ascii="Times New Roman" w:hAnsi="Times New Roman" w:eastAsia="宋体" w:cs="Times New Roman"/>
                      <w:sz w:val="21"/>
                      <w:szCs w:val="21"/>
                      <w:lang w:val="en-US" w:eastAsia="zh-CN"/>
                    </w:rPr>
                    <w:t>医疗废物专用暂时贮存柜（箱）</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定期委托库尔勒天达环卫有限责任公司处理</w:t>
                  </w:r>
                </w:p>
              </w:tc>
            </w:tr>
          </w:tbl>
          <w:p w14:paraId="23881B1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outlineLvl w:val="9"/>
              <w:rPr>
                <w:rFonts w:hint="default" w:ascii="Times New Roman" w:hAnsi="Times New Roman" w:eastAsia="宋体" w:cs="Times New Roman"/>
                <w:lang w:val="en-US" w:eastAsia="zh-CN"/>
              </w:rPr>
            </w:pPr>
            <w:r>
              <w:rPr>
                <w:rFonts w:hint="default" w:ascii="Times New Roman" w:hAnsi="Times New Roman" w:eastAsia="宋体" w:cs="Times New Roman"/>
                <w:b/>
                <w:bCs/>
                <w:lang w:val="en-US" w:eastAsia="zh-CN"/>
              </w:rPr>
              <w:t>4.3环境管理要求</w:t>
            </w:r>
          </w:p>
          <w:p w14:paraId="2C35DECA">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480" w:leftChars="200" w:right="0" w:rightChars="0"/>
              <w:textAlignment w:val="auto"/>
              <w:rPr>
                <w:rFonts w:hint="default" w:ascii="Times New Roman" w:hAnsi="Times New Roman" w:eastAsia="宋体" w:cs="Times New Roman"/>
              </w:rPr>
            </w:pPr>
            <w:r>
              <w:rPr>
                <w:rFonts w:hint="default" w:ascii="Times New Roman" w:hAnsi="Times New Roman" w:eastAsia="宋体" w:cs="Times New Roman"/>
                <w:color w:val="000000" w:themeColor="text1"/>
                <w:spacing w:val="0"/>
                <w:kern w:val="0"/>
                <w:position w:val="0"/>
                <w:sz w:val="24"/>
                <w:szCs w:val="24"/>
                <w:highlight w:val="none"/>
                <w:lang w:val="en-US" w:eastAsia="zh-CN"/>
                <w14:textFill>
                  <w14:solidFill>
                    <w14:schemeClr w14:val="tx1"/>
                  </w14:solidFill>
                </w14:textFill>
              </w:rPr>
              <w:t>（</w:t>
            </w:r>
            <w:r>
              <w:rPr>
                <w:rFonts w:hint="eastAsia" w:cs="Times New Roman"/>
                <w:color w:val="000000" w:themeColor="text1"/>
                <w:spacing w:val="0"/>
                <w:kern w:val="0"/>
                <w:position w:val="0"/>
                <w:sz w:val="24"/>
                <w:szCs w:val="24"/>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pacing w:val="0"/>
                <w:kern w:val="0"/>
                <w:position w:val="0"/>
                <w:sz w:val="24"/>
                <w:szCs w:val="24"/>
                <w:highlight w:val="none"/>
                <w:lang w:val="en-US" w:eastAsia="zh-CN"/>
                <w14:textFill>
                  <w14:solidFill>
                    <w14:schemeClr w14:val="tx1"/>
                  </w14:solidFill>
                </w14:textFill>
              </w:rPr>
              <w:t>）</w:t>
            </w:r>
            <w:r>
              <w:rPr>
                <w:rFonts w:hint="eastAsia" w:cs="Times New Roman"/>
                <w:color w:val="000000" w:themeColor="text1"/>
                <w:spacing w:val="0"/>
                <w:kern w:val="0"/>
                <w:position w:val="0"/>
                <w:sz w:val="24"/>
                <w:szCs w:val="24"/>
                <w:highlight w:val="none"/>
                <w:lang w:val="en-US" w:eastAsia="zh-CN"/>
                <w14:textFill>
                  <w14:solidFill>
                    <w14:schemeClr w14:val="tx1"/>
                  </w14:solidFill>
                </w14:textFill>
              </w:rPr>
              <w:t>动物诊疗</w:t>
            </w:r>
            <w:r>
              <w:rPr>
                <w:rFonts w:hint="default" w:ascii="Times New Roman" w:hAnsi="Times New Roman" w:eastAsia="宋体" w:cs="Times New Roman"/>
                <w:color w:val="000000" w:themeColor="text1"/>
                <w:spacing w:val="0"/>
                <w:kern w:val="0"/>
                <w:position w:val="0"/>
                <w:sz w:val="24"/>
                <w:szCs w:val="24"/>
                <w:highlight w:val="none"/>
                <w:lang w:val="en-US" w:eastAsia="zh-CN"/>
                <w14:textFill>
                  <w14:solidFill>
                    <w14:schemeClr w14:val="tx1"/>
                  </w14:solidFill>
                </w14:textFill>
              </w:rPr>
              <w:t>废物</w:t>
            </w:r>
          </w:p>
          <w:p w14:paraId="6DADF40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sz w:val="24"/>
                <w:szCs w:val="24"/>
              </w:rPr>
            </w:pPr>
            <w:r>
              <w:rPr>
                <w:rFonts w:hint="default"/>
                <w:sz w:val="24"/>
                <w:szCs w:val="24"/>
              </w:rPr>
              <w:t>根据《医疗废物管理条例》（</w:t>
            </w:r>
            <w:r>
              <w:rPr>
                <w:rFonts w:hint="default" w:ascii="Times New Roman" w:hAnsi="Times New Roman" w:eastAsia="Times New Roman" w:cs="Times New Roman"/>
                <w:sz w:val="24"/>
                <w:szCs w:val="24"/>
              </w:rPr>
              <w:t>2011</w:t>
            </w:r>
            <w:r>
              <w:rPr>
                <w:rFonts w:hint="default"/>
                <w:sz w:val="24"/>
                <w:szCs w:val="24"/>
              </w:rPr>
              <w:t>年修订）、《医疗废物集中处置技术规范</w:t>
            </w:r>
            <w:r>
              <w:rPr>
                <w:rFonts w:hint="eastAsia"/>
                <w:sz w:val="24"/>
                <w:szCs w:val="24"/>
                <w:lang w:eastAsia="zh-CN"/>
              </w:rPr>
              <w:t>（</w:t>
            </w:r>
            <w:r>
              <w:rPr>
                <w:rFonts w:hint="eastAsia"/>
                <w:sz w:val="24"/>
                <w:szCs w:val="24"/>
                <w:lang w:val="en-US" w:eastAsia="zh-CN"/>
              </w:rPr>
              <w:t>试行</w:t>
            </w:r>
            <w:r>
              <w:rPr>
                <w:rFonts w:hint="eastAsia"/>
                <w:sz w:val="24"/>
                <w:szCs w:val="24"/>
                <w:lang w:eastAsia="zh-CN"/>
              </w:rPr>
              <w:t>）</w:t>
            </w:r>
            <w:r>
              <w:rPr>
                <w:rFonts w:hint="default"/>
                <w:sz w:val="24"/>
                <w:szCs w:val="24"/>
              </w:rPr>
              <w:t>》</w:t>
            </w:r>
            <w:r>
              <w:rPr>
                <w:rFonts w:hint="default"/>
                <w:spacing w:val="-1"/>
                <w:sz w:val="24"/>
                <w:szCs w:val="24"/>
              </w:rPr>
              <w:t>（环发</w:t>
            </w:r>
            <w:r>
              <w:rPr>
                <w:rFonts w:hint="eastAsia"/>
                <w:spacing w:val="-1"/>
                <w:sz w:val="24"/>
                <w:szCs w:val="24"/>
                <w:lang w:eastAsia="zh-CN"/>
              </w:rPr>
              <w:t>〔</w:t>
            </w:r>
            <w:r>
              <w:rPr>
                <w:rFonts w:hint="default" w:ascii="Times New Roman" w:hAnsi="Times New Roman" w:eastAsia="Times New Roman" w:cs="Times New Roman"/>
                <w:spacing w:val="-1"/>
                <w:sz w:val="24"/>
                <w:szCs w:val="24"/>
              </w:rPr>
              <w:t>2003</w:t>
            </w:r>
            <w:r>
              <w:rPr>
                <w:rFonts w:hint="eastAsia" w:eastAsia="宋体" w:cs="Times New Roman"/>
                <w:spacing w:val="-1"/>
                <w:sz w:val="24"/>
                <w:szCs w:val="24"/>
                <w:lang w:eastAsia="zh-CN"/>
              </w:rPr>
              <w:t>〕</w:t>
            </w:r>
            <w:r>
              <w:rPr>
                <w:rFonts w:hint="default" w:ascii="Times New Roman" w:hAnsi="Times New Roman" w:eastAsia="Times New Roman" w:cs="Times New Roman"/>
                <w:spacing w:val="-1"/>
                <w:sz w:val="24"/>
                <w:szCs w:val="24"/>
              </w:rPr>
              <w:t>206</w:t>
            </w:r>
            <w:r>
              <w:rPr>
                <w:rFonts w:hint="default"/>
                <w:spacing w:val="-1"/>
                <w:sz w:val="24"/>
                <w:szCs w:val="24"/>
              </w:rPr>
              <w:t>号）</w:t>
            </w:r>
            <w:r>
              <w:rPr>
                <w:rFonts w:hint="eastAsia"/>
                <w:spacing w:val="-1"/>
                <w:sz w:val="24"/>
                <w:szCs w:val="24"/>
                <w:lang w:eastAsia="zh-CN"/>
              </w:rPr>
              <w:t>以及</w:t>
            </w:r>
            <w:r>
              <w:rPr>
                <w:rFonts w:hint="default"/>
                <w:sz w:val="24"/>
                <w:szCs w:val="24"/>
              </w:rPr>
              <w:t>《医疗卫生机构医疗废物管理办法》</w:t>
            </w:r>
            <w:r>
              <w:rPr>
                <w:rFonts w:hint="default"/>
                <w:spacing w:val="-1"/>
                <w:sz w:val="24"/>
                <w:szCs w:val="24"/>
              </w:rPr>
              <w:t>中的相应要求，</w:t>
            </w:r>
            <w:r>
              <w:rPr>
                <w:rFonts w:hint="eastAsia"/>
                <w:spacing w:val="-1"/>
                <w:sz w:val="24"/>
                <w:szCs w:val="24"/>
                <w:lang w:val="en-US" w:eastAsia="zh-CN"/>
              </w:rPr>
              <w:t>本次</w:t>
            </w:r>
            <w:r>
              <w:rPr>
                <w:rFonts w:hint="default" w:ascii="Times New Roman" w:hAnsi="Times New Roman" w:eastAsia="宋体" w:cs="Times New Roman"/>
                <w:color w:val="auto"/>
                <w:sz w:val="24"/>
                <w:szCs w:val="24"/>
                <w:lang w:val="en-US" w:eastAsia="zh-CN"/>
              </w:rPr>
              <w:t>环评对危险废物的</w:t>
            </w:r>
            <w:r>
              <w:rPr>
                <w:rFonts w:hint="eastAsia" w:ascii="Times New Roman" w:hAnsi="Times New Roman" w:eastAsia="宋体" w:cs="Times New Roman"/>
                <w:color w:val="auto"/>
                <w:sz w:val="24"/>
                <w:szCs w:val="24"/>
                <w:lang w:val="en-US" w:eastAsia="zh-CN"/>
              </w:rPr>
              <w:t>管理、</w:t>
            </w:r>
            <w:r>
              <w:rPr>
                <w:rFonts w:hint="default" w:ascii="Times New Roman" w:hAnsi="Times New Roman" w:eastAsia="宋体" w:cs="Times New Roman"/>
                <w:color w:val="auto"/>
                <w:sz w:val="24"/>
                <w:szCs w:val="24"/>
                <w:lang w:val="en-US" w:eastAsia="zh-CN"/>
              </w:rPr>
              <w:t>收集、暂存、运输及交接提出如下要求：</w:t>
            </w:r>
          </w:p>
          <w:p w14:paraId="2F4BB7C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70" w:firstLineChars="200"/>
              <w:textAlignment w:val="auto"/>
              <w:rPr>
                <w:rFonts w:hint="default"/>
                <w:b w:val="0"/>
                <w:bCs w:val="0"/>
                <w:spacing w:val="-3"/>
                <w:sz w:val="24"/>
                <w:szCs w:val="24"/>
              </w:rPr>
            </w:pPr>
            <w:r>
              <w:rPr>
                <w:rFonts w:hint="eastAsia"/>
                <w:b/>
                <w:bCs/>
                <w:spacing w:val="-3"/>
                <w:sz w:val="24"/>
                <w:szCs w:val="24"/>
              </w:rPr>
              <w:t>专用暂时贮存柜（箱）</w:t>
            </w:r>
            <w:r>
              <w:rPr>
                <w:rFonts w:hint="default"/>
                <w:b/>
                <w:bCs/>
                <w:spacing w:val="-3"/>
                <w:sz w:val="24"/>
                <w:szCs w:val="24"/>
              </w:rPr>
              <w:t>建设要求</w:t>
            </w:r>
          </w:p>
          <w:p w14:paraId="7E60446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68" w:firstLineChars="200"/>
              <w:textAlignment w:val="auto"/>
              <w:rPr>
                <w:rFonts w:hint="eastAsia"/>
                <w:b w:val="0"/>
                <w:bCs w:val="0"/>
                <w:spacing w:val="-3"/>
                <w:sz w:val="24"/>
                <w:szCs w:val="24"/>
              </w:rPr>
            </w:pPr>
            <w:r>
              <w:rPr>
                <w:rFonts w:hint="eastAsia"/>
                <w:b w:val="0"/>
                <w:bCs w:val="0"/>
                <w:spacing w:val="-3"/>
                <w:sz w:val="24"/>
                <w:szCs w:val="24"/>
                <w:lang w:val="en-US" w:eastAsia="zh-CN"/>
              </w:rPr>
              <w:t>本项目按照</w:t>
            </w:r>
            <w:r>
              <w:rPr>
                <w:rFonts w:hint="eastAsia"/>
                <w:b w:val="0"/>
                <w:bCs w:val="0"/>
                <w:spacing w:val="-3"/>
                <w:sz w:val="24"/>
                <w:szCs w:val="24"/>
              </w:rPr>
              <w:t>《医疗废物集中处置技术规范</w:t>
            </w:r>
            <w:r>
              <w:rPr>
                <w:rFonts w:hint="eastAsia"/>
                <w:b w:val="0"/>
                <w:bCs w:val="0"/>
                <w:spacing w:val="-3"/>
                <w:sz w:val="24"/>
                <w:szCs w:val="24"/>
                <w:lang w:eastAsia="zh-CN"/>
              </w:rPr>
              <w:t>（</w:t>
            </w:r>
            <w:r>
              <w:rPr>
                <w:rFonts w:hint="eastAsia"/>
                <w:b w:val="0"/>
                <w:bCs w:val="0"/>
                <w:spacing w:val="-3"/>
                <w:sz w:val="24"/>
                <w:szCs w:val="24"/>
                <w:lang w:val="en-US" w:eastAsia="zh-CN"/>
              </w:rPr>
              <w:t>试行</w:t>
            </w:r>
            <w:r>
              <w:rPr>
                <w:rFonts w:hint="eastAsia"/>
                <w:b w:val="0"/>
                <w:bCs w:val="0"/>
                <w:spacing w:val="-3"/>
                <w:sz w:val="24"/>
                <w:szCs w:val="24"/>
                <w:lang w:eastAsia="zh-CN"/>
              </w:rPr>
              <w:t>）</w:t>
            </w:r>
            <w:r>
              <w:rPr>
                <w:rFonts w:hint="eastAsia"/>
                <w:b w:val="0"/>
                <w:bCs w:val="0"/>
                <w:spacing w:val="-3"/>
                <w:sz w:val="24"/>
                <w:szCs w:val="24"/>
              </w:rPr>
              <w:t>》（环发</w:t>
            </w:r>
            <w:r>
              <w:rPr>
                <w:rFonts w:hint="eastAsia"/>
                <w:b w:val="0"/>
                <w:bCs w:val="0"/>
                <w:spacing w:val="-3"/>
                <w:sz w:val="24"/>
                <w:szCs w:val="24"/>
                <w:lang w:eastAsia="zh-CN"/>
              </w:rPr>
              <w:t>〔</w:t>
            </w:r>
            <w:r>
              <w:rPr>
                <w:rFonts w:hint="eastAsia"/>
                <w:b w:val="0"/>
                <w:bCs w:val="0"/>
                <w:spacing w:val="-3"/>
                <w:sz w:val="24"/>
                <w:szCs w:val="24"/>
              </w:rPr>
              <w:t>2</w:t>
            </w:r>
            <w:r>
              <w:rPr>
                <w:rFonts w:hint="eastAsia"/>
                <w:b w:val="0"/>
                <w:bCs w:val="0"/>
                <w:spacing w:val="-3"/>
                <w:sz w:val="24"/>
                <w:szCs w:val="24"/>
                <w:lang w:val="en-US" w:eastAsia="zh-CN"/>
              </w:rPr>
              <w:t>003〕206号）中要求设置专用暂时贮存柜（箱）：</w:t>
            </w:r>
          </w:p>
          <w:p w14:paraId="60B2864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68" w:firstLineChars="200"/>
              <w:textAlignment w:val="auto"/>
              <w:rPr>
                <w:rFonts w:hint="eastAsia"/>
                <w:b w:val="0"/>
                <w:bCs w:val="0"/>
                <w:spacing w:val="-3"/>
                <w:sz w:val="24"/>
                <w:szCs w:val="24"/>
              </w:rPr>
            </w:pPr>
            <w:r>
              <w:rPr>
                <w:rFonts w:hint="eastAsia"/>
                <w:b w:val="0"/>
                <w:bCs w:val="0"/>
                <w:spacing w:val="-3"/>
                <w:sz w:val="24"/>
                <w:szCs w:val="24"/>
                <w:lang w:val="en-US" w:eastAsia="zh-CN"/>
              </w:rPr>
              <w:t>a.</w:t>
            </w:r>
            <w:r>
              <w:rPr>
                <w:rFonts w:hint="eastAsia"/>
                <w:b w:val="0"/>
                <w:bCs w:val="0"/>
                <w:spacing w:val="-3"/>
                <w:sz w:val="24"/>
                <w:szCs w:val="24"/>
              </w:rPr>
              <w:t>医疗废物暂时贮存柜（箱）必须与生活垃圾存放地分开，并有防雨淋、防扬散措施，同时符合消防安全要求；</w:t>
            </w:r>
          </w:p>
          <w:p w14:paraId="5691832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68" w:firstLineChars="200"/>
              <w:textAlignment w:val="auto"/>
              <w:rPr>
                <w:rFonts w:hint="eastAsia"/>
                <w:b w:val="0"/>
                <w:bCs w:val="0"/>
                <w:spacing w:val="-3"/>
                <w:sz w:val="24"/>
                <w:szCs w:val="24"/>
              </w:rPr>
            </w:pPr>
            <w:r>
              <w:rPr>
                <w:rFonts w:hint="eastAsia"/>
                <w:b w:val="0"/>
                <w:bCs w:val="0"/>
                <w:spacing w:val="-3"/>
                <w:sz w:val="24"/>
                <w:szCs w:val="24"/>
                <w:lang w:val="en-US" w:eastAsia="zh-CN"/>
              </w:rPr>
              <w:t>b.</w:t>
            </w:r>
            <w:r>
              <w:rPr>
                <w:rFonts w:hint="eastAsia"/>
                <w:b w:val="0"/>
                <w:bCs w:val="0"/>
                <w:spacing w:val="-3"/>
                <w:sz w:val="24"/>
                <w:szCs w:val="24"/>
              </w:rPr>
              <w:t>将分类包装的医疗废物盛放在周转箱内后，置于专用暂时贮存柜（箱）中。柜（箱）应密闭并采取安全措施，如加锁和固定装置，做到无关人员不可移动，外部应按照GB15562.2和附录A要求设置警示标识；</w:t>
            </w:r>
          </w:p>
          <w:p w14:paraId="19D77D3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68" w:firstLineChars="200"/>
              <w:textAlignment w:val="auto"/>
              <w:rPr>
                <w:rFonts w:hint="eastAsia"/>
                <w:b w:val="0"/>
                <w:bCs w:val="0"/>
                <w:spacing w:val="-3"/>
                <w:sz w:val="24"/>
                <w:szCs w:val="24"/>
              </w:rPr>
            </w:pPr>
            <w:r>
              <w:rPr>
                <w:rFonts w:hint="eastAsia"/>
                <w:b w:val="0"/>
                <w:bCs w:val="0"/>
                <w:spacing w:val="-3"/>
                <w:sz w:val="24"/>
                <w:szCs w:val="24"/>
                <w:lang w:val="en-US" w:eastAsia="zh-CN"/>
              </w:rPr>
              <w:t>c.</w:t>
            </w:r>
            <w:r>
              <w:rPr>
                <w:rFonts w:hint="eastAsia"/>
                <w:b w:val="0"/>
                <w:bCs w:val="0"/>
                <w:spacing w:val="-3"/>
                <w:sz w:val="24"/>
                <w:szCs w:val="24"/>
              </w:rPr>
              <w:t>可用冷藏柜（箱）作为医疗废物专用暂时贮存柜（箱）；也可用金属或硬</w:t>
            </w:r>
            <w:r>
              <w:rPr>
                <w:rFonts w:hint="eastAsia"/>
                <w:b w:val="0"/>
                <w:bCs w:val="0"/>
                <w:spacing w:val="-3"/>
                <w:sz w:val="24"/>
                <w:szCs w:val="24"/>
                <w:lang w:val="en-US" w:eastAsia="zh-CN"/>
              </w:rPr>
              <w:t>质</w:t>
            </w:r>
            <w:r>
              <w:rPr>
                <w:rFonts w:hint="eastAsia"/>
                <w:b w:val="0"/>
                <w:bCs w:val="0"/>
                <w:spacing w:val="-3"/>
                <w:sz w:val="24"/>
                <w:szCs w:val="24"/>
              </w:rPr>
              <w:t>塑料制作，具有一定的强度，防渗漏。</w:t>
            </w:r>
          </w:p>
          <w:p w14:paraId="02E3E56D">
            <w:pPr>
              <w:pStyle w:val="9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default"/>
                <w:sz w:val="24"/>
                <w:szCs w:val="24"/>
              </w:rPr>
            </w:pPr>
            <w:r>
              <w:rPr>
                <w:rFonts w:hint="default"/>
                <w:b/>
                <w:bCs/>
                <w:spacing w:val="-5"/>
                <w:sz w:val="24"/>
                <w:szCs w:val="24"/>
              </w:rPr>
              <w:t>管理要求</w:t>
            </w:r>
          </w:p>
          <w:p w14:paraId="1B581A79">
            <w:pPr>
              <w:keepNext w:val="0"/>
              <w:keepLines w:val="0"/>
              <w:pageBreakBefore w:val="0"/>
              <w:numPr>
                <w:ilvl w:val="0"/>
                <w:numId w:val="6"/>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医疗废物暂时贮存柜（箱）应每天消毒一次</w:t>
            </w:r>
          </w:p>
          <w:p w14:paraId="54754C99">
            <w:pPr>
              <w:keepNext w:val="0"/>
              <w:keepLines w:val="0"/>
              <w:pageBreakBefore w:val="0"/>
              <w:numPr>
                <w:ilvl w:val="0"/>
                <w:numId w:val="6"/>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68" w:firstLineChars="200"/>
              <w:textAlignment w:val="auto"/>
              <w:rPr>
                <w:rFonts w:hint="eastAsia"/>
                <w:b w:val="0"/>
                <w:bCs w:val="0"/>
                <w:spacing w:val="-3"/>
                <w:sz w:val="24"/>
                <w:szCs w:val="24"/>
              </w:rPr>
            </w:pPr>
            <w:r>
              <w:rPr>
                <w:rFonts w:hint="eastAsia"/>
                <w:b w:val="0"/>
                <w:bCs w:val="0"/>
                <w:spacing w:val="-3"/>
                <w:sz w:val="24"/>
                <w:szCs w:val="24"/>
              </w:rPr>
              <w:t>应防止医疗废物在暂时贮存库房和专用暂时贮存柜（箱）中腐败散发恶臭，尽量做到日产日清。</w:t>
            </w:r>
          </w:p>
          <w:p w14:paraId="4764F535">
            <w:pPr>
              <w:keepNext w:val="0"/>
              <w:keepLines w:val="0"/>
              <w:pageBreakBefore w:val="0"/>
              <w:numPr>
                <w:ilvl w:val="0"/>
                <w:numId w:val="6"/>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68" w:firstLineChars="200"/>
              <w:textAlignment w:val="auto"/>
              <w:rPr>
                <w:rFonts w:hint="eastAsia"/>
                <w:b w:val="0"/>
                <w:bCs w:val="0"/>
                <w:spacing w:val="-3"/>
                <w:sz w:val="24"/>
                <w:szCs w:val="24"/>
              </w:rPr>
            </w:pPr>
            <w:r>
              <w:rPr>
                <w:rFonts w:hint="eastAsia"/>
                <w:b w:val="0"/>
                <w:bCs w:val="0"/>
                <w:spacing w:val="-3"/>
                <w:sz w:val="24"/>
                <w:szCs w:val="24"/>
              </w:rPr>
              <w:t>确实不能做到日产日清，且当地最高气温高于25℃时，应将医疗废物低温暂时贮存，暂时贮存温度应低于20℃，时间最长不超过48小时。</w:t>
            </w:r>
          </w:p>
          <w:p w14:paraId="2EA5F9D8">
            <w:pPr>
              <w:keepNext w:val="0"/>
              <w:keepLines w:val="0"/>
              <w:pageBreakBefore w:val="0"/>
              <w:numPr>
                <w:ilvl w:val="0"/>
                <w:numId w:val="6"/>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68" w:firstLineChars="200"/>
              <w:textAlignment w:val="auto"/>
              <w:rPr>
                <w:rFonts w:hint="eastAsia"/>
                <w:b w:val="0"/>
                <w:bCs w:val="0"/>
                <w:spacing w:val="-3"/>
                <w:sz w:val="24"/>
                <w:szCs w:val="24"/>
              </w:rPr>
            </w:pPr>
            <w:r>
              <w:rPr>
                <w:rFonts w:hint="eastAsia"/>
                <w:b w:val="0"/>
                <w:bCs w:val="0"/>
                <w:spacing w:val="-3"/>
                <w:sz w:val="24"/>
                <w:szCs w:val="24"/>
              </w:rPr>
              <w:t>医疗卫生机构应制定医疗废物暂时贮存管理的有关规章制度、工作程序及应急处理措施。</w:t>
            </w:r>
          </w:p>
          <w:p w14:paraId="6B72B1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70" w:firstLineChars="200"/>
              <w:textAlignment w:val="auto"/>
              <w:rPr>
                <w:rFonts w:hint="default"/>
                <w:b/>
                <w:bCs/>
                <w:spacing w:val="-3"/>
                <w:sz w:val="24"/>
                <w:szCs w:val="24"/>
                <w:highlight w:val="none"/>
              </w:rPr>
            </w:pPr>
            <w:r>
              <w:rPr>
                <w:rFonts w:hint="default"/>
                <w:b/>
                <w:bCs/>
                <w:spacing w:val="-3"/>
                <w:sz w:val="24"/>
                <w:szCs w:val="24"/>
                <w:highlight w:val="none"/>
              </w:rPr>
              <w:t>医疗废物院内收集要求</w:t>
            </w:r>
          </w:p>
          <w:p w14:paraId="5F3182C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根据《医疗卫生机构医疗废物管理办法》，医院应当按照以下要求，及时分类收集医疗废物：</w:t>
            </w:r>
          </w:p>
          <w:p w14:paraId="0908C39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a.根据医疗废物的类别，将医疗废物分置于符合《医疗废物专用包装物、容器的标准和警示标识的规定》的包装物或者容器内；</w:t>
            </w:r>
          </w:p>
          <w:p w14:paraId="53F8F9A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b.在盛装医疗废物前，应当对医疗废物包装物或者容器进行认真检查，确保无破损、渗漏</w:t>
            </w:r>
            <w:r>
              <w:rPr>
                <w:rFonts w:hint="eastAsia" w:cs="Times New Roman"/>
                <w:sz w:val="24"/>
                <w:szCs w:val="24"/>
                <w:lang w:eastAsia="zh-CN"/>
              </w:rPr>
              <w:t>和其他</w:t>
            </w:r>
            <w:r>
              <w:rPr>
                <w:rFonts w:hint="default" w:ascii="Times New Roman" w:hAnsi="Times New Roman" w:eastAsia="宋体" w:cs="Times New Roman"/>
                <w:sz w:val="24"/>
                <w:szCs w:val="24"/>
              </w:rPr>
              <w:t>缺陷；</w:t>
            </w:r>
          </w:p>
          <w:p w14:paraId="68847B1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c.感染性废物、病理性废物、损伤性废物、药物性废物及化学性废物不能混合收集。少量的药物性废物可以混入感染性废物，但应当在标签上注明；</w:t>
            </w:r>
          </w:p>
          <w:p w14:paraId="238DF0A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d.放入包装物或者容器内的感染性废物、病理性废物、损伤性废物不得取出；</w:t>
            </w:r>
          </w:p>
          <w:p w14:paraId="3B44CCF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e.医疗卫生机构内医疗废物产生地点应当有医疗废物分类收集方法的示意图或者文字说明；</w:t>
            </w:r>
          </w:p>
          <w:p w14:paraId="4093265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f.盛装的医疗废物达到包装物或者容器的3/4时，应当使用有效的封口方式，使包装物或者容器的封口紧实、严密；</w:t>
            </w:r>
          </w:p>
          <w:p w14:paraId="7E81C39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g.包装物或者容器的外表面被感染性废物污染时，应当对被污染处进行消毒处理或者增加一层包装；</w:t>
            </w:r>
          </w:p>
          <w:p w14:paraId="377C399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lang w:val="en-US" w:eastAsia="zh-CN"/>
              </w:rPr>
            </w:pPr>
            <w:r>
              <w:rPr>
                <w:rFonts w:hint="default" w:ascii="Times New Roman" w:hAnsi="Times New Roman" w:eastAsia="宋体" w:cs="Times New Roman"/>
                <w:sz w:val="24"/>
                <w:szCs w:val="24"/>
              </w:rPr>
              <w:t>h.盛装医疗废物的每个包装物、容器外表面应当有警示标识，在每个</w:t>
            </w:r>
            <w:r>
              <w:rPr>
                <w:rFonts w:hint="eastAsia" w:cs="Times New Roman"/>
                <w:sz w:val="24"/>
                <w:szCs w:val="24"/>
                <w:lang w:val="en-US" w:eastAsia="zh-CN"/>
              </w:rPr>
              <w:t>包</w:t>
            </w:r>
            <w:r>
              <w:rPr>
                <w:rFonts w:hint="default" w:ascii="Times New Roman" w:hAnsi="Times New Roman" w:eastAsia="宋体" w:cs="Times New Roman"/>
                <w:sz w:val="24"/>
                <w:szCs w:val="24"/>
              </w:rPr>
              <w:t>装物、容器上应当系中文标签，中文标签的内容应当包括：医疗废物产生单位、产生日期、类别及需要的特别说明等</w:t>
            </w:r>
            <w:r>
              <w:rPr>
                <w:rFonts w:hint="eastAsia" w:cs="Times New Roman"/>
                <w:sz w:val="24"/>
                <w:szCs w:val="24"/>
                <w:lang w:eastAsia="zh-CN"/>
              </w:rPr>
              <w:t>。</w:t>
            </w:r>
          </w:p>
          <w:p w14:paraId="79B4563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default" w:ascii="Times New Roman" w:hAnsi="Times New Roman" w:cs="Times New Roman"/>
                <w:b/>
                <w:bCs/>
                <w:sz w:val="24"/>
                <w:szCs w:val="24"/>
              </w:rPr>
            </w:pPr>
            <w:r>
              <w:rPr>
                <w:rFonts w:hint="default" w:ascii="Times New Roman" w:hAnsi="Times New Roman" w:eastAsia="宋体" w:cs="Times New Roman"/>
                <w:b/>
                <w:bCs/>
                <w:color w:val="auto"/>
                <w:sz w:val="24"/>
                <w:szCs w:val="24"/>
                <w:lang w:val="en-US" w:eastAsia="zh-CN"/>
              </w:rPr>
              <w:t>医疗废物运输的要求</w:t>
            </w:r>
          </w:p>
          <w:p w14:paraId="4883D837">
            <w:pPr>
              <w:pStyle w:val="12"/>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eastAsia="宋体" w:cs="Times New Roman"/>
                <w:kern w:val="0"/>
                <w:sz w:val="24"/>
                <w:szCs w:val="24"/>
                <w:lang w:val="en-US" w:eastAsia="zh-CN" w:bidi="ar-SA"/>
              </w:rPr>
              <w:t>a.</w:t>
            </w:r>
            <w:r>
              <w:rPr>
                <w:rFonts w:hint="default" w:ascii="Times New Roman" w:hAnsi="Times New Roman" w:cs="Times New Roman"/>
                <w:sz w:val="24"/>
                <w:szCs w:val="24"/>
                <w:lang w:val="en-US" w:eastAsia="zh-CN"/>
              </w:rPr>
              <w:t>医疗废物运输工具选择符合《医疗废物转运车技术要求》（GB19217-2003）</w:t>
            </w:r>
            <w:r>
              <w:rPr>
                <w:rFonts w:hint="eastAsia" w:ascii="Times New Roman" w:hAnsi="Times New Roman" w:cs="Times New Roman"/>
                <w:sz w:val="24"/>
                <w:szCs w:val="24"/>
                <w:lang w:val="en-US" w:eastAsia="zh-CN"/>
              </w:rPr>
              <w:t>的</w:t>
            </w:r>
            <w:r>
              <w:rPr>
                <w:rFonts w:hint="default" w:ascii="Times New Roman" w:hAnsi="Times New Roman" w:cs="Times New Roman"/>
                <w:sz w:val="24"/>
                <w:szCs w:val="24"/>
                <w:lang w:val="en-US" w:eastAsia="zh-CN"/>
              </w:rPr>
              <w:t>专用医疗废物运输车；</w:t>
            </w:r>
          </w:p>
          <w:p w14:paraId="589EC3E7">
            <w:pPr>
              <w:pStyle w:val="12"/>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firstLine="480" w:firstLineChars="200"/>
              <w:textAlignment w:val="auto"/>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SA"/>
              </w:rPr>
              <w:t>b.</w:t>
            </w:r>
            <w:r>
              <w:rPr>
                <w:rFonts w:hint="default" w:ascii="Times New Roman" w:hAnsi="Times New Roman" w:cs="Times New Roman"/>
                <w:sz w:val="24"/>
                <w:szCs w:val="24"/>
                <w:lang w:val="en-US" w:eastAsia="zh-CN"/>
              </w:rPr>
              <w:t>在运输车上必须配置有橡胶手套、工作手套、口罩、消毒水、急救医药箱、灭火器、紧急应变手册等工具；</w:t>
            </w:r>
          </w:p>
          <w:p w14:paraId="51228187">
            <w:pPr>
              <w:pStyle w:val="12"/>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val="en-US" w:eastAsia="zh-CN" w:bidi="ar-SA"/>
              </w:rPr>
              <w:t>c.</w:t>
            </w:r>
            <w:r>
              <w:rPr>
                <w:rFonts w:hint="default" w:ascii="Times New Roman" w:hAnsi="Times New Roman" w:cs="Times New Roman"/>
                <w:sz w:val="24"/>
                <w:szCs w:val="24"/>
                <w:lang w:val="en-US" w:eastAsia="zh-CN"/>
              </w:rPr>
              <w:t>医疗废物运输工具应当采取防漏措施，防止医疗废物流失、泄漏和扩散。</w:t>
            </w:r>
          </w:p>
          <w:p w14:paraId="7BB63F23">
            <w:pPr>
              <w:pStyle w:val="12"/>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val="en-US" w:eastAsia="zh-CN" w:bidi="ar-SA"/>
              </w:rPr>
              <w:t>d.</w:t>
            </w:r>
            <w:r>
              <w:rPr>
                <w:rFonts w:hint="eastAsia" w:cs="Times New Roman"/>
                <w:kern w:val="0"/>
                <w:sz w:val="24"/>
                <w:szCs w:val="24"/>
                <w:lang w:val="en-US" w:eastAsia="zh-CN" w:bidi="ar-SA"/>
              </w:rPr>
              <w:t>运</w:t>
            </w:r>
            <w:r>
              <w:rPr>
                <w:rFonts w:hint="default" w:ascii="Times New Roman" w:hAnsi="Times New Roman" w:eastAsia="宋体" w:cs="Times New Roman"/>
                <w:sz w:val="24"/>
                <w:szCs w:val="24"/>
              </w:rPr>
              <w:t>送人员每天从医疗废物产生地点将分类包装的医疗废物按照规定的时间和路线运送至内部指定的暂时贮存地点；</w:t>
            </w:r>
          </w:p>
          <w:p w14:paraId="4F73F968">
            <w:pPr>
              <w:pStyle w:val="12"/>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val="en-US" w:eastAsia="zh-CN" w:bidi="ar-SA"/>
              </w:rPr>
              <w:t>e.</w:t>
            </w:r>
            <w:r>
              <w:rPr>
                <w:rFonts w:hint="default" w:ascii="Times New Roman" w:hAnsi="Times New Roman" w:eastAsia="宋体" w:cs="Times New Roman"/>
                <w:sz w:val="24"/>
                <w:szCs w:val="24"/>
              </w:rPr>
              <w:t>运送人员在运送医疗废物前，应当检查包装物或者容器的标识、标签及封口是否符合要求，不得将不符合要求的医疗废物运送至暂时贮存地点；</w:t>
            </w:r>
          </w:p>
          <w:p w14:paraId="44DD4707">
            <w:pPr>
              <w:pStyle w:val="12"/>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val="en-US" w:eastAsia="zh-CN" w:bidi="ar-SA"/>
              </w:rPr>
              <w:t>f.</w:t>
            </w:r>
            <w:r>
              <w:rPr>
                <w:rFonts w:hint="default" w:ascii="Times New Roman" w:hAnsi="Times New Roman" w:eastAsia="宋体" w:cs="Times New Roman"/>
                <w:sz w:val="24"/>
                <w:szCs w:val="24"/>
              </w:rPr>
              <w:t>运送人员在运送医疗废物时，应当防止造成包装物或容器破损和医疗废物的流失、泄漏和扩散，并防止医疗废物直接接触身体；</w:t>
            </w:r>
          </w:p>
          <w:p w14:paraId="74CE9912">
            <w:pPr>
              <w:pStyle w:val="12"/>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val="en-US" w:eastAsia="zh-CN" w:bidi="ar-SA"/>
              </w:rPr>
              <w:t>g.</w:t>
            </w:r>
            <w:r>
              <w:rPr>
                <w:rFonts w:hint="default" w:ascii="Times New Roman" w:hAnsi="Times New Roman" w:eastAsia="宋体" w:cs="Times New Roman"/>
                <w:sz w:val="24"/>
                <w:szCs w:val="24"/>
              </w:rPr>
              <w:t>运送医疗废物应当使用防渗漏、防遗撒、无锐利边角、易于装卸和清洁的专用运送工具；</w:t>
            </w:r>
          </w:p>
          <w:p w14:paraId="27A7D671">
            <w:pPr>
              <w:pStyle w:val="12"/>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val="en-US" w:eastAsia="zh-CN" w:bidi="ar-SA"/>
              </w:rPr>
              <w:t>h.</w:t>
            </w:r>
            <w:r>
              <w:rPr>
                <w:rFonts w:hint="default" w:ascii="Times New Roman" w:hAnsi="Times New Roman" w:eastAsia="宋体" w:cs="Times New Roman"/>
                <w:sz w:val="24"/>
                <w:szCs w:val="24"/>
              </w:rPr>
              <w:t>每天运送工作结束后，应当对运送工具及时进行清洁和消毒；</w:t>
            </w:r>
          </w:p>
          <w:p w14:paraId="04B42CE2">
            <w:pPr>
              <w:pStyle w:val="12"/>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textAlignment w:val="auto"/>
              <w:rPr>
                <w:rFonts w:hint="eastAsia" w:eastAsia="宋体"/>
                <w:lang w:val="en-US" w:eastAsia="zh-CN"/>
              </w:rPr>
            </w:pPr>
            <w:r>
              <w:rPr>
                <w:rFonts w:hint="eastAsia" w:cs="Times New Roman"/>
                <w:sz w:val="24"/>
                <w:szCs w:val="24"/>
                <w:lang w:val="en-US" w:eastAsia="zh-CN"/>
              </w:rPr>
              <w:t>i.</w:t>
            </w:r>
            <w:r>
              <w:rPr>
                <w:rFonts w:hint="default" w:ascii="Times New Roman" w:hAnsi="Times New Roman" w:eastAsia="宋体" w:cs="Times New Roman"/>
                <w:sz w:val="24"/>
                <w:szCs w:val="24"/>
              </w:rPr>
              <w:t>确实不能做到日产日清，且当地最高气温高于25℃时，应将医疗废物低温暂时贮存，暂时贮存温度应低于20℃，时间最长不超过48小时。</w:t>
            </w:r>
          </w:p>
          <w:p w14:paraId="5BB395F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70" w:firstLineChars="200"/>
              <w:textAlignment w:val="auto"/>
              <w:rPr>
                <w:rFonts w:hint="default" w:ascii="Times New Roman" w:hAnsi="Times New Roman" w:eastAsia="宋体" w:cs="Times New Roman"/>
                <w:b/>
                <w:bCs/>
                <w:spacing w:val="-3"/>
                <w:sz w:val="24"/>
                <w:szCs w:val="24"/>
              </w:rPr>
            </w:pPr>
            <w:r>
              <w:rPr>
                <w:rFonts w:hint="default" w:ascii="Times New Roman" w:hAnsi="Times New Roman" w:eastAsia="宋体" w:cs="Times New Roman"/>
                <w:b/>
                <w:bCs/>
                <w:spacing w:val="-3"/>
                <w:sz w:val="24"/>
                <w:szCs w:val="24"/>
              </w:rPr>
              <w:t>事故应急措施</w:t>
            </w:r>
          </w:p>
          <w:p w14:paraId="0FF6A32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发生</w:t>
            </w:r>
            <w:r>
              <w:rPr>
                <w:rFonts w:hint="eastAsia" w:cs="Times New Roman"/>
                <w:sz w:val="24"/>
                <w:szCs w:val="24"/>
                <w:lang w:eastAsia="zh-CN"/>
              </w:rPr>
              <w:t>动物诊疗废物</w:t>
            </w:r>
            <w:r>
              <w:rPr>
                <w:rFonts w:hint="default" w:ascii="Times New Roman" w:hAnsi="Times New Roman" w:cs="Times New Roman"/>
                <w:sz w:val="24"/>
                <w:szCs w:val="24"/>
              </w:rPr>
              <w:t>流失、泄漏、扩散和意外事故时，应当按照以下要求及时采取紧急处理措施：确定流失、泄漏、扩散的</w:t>
            </w:r>
            <w:r>
              <w:rPr>
                <w:rFonts w:hint="eastAsia" w:cs="Times New Roman"/>
                <w:sz w:val="24"/>
                <w:szCs w:val="24"/>
                <w:lang w:eastAsia="zh-CN"/>
              </w:rPr>
              <w:t>动物诊疗废物</w:t>
            </w:r>
            <w:r>
              <w:rPr>
                <w:rFonts w:hint="default" w:ascii="Times New Roman" w:hAnsi="Times New Roman" w:cs="Times New Roman"/>
                <w:sz w:val="24"/>
                <w:szCs w:val="24"/>
              </w:rPr>
              <w:t>的类别、数量、发生时间、影响范围及严重程度；组织有关人员尽快按照应急方案，对发生</w:t>
            </w:r>
            <w:r>
              <w:rPr>
                <w:rFonts w:hint="eastAsia" w:cs="Times New Roman"/>
                <w:sz w:val="24"/>
                <w:szCs w:val="24"/>
                <w:lang w:eastAsia="zh-CN"/>
              </w:rPr>
              <w:t>动物诊疗废物</w:t>
            </w:r>
            <w:r>
              <w:rPr>
                <w:rFonts w:hint="default" w:ascii="Times New Roman" w:hAnsi="Times New Roman" w:cs="Times New Roman"/>
                <w:sz w:val="24"/>
                <w:szCs w:val="24"/>
              </w:rPr>
              <w:t>泄漏、扩散的现场进行处理；对被</w:t>
            </w:r>
            <w:r>
              <w:rPr>
                <w:rFonts w:hint="eastAsia" w:cs="Times New Roman"/>
                <w:sz w:val="24"/>
                <w:szCs w:val="24"/>
                <w:lang w:eastAsia="zh-CN"/>
              </w:rPr>
              <w:t>动物诊疗废物</w:t>
            </w:r>
            <w:r>
              <w:rPr>
                <w:rFonts w:hint="default" w:ascii="Times New Roman" w:hAnsi="Times New Roman" w:cs="Times New Roman"/>
                <w:sz w:val="24"/>
                <w:szCs w:val="24"/>
              </w:rPr>
              <w:t>污染的区域进行处理时，应当尽可能减少对病人、医护人员、</w:t>
            </w:r>
            <w:r>
              <w:rPr>
                <w:rFonts w:hint="eastAsia" w:cs="Times New Roman"/>
                <w:sz w:val="24"/>
                <w:szCs w:val="24"/>
                <w:lang w:eastAsia="zh-CN"/>
              </w:rPr>
              <w:t>其他</w:t>
            </w:r>
            <w:r>
              <w:rPr>
                <w:rFonts w:hint="default" w:ascii="Times New Roman" w:hAnsi="Times New Roman" w:cs="Times New Roman"/>
                <w:sz w:val="24"/>
                <w:szCs w:val="24"/>
              </w:rPr>
              <w:t>现场人员及环境的影响；采取适当的安全处置措施，对泄漏物及受污染的区域、物品进行消毒或者其他无害化处置，必要时封锁污染区域，以防扩大污染；对感染性废物污染区域进行消毒时，消毒工作从污染最轻区域向污染最严重区域进行，对可能被污染的所有使用过的工具也应当进行消毒；工作人员应当做好卫生安全防护后进行工作。处理工作结束后，医疗卫生机构应当对事件的起因进行调查，并采取有效的防范措施预防类似事件的发生。</w:t>
            </w:r>
          </w:p>
          <w:p w14:paraId="76940D7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000000" w:themeColor="text1"/>
                <w:spacing w:val="0"/>
                <w:kern w:val="0"/>
                <w:position w:val="0"/>
                <w:sz w:val="24"/>
                <w:highlight w:val="none"/>
                <w:lang w:bidi="ar"/>
                <w14:textFill>
                  <w14:solidFill>
                    <w14:schemeClr w14:val="tx1"/>
                  </w14:solidFill>
                </w14:textFill>
              </w:rPr>
            </w:pPr>
            <w:r>
              <w:rPr>
                <w:rFonts w:hint="default" w:ascii="Times New Roman" w:hAnsi="Times New Roman" w:eastAsia="宋体" w:cs="Times New Roman"/>
                <w:color w:val="auto"/>
                <w:sz w:val="24"/>
                <w:szCs w:val="24"/>
                <w:lang w:val="en-US" w:eastAsia="zh-CN"/>
              </w:rPr>
              <w:t>建设单位认真落实上述处置方法，项目固体废弃物对周围环境不会产生明显影响。</w:t>
            </w:r>
          </w:p>
          <w:p w14:paraId="4C7172AC">
            <w:pPr>
              <w:pStyle w:val="5"/>
              <w:suppressLineNumbers w:val="0"/>
              <w:bidi w:val="0"/>
              <w:spacing w:before="0" w:beforeAutospacing="0" w:after="0" w:afterAutospacing="0"/>
              <w:ind w:left="0" w:right="0"/>
              <w:jc w:val="both"/>
              <w:rPr>
                <w:rFonts w:hint="default" w:ascii="Times New Roman" w:hAnsi="Times New Roman" w:eastAsia="宋体" w:cs="Times New Roman"/>
                <w:color w:val="000000"/>
                <w:highlight w:val="none"/>
                <w:lang w:val="en-US" w:eastAsia="zh-CN"/>
              </w:rPr>
            </w:pPr>
            <w:r>
              <w:rPr>
                <w:rFonts w:hint="default" w:ascii="Times New Roman" w:hAnsi="Times New Roman" w:eastAsia="宋体" w:cs="Times New Roman"/>
                <w:color w:val="000000"/>
                <w:highlight w:val="none"/>
                <w:lang w:val="en-US" w:eastAsia="zh-CN"/>
              </w:rPr>
              <w:t>5、</w:t>
            </w:r>
            <w:r>
              <w:rPr>
                <w:rFonts w:hint="default" w:ascii="Times New Roman" w:hAnsi="Times New Roman" w:eastAsia="宋体" w:cs="Times New Roman"/>
                <w:b/>
                <w:bCs/>
                <w:color w:val="auto"/>
                <w:highlight w:val="none"/>
              </w:rPr>
              <w:t>地下水、土壤</w:t>
            </w:r>
            <w:r>
              <w:rPr>
                <w:rFonts w:hint="default" w:ascii="Times New Roman" w:hAnsi="Times New Roman" w:eastAsia="宋体" w:cs="Times New Roman"/>
                <w:color w:val="000000"/>
                <w:highlight w:val="none"/>
                <w:lang w:val="en-US" w:eastAsia="zh-CN"/>
              </w:rPr>
              <w:t>影响分析</w:t>
            </w:r>
            <w:bookmarkEnd w:id="44"/>
          </w:p>
          <w:p w14:paraId="337CC992">
            <w:pPr>
              <w:pStyle w:val="5"/>
              <w:suppressLineNumbers w:val="0"/>
              <w:bidi w:val="0"/>
              <w:spacing w:before="0" w:beforeAutospacing="0" w:after="0" w:afterAutospacing="0"/>
              <w:ind w:left="0" w:right="0" w:firstLine="482" w:firstLineChars="200"/>
              <w:jc w:val="both"/>
              <w:rPr>
                <w:rFonts w:hint="default" w:ascii="Times New Roman" w:hAnsi="Times New Roman" w:eastAsia="宋体" w:cs="Times New Roman"/>
                <w:color w:val="000000"/>
                <w:highlight w:val="none"/>
                <w:lang w:val="en-US" w:eastAsia="zh-CN"/>
              </w:rPr>
            </w:pPr>
            <w:bookmarkStart w:id="45" w:name="_Toc17128"/>
            <w:r>
              <w:rPr>
                <w:rFonts w:hint="default" w:ascii="Times New Roman" w:hAnsi="Times New Roman" w:eastAsia="宋体" w:cs="Times New Roman"/>
                <w:color w:val="000000"/>
                <w:highlight w:val="none"/>
                <w:lang w:val="en-US" w:eastAsia="zh-CN"/>
              </w:rPr>
              <w:t>5.1</w:t>
            </w:r>
            <w:r>
              <w:rPr>
                <w:rFonts w:hint="default" w:ascii="Times New Roman" w:hAnsi="Times New Roman" w:eastAsia="宋体" w:cs="Times New Roman"/>
                <w:b/>
                <w:bCs/>
                <w:color w:val="auto"/>
                <w:sz w:val="24"/>
                <w:szCs w:val="24"/>
                <w:lang w:val="en-US" w:eastAsia="zh-CN"/>
              </w:rPr>
              <w:t>地下水污染途径分析及评价</w:t>
            </w:r>
            <w:bookmarkEnd w:id="45"/>
          </w:p>
          <w:p w14:paraId="55D93A0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sz w:val="24"/>
                <w:szCs w:val="24"/>
                <w:lang w:val="en-US"/>
              </w:rPr>
            </w:pPr>
            <w:bookmarkStart w:id="46" w:name="_Toc13683"/>
            <w:r>
              <w:rPr>
                <w:rFonts w:hint="eastAsia" w:ascii="Times New Roman" w:hAnsi="Times New Roman" w:eastAsia="宋体" w:cs="Times New Roman"/>
                <w:color w:val="000000"/>
                <w:sz w:val="24"/>
                <w:szCs w:val="24"/>
                <w:highlight w:val="none"/>
                <w:lang w:val="en-US" w:eastAsia="zh-CN"/>
              </w:rPr>
              <w:t>项目正常运营情况下，不存在污染土壤及地下水环境的途径</w:t>
            </w:r>
            <w:r>
              <w:rPr>
                <w:rFonts w:hint="eastAsia" w:cs="Times New Roman"/>
                <w:color w:val="000000"/>
                <w:sz w:val="24"/>
                <w:szCs w:val="24"/>
                <w:highlight w:val="none"/>
                <w:lang w:val="en-US" w:eastAsia="zh-CN"/>
              </w:rPr>
              <w:t>，非</w:t>
            </w:r>
            <w:r>
              <w:rPr>
                <w:rFonts w:hint="eastAsia" w:ascii="Times New Roman" w:hAnsi="Times New Roman" w:eastAsia="宋体" w:cs="Times New Roman"/>
                <w:color w:val="000000"/>
                <w:sz w:val="24"/>
                <w:szCs w:val="24"/>
                <w:highlight w:val="none"/>
                <w:lang w:val="en-US" w:eastAsia="zh-CN"/>
              </w:rPr>
              <w:t>正常</w:t>
            </w:r>
            <w:r>
              <w:rPr>
                <w:rFonts w:hint="eastAsia" w:cs="Times New Roman"/>
                <w:color w:val="000000"/>
                <w:sz w:val="24"/>
                <w:szCs w:val="24"/>
                <w:highlight w:val="none"/>
                <w:lang w:val="en-US" w:eastAsia="zh-CN"/>
              </w:rPr>
              <w:t>工况</w:t>
            </w:r>
            <w:r>
              <w:rPr>
                <w:rFonts w:hint="eastAsia" w:ascii="Times New Roman" w:hAnsi="Times New Roman" w:eastAsia="宋体" w:cs="Times New Roman"/>
                <w:color w:val="000000"/>
                <w:sz w:val="24"/>
                <w:szCs w:val="24"/>
                <w:highlight w:val="none"/>
                <w:lang w:val="en-US" w:eastAsia="zh-CN"/>
              </w:rPr>
              <w:t>下</w:t>
            </w:r>
            <w:r>
              <w:rPr>
                <w:rFonts w:hint="eastAsia" w:cs="Times New Roman"/>
                <w:color w:val="000000"/>
                <w:sz w:val="24"/>
                <w:szCs w:val="24"/>
                <w:highlight w:val="none"/>
                <w:lang w:val="en-US" w:eastAsia="zh-CN"/>
              </w:rPr>
              <w:t>，</w:t>
            </w:r>
            <w:r>
              <w:rPr>
                <w:rFonts w:hint="default" w:ascii="Times New Roman" w:hAnsi="Times New Roman" w:eastAsia="宋体" w:cs="Times New Roman"/>
                <w:color w:val="000000"/>
                <w:kern w:val="0"/>
                <w:sz w:val="24"/>
                <w:szCs w:val="24"/>
                <w:lang w:val="en-US" w:eastAsia="zh-CN" w:bidi="ar"/>
              </w:rPr>
              <w:t>项目运营期地下水</w:t>
            </w:r>
            <w:r>
              <w:rPr>
                <w:rFonts w:hint="eastAsia" w:ascii="Times New Roman" w:hAnsi="Times New Roman" w:eastAsia="宋体" w:cs="Times New Roman"/>
                <w:color w:val="000000"/>
                <w:kern w:val="0"/>
                <w:sz w:val="24"/>
                <w:szCs w:val="24"/>
                <w:lang w:val="en-US" w:eastAsia="zh-CN" w:bidi="ar"/>
              </w:rPr>
              <w:t>及土壤的</w:t>
            </w:r>
            <w:r>
              <w:rPr>
                <w:rFonts w:hint="default" w:ascii="Times New Roman" w:hAnsi="Times New Roman" w:eastAsia="宋体" w:cs="Times New Roman"/>
                <w:color w:val="000000"/>
                <w:kern w:val="0"/>
                <w:sz w:val="24"/>
                <w:szCs w:val="24"/>
                <w:lang w:val="en-US" w:eastAsia="zh-CN" w:bidi="ar"/>
              </w:rPr>
              <w:t>污染源危险固废及</w:t>
            </w:r>
            <w:r>
              <w:rPr>
                <w:rFonts w:hint="eastAsia" w:cs="Times New Roman"/>
                <w:color w:val="000000"/>
                <w:kern w:val="0"/>
                <w:sz w:val="24"/>
                <w:szCs w:val="24"/>
                <w:lang w:val="en-US" w:eastAsia="zh-CN" w:bidi="ar"/>
              </w:rPr>
              <w:t>宠物诊疗</w:t>
            </w:r>
            <w:r>
              <w:rPr>
                <w:rFonts w:hint="default" w:ascii="Times New Roman" w:hAnsi="Times New Roman" w:eastAsia="宋体" w:cs="Times New Roman"/>
                <w:color w:val="000000"/>
                <w:kern w:val="0"/>
                <w:sz w:val="24"/>
                <w:szCs w:val="24"/>
                <w:lang w:val="en-US" w:eastAsia="zh-CN" w:bidi="ar"/>
              </w:rPr>
              <w:t>废水</w:t>
            </w:r>
            <w:r>
              <w:rPr>
                <w:rFonts w:hint="eastAsia" w:ascii="Times New Roman" w:hAnsi="Times New Roman" w:eastAsia="宋体"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本工程对地下水的主要污染途径项目</w:t>
            </w:r>
            <w:r>
              <w:rPr>
                <w:rFonts w:hint="eastAsia" w:cs="Times New Roman"/>
                <w:color w:val="000000"/>
                <w:kern w:val="0"/>
                <w:sz w:val="24"/>
                <w:szCs w:val="24"/>
                <w:lang w:val="en-US" w:eastAsia="zh-CN" w:bidi="ar"/>
              </w:rPr>
              <w:t>动物诊疗废物</w:t>
            </w:r>
            <w:r>
              <w:rPr>
                <w:rFonts w:hint="default" w:ascii="Times New Roman" w:hAnsi="Times New Roman" w:eastAsia="宋体" w:cs="Times New Roman"/>
                <w:color w:val="000000"/>
                <w:kern w:val="0"/>
                <w:sz w:val="24"/>
                <w:szCs w:val="24"/>
                <w:lang w:val="en-US" w:eastAsia="zh-CN" w:bidi="ar"/>
              </w:rPr>
              <w:t>暂存过程，盛装容器发生破裂，液体下渗污染地下水及土壤；</w:t>
            </w:r>
          </w:p>
          <w:p w14:paraId="24692BB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lang w:val="en-US" w:eastAsia="zh-CN"/>
              </w:rPr>
              <w:t>5.2防控措施</w:t>
            </w:r>
          </w:p>
          <w:p w14:paraId="68A4F0A3">
            <w:pPr>
              <w:keepNext w:val="0"/>
              <w:keepLines w:val="0"/>
              <w:pageBreakBefore w:val="0"/>
              <w:widowControl/>
              <w:numPr>
                <w:ilvl w:val="0"/>
                <w:numId w:val="7"/>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防渗分区措施</w:t>
            </w:r>
          </w:p>
          <w:p w14:paraId="53D9BF14">
            <w:pPr>
              <w:pStyle w:val="65"/>
              <w:keepNext w:val="0"/>
              <w:keepLines w:val="0"/>
              <w:suppressLineNumbers w:val="0"/>
              <w:bidi w:val="0"/>
              <w:spacing w:before="0" w:beforeAutospacing="0" w:after="0" w:afterAutospacing="0" w:line="360" w:lineRule="auto"/>
              <w:ind w:left="0" w:right="0"/>
              <w:jc w:val="both"/>
              <w:rPr>
                <w:rFonts w:hint="default" w:cs="Times New Roman"/>
                <w:lang w:val="en-US" w:eastAsia="zh-CN"/>
              </w:rPr>
            </w:pPr>
            <w:r>
              <w:rPr>
                <w:rFonts w:hint="default" w:cs="Times New Roman"/>
                <w:lang w:val="en-US" w:eastAsia="zh-CN"/>
              </w:rPr>
              <w:t>对医疗废物专用暂时贮存柜（箱）采取防雨、防渗、防腐等措施，医疗废物专用暂时贮存柜（箱）</w:t>
            </w:r>
            <w:r>
              <w:rPr>
                <w:rFonts w:hint="eastAsia" w:cs="Times New Roman"/>
                <w:lang w:val="en-US" w:eastAsia="zh-CN"/>
              </w:rPr>
              <w:t>底</w:t>
            </w:r>
            <w:r>
              <w:rPr>
                <w:rFonts w:hint="default" w:cs="Times New Roman"/>
                <w:lang w:val="en-US" w:eastAsia="zh-CN"/>
              </w:rPr>
              <w:t>面采取防腐防渗措施并按《危险废物贮存污染控制标准》（GB18597-2023）进行设计。</w:t>
            </w:r>
          </w:p>
          <w:p w14:paraId="289ED17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为有效预防地下水污染，本项目采取分区防渗措施。本项目按重点防渗区和简单防渗区分区域进行防渗处理。</w:t>
            </w:r>
          </w:p>
          <w:p w14:paraId="2F7CE01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eastAsia" w:cs="Times New Roman"/>
                <w:color w:val="000000"/>
                <w:kern w:val="0"/>
                <w:sz w:val="24"/>
                <w:szCs w:val="24"/>
                <w:lang w:val="en-US" w:eastAsia="zh-CN" w:bidi="ar"/>
              </w:rPr>
              <w:t>医疗废物专用暂时贮存柜（箱）为</w:t>
            </w:r>
            <w:r>
              <w:rPr>
                <w:rFonts w:hint="default" w:ascii="Times New Roman" w:hAnsi="Times New Roman" w:eastAsia="宋体" w:cs="Times New Roman"/>
                <w:color w:val="000000"/>
                <w:kern w:val="0"/>
                <w:sz w:val="24"/>
                <w:szCs w:val="24"/>
                <w:lang w:val="en-US" w:eastAsia="zh-CN" w:bidi="ar"/>
              </w:rPr>
              <w:t>重点防渗区</w:t>
            </w:r>
            <w:r>
              <w:rPr>
                <w:rFonts w:hint="eastAsia" w:ascii="Times New Roman" w:hAnsi="Times New Roman" w:eastAsia="宋体" w:cs="Times New Roman"/>
                <w:color w:val="000000"/>
                <w:kern w:val="0"/>
                <w:sz w:val="24"/>
                <w:szCs w:val="24"/>
                <w:lang w:val="en-US" w:eastAsia="zh-CN" w:bidi="ar"/>
              </w:rPr>
              <w:t>、废水处理设施</w:t>
            </w:r>
            <w:r>
              <w:rPr>
                <w:rFonts w:hint="eastAsia" w:cs="Times New Roman"/>
                <w:color w:val="000000"/>
                <w:kern w:val="0"/>
                <w:sz w:val="24"/>
                <w:szCs w:val="24"/>
                <w:lang w:val="en-US" w:eastAsia="zh-CN" w:bidi="ar"/>
              </w:rPr>
              <w:t>为一般防渗区、</w:t>
            </w:r>
            <w:r>
              <w:rPr>
                <w:rFonts w:hint="default" w:ascii="Times New Roman" w:hAnsi="Times New Roman" w:eastAsia="宋体" w:cs="Times New Roman"/>
                <w:color w:val="000000"/>
                <w:kern w:val="0"/>
                <w:sz w:val="24"/>
                <w:szCs w:val="24"/>
                <w:lang w:val="en-US" w:eastAsia="zh-CN" w:bidi="ar"/>
              </w:rPr>
              <w:t>其他生产生活设施为简单防渗区，仅做一般地面硬化。</w:t>
            </w:r>
          </w:p>
          <w:p w14:paraId="3E094A42">
            <w:pPr>
              <w:pStyle w:val="110"/>
              <w:keepNext w:val="0"/>
              <w:keepLines w:val="0"/>
              <w:suppressLineNumbers w:val="0"/>
              <w:spacing w:before="0" w:beforeAutospacing="0" w:after="0" w:afterAutospacing="0"/>
              <w:ind w:left="0" w:right="0" w:firstLine="480"/>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eastAsia" w:eastAsia="宋体" w:cs="Times New Roman"/>
                <w:b/>
                <w:bCs/>
                <w:color w:val="auto"/>
                <w:sz w:val="21"/>
                <w:szCs w:val="21"/>
                <w:highlight w:val="none"/>
                <w:lang w:val="en-US" w:eastAsia="zh-CN"/>
              </w:rPr>
              <w:t>4-11</w:t>
            </w:r>
            <w:r>
              <w:rPr>
                <w:rFonts w:hint="default" w:ascii="Times New Roman" w:hAnsi="Times New Roman" w:eastAsia="宋体" w:cs="Times New Roman"/>
                <w:b/>
                <w:bCs/>
                <w:color w:val="auto"/>
                <w:sz w:val="21"/>
                <w:szCs w:val="21"/>
                <w:highlight w:val="none"/>
              </w:rPr>
              <w:t xml:space="preserve">      项目污染地下水途径及防治措施一览表</w:t>
            </w:r>
          </w:p>
          <w:tbl>
            <w:tblPr>
              <w:tblStyle w:val="31"/>
              <w:tblW w:w="4873"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43"/>
              <w:gridCol w:w="1060"/>
              <w:gridCol w:w="2151"/>
              <w:gridCol w:w="4068"/>
            </w:tblGrid>
            <w:tr w14:paraId="6CE64CF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05" w:type="pct"/>
                  <w:noWrap w:val="0"/>
                  <w:vAlign w:val="center"/>
                </w:tcPr>
                <w:p w14:paraId="18455290">
                  <w:pPr>
                    <w:pStyle w:val="56"/>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sz w:val="21"/>
                      <w:szCs w:val="21"/>
                      <w:highlight w:val="none"/>
                      <w:lang w:eastAsia="zh-CN"/>
                    </w:rPr>
                  </w:pPr>
                  <w:r>
                    <w:rPr>
                      <w:rFonts w:hint="default" w:ascii="Times New Roman" w:hAnsi="Times New Roman" w:eastAsia="宋体" w:cs="Times New Roman"/>
                      <w:color w:val="000000"/>
                      <w:sz w:val="21"/>
                      <w:szCs w:val="21"/>
                      <w:highlight w:val="none"/>
                      <w:lang w:eastAsia="zh-CN"/>
                    </w:rPr>
                    <w:t>序号</w:t>
                  </w:r>
                </w:p>
              </w:tc>
              <w:tc>
                <w:tcPr>
                  <w:tcW w:w="669" w:type="pct"/>
                  <w:noWrap w:val="0"/>
                  <w:vAlign w:val="center"/>
                </w:tcPr>
                <w:p w14:paraId="600B758D">
                  <w:pPr>
                    <w:pStyle w:val="56"/>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sz w:val="21"/>
                      <w:szCs w:val="21"/>
                      <w:highlight w:val="none"/>
                      <w:lang w:eastAsia="zh-CN"/>
                    </w:rPr>
                  </w:pPr>
                  <w:r>
                    <w:rPr>
                      <w:rFonts w:hint="default" w:ascii="Times New Roman" w:hAnsi="Times New Roman" w:eastAsia="宋体" w:cs="Times New Roman"/>
                      <w:color w:val="000000"/>
                      <w:sz w:val="21"/>
                      <w:szCs w:val="21"/>
                      <w:highlight w:val="none"/>
                      <w:lang w:eastAsia="zh-CN"/>
                    </w:rPr>
                    <w:t>类别</w:t>
                  </w:r>
                </w:p>
              </w:tc>
              <w:tc>
                <w:tcPr>
                  <w:tcW w:w="1357" w:type="pct"/>
                  <w:noWrap w:val="0"/>
                  <w:vAlign w:val="center"/>
                </w:tcPr>
                <w:p w14:paraId="4952C81F">
                  <w:pPr>
                    <w:pStyle w:val="56"/>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项目</w:t>
                  </w:r>
                </w:p>
              </w:tc>
              <w:tc>
                <w:tcPr>
                  <w:tcW w:w="2567" w:type="pct"/>
                  <w:noWrap w:val="0"/>
                  <w:vAlign w:val="center"/>
                </w:tcPr>
                <w:p w14:paraId="66CD4982">
                  <w:pPr>
                    <w:pStyle w:val="56"/>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保护措施</w:t>
                  </w:r>
                </w:p>
              </w:tc>
            </w:tr>
            <w:tr w14:paraId="626C614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192" w:hRule="atLeast"/>
                <w:jc w:val="center"/>
              </w:trPr>
              <w:tc>
                <w:tcPr>
                  <w:tcW w:w="405" w:type="pct"/>
                  <w:noWrap w:val="0"/>
                  <w:vAlign w:val="center"/>
                </w:tcPr>
                <w:p w14:paraId="4892A7BA">
                  <w:pPr>
                    <w:pStyle w:val="56"/>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1</w:t>
                  </w:r>
                </w:p>
              </w:tc>
              <w:tc>
                <w:tcPr>
                  <w:tcW w:w="669" w:type="pct"/>
                  <w:noWrap w:val="0"/>
                  <w:vAlign w:val="center"/>
                </w:tcPr>
                <w:p w14:paraId="1A6EB506">
                  <w:pPr>
                    <w:pStyle w:val="56"/>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sz w:val="21"/>
                      <w:szCs w:val="21"/>
                      <w:highlight w:val="none"/>
                      <w:lang w:eastAsia="zh-CN"/>
                    </w:rPr>
                  </w:pPr>
                  <w:r>
                    <w:rPr>
                      <w:rFonts w:hint="default" w:ascii="Times New Roman" w:hAnsi="Times New Roman" w:eastAsia="宋体" w:cs="Times New Roman"/>
                      <w:color w:val="000000"/>
                      <w:sz w:val="21"/>
                      <w:szCs w:val="21"/>
                      <w:highlight w:val="none"/>
                      <w:lang w:eastAsia="zh-CN"/>
                    </w:rPr>
                    <w:t>重点防渗区</w:t>
                  </w:r>
                </w:p>
              </w:tc>
              <w:tc>
                <w:tcPr>
                  <w:tcW w:w="1357" w:type="pct"/>
                  <w:noWrap w:val="0"/>
                  <w:vAlign w:val="center"/>
                </w:tcPr>
                <w:p w14:paraId="0B8A1A12">
                  <w:pPr>
                    <w:pStyle w:val="56"/>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sz w:val="21"/>
                      <w:szCs w:val="21"/>
                      <w:highlight w:val="none"/>
                      <w:lang w:eastAsia="zh-CN"/>
                    </w:rPr>
                  </w:pPr>
                  <w:r>
                    <w:rPr>
                      <w:rFonts w:hint="default" w:ascii="Times New Roman" w:hAnsi="Times New Roman" w:eastAsia="宋体" w:cs="Times New Roman"/>
                      <w:color w:val="000000"/>
                      <w:sz w:val="21"/>
                      <w:szCs w:val="21"/>
                      <w:highlight w:val="none"/>
                      <w:lang w:eastAsia="zh-CN"/>
                    </w:rPr>
                    <w:t>医疗废物专用暂时贮存柜（箱）</w:t>
                  </w:r>
                </w:p>
              </w:tc>
              <w:tc>
                <w:tcPr>
                  <w:tcW w:w="2567" w:type="pct"/>
                  <w:noWrap w:val="0"/>
                  <w:vAlign w:val="center"/>
                </w:tcPr>
                <w:p w14:paraId="1EB77F5E">
                  <w:pPr>
                    <w:pStyle w:val="56"/>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lang w:val="en-US" w:eastAsia="zh-CN"/>
                    </w:rPr>
                    <w:t>确保防渗性能达到《危险废物贮存污染控制标准》（GB18597-2023）防渗系数要求：（防渗层为至少1m厚黏土层（渗透系数不大于10</w:t>
                  </w:r>
                  <w:r>
                    <w:rPr>
                      <w:rFonts w:hint="default" w:ascii="Times New Roman" w:hAnsi="Times New Roman" w:eastAsia="宋体" w:cs="Times New Roman"/>
                      <w:color w:val="000000"/>
                      <w:sz w:val="21"/>
                      <w:szCs w:val="21"/>
                      <w:highlight w:val="none"/>
                      <w:vertAlign w:val="superscript"/>
                      <w:lang w:val="en-US" w:eastAsia="zh-CN"/>
                    </w:rPr>
                    <w:t>-7</w:t>
                  </w:r>
                  <w:r>
                    <w:rPr>
                      <w:rFonts w:hint="default" w:ascii="Times New Roman" w:hAnsi="Times New Roman" w:eastAsia="宋体" w:cs="Times New Roman"/>
                      <w:color w:val="000000"/>
                      <w:sz w:val="21"/>
                      <w:szCs w:val="21"/>
                      <w:highlight w:val="none"/>
                      <w:lang w:val="en-US" w:eastAsia="zh-CN"/>
                    </w:rPr>
                    <w:t>cm/s），或至少2mm厚高密度聚乙烯膜等人工防渗材料（渗透系数不大于10</w:t>
                  </w:r>
                  <w:r>
                    <w:rPr>
                      <w:rFonts w:hint="default" w:ascii="Times New Roman" w:hAnsi="Times New Roman" w:eastAsia="宋体" w:cs="Times New Roman"/>
                      <w:color w:val="000000"/>
                      <w:sz w:val="21"/>
                      <w:szCs w:val="21"/>
                      <w:highlight w:val="none"/>
                      <w:vertAlign w:val="superscript"/>
                      <w:lang w:val="en-US" w:eastAsia="zh-CN"/>
                    </w:rPr>
                    <w:t>-10</w:t>
                  </w:r>
                  <w:r>
                    <w:rPr>
                      <w:rFonts w:hint="default" w:ascii="Times New Roman" w:hAnsi="Times New Roman" w:eastAsia="宋体" w:cs="Times New Roman"/>
                      <w:color w:val="000000"/>
                      <w:sz w:val="21"/>
                      <w:szCs w:val="21"/>
                      <w:highlight w:val="none"/>
                      <w:lang w:val="en-US" w:eastAsia="zh-CN"/>
                    </w:rPr>
                    <w:t>cm/s），或其他防渗性能等效的材料）。</w:t>
                  </w:r>
                </w:p>
              </w:tc>
            </w:tr>
            <w:tr w14:paraId="3A581C2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192" w:hRule="atLeast"/>
                <w:jc w:val="center"/>
              </w:trPr>
              <w:tc>
                <w:tcPr>
                  <w:tcW w:w="405" w:type="pct"/>
                  <w:noWrap w:val="0"/>
                  <w:vAlign w:val="center"/>
                </w:tcPr>
                <w:p w14:paraId="13362EA0">
                  <w:pPr>
                    <w:pStyle w:val="56"/>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2</w:t>
                  </w:r>
                </w:p>
              </w:tc>
              <w:tc>
                <w:tcPr>
                  <w:tcW w:w="669" w:type="pct"/>
                  <w:noWrap w:val="0"/>
                  <w:vAlign w:val="center"/>
                </w:tcPr>
                <w:p w14:paraId="35A3AF87">
                  <w:pPr>
                    <w:pStyle w:val="56"/>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一般防渗区</w:t>
                  </w:r>
                </w:p>
              </w:tc>
              <w:tc>
                <w:tcPr>
                  <w:tcW w:w="1357" w:type="pct"/>
                  <w:noWrap w:val="0"/>
                  <w:vAlign w:val="center"/>
                </w:tcPr>
                <w:p w14:paraId="3AE579BA">
                  <w:pPr>
                    <w:pStyle w:val="56"/>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小型废水处理设施</w:t>
                  </w:r>
                </w:p>
              </w:tc>
              <w:tc>
                <w:tcPr>
                  <w:tcW w:w="2567" w:type="pct"/>
                  <w:noWrap w:val="0"/>
                  <w:vAlign w:val="center"/>
                </w:tcPr>
                <w:p w14:paraId="25D1AFED">
                  <w:pPr>
                    <w:pStyle w:val="56"/>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等效黏土防渗层厚度≥1.5m，渗透系数≤1×10-7cm/s</w:t>
                  </w:r>
                </w:p>
              </w:tc>
            </w:tr>
            <w:tr w14:paraId="0484F46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05" w:type="pct"/>
                  <w:noWrap w:val="0"/>
                  <w:vAlign w:val="center"/>
                </w:tcPr>
                <w:p w14:paraId="11169C44">
                  <w:pPr>
                    <w:pStyle w:val="56"/>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3</w:t>
                  </w:r>
                </w:p>
              </w:tc>
              <w:tc>
                <w:tcPr>
                  <w:tcW w:w="669" w:type="pct"/>
                  <w:noWrap w:val="0"/>
                  <w:vAlign w:val="center"/>
                </w:tcPr>
                <w:p w14:paraId="36BAF0C2">
                  <w:pPr>
                    <w:pStyle w:val="56"/>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eastAsia="zh-CN"/>
                    </w:rPr>
                    <w:t>简单防渗区</w:t>
                  </w:r>
                </w:p>
              </w:tc>
              <w:tc>
                <w:tcPr>
                  <w:tcW w:w="1357" w:type="pct"/>
                  <w:noWrap w:val="0"/>
                  <w:vAlign w:val="center"/>
                </w:tcPr>
                <w:p w14:paraId="4A4BEA89">
                  <w:pPr>
                    <w:pStyle w:val="56"/>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sz w:val="21"/>
                      <w:szCs w:val="21"/>
                      <w:highlight w:val="none"/>
                      <w:lang w:eastAsia="zh-CN"/>
                    </w:rPr>
                  </w:pPr>
                  <w:r>
                    <w:rPr>
                      <w:rFonts w:hint="default" w:ascii="Times New Roman" w:hAnsi="Times New Roman" w:eastAsia="宋体" w:cs="Times New Roman"/>
                      <w:color w:val="000000"/>
                      <w:sz w:val="21"/>
                      <w:szCs w:val="21"/>
                      <w:highlight w:val="none"/>
                      <w:lang w:eastAsia="zh-CN"/>
                    </w:rPr>
                    <w:t>其他设施</w:t>
                  </w:r>
                </w:p>
              </w:tc>
              <w:tc>
                <w:tcPr>
                  <w:tcW w:w="2567" w:type="pct"/>
                  <w:noWrap w:val="0"/>
                  <w:vAlign w:val="center"/>
                </w:tcPr>
                <w:p w14:paraId="718802F0">
                  <w:pPr>
                    <w:pStyle w:val="56"/>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000000"/>
                      <w:sz w:val="21"/>
                      <w:szCs w:val="21"/>
                      <w:highlight w:val="none"/>
                      <w:lang w:eastAsia="zh-CN"/>
                    </w:rPr>
                  </w:pPr>
                  <w:r>
                    <w:rPr>
                      <w:rFonts w:hint="default" w:ascii="Times New Roman" w:hAnsi="Times New Roman" w:eastAsia="宋体" w:cs="Times New Roman"/>
                      <w:color w:val="000000"/>
                      <w:sz w:val="21"/>
                      <w:szCs w:val="21"/>
                      <w:highlight w:val="none"/>
                      <w:lang w:eastAsia="zh-CN"/>
                    </w:rPr>
                    <w:t>地面硬化</w:t>
                  </w:r>
                </w:p>
              </w:tc>
            </w:tr>
          </w:tbl>
          <w:p w14:paraId="2519AE5A">
            <w:pPr>
              <w:keepNext w:val="0"/>
              <w:keepLines w:val="0"/>
              <w:widowControl w:val="0"/>
              <w:numPr>
                <w:ilvl w:val="0"/>
                <w:numId w:val="0"/>
              </w:numPr>
              <w:suppressLineNumbers w:val="0"/>
              <w:topLinePunct/>
              <w:adjustRightInd w:val="0"/>
              <w:snapToGrid w:val="0"/>
              <w:spacing w:before="0" w:beforeAutospacing="0" w:after="0" w:afterAutospacing="0" w:line="360" w:lineRule="auto"/>
              <w:ind w:left="0" w:leftChars="0" w:right="0" w:firstLine="420" w:firstLineChars="175"/>
              <w:jc w:val="both"/>
              <w:textAlignment w:val="auto"/>
              <w:rPr>
                <w:rFonts w:hint="default" w:ascii="Times New Roman" w:hAnsi="Times New Roman" w:eastAsia="宋体" w:cs="Times New Roman"/>
                <w:b w:val="0"/>
                <w:bCs/>
                <w:color w:val="000000"/>
                <w:kern w:val="24"/>
                <w:sz w:val="24"/>
                <w:szCs w:val="24"/>
                <w:lang w:val="en-US" w:eastAsia="zh-CN" w:bidi="ar-SA"/>
              </w:rPr>
            </w:pPr>
            <w:r>
              <w:rPr>
                <w:rFonts w:hint="eastAsia" w:ascii="宋体" w:hAnsi="宋体" w:cs="宋体"/>
                <w:color w:val="000000"/>
                <w:kern w:val="0"/>
                <w:sz w:val="24"/>
                <w:szCs w:val="24"/>
                <w:lang w:val="en-US" w:eastAsia="zh-CN" w:bidi="ar"/>
              </w:rPr>
              <w:t>根据现场调查情况，本项目未设置</w:t>
            </w:r>
            <w:r>
              <w:rPr>
                <w:rFonts w:hint="eastAsia"/>
                <w:b w:val="0"/>
                <w:bCs w:val="0"/>
                <w:spacing w:val="-3"/>
                <w:sz w:val="24"/>
                <w:szCs w:val="24"/>
              </w:rPr>
              <w:t>医疗废物专用暂时贮存柜（箱）</w:t>
            </w:r>
            <w:r>
              <w:rPr>
                <w:rFonts w:hint="eastAsia"/>
                <w:b w:val="0"/>
                <w:bCs w:val="0"/>
                <w:spacing w:val="-3"/>
                <w:sz w:val="24"/>
                <w:szCs w:val="24"/>
                <w:lang w:eastAsia="zh-CN"/>
              </w:rPr>
              <w:t>。</w:t>
            </w:r>
            <w:r>
              <w:rPr>
                <w:rFonts w:hint="eastAsia" w:ascii="宋体" w:hAnsi="宋体" w:eastAsia="宋体" w:cs="宋体"/>
                <w:color w:val="000000"/>
                <w:kern w:val="0"/>
                <w:sz w:val="24"/>
                <w:szCs w:val="24"/>
                <w:lang w:val="en-US" w:eastAsia="zh-CN" w:bidi="ar"/>
              </w:rPr>
              <w:t>综上，本项目在</w:t>
            </w:r>
            <w:r>
              <w:rPr>
                <w:rFonts w:hint="eastAsia" w:ascii="宋体" w:hAnsi="宋体" w:cs="宋体"/>
                <w:color w:val="000000"/>
                <w:kern w:val="0"/>
                <w:sz w:val="24"/>
                <w:szCs w:val="24"/>
                <w:lang w:val="en-US" w:eastAsia="zh-CN" w:bidi="ar"/>
              </w:rPr>
              <w:t>设置</w:t>
            </w:r>
            <w:r>
              <w:rPr>
                <w:rFonts w:hint="eastAsia"/>
                <w:b w:val="0"/>
                <w:bCs w:val="0"/>
                <w:spacing w:val="-3"/>
                <w:sz w:val="24"/>
                <w:szCs w:val="24"/>
              </w:rPr>
              <w:t>医疗废物专用暂时贮存柜（箱）</w:t>
            </w:r>
            <w:r>
              <w:rPr>
                <w:rFonts w:hint="eastAsia"/>
                <w:b w:val="0"/>
                <w:bCs w:val="0"/>
                <w:spacing w:val="-3"/>
                <w:sz w:val="24"/>
                <w:szCs w:val="24"/>
                <w:lang w:val="en-US" w:eastAsia="zh-CN"/>
              </w:rPr>
              <w:t>并对其底部</w:t>
            </w:r>
            <w:r>
              <w:rPr>
                <w:rFonts w:hint="eastAsia" w:ascii="宋体" w:hAnsi="宋体" w:eastAsia="宋体" w:cs="宋体"/>
                <w:color w:val="000000"/>
                <w:kern w:val="0"/>
                <w:sz w:val="24"/>
                <w:szCs w:val="24"/>
                <w:lang w:val="en-US" w:eastAsia="zh-CN" w:bidi="ar"/>
              </w:rPr>
              <w:t>采取完善的防渗措施后，可有效阻止污染物下渗，本项目建设运行对地下水环境影响程度较小。</w:t>
            </w:r>
          </w:p>
          <w:bookmarkEnd w:id="46"/>
          <w:p w14:paraId="4AE1E439">
            <w:pPr>
              <w:keepNext w:val="0"/>
              <w:keepLines w:val="0"/>
              <w:suppressLineNumbers w:val="0"/>
              <w:spacing w:before="0" w:beforeAutospacing="0" w:after="0" w:afterAutospacing="0"/>
              <w:ind w:left="0" w:right="0"/>
              <w:rPr>
                <w:rFonts w:hint="default"/>
                <w:b/>
                <w:bCs/>
                <w:color w:val="000000"/>
                <w:spacing w:val="-10"/>
                <w:szCs w:val="21"/>
              </w:rPr>
            </w:pPr>
            <w:r>
              <w:rPr>
                <w:rFonts w:hint="eastAsia"/>
                <w:b/>
                <w:bCs/>
                <w:color w:val="000000"/>
                <w:lang w:val="en-US" w:eastAsia="zh-CN"/>
              </w:rPr>
              <w:t>6</w:t>
            </w:r>
            <w:r>
              <w:rPr>
                <w:rFonts w:hint="default"/>
                <w:b/>
                <w:bCs/>
                <w:color w:val="000000"/>
              </w:rPr>
              <w:t>环境风险</w:t>
            </w:r>
          </w:p>
          <w:p w14:paraId="17DBE005">
            <w:pPr>
              <w:keepNext w:val="0"/>
              <w:keepLines w:val="0"/>
              <w:suppressLineNumbers w:val="0"/>
              <w:spacing w:before="0" w:beforeAutospacing="0" w:after="0" w:afterAutospacing="0"/>
              <w:ind w:left="0" w:right="0" w:firstLine="480"/>
              <w:rPr>
                <w:rFonts w:hint="default"/>
                <w:color w:val="000000"/>
              </w:rPr>
            </w:pPr>
            <w:r>
              <w:rPr>
                <w:rFonts w:hint="default"/>
                <w:color w:val="000000"/>
                <w:szCs w:val="21"/>
              </w:rPr>
              <w:t>环境风险评价的目的是分析和预测建设项目存在的潜在危险、有害因素，建设项目建设和运行期间可能发生的突发性</w:t>
            </w:r>
            <w:r>
              <w:rPr>
                <w:rFonts w:hint="eastAsia"/>
                <w:color w:val="000000"/>
                <w:szCs w:val="21"/>
                <w:lang w:val="en-US" w:eastAsia="zh-CN"/>
              </w:rPr>
              <w:t>事件</w:t>
            </w:r>
            <w:r>
              <w:rPr>
                <w:rFonts w:hint="default"/>
                <w:color w:val="000000"/>
                <w:szCs w:val="21"/>
              </w:rPr>
              <w:t>或事故，引起有毒有害和易燃易爆等物质的</w:t>
            </w:r>
            <w:r>
              <w:rPr>
                <w:rFonts w:hint="eastAsia"/>
                <w:color w:val="000000"/>
                <w:szCs w:val="21"/>
              </w:rPr>
              <w:t>泄漏</w:t>
            </w:r>
            <w:r>
              <w:rPr>
                <w:rFonts w:hint="default"/>
                <w:color w:val="000000"/>
                <w:szCs w:val="21"/>
              </w:rPr>
              <w:t>，所造成的人身安全与环境影响和损害程度，提出合理可行的防范、应急与减缓措施，以使建设项目事故率、损失和环境影响达到可接受的水平。</w:t>
            </w:r>
          </w:p>
          <w:p w14:paraId="64FB33D6">
            <w:pPr>
              <w:keepNext w:val="0"/>
              <w:keepLines w:val="0"/>
              <w:suppressLineNumbers w:val="0"/>
              <w:spacing w:before="0" w:beforeAutospacing="0" w:after="0" w:afterAutospacing="0"/>
              <w:ind w:left="0" w:right="0" w:firstLine="482" w:firstLineChars="200"/>
              <w:rPr>
                <w:rFonts w:hint="default"/>
                <w:b/>
                <w:bCs/>
                <w:color w:val="000000"/>
              </w:rPr>
            </w:pPr>
            <w:r>
              <w:rPr>
                <w:rFonts w:hint="eastAsia"/>
                <w:b/>
                <w:bCs/>
                <w:color w:val="000000"/>
                <w:lang w:val="en-US" w:eastAsia="zh-CN"/>
              </w:rPr>
              <w:t>6</w:t>
            </w:r>
            <w:r>
              <w:rPr>
                <w:rFonts w:hint="default"/>
                <w:b/>
                <w:bCs/>
                <w:color w:val="000000"/>
              </w:rPr>
              <w:t>.1评价依据</w:t>
            </w:r>
          </w:p>
          <w:p w14:paraId="01CC4419">
            <w:pPr>
              <w:keepNext w:val="0"/>
              <w:keepLines w:val="0"/>
              <w:suppressLineNumbers w:val="0"/>
              <w:spacing w:before="0" w:beforeAutospacing="0" w:after="0" w:afterAutospacing="0"/>
              <w:ind w:left="0" w:right="0" w:firstLine="480"/>
              <w:rPr>
                <w:rFonts w:hint="default"/>
                <w:color w:val="000000"/>
                <w:szCs w:val="21"/>
              </w:rPr>
            </w:pPr>
            <w:r>
              <w:rPr>
                <w:rFonts w:hint="default"/>
                <w:color w:val="000000"/>
                <w:szCs w:val="21"/>
              </w:rPr>
              <w:t>根据《建设项目环境风险评价技术导则》（HJ169-2018）中</w:t>
            </w:r>
            <w:r>
              <w:rPr>
                <w:rFonts w:hint="eastAsia"/>
                <w:color w:val="000000"/>
                <w:szCs w:val="21"/>
              </w:rPr>
              <w:t>“</w:t>
            </w:r>
            <w:r>
              <w:rPr>
                <w:rFonts w:hint="default"/>
                <w:color w:val="000000"/>
                <w:szCs w:val="21"/>
              </w:rPr>
              <w:t>附录B重点关注的危险物质及临界量</w:t>
            </w:r>
            <w:r>
              <w:rPr>
                <w:rFonts w:hint="eastAsia"/>
                <w:color w:val="000000"/>
                <w:szCs w:val="21"/>
              </w:rPr>
              <w:t>”</w:t>
            </w:r>
            <w:r>
              <w:rPr>
                <w:rFonts w:hint="default"/>
                <w:color w:val="000000"/>
                <w:szCs w:val="21"/>
              </w:rPr>
              <w:t>、附录C，计算危险物质数量与临界量比值Q：</w:t>
            </w:r>
          </w:p>
          <w:p w14:paraId="36E33894">
            <w:pPr>
              <w:keepNext w:val="0"/>
              <w:keepLines w:val="0"/>
              <w:suppressLineNumbers w:val="0"/>
              <w:spacing w:before="0" w:beforeAutospacing="0" w:after="0" w:afterAutospacing="0"/>
              <w:ind w:left="0" w:right="0" w:firstLine="480"/>
              <w:rPr>
                <w:rFonts w:hint="default"/>
                <w:color w:val="000000"/>
                <w:szCs w:val="21"/>
              </w:rPr>
            </w:pPr>
            <w:r>
              <w:rPr>
                <w:rFonts w:hint="default"/>
                <w:color w:val="000000"/>
                <w:szCs w:val="21"/>
              </w:rPr>
              <w:t>q1/Q1+q2/Q2+…+qn/Qn≥1</w:t>
            </w:r>
          </w:p>
          <w:p w14:paraId="6843FC15">
            <w:pPr>
              <w:keepNext w:val="0"/>
              <w:keepLines w:val="0"/>
              <w:suppressLineNumbers w:val="0"/>
              <w:spacing w:before="0" w:beforeAutospacing="0" w:after="0" w:afterAutospacing="0"/>
              <w:ind w:left="0" w:right="0" w:firstLine="480"/>
              <w:rPr>
                <w:rFonts w:hint="default"/>
                <w:color w:val="000000"/>
                <w:szCs w:val="21"/>
              </w:rPr>
            </w:pPr>
            <w:r>
              <w:rPr>
                <w:rFonts w:hint="default"/>
                <w:color w:val="000000"/>
                <w:szCs w:val="21"/>
              </w:rPr>
              <w:t>式中：q1、q2、qn每种危险物质最大存在总量，t；</w:t>
            </w:r>
          </w:p>
          <w:p w14:paraId="6BCD9D9A">
            <w:pPr>
              <w:keepNext w:val="0"/>
              <w:keepLines w:val="0"/>
              <w:suppressLineNumbers w:val="0"/>
              <w:spacing w:before="0" w:beforeAutospacing="0" w:after="0" w:afterAutospacing="0"/>
              <w:ind w:left="0" w:right="0" w:firstLine="480"/>
              <w:rPr>
                <w:rFonts w:hint="default"/>
                <w:color w:val="000000"/>
                <w:szCs w:val="21"/>
              </w:rPr>
            </w:pPr>
            <w:r>
              <w:rPr>
                <w:rFonts w:hint="default"/>
                <w:color w:val="000000"/>
                <w:szCs w:val="21"/>
              </w:rPr>
              <w:t>Q1、Q2、Qn每种危险物质的临界量，t；</w:t>
            </w:r>
          </w:p>
          <w:p w14:paraId="41A5477E">
            <w:pPr>
              <w:keepNext w:val="0"/>
              <w:keepLines w:val="0"/>
              <w:suppressLineNumbers w:val="0"/>
              <w:spacing w:before="0" w:beforeAutospacing="0" w:after="0" w:afterAutospacing="0"/>
              <w:ind w:left="0" w:right="0" w:firstLine="480"/>
              <w:rPr>
                <w:rFonts w:hint="default"/>
                <w:color w:val="000000"/>
                <w:szCs w:val="21"/>
              </w:rPr>
            </w:pPr>
            <w:r>
              <w:rPr>
                <w:rFonts w:hint="default"/>
                <w:color w:val="000000"/>
                <w:szCs w:val="21"/>
              </w:rPr>
              <w:t>当Q＜1时，该项目环境风险潜势为I。</w:t>
            </w:r>
          </w:p>
          <w:p w14:paraId="6D422C44">
            <w:pPr>
              <w:keepNext w:val="0"/>
              <w:keepLines w:val="0"/>
              <w:suppressLineNumbers w:val="0"/>
              <w:spacing w:before="0" w:beforeAutospacing="0" w:after="0" w:afterAutospacing="0"/>
              <w:ind w:left="0" w:right="0" w:firstLine="480"/>
              <w:rPr>
                <w:rFonts w:hint="default"/>
                <w:color w:val="000000"/>
                <w:szCs w:val="21"/>
              </w:rPr>
            </w:pPr>
            <w:r>
              <w:rPr>
                <w:rFonts w:hint="default"/>
                <w:color w:val="000000"/>
                <w:szCs w:val="21"/>
              </w:rPr>
              <w:t>当Q≥1时，将Q值划分为：①1≤Q＜10；②10≤Q＜100；③100≤Q。</w:t>
            </w:r>
          </w:p>
          <w:p w14:paraId="66D072F7">
            <w:pPr>
              <w:keepNext w:val="0"/>
              <w:keepLines w:val="0"/>
              <w:suppressLineNumbers w:val="0"/>
              <w:spacing w:before="0" w:beforeAutospacing="0" w:after="0" w:afterAutospacing="0"/>
              <w:ind w:left="0" w:right="0" w:firstLine="480"/>
              <w:rPr>
                <w:rFonts w:hint="default"/>
                <w:b/>
                <w:bCs/>
                <w:color w:val="000000"/>
                <w:sz w:val="21"/>
                <w:szCs w:val="21"/>
              </w:rPr>
            </w:pPr>
            <w:r>
              <w:rPr>
                <w:rFonts w:hint="default"/>
                <w:color w:val="000000"/>
                <w:szCs w:val="21"/>
              </w:rPr>
              <w:t>本项目各物质的具体暂存情况如下</w:t>
            </w:r>
            <w:r>
              <w:rPr>
                <w:rFonts w:hint="default"/>
                <w:b/>
                <w:bCs/>
                <w:color w:val="000000"/>
                <w:sz w:val="21"/>
                <w:szCs w:val="21"/>
              </w:rPr>
              <w:t>：</w:t>
            </w:r>
          </w:p>
          <w:p w14:paraId="53F17F12">
            <w:pPr>
              <w:keepNext w:val="0"/>
              <w:keepLines w:val="0"/>
              <w:suppressLineNumbers w:val="0"/>
              <w:adjustRightInd w:val="0"/>
              <w:snapToGrid w:val="0"/>
              <w:spacing w:before="0" w:beforeAutospacing="0" w:after="0" w:afterAutospacing="0" w:line="240" w:lineRule="auto"/>
              <w:ind w:left="0" w:right="0" w:firstLine="422" w:firstLineChars="200"/>
              <w:rPr>
                <w:rFonts w:hint="default"/>
                <w:b/>
                <w:bCs/>
                <w:color w:val="000000"/>
                <w:sz w:val="21"/>
                <w:szCs w:val="21"/>
              </w:rPr>
            </w:pPr>
            <w:r>
              <w:rPr>
                <w:rFonts w:hint="default"/>
                <w:b/>
                <w:bCs/>
                <w:color w:val="000000"/>
                <w:sz w:val="21"/>
                <w:szCs w:val="21"/>
              </w:rPr>
              <w:t>表</w:t>
            </w:r>
            <w:r>
              <w:rPr>
                <w:rFonts w:hint="eastAsia"/>
                <w:b/>
                <w:bCs/>
                <w:color w:val="000000"/>
                <w:sz w:val="21"/>
                <w:szCs w:val="21"/>
                <w:lang w:val="en-US" w:eastAsia="zh-CN"/>
              </w:rPr>
              <w:t>4-12</w:t>
            </w:r>
            <w:r>
              <w:rPr>
                <w:rFonts w:hint="eastAsia"/>
                <w:b/>
                <w:bCs/>
                <w:color w:val="000000"/>
                <w:sz w:val="21"/>
                <w:szCs w:val="21"/>
              </w:rPr>
              <w:t xml:space="preserve">           </w:t>
            </w:r>
            <w:r>
              <w:rPr>
                <w:rFonts w:hint="default"/>
                <w:b/>
                <w:bCs/>
                <w:color w:val="000000"/>
                <w:sz w:val="21"/>
                <w:szCs w:val="21"/>
              </w:rPr>
              <w:t>建设项目Q值确定表</w:t>
            </w:r>
          </w:p>
          <w:tbl>
            <w:tblPr>
              <w:tblStyle w:val="31"/>
              <w:tblW w:w="4998"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741"/>
              <w:gridCol w:w="1596"/>
              <w:gridCol w:w="1560"/>
              <w:gridCol w:w="2851"/>
              <w:gridCol w:w="1377"/>
            </w:tblGrid>
            <w:tr w14:paraId="60CDBDF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c>
                <w:tcPr>
                  <w:tcW w:w="456" w:type="pct"/>
                  <w:noWrap w:val="0"/>
                  <w:vAlign w:val="center"/>
                </w:tcPr>
                <w:p w14:paraId="644FA632">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color w:val="000000"/>
                      <w:sz w:val="21"/>
                      <w:szCs w:val="21"/>
                    </w:rPr>
                  </w:pPr>
                  <w:r>
                    <w:rPr>
                      <w:rFonts w:hint="default"/>
                      <w:color w:val="000000"/>
                      <w:sz w:val="21"/>
                      <w:szCs w:val="21"/>
                    </w:rPr>
                    <w:t>序号</w:t>
                  </w:r>
                </w:p>
              </w:tc>
              <w:tc>
                <w:tcPr>
                  <w:tcW w:w="982" w:type="pct"/>
                  <w:noWrap w:val="0"/>
                  <w:vAlign w:val="center"/>
                </w:tcPr>
                <w:p w14:paraId="4A5AF2AF">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color w:val="000000"/>
                      <w:sz w:val="21"/>
                      <w:szCs w:val="21"/>
                    </w:rPr>
                  </w:pPr>
                  <w:r>
                    <w:rPr>
                      <w:rFonts w:hint="default"/>
                      <w:color w:val="000000"/>
                      <w:sz w:val="21"/>
                      <w:szCs w:val="21"/>
                    </w:rPr>
                    <w:t>危险物质名称</w:t>
                  </w:r>
                </w:p>
              </w:tc>
              <w:tc>
                <w:tcPr>
                  <w:tcW w:w="960" w:type="pct"/>
                  <w:noWrap w:val="0"/>
                  <w:vAlign w:val="center"/>
                </w:tcPr>
                <w:p w14:paraId="302D2A6E">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color w:val="000000"/>
                      <w:sz w:val="21"/>
                      <w:szCs w:val="21"/>
                    </w:rPr>
                  </w:pPr>
                  <w:r>
                    <w:rPr>
                      <w:rFonts w:hint="default"/>
                      <w:color w:val="000000"/>
                      <w:sz w:val="21"/>
                      <w:szCs w:val="21"/>
                    </w:rPr>
                    <w:t>厂内最大贮存总量</w:t>
                  </w:r>
                </w:p>
              </w:tc>
              <w:tc>
                <w:tcPr>
                  <w:tcW w:w="1754" w:type="pct"/>
                  <w:noWrap w:val="0"/>
                  <w:vAlign w:val="center"/>
                </w:tcPr>
                <w:p w14:paraId="6887739A">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color w:val="000000"/>
                      <w:sz w:val="21"/>
                      <w:szCs w:val="21"/>
                    </w:rPr>
                  </w:pPr>
                  <w:r>
                    <w:rPr>
                      <w:rFonts w:hint="default"/>
                      <w:color w:val="000000"/>
                      <w:sz w:val="21"/>
                      <w:szCs w:val="21"/>
                    </w:rPr>
                    <w:t>临界量</w:t>
                  </w:r>
                </w:p>
              </w:tc>
              <w:tc>
                <w:tcPr>
                  <w:tcW w:w="847" w:type="pct"/>
                  <w:noWrap w:val="0"/>
                  <w:vAlign w:val="center"/>
                </w:tcPr>
                <w:p w14:paraId="567C930D">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color w:val="000000"/>
                      <w:sz w:val="21"/>
                      <w:szCs w:val="21"/>
                    </w:rPr>
                  </w:pPr>
                  <w:r>
                    <w:rPr>
                      <w:rFonts w:hint="default"/>
                      <w:color w:val="000000"/>
                      <w:sz w:val="21"/>
                      <w:szCs w:val="21"/>
                    </w:rPr>
                    <w:t>该种危险物质Q值</w:t>
                  </w:r>
                </w:p>
              </w:tc>
            </w:tr>
            <w:tr w14:paraId="2372598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c>
                <w:tcPr>
                  <w:tcW w:w="456" w:type="pct"/>
                  <w:noWrap w:val="0"/>
                  <w:vAlign w:val="center"/>
                </w:tcPr>
                <w:p w14:paraId="066A6D71">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color w:val="000000"/>
                      <w:sz w:val="21"/>
                      <w:szCs w:val="21"/>
                    </w:rPr>
                  </w:pPr>
                  <w:r>
                    <w:rPr>
                      <w:rFonts w:hint="default"/>
                      <w:color w:val="000000"/>
                      <w:sz w:val="21"/>
                      <w:szCs w:val="21"/>
                    </w:rPr>
                    <w:t>1</w:t>
                  </w:r>
                </w:p>
              </w:tc>
              <w:tc>
                <w:tcPr>
                  <w:tcW w:w="982" w:type="pct"/>
                  <w:noWrap w:val="0"/>
                  <w:vAlign w:val="center"/>
                </w:tcPr>
                <w:p w14:paraId="18C88A3C">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eastAsia"/>
                      <w:color w:val="000000"/>
                      <w:sz w:val="21"/>
                      <w:szCs w:val="21"/>
                    </w:rPr>
                  </w:pPr>
                  <w:r>
                    <w:rPr>
                      <w:rFonts w:hint="eastAsia"/>
                      <w:color w:val="000000"/>
                      <w:sz w:val="21"/>
                      <w:szCs w:val="21"/>
                      <w:lang w:val="en-US" w:eastAsia="zh-CN"/>
                    </w:rPr>
                    <w:t>医用酒精</w:t>
                  </w:r>
                </w:p>
              </w:tc>
              <w:tc>
                <w:tcPr>
                  <w:tcW w:w="960" w:type="pct"/>
                  <w:noWrap w:val="0"/>
                  <w:vAlign w:val="center"/>
                </w:tcPr>
                <w:p w14:paraId="3277855A">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eastAsia="宋体"/>
                      <w:color w:val="000000"/>
                      <w:sz w:val="21"/>
                      <w:szCs w:val="21"/>
                      <w:lang w:val="en-US" w:eastAsia="zh-CN"/>
                    </w:rPr>
                  </w:pPr>
                  <w:r>
                    <w:rPr>
                      <w:rFonts w:hint="eastAsia" w:eastAsia="宋体"/>
                      <w:color w:val="000000"/>
                      <w:sz w:val="21"/>
                      <w:szCs w:val="21"/>
                      <w:lang w:val="en-US" w:eastAsia="zh-CN"/>
                    </w:rPr>
                    <w:t>0.025</w:t>
                  </w:r>
                </w:p>
              </w:tc>
              <w:tc>
                <w:tcPr>
                  <w:tcW w:w="1754" w:type="pct"/>
                  <w:noWrap w:val="0"/>
                  <w:vAlign w:val="center"/>
                </w:tcPr>
                <w:p w14:paraId="5692C831">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eastAsia="宋体"/>
                      <w:color w:val="000000"/>
                      <w:sz w:val="21"/>
                      <w:szCs w:val="21"/>
                      <w:lang w:val="en-US" w:eastAsia="zh-CN"/>
                    </w:rPr>
                  </w:pPr>
                  <w:r>
                    <w:rPr>
                      <w:rFonts w:hint="eastAsia"/>
                      <w:color w:val="000000"/>
                      <w:sz w:val="21"/>
                      <w:szCs w:val="21"/>
                      <w:lang w:val="en-US" w:eastAsia="zh-CN"/>
                    </w:rPr>
                    <w:t>500</w:t>
                  </w:r>
                </w:p>
              </w:tc>
              <w:tc>
                <w:tcPr>
                  <w:tcW w:w="847" w:type="pct"/>
                  <w:noWrap w:val="0"/>
                  <w:vAlign w:val="center"/>
                </w:tcPr>
                <w:p w14:paraId="546D48B0">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eastAsia="宋体"/>
                      <w:color w:val="000000"/>
                      <w:sz w:val="21"/>
                      <w:szCs w:val="21"/>
                      <w:lang w:val="en-US" w:eastAsia="zh-CN"/>
                    </w:rPr>
                  </w:pPr>
                  <w:r>
                    <w:rPr>
                      <w:rFonts w:hint="eastAsia" w:eastAsia="宋体"/>
                      <w:color w:val="000000"/>
                      <w:sz w:val="21"/>
                      <w:szCs w:val="21"/>
                      <w:lang w:val="en-US" w:eastAsia="zh-CN"/>
                    </w:rPr>
                    <w:t>0.00005</w:t>
                  </w:r>
                </w:p>
              </w:tc>
            </w:tr>
            <w:tr w14:paraId="1726AAE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c>
                <w:tcPr>
                  <w:tcW w:w="456" w:type="pct"/>
                  <w:noWrap w:val="0"/>
                  <w:vAlign w:val="center"/>
                </w:tcPr>
                <w:p w14:paraId="5B31B4C1">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eastAsia" w:eastAsia="宋体"/>
                      <w:color w:val="000000"/>
                      <w:sz w:val="21"/>
                      <w:szCs w:val="21"/>
                      <w:lang w:val="en-US" w:eastAsia="zh-CN"/>
                    </w:rPr>
                  </w:pPr>
                  <w:r>
                    <w:rPr>
                      <w:rFonts w:hint="eastAsia"/>
                      <w:color w:val="000000"/>
                      <w:sz w:val="21"/>
                      <w:szCs w:val="21"/>
                      <w:lang w:val="en-US" w:eastAsia="zh-CN"/>
                    </w:rPr>
                    <w:t>2</w:t>
                  </w:r>
                </w:p>
              </w:tc>
              <w:tc>
                <w:tcPr>
                  <w:tcW w:w="982" w:type="pct"/>
                  <w:noWrap w:val="0"/>
                  <w:vAlign w:val="center"/>
                </w:tcPr>
                <w:p w14:paraId="31B52479">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color w:val="000000"/>
                      <w:sz w:val="21"/>
                      <w:szCs w:val="21"/>
                      <w:lang w:val="en-US" w:eastAsia="zh-CN"/>
                    </w:rPr>
                  </w:pPr>
                  <w:r>
                    <w:rPr>
                      <w:rFonts w:hint="eastAsia"/>
                      <w:color w:val="000000"/>
                      <w:sz w:val="21"/>
                      <w:szCs w:val="21"/>
                      <w:lang w:val="en-US" w:eastAsia="zh-CN"/>
                    </w:rPr>
                    <w:t>动物诊疗废物</w:t>
                  </w:r>
                </w:p>
              </w:tc>
              <w:tc>
                <w:tcPr>
                  <w:tcW w:w="960" w:type="pct"/>
                  <w:noWrap w:val="0"/>
                  <w:vAlign w:val="center"/>
                </w:tcPr>
                <w:p w14:paraId="3E50F4C3">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eastAsia="宋体"/>
                      <w:color w:val="000000"/>
                      <w:sz w:val="21"/>
                      <w:szCs w:val="21"/>
                      <w:lang w:val="en-US" w:eastAsia="zh-CN"/>
                    </w:rPr>
                  </w:pPr>
                  <w:r>
                    <w:rPr>
                      <w:rFonts w:hint="eastAsia"/>
                      <w:color w:val="000000"/>
                      <w:sz w:val="21"/>
                      <w:szCs w:val="21"/>
                      <w:lang w:val="en-US" w:eastAsia="zh-CN"/>
                    </w:rPr>
                    <w:t>0.3</w:t>
                  </w:r>
                </w:p>
              </w:tc>
              <w:tc>
                <w:tcPr>
                  <w:tcW w:w="1754" w:type="pct"/>
                  <w:noWrap w:val="0"/>
                  <w:vAlign w:val="center"/>
                </w:tcPr>
                <w:p w14:paraId="70E90C1E">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eastAsia" w:eastAsia="宋体"/>
                      <w:color w:val="000000"/>
                      <w:sz w:val="21"/>
                      <w:szCs w:val="21"/>
                      <w:lang w:val="en-US" w:eastAsia="zh-CN"/>
                    </w:rPr>
                  </w:pPr>
                  <w:r>
                    <w:rPr>
                      <w:rFonts w:hint="eastAsia"/>
                      <w:color w:val="000000"/>
                      <w:sz w:val="21"/>
                      <w:szCs w:val="21"/>
                      <w:lang w:val="en-US" w:eastAsia="zh-CN"/>
                    </w:rPr>
                    <w:t>5</w:t>
                  </w:r>
                </w:p>
              </w:tc>
              <w:tc>
                <w:tcPr>
                  <w:tcW w:w="847" w:type="pct"/>
                  <w:noWrap w:val="0"/>
                  <w:vAlign w:val="center"/>
                </w:tcPr>
                <w:p w14:paraId="3F4F49F3">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eastAsia="宋体"/>
                      <w:color w:val="000000"/>
                      <w:sz w:val="21"/>
                      <w:szCs w:val="21"/>
                      <w:lang w:val="en-US" w:eastAsia="zh-CN"/>
                    </w:rPr>
                  </w:pPr>
                  <w:r>
                    <w:rPr>
                      <w:rFonts w:hint="eastAsia"/>
                      <w:color w:val="000000"/>
                      <w:sz w:val="21"/>
                      <w:szCs w:val="21"/>
                      <w:lang w:val="en-US" w:eastAsia="zh-CN"/>
                    </w:rPr>
                    <w:t>0.06</w:t>
                  </w:r>
                </w:p>
              </w:tc>
            </w:tr>
            <w:tr w14:paraId="27FAE3A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c>
                <w:tcPr>
                  <w:tcW w:w="456" w:type="pct"/>
                  <w:noWrap w:val="0"/>
                  <w:vAlign w:val="center"/>
                </w:tcPr>
                <w:p w14:paraId="5208FCDC">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eastAsia" w:eastAsia="宋体"/>
                      <w:color w:val="000000"/>
                      <w:sz w:val="21"/>
                      <w:szCs w:val="21"/>
                      <w:lang w:val="en-US" w:eastAsia="zh-CN"/>
                    </w:rPr>
                  </w:pPr>
                  <w:r>
                    <w:rPr>
                      <w:rFonts w:hint="eastAsia"/>
                      <w:color w:val="000000"/>
                      <w:sz w:val="21"/>
                      <w:szCs w:val="21"/>
                      <w:lang w:val="en-US" w:eastAsia="zh-CN"/>
                    </w:rPr>
                    <w:t>3</w:t>
                  </w:r>
                </w:p>
              </w:tc>
              <w:tc>
                <w:tcPr>
                  <w:tcW w:w="982" w:type="pct"/>
                  <w:noWrap w:val="0"/>
                  <w:vAlign w:val="center"/>
                </w:tcPr>
                <w:p w14:paraId="25AC353F">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color w:val="000000"/>
                      <w:sz w:val="21"/>
                      <w:szCs w:val="21"/>
                      <w:lang w:val="en-US" w:eastAsia="zh-CN"/>
                    </w:rPr>
                  </w:pPr>
                  <w:r>
                    <w:rPr>
                      <w:rFonts w:hint="default"/>
                      <w:color w:val="000000"/>
                      <w:sz w:val="21"/>
                      <w:szCs w:val="21"/>
                      <w:lang w:val="en-US" w:eastAsia="zh-CN"/>
                    </w:rPr>
                    <w:t>二氧化氯泡腾片</w:t>
                  </w:r>
                </w:p>
              </w:tc>
              <w:tc>
                <w:tcPr>
                  <w:tcW w:w="960" w:type="pct"/>
                  <w:noWrap w:val="0"/>
                  <w:vAlign w:val="center"/>
                </w:tcPr>
                <w:p w14:paraId="7C77C20C">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eastAsia="宋体"/>
                      <w:color w:val="000000"/>
                      <w:sz w:val="21"/>
                      <w:szCs w:val="21"/>
                      <w:highlight w:val="none"/>
                      <w:lang w:val="en-US" w:eastAsia="zh-CN"/>
                    </w:rPr>
                  </w:pPr>
                  <w:r>
                    <w:rPr>
                      <w:rFonts w:hint="eastAsia"/>
                      <w:color w:val="000000"/>
                      <w:sz w:val="21"/>
                      <w:szCs w:val="21"/>
                      <w:highlight w:val="none"/>
                      <w:lang w:val="en-US" w:eastAsia="zh-CN"/>
                    </w:rPr>
                    <w:t>0.001</w:t>
                  </w:r>
                </w:p>
              </w:tc>
              <w:tc>
                <w:tcPr>
                  <w:tcW w:w="1754" w:type="pct"/>
                  <w:noWrap w:val="0"/>
                  <w:vAlign w:val="center"/>
                </w:tcPr>
                <w:p w14:paraId="6E4E2EF7">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eastAsia="宋体"/>
                      <w:color w:val="000000"/>
                      <w:sz w:val="21"/>
                      <w:szCs w:val="21"/>
                      <w:highlight w:val="none"/>
                      <w:lang w:val="en-US" w:eastAsia="zh-CN"/>
                    </w:rPr>
                  </w:pPr>
                  <w:r>
                    <w:rPr>
                      <w:rFonts w:hint="eastAsia"/>
                      <w:color w:val="000000"/>
                      <w:sz w:val="21"/>
                      <w:szCs w:val="21"/>
                      <w:highlight w:val="none"/>
                      <w:lang w:val="en-US" w:eastAsia="zh-CN"/>
                    </w:rPr>
                    <w:t>0.5</w:t>
                  </w:r>
                </w:p>
              </w:tc>
              <w:tc>
                <w:tcPr>
                  <w:tcW w:w="847" w:type="pct"/>
                  <w:noWrap w:val="0"/>
                  <w:vAlign w:val="center"/>
                </w:tcPr>
                <w:p w14:paraId="35F8D8A5">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eastAsia="宋体"/>
                      <w:color w:val="000000"/>
                      <w:sz w:val="21"/>
                      <w:szCs w:val="21"/>
                      <w:lang w:val="en-US" w:eastAsia="zh-CN"/>
                    </w:rPr>
                  </w:pPr>
                  <w:r>
                    <w:rPr>
                      <w:rFonts w:hint="eastAsia"/>
                      <w:color w:val="000000"/>
                      <w:sz w:val="21"/>
                      <w:szCs w:val="21"/>
                      <w:lang w:val="en-US" w:eastAsia="zh-CN"/>
                    </w:rPr>
                    <w:t>0.002</w:t>
                  </w:r>
                </w:p>
              </w:tc>
            </w:tr>
            <w:tr w14:paraId="1C317C4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c>
                <w:tcPr>
                  <w:tcW w:w="4152" w:type="pct"/>
                  <w:gridSpan w:val="4"/>
                  <w:noWrap w:val="0"/>
                  <w:vAlign w:val="center"/>
                </w:tcPr>
                <w:p w14:paraId="7C28A904">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color w:val="000000"/>
                      <w:sz w:val="21"/>
                      <w:szCs w:val="21"/>
                    </w:rPr>
                  </w:pPr>
                  <w:r>
                    <w:rPr>
                      <w:rFonts w:hint="default"/>
                      <w:color w:val="000000"/>
                      <w:sz w:val="21"/>
                      <w:szCs w:val="21"/>
                    </w:rPr>
                    <w:t>合计</w:t>
                  </w:r>
                </w:p>
              </w:tc>
              <w:tc>
                <w:tcPr>
                  <w:tcW w:w="847" w:type="pct"/>
                  <w:noWrap w:val="0"/>
                  <w:vAlign w:val="center"/>
                </w:tcPr>
                <w:p w14:paraId="454C19EE">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eastAsia="宋体"/>
                      <w:color w:val="000000"/>
                      <w:sz w:val="21"/>
                      <w:szCs w:val="21"/>
                      <w:lang w:val="en-US" w:eastAsia="zh-CN"/>
                    </w:rPr>
                  </w:pPr>
                  <w:r>
                    <w:rPr>
                      <w:rFonts w:hint="default"/>
                      <w:color w:val="000000"/>
                      <w:sz w:val="21"/>
                      <w:szCs w:val="21"/>
                    </w:rPr>
                    <w:t>0.</w:t>
                  </w:r>
                  <w:r>
                    <w:rPr>
                      <w:rFonts w:hint="eastAsia"/>
                      <w:color w:val="000000"/>
                      <w:sz w:val="21"/>
                      <w:szCs w:val="21"/>
                    </w:rPr>
                    <w:t>0</w:t>
                  </w:r>
                  <w:r>
                    <w:rPr>
                      <w:rFonts w:hint="eastAsia"/>
                      <w:color w:val="000000"/>
                      <w:sz w:val="21"/>
                      <w:szCs w:val="21"/>
                      <w:lang w:val="en-US" w:eastAsia="zh-CN"/>
                    </w:rPr>
                    <w:t>6205</w:t>
                  </w:r>
                </w:p>
              </w:tc>
            </w:tr>
          </w:tbl>
          <w:p w14:paraId="51443B04">
            <w:pPr>
              <w:keepNext w:val="0"/>
              <w:keepLines w:val="0"/>
              <w:suppressLineNumbers w:val="0"/>
              <w:spacing w:before="0" w:beforeAutospacing="0" w:after="0" w:afterAutospacing="0"/>
              <w:ind w:left="0" w:right="0" w:firstLine="482"/>
              <w:rPr>
                <w:rFonts w:hint="default"/>
                <w:b/>
                <w:bCs/>
                <w:color w:val="000000"/>
              </w:rPr>
            </w:pPr>
            <w:r>
              <w:rPr>
                <w:rFonts w:hint="default"/>
                <w:color w:val="000000"/>
              </w:rPr>
              <w:t>根据《建设项目环境风险评价技术导则》（HJ169-2018）中环境风险评价工作等级划分基本原则。本项目Q＜1环境风险潜势为I级，结合下表可知，本项目的风险评价等级为简单分析</w:t>
            </w:r>
            <w:r>
              <w:rPr>
                <w:rFonts w:hint="default"/>
                <w:b/>
                <w:bCs/>
                <w:color w:val="000000"/>
              </w:rPr>
              <w:t>。</w:t>
            </w:r>
          </w:p>
          <w:p w14:paraId="27EFC663">
            <w:pPr>
              <w:keepNext w:val="0"/>
              <w:keepLines w:val="0"/>
              <w:suppressLineNumbers w:val="0"/>
              <w:adjustRightInd w:val="0"/>
              <w:snapToGrid w:val="0"/>
              <w:spacing w:before="0" w:beforeAutospacing="0" w:after="0" w:afterAutospacing="0" w:line="240" w:lineRule="auto"/>
              <w:ind w:left="0" w:right="0" w:firstLine="422" w:firstLineChars="200"/>
              <w:rPr>
                <w:rFonts w:hint="default"/>
                <w:color w:val="000000"/>
              </w:rPr>
            </w:pPr>
            <w:r>
              <w:rPr>
                <w:rFonts w:hint="default"/>
                <w:b/>
                <w:bCs/>
                <w:color w:val="000000"/>
                <w:sz w:val="21"/>
                <w:szCs w:val="21"/>
              </w:rPr>
              <w:t>表</w:t>
            </w:r>
            <w:r>
              <w:rPr>
                <w:rFonts w:hint="eastAsia"/>
                <w:b/>
                <w:bCs/>
                <w:color w:val="000000"/>
                <w:sz w:val="21"/>
                <w:szCs w:val="21"/>
                <w:lang w:val="en-US" w:eastAsia="zh-CN"/>
              </w:rPr>
              <w:t>4-13</w:t>
            </w:r>
            <w:r>
              <w:rPr>
                <w:rFonts w:hint="eastAsia"/>
                <w:b/>
                <w:bCs/>
                <w:color w:val="000000"/>
                <w:sz w:val="21"/>
                <w:szCs w:val="21"/>
              </w:rPr>
              <w:t xml:space="preserve">                </w:t>
            </w:r>
            <w:r>
              <w:rPr>
                <w:rFonts w:hint="default"/>
                <w:b/>
                <w:bCs/>
                <w:color w:val="000000"/>
                <w:sz w:val="21"/>
                <w:szCs w:val="21"/>
              </w:rPr>
              <w:t>评价工作等级划分</w:t>
            </w:r>
          </w:p>
          <w:tbl>
            <w:tblPr>
              <w:tblStyle w:val="31"/>
              <w:tblW w:w="4998" w:type="pct"/>
              <w:tblInd w:w="2"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2996"/>
              <w:gridCol w:w="1948"/>
              <w:gridCol w:w="579"/>
              <w:gridCol w:w="578"/>
              <w:gridCol w:w="2025"/>
            </w:tblGrid>
            <w:tr w14:paraId="21AD8F9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c>
                <w:tcPr>
                  <w:tcW w:w="3123" w:type="dxa"/>
                  <w:noWrap w:val="0"/>
                  <w:vAlign w:val="center"/>
                </w:tcPr>
                <w:p w14:paraId="2525F83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000000"/>
                      <w:sz w:val="21"/>
                      <w:szCs w:val="21"/>
                    </w:rPr>
                  </w:pPr>
                  <w:r>
                    <w:rPr>
                      <w:rFonts w:hint="default"/>
                      <w:color w:val="000000"/>
                      <w:sz w:val="21"/>
                      <w:szCs w:val="21"/>
                    </w:rPr>
                    <w:t>环境风险潜势</w:t>
                  </w:r>
                </w:p>
              </w:tc>
              <w:tc>
                <w:tcPr>
                  <w:tcW w:w="2030" w:type="dxa"/>
                  <w:noWrap w:val="0"/>
                  <w:vAlign w:val="center"/>
                </w:tcPr>
                <w:p w14:paraId="45ADA14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000000"/>
                      <w:sz w:val="21"/>
                      <w:szCs w:val="21"/>
                    </w:rPr>
                  </w:pPr>
                  <w:r>
                    <w:rPr>
                      <w:rFonts w:hint="default"/>
                      <w:color w:val="000000"/>
                      <w:sz w:val="21"/>
                      <w:szCs w:val="21"/>
                    </w:rPr>
                    <w:t>IV，IV+</w:t>
                  </w:r>
                </w:p>
              </w:tc>
              <w:tc>
                <w:tcPr>
                  <w:tcW w:w="603" w:type="dxa"/>
                  <w:noWrap w:val="0"/>
                  <w:vAlign w:val="center"/>
                </w:tcPr>
                <w:p w14:paraId="5FD1963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000000"/>
                      <w:sz w:val="21"/>
                      <w:szCs w:val="21"/>
                    </w:rPr>
                  </w:pPr>
                  <w:r>
                    <w:rPr>
                      <w:rFonts w:hint="default"/>
                      <w:lang w:eastAsia="zh-CN"/>
                    </w:rPr>
                    <w:t>Ⅲ</w:t>
                  </w:r>
                </w:p>
              </w:tc>
              <w:tc>
                <w:tcPr>
                  <w:tcW w:w="602" w:type="dxa"/>
                  <w:noWrap w:val="0"/>
                  <w:vAlign w:val="center"/>
                </w:tcPr>
                <w:p w14:paraId="425868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000000"/>
                      <w:sz w:val="21"/>
                      <w:szCs w:val="21"/>
                    </w:rPr>
                  </w:pPr>
                  <w:r>
                    <w:rPr>
                      <w:rFonts w:hint="default"/>
                      <w:color w:val="000000"/>
                      <w:sz w:val="21"/>
                      <w:szCs w:val="21"/>
                    </w:rPr>
                    <w:t>II</w:t>
                  </w:r>
                </w:p>
              </w:tc>
              <w:tc>
                <w:tcPr>
                  <w:tcW w:w="2109" w:type="dxa"/>
                  <w:noWrap w:val="0"/>
                  <w:vAlign w:val="center"/>
                </w:tcPr>
                <w:p w14:paraId="1C6723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000000"/>
                      <w:sz w:val="21"/>
                      <w:szCs w:val="21"/>
                    </w:rPr>
                  </w:pPr>
                  <w:r>
                    <w:rPr>
                      <w:rFonts w:hint="default"/>
                      <w:color w:val="000000"/>
                      <w:sz w:val="21"/>
                      <w:szCs w:val="21"/>
                    </w:rPr>
                    <w:t>I</w:t>
                  </w:r>
                </w:p>
              </w:tc>
            </w:tr>
            <w:tr w14:paraId="15C2B20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c>
                <w:tcPr>
                  <w:tcW w:w="3123" w:type="dxa"/>
                  <w:noWrap w:val="0"/>
                  <w:vAlign w:val="center"/>
                </w:tcPr>
                <w:p w14:paraId="5619F98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000000"/>
                      <w:sz w:val="21"/>
                      <w:szCs w:val="21"/>
                    </w:rPr>
                  </w:pPr>
                  <w:r>
                    <w:rPr>
                      <w:rFonts w:hint="default"/>
                      <w:color w:val="000000"/>
                      <w:sz w:val="21"/>
                      <w:szCs w:val="21"/>
                    </w:rPr>
                    <w:t>评价工作等级</w:t>
                  </w:r>
                </w:p>
              </w:tc>
              <w:tc>
                <w:tcPr>
                  <w:tcW w:w="2030" w:type="dxa"/>
                  <w:noWrap w:val="0"/>
                  <w:vAlign w:val="center"/>
                </w:tcPr>
                <w:p w14:paraId="03A029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000000"/>
                      <w:sz w:val="21"/>
                      <w:szCs w:val="21"/>
                    </w:rPr>
                  </w:pPr>
                  <w:r>
                    <w:rPr>
                      <w:rFonts w:hint="default"/>
                      <w:color w:val="000000"/>
                      <w:sz w:val="21"/>
                      <w:szCs w:val="21"/>
                    </w:rPr>
                    <w:t>一</w:t>
                  </w:r>
                </w:p>
              </w:tc>
              <w:tc>
                <w:tcPr>
                  <w:tcW w:w="603" w:type="dxa"/>
                  <w:noWrap w:val="0"/>
                  <w:vAlign w:val="center"/>
                </w:tcPr>
                <w:p w14:paraId="05D54B6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000000"/>
                      <w:sz w:val="21"/>
                      <w:szCs w:val="21"/>
                    </w:rPr>
                  </w:pPr>
                  <w:r>
                    <w:rPr>
                      <w:rFonts w:hint="default"/>
                      <w:color w:val="000000"/>
                      <w:sz w:val="21"/>
                      <w:szCs w:val="21"/>
                    </w:rPr>
                    <w:t>二</w:t>
                  </w:r>
                </w:p>
              </w:tc>
              <w:tc>
                <w:tcPr>
                  <w:tcW w:w="602" w:type="dxa"/>
                  <w:noWrap w:val="0"/>
                  <w:vAlign w:val="center"/>
                </w:tcPr>
                <w:p w14:paraId="6136EB8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000000"/>
                      <w:sz w:val="21"/>
                      <w:szCs w:val="21"/>
                    </w:rPr>
                  </w:pPr>
                  <w:r>
                    <w:rPr>
                      <w:rFonts w:hint="default"/>
                      <w:color w:val="000000"/>
                      <w:sz w:val="21"/>
                      <w:szCs w:val="21"/>
                    </w:rPr>
                    <w:t>三</w:t>
                  </w:r>
                </w:p>
              </w:tc>
              <w:tc>
                <w:tcPr>
                  <w:tcW w:w="2109" w:type="dxa"/>
                  <w:noWrap w:val="0"/>
                  <w:vAlign w:val="center"/>
                </w:tcPr>
                <w:p w14:paraId="12AC515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000000"/>
                      <w:sz w:val="21"/>
                      <w:szCs w:val="21"/>
                    </w:rPr>
                  </w:pPr>
                  <w:r>
                    <w:rPr>
                      <w:rFonts w:hint="default"/>
                      <w:color w:val="000000"/>
                      <w:sz w:val="21"/>
                      <w:szCs w:val="21"/>
                    </w:rPr>
                    <w:t>简单分析</w:t>
                  </w:r>
                </w:p>
              </w:tc>
            </w:tr>
            <w:tr w14:paraId="0B24DD7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c>
                <w:tcPr>
                  <w:tcW w:w="8467" w:type="dxa"/>
                  <w:gridSpan w:val="5"/>
                  <w:noWrap w:val="0"/>
                  <w:vAlign w:val="center"/>
                </w:tcPr>
                <w:p w14:paraId="6678EA8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000000"/>
                      <w:sz w:val="21"/>
                      <w:szCs w:val="21"/>
                    </w:rPr>
                  </w:pPr>
                  <w:r>
                    <w:rPr>
                      <w:rFonts w:hint="default"/>
                      <w:color w:val="000000"/>
                      <w:sz w:val="21"/>
                      <w:szCs w:val="21"/>
                    </w:rPr>
                    <w:t>注：a是相对于详细评价工作内容而言，在描述危险物质、环境影响途径、环境危害后果，风险防范措施等方面给出定性的说明。</w:t>
                  </w:r>
                </w:p>
              </w:tc>
            </w:tr>
          </w:tbl>
          <w:p w14:paraId="289E9C0E">
            <w:pPr>
              <w:keepNext w:val="0"/>
              <w:keepLines w:val="0"/>
              <w:suppressLineNumbers w:val="0"/>
              <w:spacing w:before="0" w:beforeAutospacing="0" w:after="0" w:afterAutospacing="0"/>
              <w:ind w:left="0" w:right="0" w:firstLine="482" w:firstLineChars="200"/>
              <w:rPr>
                <w:rFonts w:hint="default"/>
                <w:b/>
                <w:bCs/>
                <w:color w:val="000000"/>
              </w:rPr>
            </w:pPr>
            <w:r>
              <w:rPr>
                <w:rFonts w:hint="eastAsia"/>
                <w:b/>
                <w:bCs/>
                <w:color w:val="000000"/>
                <w:lang w:val="en-US" w:eastAsia="zh-CN"/>
              </w:rPr>
              <w:t>6</w:t>
            </w:r>
            <w:r>
              <w:rPr>
                <w:rFonts w:hint="eastAsia"/>
                <w:b/>
                <w:bCs/>
                <w:color w:val="000000"/>
              </w:rPr>
              <w:t>.</w:t>
            </w:r>
            <w:r>
              <w:rPr>
                <w:rFonts w:hint="default"/>
                <w:b/>
                <w:bCs/>
                <w:color w:val="000000"/>
              </w:rPr>
              <w:t>2环境风险分布情况</w:t>
            </w:r>
          </w:p>
          <w:p w14:paraId="68A4A54E">
            <w:pPr>
              <w:pStyle w:val="94"/>
              <w:keepNext w:val="0"/>
              <w:keepLines w:val="0"/>
              <w:suppressLineNumbers w:val="0"/>
              <w:adjustRightInd w:val="0"/>
              <w:snapToGrid w:val="0"/>
              <w:spacing w:before="0" w:beforeAutospacing="0" w:after="0" w:afterAutospacing="0"/>
              <w:ind w:left="0" w:right="0" w:firstLine="512" w:firstLineChars="200"/>
              <w:rPr>
                <w:rFonts w:hint="default" w:ascii="Times New Roman" w:hAnsi="Times New Roman" w:cs="Times New Roman"/>
                <w:color w:val="000000"/>
                <w:sz w:val="24"/>
                <w:szCs w:val="24"/>
                <w:lang w:eastAsia="zh-CN"/>
              </w:rPr>
            </w:pPr>
            <w:r>
              <w:rPr>
                <w:rFonts w:hint="default" w:ascii="Times New Roman" w:hAnsi="Times New Roman" w:cs="Times New Roman"/>
                <w:color w:val="000000"/>
                <w:spacing w:val="8"/>
                <w:sz w:val="24"/>
                <w:szCs w:val="24"/>
                <w:lang w:eastAsia="zh-CN"/>
              </w:rPr>
              <w:t>根据《建设项目环境风险评价技术导则》（</w:t>
            </w:r>
            <w:r>
              <w:rPr>
                <w:rFonts w:hint="default" w:ascii="Times New Roman" w:hAnsi="Times New Roman" w:cs="Times New Roman"/>
                <w:color w:val="000000"/>
                <w:sz w:val="24"/>
                <w:szCs w:val="24"/>
                <w:lang w:eastAsia="zh-CN"/>
              </w:rPr>
              <w:t>HJ</w:t>
            </w:r>
            <w:r>
              <w:rPr>
                <w:rFonts w:hint="default" w:ascii="Times New Roman" w:hAnsi="Times New Roman" w:cs="Times New Roman"/>
                <w:color w:val="000000"/>
                <w:spacing w:val="8"/>
                <w:sz w:val="24"/>
                <w:szCs w:val="24"/>
                <w:lang w:eastAsia="zh-CN"/>
              </w:rPr>
              <w:t>169-2018）对本项目运营过程中涉及的物质进行风险识别，本项目环境风险识别见下表。</w:t>
            </w:r>
          </w:p>
          <w:p w14:paraId="63D2C625">
            <w:pPr>
              <w:keepNext w:val="0"/>
              <w:keepLines w:val="0"/>
              <w:suppressLineNumbers w:val="0"/>
              <w:adjustRightInd w:val="0"/>
              <w:snapToGrid w:val="0"/>
              <w:spacing w:before="0" w:beforeAutospacing="0" w:after="0" w:afterAutospacing="0" w:line="240" w:lineRule="auto"/>
              <w:ind w:left="0" w:right="0" w:firstLine="422" w:firstLineChars="200"/>
              <w:rPr>
                <w:rFonts w:hint="default"/>
                <w:color w:val="000000"/>
              </w:rPr>
            </w:pPr>
            <w:r>
              <w:rPr>
                <w:rFonts w:hint="default"/>
                <w:b/>
                <w:bCs/>
                <w:color w:val="000000"/>
                <w:sz w:val="21"/>
                <w:szCs w:val="21"/>
              </w:rPr>
              <w:t>表</w:t>
            </w:r>
            <w:r>
              <w:rPr>
                <w:rFonts w:hint="eastAsia"/>
                <w:b/>
                <w:bCs/>
                <w:color w:val="000000"/>
                <w:sz w:val="21"/>
                <w:szCs w:val="21"/>
                <w:lang w:val="en-US" w:eastAsia="zh-CN"/>
              </w:rPr>
              <w:t>4-14</w:t>
            </w:r>
            <w:r>
              <w:rPr>
                <w:rFonts w:hint="eastAsia"/>
                <w:b/>
                <w:bCs/>
                <w:color w:val="000000"/>
                <w:sz w:val="21"/>
                <w:szCs w:val="21"/>
              </w:rPr>
              <w:t xml:space="preserve">          </w:t>
            </w:r>
            <w:r>
              <w:rPr>
                <w:rFonts w:hint="default"/>
                <w:b/>
                <w:bCs/>
                <w:color w:val="000000"/>
                <w:sz w:val="21"/>
                <w:szCs w:val="21"/>
              </w:rPr>
              <w:t>建设项目环境风险识别表</w:t>
            </w:r>
          </w:p>
          <w:tbl>
            <w:tblPr>
              <w:tblStyle w:val="31"/>
              <w:tblW w:w="4997"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543"/>
              <w:gridCol w:w="1107"/>
              <w:gridCol w:w="826"/>
              <w:gridCol w:w="1634"/>
              <w:gridCol w:w="1629"/>
              <w:gridCol w:w="2385"/>
            </w:tblGrid>
            <w:tr w14:paraId="5FF8967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c>
                <w:tcPr>
                  <w:tcW w:w="334" w:type="pct"/>
                  <w:noWrap w:val="0"/>
                  <w:vAlign w:val="center"/>
                </w:tcPr>
                <w:p w14:paraId="522647F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000000"/>
                      <w:sz w:val="21"/>
                      <w:szCs w:val="21"/>
                    </w:rPr>
                  </w:pPr>
                  <w:r>
                    <w:rPr>
                      <w:rFonts w:hint="default"/>
                      <w:color w:val="000000"/>
                      <w:spacing w:val="-4"/>
                      <w:sz w:val="21"/>
                      <w:szCs w:val="21"/>
                    </w:rPr>
                    <w:t>序号</w:t>
                  </w:r>
                </w:p>
              </w:tc>
              <w:tc>
                <w:tcPr>
                  <w:tcW w:w="681" w:type="pct"/>
                  <w:noWrap w:val="0"/>
                  <w:vAlign w:val="center"/>
                </w:tcPr>
                <w:p w14:paraId="3AAD70F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000000"/>
                      <w:sz w:val="21"/>
                      <w:szCs w:val="21"/>
                    </w:rPr>
                  </w:pPr>
                  <w:r>
                    <w:rPr>
                      <w:rFonts w:hint="default"/>
                      <w:color w:val="000000"/>
                      <w:spacing w:val="-2"/>
                      <w:sz w:val="21"/>
                      <w:szCs w:val="21"/>
                    </w:rPr>
                    <w:t>危险单元</w:t>
                  </w:r>
                </w:p>
              </w:tc>
              <w:tc>
                <w:tcPr>
                  <w:tcW w:w="508" w:type="pct"/>
                  <w:noWrap w:val="0"/>
                  <w:vAlign w:val="center"/>
                </w:tcPr>
                <w:p w14:paraId="650D9B4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000000"/>
                      <w:sz w:val="21"/>
                      <w:szCs w:val="21"/>
                    </w:rPr>
                  </w:pPr>
                  <w:r>
                    <w:rPr>
                      <w:rFonts w:hint="default"/>
                      <w:color w:val="000000"/>
                      <w:spacing w:val="-3"/>
                      <w:sz w:val="21"/>
                      <w:szCs w:val="21"/>
                    </w:rPr>
                    <w:t>风险源</w:t>
                  </w:r>
                </w:p>
              </w:tc>
              <w:tc>
                <w:tcPr>
                  <w:tcW w:w="1005" w:type="pct"/>
                  <w:noWrap w:val="0"/>
                  <w:vAlign w:val="center"/>
                </w:tcPr>
                <w:p w14:paraId="779C9B7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000000"/>
                      <w:sz w:val="21"/>
                      <w:szCs w:val="21"/>
                    </w:rPr>
                  </w:pPr>
                  <w:r>
                    <w:rPr>
                      <w:rFonts w:hint="default"/>
                      <w:color w:val="000000"/>
                      <w:spacing w:val="-3"/>
                      <w:sz w:val="21"/>
                      <w:szCs w:val="21"/>
                    </w:rPr>
                    <w:t>主要危险</w:t>
                  </w:r>
                  <w:r>
                    <w:rPr>
                      <w:rFonts w:hint="default"/>
                      <w:color w:val="000000"/>
                      <w:spacing w:val="-4"/>
                      <w:sz w:val="21"/>
                      <w:szCs w:val="21"/>
                    </w:rPr>
                    <w:t>物质</w:t>
                  </w:r>
                </w:p>
              </w:tc>
              <w:tc>
                <w:tcPr>
                  <w:tcW w:w="1002" w:type="pct"/>
                  <w:noWrap w:val="0"/>
                  <w:vAlign w:val="center"/>
                </w:tcPr>
                <w:p w14:paraId="4D8518D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000000"/>
                      <w:sz w:val="21"/>
                      <w:szCs w:val="21"/>
                    </w:rPr>
                  </w:pPr>
                  <w:r>
                    <w:rPr>
                      <w:rFonts w:hint="default"/>
                      <w:color w:val="000000"/>
                      <w:spacing w:val="-2"/>
                      <w:sz w:val="21"/>
                      <w:szCs w:val="21"/>
                    </w:rPr>
                    <w:t>环境风险</w:t>
                  </w:r>
                  <w:r>
                    <w:rPr>
                      <w:rFonts w:hint="default"/>
                      <w:color w:val="000000"/>
                      <w:spacing w:val="-7"/>
                      <w:sz w:val="21"/>
                      <w:szCs w:val="21"/>
                    </w:rPr>
                    <w:t>类型</w:t>
                  </w:r>
                </w:p>
              </w:tc>
              <w:tc>
                <w:tcPr>
                  <w:tcW w:w="1467" w:type="pct"/>
                  <w:noWrap w:val="0"/>
                  <w:vAlign w:val="center"/>
                </w:tcPr>
                <w:p w14:paraId="6C6D12B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000000"/>
                      <w:sz w:val="21"/>
                      <w:szCs w:val="21"/>
                    </w:rPr>
                  </w:pPr>
                  <w:r>
                    <w:rPr>
                      <w:rFonts w:hint="default"/>
                      <w:color w:val="000000"/>
                      <w:spacing w:val="-2"/>
                      <w:sz w:val="21"/>
                      <w:szCs w:val="21"/>
                    </w:rPr>
                    <w:t>环境影响途径</w:t>
                  </w:r>
                </w:p>
              </w:tc>
            </w:tr>
            <w:tr w14:paraId="4329D63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c>
                <w:tcPr>
                  <w:tcW w:w="334" w:type="pct"/>
                  <w:noWrap w:val="0"/>
                  <w:vAlign w:val="center"/>
                </w:tcPr>
                <w:p w14:paraId="012048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color w:val="000000"/>
                      <w:sz w:val="21"/>
                      <w:szCs w:val="21"/>
                    </w:rPr>
                  </w:pPr>
                  <w:r>
                    <w:rPr>
                      <w:rFonts w:hint="eastAsia"/>
                      <w:color w:val="000000"/>
                      <w:sz w:val="21"/>
                      <w:szCs w:val="21"/>
                    </w:rPr>
                    <w:t>1</w:t>
                  </w:r>
                </w:p>
              </w:tc>
              <w:tc>
                <w:tcPr>
                  <w:tcW w:w="681" w:type="pct"/>
                  <w:noWrap w:val="0"/>
                  <w:vAlign w:val="center"/>
                </w:tcPr>
                <w:p w14:paraId="0B7B0F9F">
                  <w:pPr>
                    <w:pStyle w:val="9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000000"/>
                      <w:sz w:val="21"/>
                      <w:szCs w:val="21"/>
                      <w:lang w:val="en-US" w:eastAsia="zh-CN"/>
                    </w:rPr>
                  </w:pPr>
                  <w:r>
                    <w:rPr>
                      <w:rFonts w:hint="eastAsia" w:cs="Times New Roman"/>
                      <w:color w:val="000000"/>
                      <w:spacing w:val="-3"/>
                      <w:sz w:val="21"/>
                      <w:szCs w:val="21"/>
                      <w:lang w:val="en-US" w:eastAsia="zh-CN"/>
                    </w:rPr>
                    <w:t>库房</w:t>
                  </w:r>
                </w:p>
              </w:tc>
              <w:tc>
                <w:tcPr>
                  <w:tcW w:w="508" w:type="pct"/>
                  <w:noWrap w:val="0"/>
                  <w:vAlign w:val="center"/>
                </w:tcPr>
                <w:p w14:paraId="1ED72573">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rFonts w:hint="eastAsia" w:ascii="Times New Roman" w:hAnsi="Times New Roman" w:cs="Times New Roman"/>
                      <w:color w:val="000000"/>
                      <w:sz w:val="21"/>
                      <w:szCs w:val="21"/>
                      <w:lang w:eastAsia="zh-CN"/>
                    </w:rPr>
                  </w:pPr>
                  <w:r>
                    <w:rPr>
                      <w:rFonts w:hint="eastAsia"/>
                      <w:color w:val="000000"/>
                      <w:sz w:val="21"/>
                      <w:szCs w:val="21"/>
                      <w:lang w:val="en-US" w:eastAsia="zh-CN"/>
                    </w:rPr>
                    <w:t>医用酒精</w:t>
                  </w:r>
                </w:p>
              </w:tc>
              <w:tc>
                <w:tcPr>
                  <w:tcW w:w="1005" w:type="pct"/>
                  <w:noWrap w:val="0"/>
                  <w:vAlign w:val="center"/>
                </w:tcPr>
                <w:p w14:paraId="1150EB49">
                  <w:pPr>
                    <w:pStyle w:val="9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cs="Times New Roman"/>
                      <w:color w:val="000000"/>
                      <w:sz w:val="21"/>
                      <w:szCs w:val="21"/>
                      <w:lang w:eastAsia="zh-CN"/>
                    </w:rPr>
                  </w:pPr>
                  <w:r>
                    <w:rPr>
                      <w:rFonts w:hint="eastAsia" w:cs="Times New Roman"/>
                      <w:color w:val="000000"/>
                      <w:spacing w:val="-3"/>
                      <w:sz w:val="21"/>
                      <w:szCs w:val="21"/>
                      <w:lang w:val="en-US" w:eastAsia="zh-CN"/>
                    </w:rPr>
                    <w:t>乙醇</w:t>
                  </w:r>
                </w:p>
              </w:tc>
              <w:tc>
                <w:tcPr>
                  <w:tcW w:w="1002" w:type="pct"/>
                  <w:noWrap w:val="0"/>
                  <w:vAlign w:val="center"/>
                </w:tcPr>
                <w:p w14:paraId="2F60C5FF">
                  <w:pPr>
                    <w:pStyle w:val="9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000000"/>
                      <w:sz w:val="21"/>
                      <w:szCs w:val="21"/>
                      <w:lang w:eastAsia="zh-CN"/>
                    </w:rPr>
                  </w:pPr>
                  <w:r>
                    <w:rPr>
                      <w:rFonts w:hint="eastAsia" w:ascii="Times New Roman" w:hAnsi="Times New Roman" w:cs="Times New Roman"/>
                      <w:color w:val="000000"/>
                      <w:spacing w:val="-13"/>
                      <w:sz w:val="21"/>
                      <w:szCs w:val="21"/>
                      <w:lang w:eastAsia="zh-CN"/>
                    </w:rPr>
                    <w:t>泄漏</w:t>
                  </w:r>
                  <w:r>
                    <w:rPr>
                      <w:rFonts w:hint="default" w:ascii="Times New Roman" w:hAnsi="Times New Roman" w:cs="Times New Roman"/>
                      <w:color w:val="000000"/>
                      <w:spacing w:val="-13"/>
                      <w:sz w:val="21"/>
                      <w:szCs w:val="21"/>
                      <w:lang w:eastAsia="zh-CN"/>
                    </w:rPr>
                    <w:t>、火灾</w:t>
                  </w:r>
                </w:p>
              </w:tc>
              <w:tc>
                <w:tcPr>
                  <w:tcW w:w="1467" w:type="pct"/>
                  <w:noWrap w:val="0"/>
                  <w:vAlign w:val="center"/>
                </w:tcPr>
                <w:p w14:paraId="29E08A99">
                  <w:pPr>
                    <w:pStyle w:val="9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pacing w:val="-6"/>
                      <w:sz w:val="21"/>
                      <w:szCs w:val="21"/>
                      <w:lang w:eastAsia="zh-CN"/>
                    </w:rPr>
                    <w:t>大气、地表水、</w:t>
                  </w:r>
                  <w:r>
                    <w:rPr>
                      <w:rFonts w:hint="default" w:ascii="Times New Roman" w:hAnsi="Times New Roman" w:cs="Times New Roman"/>
                      <w:color w:val="000000"/>
                      <w:spacing w:val="-4"/>
                      <w:sz w:val="21"/>
                      <w:szCs w:val="21"/>
                      <w:lang w:eastAsia="zh-CN"/>
                    </w:rPr>
                    <w:t>土壤</w:t>
                  </w:r>
                </w:p>
              </w:tc>
            </w:tr>
            <w:tr w14:paraId="3175397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c>
                <w:tcPr>
                  <w:tcW w:w="334" w:type="pct"/>
                  <w:noWrap w:val="0"/>
                  <w:vAlign w:val="center"/>
                </w:tcPr>
                <w:p w14:paraId="675C0C3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eastAsia="宋体"/>
                      <w:color w:val="000000"/>
                      <w:sz w:val="21"/>
                      <w:szCs w:val="21"/>
                      <w:lang w:val="en-US" w:eastAsia="zh-CN"/>
                    </w:rPr>
                  </w:pPr>
                  <w:r>
                    <w:rPr>
                      <w:rFonts w:hint="eastAsia"/>
                      <w:color w:val="000000"/>
                      <w:sz w:val="21"/>
                      <w:szCs w:val="21"/>
                      <w:lang w:val="en-US" w:eastAsia="zh-CN"/>
                    </w:rPr>
                    <w:t>2</w:t>
                  </w:r>
                </w:p>
              </w:tc>
              <w:tc>
                <w:tcPr>
                  <w:tcW w:w="681" w:type="pct"/>
                  <w:noWrap w:val="0"/>
                  <w:vAlign w:val="center"/>
                </w:tcPr>
                <w:p w14:paraId="5BDE036B">
                  <w:pPr>
                    <w:pStyle w:val="9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cs="Times New Roman"/>
                      <w:color w:val="000000"/>
                      <w:spacing w:val="-3"/>
                      <w:sz w:val="21"/>
                      <w:szCs w:val="21"/>
                      <w:lang w:val="en-US" w:eastAsia="zh-CN"/>
                    </w:rPr>
                  </w:pPr>
                  <w:r>
                    <w:rPr>
                      <w:rFonts w:hint="default" w:ascii="Times New Roman" w:hAnsi="Times New Roman" w:eastAsia="宋体" w:cs="Times New Roman"/>
                      <w:color w:val="000000"/>
                      <w:sz w:val="21"/>
                      <w:szCs w:val="21"/>
                      <w:highlight w:val="none"/>
                      <w:lang w:eastAsia="zh-CN"/>
                    </w:rPr>
                    <w:t>医疗废物专用暂时贮存柜</w:t>
                  </w:r>
                </w:p>
              </w:tc>
              <w:tc>
                <w:tcPr>
                  <w:tcW w:w="508" w:type="pct"/>
                  <w:noWrap w:val="0"/>
                  <w:vAlign w:val="center"/>
                </w:tcPr>
                <w:p w14:paraId="68F3F2FB">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rFonts w:hint="eastAsia" w:ascii="Times New Roman" w:hAnsi="Times New Roman" w:cs="Times New Roman"/>
                      <w:color w:val="000000"/>
                      <w:spacing w:val="-3"/>
                      <w:sz w:val="21"/>
                      <w:szCs w:val="21"/>
                      <w:lang w:val="en-US" w:eastAsia="zh-CN"/>
                    </w:rPr>
                  </w:pPr>
                  <w:r>
                    <w:rPr>
                      <w:rFonts w:hint="eastAsia"/>
                      <w:color w:val="000000"/>
                      <w:sz w:val="21"/>
                      <w:szCs w:val="21"/>
                      <w:lang w:val="en-US" w:eastAsia="zh-CN"/>
                    </w:rPr>
                    <w:t>动物诊疗废物</w:t>
                  </w:r>
                </w:p>
              </w:tc>
              <w:tc>
                <w:tcPr>
                  <w:tcW w:w="1005" w:type="pct"/>
                  <w:noWrap w:val="0"/>
                  <w:vAlign w:val="center"/>
                </w:tcPr>
                <w:p w14:paraId="2FE46277">
                  <w:pPr>
                    <w:pStyle w:val="9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cs="Times New Roman"/>
                      <w:color w:val="000000"/>
                      <w:spacing w:val="-3"/>
                      <w:sz w:val="21"/>
                      <w:szCs w:val="21"/>
                      <w:lang w:val="en-US" w:eastAsia="zh-CN"/>
                    </w:rPr>
                  </w:pPr>
                  <w:r>
                    <w:rPr>
                      <w:rFonts w:hint="eastAsia"/>
                      <w:color w:val="000000"/>
                      <w:sz w:val="21"/>
                      <w:szCs w:val="21"/>
                      <w:lang w:val="en-US" w:eastAsia="zh-CN"/>
                    </w:rPr>
                    <w:t>动物诊疗废物</w:t>
                  </w:r>
                </w:p>
              </w:tc>
              <w:tc>
                <w:tcPr>
                  <w:tcW w:w="1002" w:type="pct"/>
                  <w:noWrap w:val="0"/>
                  <w:vAlign w:val="center"/>
                </w:tcPr>
                <w:p w14:paraId="3A8BD8AE">
                  <w:pPr>
                    <w:pStyle w:val="9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000000"/>
                      <w:spacing w:val="-13"/>
                      <w:sz w:val="21"/>
                      <w:szCs w:val="21"/>
                      <w:lang w:val="en-US" w:eastAsia="zh-CN"/>
                    </w:rPr>
                  </w:pPr>
                  <w:r>
                    <w:rPr>
                      <w:rFonts w:hint="eastAsia" w:cs="Times New Roman"/>
                      <w:color w:val="000000"/>
                      <w:spacing w:val="-13"/>
                      <w:sz w:val="21"/>
                      <w:szCs w:val="21"/>
                      <w:lang w:val="en-US" w:eastAsia="zh-CN"/>
                    </w:rPr>
                    <w:t>泄漏</w:t>
                  </w:r>
                </w:p>
              </w:tc>
              <w:tc>
                <w:tcPr>
                  <w:tcW w:w="1467" w:type="pct"/>
                  <w:noWrap w:val="0"/>
                  <w:vAlign w:val="center"/>
                </w:tcPr>
                <w:p w14:paraId="69AADEAF">
                  <w:pPr>
                    <w:pStyle w:val="9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000000"/>
                      <w:spacing w:val="-6"/>
                      <w:sz w:val="21"/>
                      <w:szCs w:val="21"/>
                      <w:lang w:eastAsia="zh-CN"/>
                    </w:rPr>
                  </w:pPr>
                  <w:r>
                    <w:rPr>
                      <w:rFonts w:hint="default" w:ascii="Times New Roman" w:hAnsi="Times New Roman" w:cs="Times New Roman"/>
                      <w:color w:val="000000"/>
                      <w:spacing w:val="-6"/>
                      <w:sz w:val="21"/>
                      <w:szCs w:val="21"/>
                      <w:lang w:eastAsia="zh-CN"/>
                    </w:rPr>
                    <w:t>大气、地表水、</w:t>
                  </w:r>
                  <w:r>
                    <w:rPr>
                      <w:rFonts w:hint="default" w:ascii="Times New Roman" w:hAnsi="Times New Roman" w:cs="Times New Roman"/>
                      <w:color w:val="000000"/>
                      <w:spacing w:val="-4"/>
                      <w:sz w:val="21"/>
                      <w:szCs w:val="21"/>
                      <w:lang w:eastAsia="zh-CN"/>
                    </w:rPr>
                    <w:t>土壤</w:t>
                  </w:r>
                </w:p>
              </w:tc>
            </w:tr>
            <w:tr w14:paraId="0AF0D9D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c>
                <w:tcPr>
                  <w:tcW w:w="334" w:type="pct"/>
                  <w:noWrap w:val="0"/>
                  <w:vAlign w:val="center"/>
                </w:tcPr>
                <w:p w14:paraId="4E7FFBC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eastAsia="宋体"/>
                      <w:color w:val="000000"/>
                      <w:sz w:val="21"/>
                      <w:szCs w:val="21"/>
                      <w:lang w:val="en-US" w:eastAsia="zh-CN"/>
                    </w:rPr>
                  </w:pPr>
                  <w:r>
                    <w:rPr>
                      <w:rFonts w:hint="eastAsia"/>
                      <w:color w:val="000000"/>
                      <w:sz w:val="21"/>
                      <w:szCs w:val="21"/>
                      <w:lang w:val="en-US" w:eastAsia="zh-CN"/>
                    </w:rPr>
                    <w:t>3</w:t>
                  </w:r>
                </w:p>
              </w:tc>
              <w:tc>
                <w:tcPr>
                  <w:tcW w:w="681" w:type="pct"/>
                  <w:noWrap w:val="0"/>
                  <w:vAlign w:val="center"/>
                </w:tcPr>
                <w:p w14:paraId="6915DE21">
                  <w:pPr>
                    <w:pStyle w:val="9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000000"/>
                      <w:spacing w:val="-3"/>
                      <w:sz w:val="21"/>
                      <w:szCs w:val="21"/>
                      <w:lang w:val="en-US" w:eastAsia="zh-CN"/>
                    </w:rPr>
                  </w:pPr>
                  <w:r>
                    <w:rPr>
                      <w:rFonts w:hint="eastAsia" w:cs="Times New Roman"/>
                      <w:color w:val="000000"/>
                      <w:spacing w:val="-3"/>
                      <w:sz w:val="21"/>
                      <w:szCs w:val="21"/>
                      <w:lang w:val="en-US" w:eastAsia="zh-CN"/>
                    </w:rPr>
                    <w:t>小型废水处理设施</w:t>
                  </w:r>
                </w:p>
              </w:tc>
              <w:tc>
                <w:tcPr>
                  <w:tcW w:w="508" w:type="pct"/>
                  <w:noWrap w:val="0"/>
                  <w:vAlign w:val="center"/>
                </w:tcPr>
                <w:p w14:paraId="4F89546C">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rFonts w:hint="eastAsia" w:ascii="Times New Roman" w:hAnsi="Times New Roman" w:cs="Times New Roman"/>
                      <w:color w:val="000000"/>
                      <w:spacing w:val="-3"/>
                      <w:sz w:val="21"/>
                      <w:szCs w:val="21"/>
                      <w:lang w:val="en-US" w:eastAsia="zh-CN"/>
                    </w:rPr>
                  </w:pPr>
                  <w:r>
                    <w:rPr>
                      <w:rFonts w:hint="eastAsia" w:ascii="Times New Roman" w:hAnsi="Times New Roman" w:cs="Times New Roman"/>
                      <w:color w:val="000000"/>
                      <w:spacing w:val="-3"/>
                      <w:sz w:val="21"/>
                      <w:szCs w:val="21"/>
                      <w:lang w:val="en-US" w:eastAsia="zh-CN"/>
                    </w:rPr>
                    <w:t>二氧化氯泡腾片</w:t>
                  </w:r>
                </w:p>
              </w:tc>
              <w:tc>
                <w:tcPr>
                  <w:tcW w:w="1005" w:type="pct"/>
                  <w:noWrap w:val="0"/>
                  <w:vAlign w:val="center"/>
                </w:tcPr>
                <w:p w14:paraId="23976F15">
                  <w:pPr>
                    <w:pStyle w:val="9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000000"/>
                      <w:spacing w:val="-3"/>
                      <w:sz w:val="21"/>
                      <w:szCs w:val="21"/>
                      <w:lang w:val="en-US" w:eastAsia="zh-CN"/>
                    </w:rPr>
                  </w:pPr>
                  <w:r>
                    <w:rPr>
                      <w:rFonts w:hint="default" w:ascii="Times New Roman" w:hAnsi="Times New Roman" w:cs="Times New Roman"/>
                      <w:color w:val="000000"/>
                      <w:spacing w:val="-3"/>
                      <w:sz w:val="21"/>
                      <w:szCs w:val="21"/>
                      <w:lang w:val="en-US" w:eastAsia="zh-CN"/>
                    </w:rPr>
                    <w:t>二氧化氯</w:t>
                  </w:r>
                </w:p>
              </w:tc>
              <w:tc>
                <w:tcPr>
                  <w:tcW w:w="1002" w:type="pct"/>
                  <w:noWrap w:val="0"/>
                  <w:vAlign w:val="center"/>
                </w:tcPr>
                <w:p w14:paraId="7D1EA025">
                  <w:pPr>
                    <w:pStyle w:val="9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cs="Times New Roman"/>
                      <w:color w:val="000000"/>
                      <w:spacing w:val="-13"/>
                      <w:sz w:val="21"/>
                      <w:szCs w:val="21"/>
                      <w:lang w:eastAsia="zh-CN"/>
                    </w:rPr>
                  </w:pPr>
                  <w:r>
                    <w:rPr>
                      <w:rFonts w:hint="eastAsia" w:ascii="Times New Roman" w:hAnsi="Times New Roman" w:cs="Times New Roman"/>
                      <w:color w:val="000000"/>
                      <w:spacing w:val="-13"/>
                      <w:sz w:val="21"/>
                      <w:szCs w:val="21"/>
                      <w:lang w:eastAsia="zh-CN"/>
                    </w:rPr>
                    <w:t>泄漏</w:t>
                  </w:r>
                </w:p>
              </w:tc>
              <w:tc>
                <w:tcPr>
                  <w:tcW w:w="1467" w:type="pct"/>
                  <w:noWrap w:val="0"/>
                  <w:vAlign w:val="center"/>
                </w:tcPr>
                <w:p w14:paraId="75526C37">
                  <w:pPr>
                    <w:pStyle w:val="9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000000"/>
                      <w:spacing w:val="-6"/>
                      <w:sz w:val="21"/>
                      <w:szCs w:val="21"/>
                      <w:lang w:eastAsia="zh-CN"/>
                    </w:rPr>
                  </w:pPr>
                  <w:r>
                    <w:rPr>
                      <w:rFonts w:hint="eastAsia" w:ascii="Times New Roman" w:hAnsi="Times New Roman" w:cs="Times New Roman"/>
                      <w:color w:val="000000"/>
                      <w:spacing w:val="-13"/>
                      <w:sz w:val="21"/>
                      <w:szCs w:val="21"/>
                      <w:lang w:val="en-US" w:eastAsia="zh-CN"/>
                    </w:rPr>
                    <w:t>地下水、土壤、人体健康</w:t>
                  </w:r>
                </w:p>
              </w:tc>
            </w:tr>
          </w:tbl>
          <w:p w14:paraId="6A854FD5">
            <w:pPr>
              <w:keepNext w:val="0"/>
              <w:keepLines w:val="0"/>
              <w:suppressLineNumbers w:val="0"/>
              <w:spacing w:before="0" w:beforeAutospacing="0" w:after="0" w:afterAutospacing="0"/>
              <w:ind w:left="0" w:right="0" w:firstLine="482" w:firstLineChars="200"/>
              <w:rPr>
                <w:rFonts w:hint="default"/>
                <w:b/>
                <w:bCs/>
                <w:color w:val="000000"/>
              </w:rPr>
            </w:pPr>
            <w:r>
              <w:rPr>
                <w:rFonts w:hint="eastAsia"/>
                <w:b/>
                <w:bCs/>
                <w:color w:val="000000"/>
                <w:lang w:val="en-US" w:eastAsia="zh-CN"/>
              </w:rPr>
              <w:t>6</w:t>
            </w:r>
            <w:r>
              <w:rPr>
                <w:rFonts w:hint="eastAsia"/>
                <w:b/>
                <w:bCs/>
                <w:color w:val="000000"/>
              </w:rPr>
              <w:t>.</w:t>
            </w:r>
            <w:r>
              <w:rPr>
                <w:rFonts w:hint="default"/>
                <w:b/>
                <w:bCs/>
                <w:color w:val="000000"/>
              </w:rPr>
              <w:t>3环境风险分析</w:t>
            </w:r>
          </w:p>
          <w:p w14:paraId="332A4F29">
            <w:pPr>
              <w:pStyle w:val="94"/>
              <w:keepNext w:val="0"/>
              <w:keepLines w:val="0"/>
              <w:suppressLineNumbers w:val="0"/>
              <w:adjustRightInd w:val="0"/>
              <w:snapToGrid w:val="0"/>
              <w:spacing w:before="0" w:beforeAutospacing="0" w:after="0" w:afterAutospacing="0"/>
              <w:ind w:left="0" w:right="0" w:firstLine="480" w:firstLineChars="200"/>
              <w:rPr>
                <w:rFonts w:hint="eastAsia"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eastAsia="zh-CN"/>
              </w:rPr>
              <w:t>最大可信事故是基于经验统计分析，在一定可能性区间内发生的事故中，造成环境危害最严重的事故。根据本项目物质危险性识别、生产设施危险性识别和重大危险源的识别分析结果，确定本报告可能发生的事故为：</w:t>
            </w:r>
            <w:r>
              <w:rPr>
                <w:rFonts w:hint="eastAsia" w:ascii="Times New Roman" w:hAnsi="Times New Roman" w:cs="Times New Roman"/>
                <w:color w:val="000000"/>
                <w:sz w:val="24"/>
                <w:szCs w:val="24"/>
                <w:lang w:val="en-US" w:eastAsia="zh-CN"/>
              </w:rPr>
              <w:t>项目主要环境风险物质为医用酒精、</w:t>
            </w:r>
            <w:r>
              <w:rPr>
                <w:rFonts w:hint="eastAsia" w:cs="Times New Roman"/>
                <w:color w:val="000000"/>
                <w:sz w:val="24"/>
                <w:szCs w:val="24"/>
                <w:lang w:val="en-US" w:eastAsia="zh-CN"/>
              </w:rPr>
              <w:t>二氧化氯泡腾片</w:t>
            </w:r>
            <w:r>
              <w:rPr>
                <w:rFonts w:hint="eastAsia" w:ascii="Times New Roman" w:hAnsi="Times New Roman" w:cs="Times New Roman"/>
                <w:color w:val="000000"/>
                <w:sz w:val="24"/>
                <w:szCs w:val="24"/>
                <w:lang w:val="en-US" w:eastAsia="zh-CN"/>
              </w:rPr>
              <w:t>及</w:t>
            </w:r>
            <w:r>
              <w:rPr>
                <w:rFonts w:hint="eastAsia" w:cs="Times New Roman"/>
                <w:color w:val="000000"/>
                <w:sz w:val="24"/>
                <w:szCs w:val="24"/>
                <w:lang w:val="en-US" w:eastAsia="zh-CN"/>
              </w:rPr>
              <w:t>动物诊疗废物</w:t>
            </w:r>
            <w:r>
              <w:rPr>
                <w:rFonts w:hint="eastAsia" w:ascii="Times New Roman" w:hAnsi="Times New Roman" w:cs="Times New Roman"/>
                <w:color w:val="000000"/>
                <w:sz w:val="24"/>
                <w:szCs w:val="24"/>
                <w:lang w:val="en-US" w:eastAsia="zh-CN"/>
              </w:rPr>
              <w:t>，医用酒精存放于药房，</w:t>
            </w:r>
            <w:r>
              <w:rPr>
                <w:rFonts w:hint="eastAsia" w:cs="Times New Roman"/>
                <w:color w:val="000000"/>
                <w:sz w:val="24"/>
                <w:szCs w:val="24"/>
                <w:lang w:val="en-US" w:eastAsia="zh-CN"/>
              </w:rPr>
              <w:t>动物诊疗废物</w:t>
            </w:r>
            <w:r>
              <w:rPr>
                <w:rFonts w:hint="eastAsia" w:ascii="Times New Roman" w:hAnsi="Times New Roman" w:cs="Times New Roman"/>
                <w:color w:val="000000"/>
                <w:sz w:val="24"/>
                <w:szCs w:val="24"/>
                <w:lang w:val="en-US" w:eastAsia="zh-CN"/>
              </w:rPr>
              <w:t>存放于</w:t>
            </w:r>
            <w:r>
              <w:rPr>
                <w:rFonts w:hint="eastAsia" w:ascii="Times New Roman" w:hAnsi="Times New Roman" w:cs="Times New Roman"/>
                <w:color w:val="000000"/>
                <w:sz w:val="24"/>
                <w:szCs w:val="24"/>
                <w:highlight w:val="none"/>
                <w:lang w:val="en-US" w:eastAsia="zh-CN"/>
              </w:rPr>
              <w:t>医疗废物专用暂时贮存柜（箱）</w:t>
            </w:r>
            <w:r>
              <w:rPr>
                <w:rFonts w:hint="eastAsia" w:ascii="Times New Roman" w:hAnsi="Times New Roman" w:cs="Times New Roman"/>
                <w:color w:val="000000"/>
                <w:sz w:val="24"/>
                <w:szCs w:val="24"/>
                <w:lang w:val="en-US" w:eastAsia="zh-CN"/>
              </w:rPr>
              <w:t>。酒精以及</w:t>
            </w:r>
            <w:r>
              <w:rPr>
                <w:rFonts w:hint="eastAsia" w:cs="Times New Roman"/>
                <w:color w:val="000000"/>
                <w:sz w:val="24"/>
                <w:szCs w:val="24"/>
                <w:lang w:val="en-US" w:eastAsia="zh-CN"/>
              </w:rPr>
              <w:t>动物诊疗废物</w:t>
            </w:r>
            <w:r>
              <w:rPr>
                <w:rFonts w:hint="eastAsia" w:ascii="Times New Roman" w:hAnsi="Times New Roman" w:cs="Times New Roman"/>
                <w:color w:val="000000"/>
                <w:sz w:val="24"/>
                <w:szCs w:val="24"/>
                <w:lang w:val="en-US" w:eastAsia="zh-CN"/>
              </w:rPr>
              <w:t>在储存、转运过程中，如果发生泄漏，有污染地下水和土壤的环境风险；泄漏后的物料不及时收集，有污染周边大气的环境风险，遇明火发生火灾，可能引发次生环境事故，消防尾水进入雨水管网有污染周边水体的环境风险；</w:t>
            </w:r>
            <w:r>
              <w:rPr>
                <w:rFonts w:hint="eastAsia" w:cs="Times New Roman"/>
                <w:color w:val="000000"/>
                <w:sz w:val="24"/>
                <w:szCs w:val="24"/>
                <w:lang w:val="en-US" w:eastAsia="zh-CN"/>
              </w:rPr>
              <w:t>二氧化氯泡腾片</w:t>
            </w:r>
            <w:r>
              <w:rPr>
                <w:rFonts w:hint="eastAsia" w:ascii="Times New Roman" w:hAnsi="Times New Roman" w:cs="Times New Roman"/>
                <w:color w:val="000000"/>
                <w:sz w:val="24"/>
                <w:szCs w:val="24"/>
                <w:lang w:val="en-US" w:eastAsia="zh-CN"/>
              </w:rPr>
              <w:t>是一种稳定态二氧化氯消毒剂，加水反应会产生二氧化氯，密封不好受潮，内部可能发生反应，</w:t>
            </w:r>
            <w:r>
              <w:rPr>
                <w:rFonts w:hint="eastAsia" w:cs="Times New Roman"/>
                <w:color w:val="000000"/>
                <w:sz w:val="24"/>
                <w:szCs w:val="24"/>
                <w:lang w:val="en-US" w:eastAsia="zh-CN"/>
              </w:rPr>
              <w:t>二氧化氯</w:t>
            </w:r>
            <w:r>
              <w:rPr>
                <w:rFonts w:hint="eastAsia" w:ascii="Times New Roman" w:hAnsi="Times New Roman" w:cs="Times New Roman"/>
                <w:color w:val="000000"/>
                <w:sz w:val="24"/>
                <w:szCs w:val="24"/>
                <w:lang w:val="en-US" w:eastAsia="zh-CN"/>
              </w:rPr>
              <w:t>具有强烈刺激性，接触后主要引起眼和呼吸道刺激，由于二氧化氯的化学性质非常活泼，具有强氧化性，空气中的体积浓度超过10%便有爆炸性，但其水溶液却是十分安全的（水中含量超过30%易爆炸）。本项目一般情况下不会造成二氧化氯泄漏，泄漏主要为</w:t>
            </w:r>
            <w:r>
              <w:rPr>
                <w:rFonts w:hint="eastAsia" w:cs="Times New Roman"/>
                <w:color w:val="000000"/>
                <w:sz w:val="24"/>
                <w:szCs w:val="24"/>
                <w:lang w:val="en-US" w:eastAsia="zh-CN"/>
              </w:rPr>
              <w:t>废水处理设施</w:t>
            </w:r>
            <w:r>
              <w:rPr>
                <w:rFonts w:hint="eastAsia" w:ascii="Times New Roman" w:hAnsi="Times New Roman" w:cs="Times New Roman"/>
                <w:color w:val="000000"/>
                <w:sz w:val="24"/>
                <w:szCs w:val="24"/>
                <w:lang w:val="en-US" w:eastAsia="zh-CN"/>
              </w:rPr>
              <w:t>老化、破损等引起的泄漏</w:t>
            </w:r>
            <w:r>
              <w:rPr>
                <w:rFonts w:hint="eastAsia" w:ascii="Times New Roman" w:hAnsi="Times New Roman" w:cs="Times New Roman"/>
                <w:color w:val="000000"/>
                <w:sz w:val="24"/>
                <w:szCs w:val="24"/>
                <w:highlight w:val="none"/>
                <w:lang w:val="en-US" w:eastAsia="zh-CN"/>
              </w:rPr>
              <w:t>；</w:t>
            </w:r>
            <w:r>
              <w:rPr>
                <w:rFonts w:hint="eastAsia" w:ascii="Times New Roman" w:hAnsi="Times New Roman" w:cs="Times New Roman"/>
                <w:color w:val="000000"/>
                <w:sz w:val="24"/>
                <w:szCs w:val="24"/>
                <w:lang w:val="en-US" w:eastAsia="zh-CN"/>
              </w:rPr>
              <w:t>此外本项目配备的废水消毒设备若出现异常状况，可能出现宠物服务废水未达到消毒要求就外排的环境风险；发生动物疫情等风险。</w:t>
            </w:r>
          </w:p>
          <w:p w14:paraId="5F0026B4">
            <w:pPr>
              <w:keepNext w:val="0"/>
              <w:keepLines w:val="0"/>
              <w:suppressLineNumbers w:val="0"/>
              <w:spacing w:before="0" w:beforeAutospacing="0" w:after="0" w:afterAutospacing="0"/>
              <w:ind w:left="0" w:right="0" w:firstLine="482" w:firstLineChars="200"/>
              <w:rPr>
                <w:rFonts w:hint="eastAsia" w:ascii="Times New Roman" w:hAnsi="Times New Roman" w:cs="Times New Roman"/>
                <w:color w:val="000000"/>
                <w:sz w:val="24"/>
                <w:szCs w:val="24"/>
                <w:lang w:val="en-US" w:eastAsia="zh-CN"/>
              </w:rPr>
            </w:pPr>
            <w:r>
              <w:rPr>
                <w:rFonts w:hint="eastAsia"/>
                <w:b/>
                <w:bCs/>
                <w:color w:val="000000"/>
                <w:lang w:val="en-US" w:eastAsia="zh-CN"/>
              </w:rPr>
              <w:t>6</w:t>
            </w:r>
            <w:r>
              <w:rPr>
                <w:rFonts w:hint="eastAsia"/>
                <w:b/>
                <w:bCs/>
                <w:color w:val="000000"/>
              </w:rPr>
              <w:t>.</w:t>
            </w:r>
            <w:r>
              <w:rPr>
                <w:rFonts w:hint="eastAsia"/>
                <w:b/>
                <w:bCs/>
                <w:color w:val="000000"/>
                <w:lang w:val="en-US" w:eastAsia="zh-CN"/>
              </w:rPr>
              <w:t>4</w:t>
            </w:r>
            <w:r>
              <w:rPr>
                <w:rFonts w:hint="default"/>
                <w:b/>
                <w:bCs/>
                <w:color w:val="000000"/>
              </w:rPr>
              <w:t>环境风险</w:t>
            </w:r>
            <w:r>
              <w:rPr>
                <w:rFonts w:hint="default" w:ascii="Times New Roman" w:hAnsi="Times New Roman" w:eastAsia="宋体" w:cs="Times New Roman"/>
                <w:b/>
                <w:bCs/>
                <w:color w:val="auto"/>
                <w:sz w:val="24"/>
                <w:szCs w:val="24"/>
                <w:lang w:val="en-US" w:eastAsia="zh-CN"/>
              </w:rPr>
              <w:t>防范措施</w:t>
            </w:r>
          </w:p>
          <w:p w14:paraId="624297F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default" w:ascii="Times New Roman" w:hAnsi="Times New Roman" w:eastAsia="宋体"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t>6.</w:t>
            </w:r>
            <w:r>
              <w:rPr>
                <w:rFonts w:hint="eastAsia" w:cs="Times New Roman"/>
                <w:b/>
                <w:bCs/>
                <w:color w:val="auto"/>
                <w:sz w:val="24"/>
                <w:szCs w:val="24"/>
                <w:lang w:val="en-US" w:eastAsia="zh-CN"/>
              </w:rPr>
              <w:t>4</w:t>
            </w:r>
            <w:r>
              <w:rPr>
                <w:rFonts w:hint="eastAsia" w:ascii="Times New Roman" w:hAnsi="Times New Roman" w:cs="Times New Roman"/>
                <w:b/>
                <w:bCs/>
                <w:color w:val="auto"/>
                <w:sz w:val="24"/>
                <w:szCs w:val="24"/>
                <w:lang w:val="en-US" w:eastAsia="zh-CN"/>
              </w:rPr>
              <w:t>.1</w:t>
            </w:r>
            <w:r>
              <w:rPr>
                <w:rFonts w:hint="default" w:ascii="Times New Roman" w:hAnsi="Times New Roman" w:eastAsia="宋体" w:cs="Times New Roman"/>
                <w:b/>
                <w:bCs/>
                <w:color w:val="auto"/>
                <w:sz w:val="24"/>
                <w:szCs w:val="24"/>
                <w:lang w:val="en-US" w:eastAsia="zh-CN"/>
              </w:rPr>
              <w:t>医院污水排放风险防范措施</w:t>
            </w:r>
          </w:p>
          <w:p w14:paraId="5094A96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（1）医院必须加强污水治理设施的运行管理。加强对各种管道的维护保养，及时处理隐患、杜绝</w:t>
            </w:r>
            <w:r>
              <w:rPr>
                <w:rFonts w:hint="eastAsia" w:cs="Times New Roman"/>
                <w:color w:val="auto"/>
                <w:sz w:val="24"/>
                <w:szCs w:val="24"/>
                <w:lang w:val="en-US" w:eastAsia="zh-CN"/>
              </w:rPr>
              <w:t>宠物诊疗</w:t>
            </w:r>
            <w:r>
              <w:rPr>
                <w:rFonts w:hint="eastAsia" w:ascii="Times New Roman" w:hAnsi="Times New Roman" w:eastAsia="宋体" w:cs="Times New Roman"/>
                <w:color w:val="auto"/>
                <w:sz w:val="24"/>
                <w:szCs w:val="24"/>
                <w:lang w:val="en-US" w:eastAsia="zh-CN"/>
              </w:rPr>
              <w:t>废水</w:t>
            </w:r>
            <w:r>
              <w:rPr>
                <w:rFonts w:hint="default" w:ascii="Times New Roman" w:hAnsi="Times New Roman" w:eastAsia="宋体" w:cs="Times New Roman"/>
                <w:color w:val="auto"/>
                <w:sz w:val="24"/>
                <w:szCs w:val="24"/>
                <w:lang w:val="en-US" w:eastAsia="zh-CN"/>
              </w:rPr>
              <w:t>收集和处理过程中的跑、冒、滴、漏，确保废水处理系统正常运行。</w:t>
            </w:r>
          </w:p>
          <w:p w14:paraId="5F07E5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（2）处理后出水指标要按照环境管理工作制度的要求，定期、定时进行监测，以保证污水稳定达标排放。</w:t>
            </w:r>
          </w:p>
          <w:p w14:paraId="26D08033">
            <w:pPr>
              <w:pStyle w:val="88"/>
              <w:keepNext w:val="0"/>
              <w:keepLines w:val="0"/>
              <w:suppressLineNumbers w:val="0"/>
              <w:spacing w:before="0" w:beforeAutospacing="0" w:after="0" w:afterAutospacing="0"/>
              <w:ind w:left="0" w:right="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（3）若废水处理设施发生故障时，应停止污水排入城镇管网，关闭排水阀门，加快对污水处理设施的维护，待污水处理设施正常后，废水经</w:t>
            </w:r>
            <w:r>
              <w:rPr>
                <w:rFonts w:hint="eastAsia" w:cs="Times New Roman"/>
                <w:color w:val="auto"/>
                <w:sz w:val="24"/>
                <w:szCs w:val="24"/>
                <w:lang w:val="en-US" w:eastAsia="zh-CN"/>
              </w:rPr>
              <w:t>处理</w:t>
            </w:r>
            <w:r>
              <w:rPr>
                <w:rFonts w:hint="eastAsia" w:ascii="Times New Roman" w:hAnsi="Times New Roman" w:eastAsia="宋体" w:cs="Times New Roman"/>
                <w:color w:val="auto"/>
                <w:sz w:val="24"/>
                <w:szCs w:val="24"/>
                <w:lang w:val="en-US" w:eastAsia="zh-CN"/>
              </w:rPr>
              <w:t>后方可进入城市管网。</w:t>
            </w:r>
          </w:p>
          <w:p w14:paraId="5CAA7579">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default" w:ascii="Times New Roman" w:hAnsi="Times New Roman" w:eastAsia="宋体" w:cs="Times New Roman"/>
                <w:bCs/>
                <w:color w:val="000000" w:themeColor="text1"/>
                <w:kern w:val="0"/>
                <w:sz w:val="24"/>
                <w:szCs w:val="24"/>
                <w14:textFill>
                  <w14:solidFill>
                    <w14:schemeClr w14:val="tx1"/>
                  </w14:solidFill>
                </w14:textFill>
              </w:rPr>
            </w:pPr>
            <w:r>
              <w:rPr>
                <w:rFonts w:hint="eastAsia" w:ascii="Times New Roman" w:hAnsi="Times New Roman" w:eastAsia="宋体" w:cs="Times New Roman"/>
                <w:bCs/>
                <w:color w:val="000000" w:themeColor="text1"/>
                <w:kern w:val="0"/>
                <w:sz w:val="24"/>
                <w:szCs w:val="24"/>
                <w:lang w:eastAsia="zh-CN"/>
                <w14:textFill>
                  <w14:solidFill>
                    <w14:schemeClr w14:val="tx1"/>
                  </w14:solidFill>
                </w14:textFill>
              </w:rPr>
              <w:t>（</w:t>
            </w:r>
            <w:r>
              <w:rPr>
                <w:rFonts w:hint="eastAsia" w:ascii="Times New Roman" w:hAnsi="Times New Roman" w:eastAsia="宋体" w:cs="Times New Roman"/>
                <w:bCs/>
                <w:color w:val="000000" w:themeColor="text1"/>
                <w:kern w:val="0"/>
                <w:sz w:val="24"/>
                <w:szCs w:val="24"/>
                <w:lang w:val="en-US" w:eastAsia="zh-CN"/>
                <w14:textFill>
                  <w14:solidFill>
                    <w14:schemeClr w14:val="tx1"/>
                  </w14:solidFill>
                </w14:textFill>
              </w:rPr>
              <w:t>4</w:t>
            </w:r>
            <w:r>
              <w:rPr>
                <w:rFonts w:hint="eastAsia" w:ascii="Times New Roman" w:hAnsi="Times New Roman" w:eastAsia="宋体" w:cs="Times New Roman"/>
                <w:bCs/>
                <w:color w:val="000000" w:themeColor="text1"/>
                <w:kern w:val="0"/>
                <w:sz w:val="24"/>
                <w:szCs w:val="24"/>
                <w:lang w:eastAsia="zh-CN"/>
                <w14:textFill>
                  <w14:solidFill>
                    <w14:schemeClr w14:val="tx1"/>
                  </w14:solidFill>
                </w14:textFill>
              </w:rPr>
              <w:t>）</w:t>
            </w:r>
            <w:r>
              <w:rPr>
                <w:rFonts w:hint="default" w:ascii="Times New Roman" w:hAnsi="Times New Roman" w:eastAsia="宋体" w:cs="Times New Roman"/>
                <w:bCs/>
                <w:color w:val="000000" w:themeColor="text1"/>
                <w:kern w:val="0"/>
                <w:sz w:val="24"/>
                <w:szCs w:val="24"/>
                <w14:textFill>
                  <w14:solidFill>
                    <w14:schemeClr w14:val="tx1"/>
                  </w14:solidFill>
                </w14:textFill>
              </w:rPr>
              <w:t>加强运行管理和设备维护工作，关键设备一用一备，保持设备的完好率和处理的高效率。备用设备或替换下来的设备要及时检修，并定期检查，使其在需要时能及时使用。加强事故苗头监控。定期巡查、调节、保养、维修，及时发现有可能引起的事故异常运行苗头，消除事故隐患。</w:t>
            </w:r>
          </w:p>
          <w:p w14:paraId="1915B29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default"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6.</w:t>
            </w:r>
            <w:r>
              <w:rPr>
                <w:rFonts w:hint="eastAsia" w:cs="Times New Roman"/>
                <w:b/>
                <w:bCs/>
                <w:color w:val="auto"/>
                <w:sz w:val="24"/>
                <w:szCs w:val="24"/>
                <w:lang w:val="en-US" w:eastAsia="zh-CN"/>
              </w:rPr>
              <w:t>4</w:t>
            </w:r>
            <w:r>
              <w:rPr>
                <w:rFonts w:hint="eastAsia" w:ascii="Times New Roman" w:hAnsi="Times New Roman" w:eastAsia="宋体" w:cs="Times New Roman"/>
                <w:b/>
                <w:bCs/>
                <w:color w:val="auto"/>
                <w:sz w:val="24"/>
                <w:szCs w:val="24"/>
                <w:lang w:val="en-US" w:eastAsia="zh-CN"/>
              </w:rPr>
              <w:t>.2</w:t>
            </w:r>
            <w:r>
              <w:rPr>
                <w:rFonts w:hint="eastAsia" w:cs="Times New Roman"/>
                <w:b/>
                <w:bCs/>
                <w:color w:val="auto"/>
                <w:sz w:val="24"/>
                <w:szCs w:val="24"/>
                <w:lang w:val="en-US" w:eastAsia="zh-CN"/>
              </w:rPr>
              <w:t>动物诊疗废物</w:t>
            </w:r>
            <w:r>
              <w:rPr>
                <w:rFonts w:hint="default" w:ascii="Times New Roman" w:hAnsi="Times New Roman" w:eastAsia="宋体" w:cs="Times New Roman"/>
                <w:b/>
                <w:bCs/>
                <w:color w:val="auto"/>
                <w:sz w:val="24"/>
                <w:szCs w:val="24"/>
                <w:lang w:val="en-US" w:eastAsia="zh-CN"/>
              </w:rPr>
              <w:t>的防范措施</w:t>
            </w:r>
          </w:p>
          <w:p w14:paraId="04D79D5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36" w:firstLineChars="200"/>
              <w:textAlignment w:val="auto"/>
              <w:rPr>
                <w:rFonts w:hint="default" w:ascii="Times New Roman" w:hAnsi="Times New Roman" w:eastAsia="宋体" w:cs="Times New Roman"/>
                <w:color w:val="auto"/>
                <w:spacing w:val="-11"/>
                <w:sz w:val="24"/>
                <w:szCs w:val="24"/>
                <w:lang w:val="en-US" w:eastAsia="zh-CN"/>
              </w:rPr>
            </w:pPr>
            <w:r>
              <w:rPr>
                <w:rFonts w:hint="eastAsia" w:cs="Times New Roman"/>
                <w:color w:val="auto"/>
                <w:spacing w:val="-11"/>
                <w:sz w:val="24"/>
                <w:szCs w:val="24"/>
                <w:lang w:val="en-US" w:eastAsia="zh-CN"/>
              </w:rPr>
              <w:t>动物诊疗废物</w:t>
            </w:r>
            <w:r>
              <w:rPr>
                <w:rFonts w:hint="default" w:ascii="Times New Roman" w:hAnsi="Times New Roman" w:eastAsia="宋体" w:cs="Times New Roman"/>
                <w:color w:val="auto"/>
                <w:spacing w:val="-11"/>
                <w:sz w:val="24"/>
                <w:szCs w:val="24"/>
                <w:lang w:val="en-US" w:eastAsia="zh-CN"/>
              </w:rPr>
              <w:t>的极大危害性，医院在收集、贮存、运送</w:t>
            </w:r>
            <w:r>
              <w:rPr>
                <w:rFonts w:hint="eastAsia" w:cs="Times New Roman"/>
                <w:color w:val="auto"/>
                <w:spacing w:val="-11"/>
                <w:sz w:val="24"/>
                <w:szCs w:val="24"/>
                <w:lang w:val="en-US" w:eastAsia="zh-CN"/>
              </w:rPr>
              <w:t>动物诊疗废物</w:t>
            </w:r>
            <w:r>
              <w:rPr>
                <w:rFonts w:hint="default" w:ascii="Times New Roman" w:hAnsi="Times New Roman" w:eastAsia="宋体" w:cs="Times New Roman"/>
                <w:color w:val="auto"/>
                <w:spacing w:val="-11"/>
                <w:sz w:val="24"/>
                <w:szCs w:val="24"/>
                <w:lang w:val="en-US" w:eastAsia="zh-CN"/>
              </w:rPr>
              <w:t>的过程中存在着一定的风险。为保证医院产生的</w:t>
            </w:r>
            <w:r>
              <w:rPr>
                <w:rFonts w:hint="eastAsia" w:cs="Times New Roman"/>
                <w:color w:val="auto"/>
                <w:spacing w:val="-11"/>
                <w:sz w:val="24"/>
                <w:szCs w:val="24"/>
                <w:lang w:val="en-US" w:eastAsia="zh-CN"/>
              </w:rPr>
              <w:t>动物诊疗废物</w:t>
            </w:r>
            <w:r>
              <w:rPr>
                <w:rFonts w:hint="default" w:ascii="Times New Roman" w:hAnsi="Times New Roman" w:eastAsia="宋体" w:cs="Times New Roman"/>
                <w:color w:val="auto"/>
                <w:spacing w:val="-11"/>
                <w:sz w:val="24"/>
                <w:szCs w:val="24"/>
                <w:lang w:val="en-US" w:eastAsia="zh-CN"/>
              </w:rPr>
              <w:t>得到安全处置，使其风险减少到</w:t>
            </w:r>
            <w:r>
              <w:rPr>
                <w:rFonts w:hint="eastAsia" w:cs="Times New Roman"/>
                <w:color w:val="auto"/>
                <w:spacing w:val="-11"/>
                <w:sz w:val="24"/>
                <w:szCs w:val="24"/>
                <w:lang w:val="en-US" w:eastAsia="zh-CN"/>
              </w:rPr>
              <w:t>最低程度</w:t>
            </w:r>
            <w:r>
              <w:rPr>
                <w:rFonts w:hint="default" w:ascii="Times New Roman" w:hAnsi="Times New Roman" w:eastAsia="宋体" w:cs="Times New Roman"/>
                <w:color w:val="auto"/>
                <w:spacing w:val="-11"/>
                <w:sz w:val="24"/>
                <w:szCs w:val="24"/>
                <w:lang w:val="en-US" w:eastAsia="zh-CN"/>
              </w:rPr>
              <w:t>，而不会对周围环境造成不良影响，应具体采取如下的措施进行防范。</w:t>
            </w:r>
          </w:p>
          <w:p w14:paraId="6F79D4A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color w:val="000000"/>
                <w:kern w:val="0"/>
                <w:sz w:val="24"/>
              </w:rPr>
            </w:pPr>
            <w:r>
              <w:rPr>
                <w:rFonts w:hint="default"/>
                <w:color w:val="000000"/>
                <w:kern w:val="0"/>
                <w:sz w:val="24"/>
              </w:rPr>
              <w:t>A、应对项目产生的</w:t>
            </w:r>
            <w:r>
              <w:rPr>
                <w:rFonts w:hint="eastAsia"/>
                <w:color w:val="000000"/>
                <w:kern w:val="0"/>
                <w:sz w:val="24"/>
                <w:lang w:eastAsia="zh-CN"/>
              </w:rPr>
              <w:t>动物诊疗废物</w:t>
            </w:r>
            <w:r>
              <w:rPr>
                <w:rFonts w:hint="default"/>
                <w:color w:val="000000"/>
                <w:kern w:val="0"/>
                <w:sz w:val="24"/>
              </w:rPr>
              <w:t>进行科学</w:t>
            </w:r>
            <w:r>
              <w:rPr>
                <w:rFonts w:hint="eastAsia"/>
                <w:color w:val="000000"/>
                <w:kern w:val="0"/>
                <w:sz w:val="24"/>
                <w:lang w:eastAsia="zh-CN"/>
              </w:rPr>
              <w:t>地</w:t>
            </w:r>
            <w:r>
              <w:rPr>
                <w:rFonts w:hint="default"/>
                <w:color w:val="000000"/>
                <w:kern w:val="0"/>
                <w:sz w:val="24"/>
              </w:rPr>
              <w:t>分类收集。科学的分类是消除污染、无害化处置的保证，要采用专用容器，明确各类废弃物标识，分类包装，分类堆放，并本着及时、方便、安全、快捷的原则，进行收集。感染性废物、病理性废物、损伤性废物、药物性废物及化学性</w:t>
            </w:r>
            <w:r>
              <w:rPr>
                <w:rFonts w:hint="eastAsia"/>
                <w:color w:val="000000"/>
                <w:kern w:val="0"/>
                <w:sz w:val="24"/>
                <w:lang w:eastAsia="zh-CN"/>
              </w:rPr>
              <w:t>废物</w:t>
            </w:r>
            <w:r>
              <w:rPr>
                <w:rFonts w:hint="default"/>
                <w:color w:val="000000"/>
                <w:kern w:val="0"/>
                <w:sz w:val="24"/>
              </w:rPr>
              <w:t>不能混合收集；放入包装物或者容器内的感染性废物、病理性废物、损伤性废物不得取出。当盛装的</w:t>
            </w:r>
            <w:r>
              <w:rPr>
                <w:rFonts w:hint="eastAsia"/>
                <w:color w:val="000000"/>
                <w:kern w:val="0"/>
                <w:sz w:val="24"/>
                <w:lang w:eastAsia="zh-CN"/>
              </w:rPr>
              <w:t>动物诊疗废物</w:t>
            </w:r>
            <w:r>
              <w:rPr>
                <w:rFonts w:hint="default"/>
                <w:color w:val="000000"/>
                <w:kern w:val="0"/>
                <w:sz w:val="24"/>
              </w:rPr>
              <w:t>达到包装物或者容器的3/4时，应当使用有效的封口方式，使包装物或者容器的封口紧实、严密。</w:t>
            </w:r>
          </w:p>
          <w:p w14:paraId="4A49A45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color w:val="000000"/>
                <w:kern w:val="0"/>
                <w:sz w:val="24"/>
              </w:rPr>
            </w:pPr>
            <w:r>
              <w:rPr>
                <w:rFonts w:hint="default"/>
                <w:color w:val="000000"/>
                <w:kern w:val="0"/>
                <w:sz w:val="24"/>
              </w:rPr>
              <w:t>B、本项目应当建立</w:t>
            </w:r>
            <w:r>
              <w:rPr>
                <w:rFonts w:hint="eastAsia"/>
                <w:color w:val="000000"/>
                <w:kern w:val="0"/>
                <w:sz w:val="24"/>
                <w:lang w:eastAsia="zh-CN"/>
              </w:rPr>
              <w:t>动物诊疗废物</w:t>
            </w:r>
            <w:r>
              <w:rPr>
                <w:rFonts w:hint="default"/>
                <w:color w:val="000000"/>
                <w:kern w:val="0"/>
                <w:sz w:val="24"/>
              </w:rPr>
              <w:t>暂时贮存设施、设备，不得露天存放</w:t>
            </w:r>
            <w:r>
              <w:rPr>
                <w:rFonts w:hint="eastAsia"/>
                <w:color w:val="000000"/>
                <w:kern w:val="0"/>
                <w:sz w:val="24"/>
                <w:lang w:eastAsia="zh-CN"/>
              </w:rPr>
              <w:t>动物诊疗废物</w:t>
            </w:r>
            <w:r>
              <w:rPr>
                <w:rFonts w:hint="default"/>
                <w:color w:val="000000"/>
                <w:kern w:val="0"/>
                <w:sz w:val="24"/>
              </w:rPr>
              <w:t>；</w:t>
            </w:r>
            <w:r>
              <w:rPr>
                <w:rFonts w:hint="eastAsia"/>
                <w:color w:val="000000"/>
                <w:kern w:val="0"/>
                <w:sz w:val="24"/>
                <w:lang w:eastAsia="zh-CN"/>
              </w:rPr>
              <w:t>动物诊疗废物</w:t>
            </w:r>
            <w:r>
              <w:rPr>
                <w:rFonts w:hint="default"/>
                <w:color w:val="000000"/>
                <w:kern w:val="0"/>
                <w:sz w:val="24"/>
              </w:rPr>
              <w:t>暂时贮存的时间不得超过2d，应得到及时、有效</w:t>
            </w:r>
            <w:r>
              <w:rPr>
                <w:rFonts w:hint="eastAsia"/>
                <w:color w:val="000000"/>
                <w:kern w:val="0"/>
                <w:sz w:val="24"/>
                <w:lang w:eastAsia="zh-CN"/>
              </w:rPr>
              <w:t>的</w:t>
            </w:r>
            <w:r>
              <w:rPr>
                <w:rFonts w:hint="default"/>
                <w:color w:val="000000"/>
                <w:kern w:val="0"/>
                <w:sz w:val="24"/>
              </w:rPr>
              <w:t>处理。</w:t>
            </w:r>
            <w:r>
              <w:rPr>
                <w:rFonts w:hint="eastAsia"/>
                <w:color w:val="000000"/>
                <w:kern w:val="0"/>
                <w:sz w:val="24"/>
                <w:lang w:eastAsia="zh-CN"/>
              </w:rPr>
              <w:t>动物诊疗废物</w:t>
            </w:r>
            <w:r>
              <w:rPr>
                <w:rFonts w:hint="default"/>
                <w:color w:val="000000"/>
                <w:kern w:val="0"/>
                <w:sz w:val="24"/>
              </w:rPr>
              <w:t>暂时贮存设施、设备应当达到以下要求：远离医疗区、人员活动区和生活垃圾存放场所；有严密的封闭措施，设专（兼）职人员管理，防止非工作人员接触</w:t>
            </w:r>
            <w:r>
              <w:rPr>
                <w:rFonts w:hint="eastAsia"/>
                <w:color w:val="000000"/>
                <w:kern w:val="0"/>
                <w:sz w:val="24"/>
                <w:lang w:eastAsia="zh-CN"/>
              </w:rPr>
              <w:t>动物诊疗废物</w:t>
            </w:r>
            <w:r>
              <w:rPr>
                <w:rFonts w:hint="default"/>
                <w:color w:val="000000"/>
                <w:kern w:val="0"/>
                <w:sz w:val="24"/>
              </w:rPr>
              <w:t>；有防鼠、防蚊蝇、防蟑螂的安全措施；防止渗漏和雨水冲刷；易于清洁和消毒；避免阳光直射；设有明显的</w:t>
            </w:r>
            <w:r>
              <w:rPr>
                <w:rFonts w:hint="eastAsia"/>
                <w:color w:val="000000"/>
                <w:kern w:val="0"/>
                <w:sz w:val="24"/>
                <w:lang w:eastAsia="zh-CN"/>
              </w:rPr>
              <w:t>动物诊疗废物</w:t>
            </w:r>
            <w:r>
              <w:rPr>
                <w:rFonts w:hint="default"/>
                <w:color w:val="000000"/>
                <w:kern w:val="0"/>
                <w:sz w:val="24"/>
              </w:rPr>
              <w:t>警示标识和“禁止吸烟、饮食”的警示标识。</w:t>
            </w:r>
          </w:p>
          <w:p w14:paraId="47568A8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color w:val="000000"/>
                <w:kern w:val="0"/>
                <w:sz w:val="24"/>
              </w:rPr>
              <w:t>C、对于</w:t>
            </w:r>
            <w:r>
              <w:rPr>
                <w:rFonts w:hint="eastAsia"/>
                <w:color w:val="000000"/>
                <w:kern w:val="0"/>
                <w:sz w:val="24"/>
                <w:lang w:val="en-US" w:eastAsia="zh-CN"/>
              </w:rPr>
              <w:t>动物诊疗</w:t>
            </w:r>
            <w:r>
              <w:rPr>
                <w:rFonts w:hint="default"/>
                <w:color w:val="000000"/>
                <w:kern w:val="0"/>
                <w:sz w:val="24"/>
              </w:rPr>
              <w:t>废物，禁止将其在非收集、非暂时贮存地点倾倒、堆放；禁止将</w:t>
            </w:r>
            <w:r>
              <w:rPr>
                <w:rFonts w:hint="eastAsia"/>
                <w:color w:val="000000"/>
                <w:kern w:val="0"/>
                <w:sz w:val="24"/>
                <w:lang w:eastAsia="zh-CN"/>
              </w:rPr>
              <w:t>动物诊疗废物</w:t>
            </w:r>
            <w:r>
              <w:rPr>
                <w:rFonts w:hint="default"/>
                <w:color w:val="000000"/>
                <w:kern w:val="0"/>
                <w:sz w:val="24"/>
              </w:rPr>
              <w:t>混入</w:t>
            </w:r>
            <w:r>
              <w:rPr>
                <w:rFonts w:hint="eastAsia"/>
                <w:color w:val="000000"/>
                <w:kern w:val="0"/>
                <w:sz w:val="24"/>
                <w:lang w:eastAsia="zh-CN"/>
              </w:rPr>
              <w:t>其他</w:t>
            </w:r>
            <w:r>
              <w:rPr>
                <w:rFonts w:hint="default"/>
                <w:color w:val="000000"/>
                <w:kern w:val="0"/>
                <w:sz w:val="24"/>
              </w:rPr>
              <w:t>废物和生活垃圾；禁止在内部运送过程中丢弃</w:t>
            </w:r>
            <w:r>
              <w:rPr>
                <w:rFonts w:hint="eastAsia"/>
                <w:color w:val="000000"/>
                <w:kern w:val="0"/>
                <w:sz w:val="24"/>
                <w:lang w:eastAsia="zh-CN"/>
              </w:rPr>
              <w:t>动物诊疗废物</w:t>
            </w:r>
            <w:r>
              <w:rPr>
                <w:rFonts w:hint="default"/>
                <w:color w:val="000000"/>
                <w:kern w:val="0"/>
                <w:sz w:val="24"/>
              </w:rPr>
              <w:t>。</w:t>
            </w:r>
            <w:r>
              <w:rPr>
                <w:rFonts w:hint="eastAsia"/>
                <w:color w:val="000000"/>
                <w:kern w:val="0"/>
                <w:sz w:val="24"/>
                <w:lang w:eastAsia="zh-CN"/>
              </w:rPr>
              <w:t>动物诊疗废物</w:t>
            </w:r>
            <w:r>
              <w:rPr>
                <w:rFonts w:hint="default"/>
                <w:color w:val="000000"/>
                <w:kern w:val="0"/>
                <w:sz w:val="24"/>
              </w:rPr>
              <w:t>的贮存应满足《危险废物贮存污染控制标准》（GB18597-20</w:t>
            </w:r>
            <w:r>
              <w:rPr>
                <w:rFonts w:hint="eastAsia"/>
                <w:color w:val="000000"/>
                <w:kern w:val="0"/>
                <w:sz w:val="24"/>
                <w:lang w:val="en-US" w:eastAsia="zh-CN"/>
              </w:rPr>
              <w:t>23</w:t>
            </w:r>
            <w:r>
              <w:rPr>
                <w:rFonts w:hint="default"/>
                <w:color w:val="000000"/>
                <w:kern w:val="0"/>
                <w:sz w:val="24"/>
              </w:rPr>
              <w:t>）</w:t>
            </w:r>
            <w:r>
              <w:rPr>
                <w:rFonts w:hint="eastAsia"/>
                <w:color w:val="000000"/>
                <w:kern w:val="0"/>
                <w:sz w:val="24"/>
                <w:lang w:eastAsia="zh-CN"/>
              </w:rPr>
              <w:t>及修改单</w:t>
            </w:r>
            <w:r>
              <w:rPr>
                <w:rFonts w:hint="default"/>
                <w:color w:val="000000"/>
                <w:kern w:val="0"/>
                <w:sz w:val="24"/>
              </w:rPr>
              <w:t>中相关规定；在转交及运送过程中，应当严格执行</w:t>
            </w:r>
            <w:r>
              <w:rPr>
                <w:rFonts w:hint="default"/>
                <w:color w:val="000000"/>
                <w:kern w:val="0"/>
                <w:sz w:val="24"/>
                <w:lang w:val="en-US" w:eastAsia="zh-CN"/>
              </w:rPr>
              <w:t>生态环境部公安部交通运输部令第23号</w:t>
            </w:r>
            <w:r>
              <w:rPr>
                <w:rFonts w:hint="eastAsia"/>
                <w:color w:val="000000"/>
                <w:kern w:val="0"/>
                <w:sz w:val="24"/>
                <w:lang w:val="en-US" w:eastAsia="zh-CN"/>
              </w:rPr>
              <w:t>，</w:t>
            </w:r>
            <w:r>
              <w:rPr>
                <w:rFonts w:hint="default"/>
                <w:color w:val="000000"/>
                <w:kern w:val="0"/>
                <w:sz w:val="24"/>
              </w:rPr>
              <w:t>《危险废物转移管理办法》中的相关条款，确保危废安全转移运输。</w:t>
            </w:r>
            <w:r>
              <w:rPr>
                <w:rFonts w:hint="eastAsia"/>
                <w:color w:val="000000"/>
                <w:kern w:val="0"/>
                <w:sz w:val="24"/>
                <w:lang w:eastAsia="zh-CN"/>
              </w:rPr>
              <w:t>动物诊疗废物</w:t>
            </w:r>
            <w:r>
              <w:rPr>
                <w:rFonts w:hint="default"/>
                <w:color w:val="000000"/>
                <w:kern w:val="0"/>
                <w:sz w:val="24"/>
              </w:rPr>
              <w:t>转交出去后，应当对暂时贮存地点、设施及时进行清洁和消毒处理</w:t>
            </w:r>
            <w:r>
              <w:rPr>
                <w:rFonts w:hint="default" w:ascii="Times New Roman" w:hAnsi="Times New Roman" w:eastAsia="宋体" w:cs="Times New Roman"/>
                <w:color w:val="auto"/>
                <w:sz w:val="24"/>
                <w:szCs w:val="24"/>
                <w:lang w:val="en-US" w:eastAsia="zh-CN"/>
              </w:rPr>
              <w:t>。</w:t>
            </w:r>
          </w:p>
          <w:p w14:paraId="620AAC9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default"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6.</w:t>
            </w:r>
            <w:r>
              <w:rPr>
                <w:rFonts w:hint="eastAsia" w:cs="Times New Roman"/>
                <w:b/>
                <w:bCs/>
                <w:color w:val="auto"/>
                <w:sz w:val="24"/>
                <w:szCs w:val="24"/>
                <w:lang w:val="en-US" w:eastAsia="zh-CN"/>
              </w:rPr>
              <w:t>4</w:t>
            </w:r>
            <w:r>
              <w:rPr>
                <w:rFonts w:hint="eastAsia" w:ascii="Times New Roman" w:hAnsi="Times New Roman" w:eastAsia="宋体" w:cs="Times New Roman"/>
                <w:b/>
                <w:bCs/>
                <w:color w:val="auto"/>
                <w:sz w:val="24"/>
                <w:szCs w:val="24"/>
                <w:lang w:val="en-US" w:eastAsia="zh-CN"/>
              </w:rPr>
              <w:t>.3</w:t>
            </w:r>
            <w:r>
              <w:rPr>
                <w:rFonts w:hint="default" w:ascii="Times New Roman" w:hAnsi="Times New Roman" w:eastAsia="宋体" w:cs="Times New Roman"/>
                <w:b/>
                <w:bCs/>
                <w:color w:val="auto"/>
                <w:sz w:val="24"/>
                <w:szCs w:val="24"/>
                <w:lang w:val="en-US" w:eastAsia="zh-CN"/>
              </w:rPr>
              <w:t>化学试剂的防范措施</w:t>
            </w:r>
          </w:p>
          <w:p w14:paraId="1480851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乙醇易燃，其蒸气与空气可形成爆炸性混合物。遇明火、高热能引起燃烧爆炸。与氧化剂接触发生化学反应或引起燃烧。乙醇</w:t>
            </w:r>
            <w:r>
              <w:rPr>
                <w:rFonts w:hint="default" w:ascii="Times New Roman" w:hAnsi="Times New Roman" w:eastAsia="宋体" w:cs="Times New Roman"/>
                <w:color w:val="auto"/>
                <w:sz w:val="24"/>
                <w:szCs w:val="24"/>
                <w:lang w:val="en-US" w:eastAsia="zh-CN"/>
              </w:rPr>
              <w:t>储存量和使用量均很小，本项目宠物服务过程中酒精的用量及危险废物的产生量都比较少，</w:t>
            </w:r>
            <w:r>
              <w:rPr>
                <w:rFonts w:hint="eastAsia" w:cs="Times New Roman"/>
                <w:color w:val="auto"/>
                <w:sz w:val="24"/>
                <w:szCs w:val="24"/>
                <w:lang w:val="en-US" w:eastAsia="zh-CN"/>
              </w:rPr>
              <w:t>泄漏</w:t>
            </w:r>
            <w:r>
              <w:rPr>
                <w:rFonts w:hint="default" w:ascii="Times New Roman" w:hAnsi="Times New Roman" w:eastAsia="宋体" w:cs="Times New Roman"/>
                <w:color w:val="auto"/>
                <w:sz w:val="24"/>
                <w:szCs w:val="24"/>
                <w:lang w:val="en-US" w:eastAsia="zh-CN"/>
              </w:rPr>
              <w:t>时尽可能采用不产生冲击、静电火花的工具进行泄漏物的回收，将泄漏物收集在密闭容器内，用砂土、活性炭或</w:t>
            </w:r>
            <w:r>
              <w:rPr>
                <w:rFonts w:hint="eastAsia" w:cs="Times New Roman"/>
                <w:color w:val="auto"/>
                <w:sz w:val="24"/>
                <w:szCs w:val="24"/>
                <w:lang w:val="en-US" w:eastAsia="zh-CN"/>
              </w:rPr>
              <w:t>其他</w:t>
            </w:r>
            <w:r>
              <w:rPr>
                <w:rFonts w:hint="default" w:ascii="Times New Roman" w:hAnsi="Times New Roman" w:eastAsia="宋体" w:cs="Times New Roman"/>
                <w:color w:val="auto"/>
                <w:sz w:val="24"/>
                <w:szCs w:val="24"/>
                <w:lang w:val="en-US" w:eastAsia="zh-CN"/>
              </w:rPr>
              <w:t>惰性材料吸收残液</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管理不善发生泄漏对环境和周围人群产生影响</w:t>
            </w:r>
            <w:r>
              <w:rPr>
                <w:rFonts w:hint="eastAsia" w:cs="Times New Roman"/>
                <w:color w:val="auto"/>
                <w:sz w:val="24"/>
                <w:szCs w:val="24"/>
                <w:lang w:val="en-US" w:eastAsia="zh-CN"/>
              </w:rPr>
              <w:t>较小</w:t>
            </w:r>
            <w:r>
              <w:rPr>
                <w:rFonts w:hint="default" w:ascii="Times New Roman" w:hAnsi="Times New Roman" w:eastAsia="宋体" w:cs="Times New Roman"/>
                <w:color w:val="auto"/>
                <w:sz w:val="24"/>
                <w:szCs w:val="24"/>
                <w:lang w:val="en-US" w:eastAsia="zh-CN"/>
              </w:rPr>
              <w:t>。</w:t>
            </w:r>
          </w:p>
          <w:p w14:paraId="2A7D5E3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为防止乙醇泄漏应采取以下措施：</w:t>
            </w:r>
          </w:p>
          <w:p w14:paraId="7834632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①做好防盗工作，每天上班开防，下班设防，有专人检查。</w:t>
            </w:r>
          </w:p>
          <w:p w14:paraId="09B5BF3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②闲杂人员一律不得进入库房重地。</w:t>
            </w:r>
          </w:p>
          <w:p w14:paraId="27707D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③库房内严禁吸烟。</w:t>
            </w:r>
          </w:p>
          <w:p w14:paraId="28383440">
            <w:pPr>
              <w:pStyle w:val="2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④做好药品进库及使用的登记工作。</w:t>
            </w:r>
          </w:p>
          <w:p w14:paraId="39D633A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6.</w:t>
            </w:r>
            <w:r>
              <w:rPr>
                <w:rFonts w:hint="eastAsia" w:cs="Times New Roman"/>
                <w:b/>
                <w:bCs/>
                <w:color w:val="auto"/>
                <w:sz w:val="24"/>
                <w:szCs w:val="24"/>
                <w:highlight w:val="none"/>
                <w:lang w:val="en-US" w:eastAsia="zh-CN"/>
              </w:rPr>
              <w:t>4</w:t>
            </w:r>
            <w:r>
              <w:rPr>
                <w:rFonts w:hint="eastAsia" w:ascii="Times New Roman" w:hAnsi="Times New Roman" w:eastAsia="宋体" w:cs="Times New Roman"/>
                <w:b/>
                <w:bCs/>
                <w:color w:val="auto"/>
                <w:sz w:val="24"/>
                <w:szCs w:val="24"/>
                <w:highlight w:val="none"/>
                <w:lang w:val="en-US" w:eastAsia="zh-CN"/>
              </w:rPr>
              <w:t>.</w:t>
            </w:r>
            <w:r>
              <w:rPr>
                <w:rFonts w:hint="eastAsia" w:cs="Times New Roman"/>
                <w:b/>
                <w:bCs/>
                <w:color w:val="auto"/>
                <w:sz w:val="24"/>
                <w:szCs w:val="24"/>
                <w:highlight w:val="none"/>
                <w:lang w:val="en-US" w:eastAsia="zh-CN"/>
              </w:rPr>
              <w:t>4二氧化氯</w:t>
            </w:r>
            <w:r>
              <w:rPr>
                <w:rFonts w:hint="default" w:ascii="Times New Roman" w:hAnsi="Times New Roman" w:eastAsia="宋体" w:cs="Times New Roman"/>
                <w:b/>
                <w:bCs/>
                <w:color w:val="auto"/>
                <w:sz w:val="24"/>
                <w:szCs w:val="24"/>
                <w:highlight w:val="none"/>
                <w:lang w:val="en-US" w:eastAsia="zh-CN"/>
              </w:rPr>
              <w:t>泄漏防范措施</w:t>
            </w:r>
          </w:p>
          <w:p w14:paraId="561C088D">
            <w:pPr>
              <w:pStyle w:val="10"/>
              <w:keepNext w:val="0"/>
              <w:keepLines w:val="0"/>
              <w:suppressLineNumbers w:val="0"/>
              <w:spacing w:before="0" w:beforeAutospacing="0" w:after="0" w:afterAutospacing="0"/>
              <w:ind w:left="0" w:right="0"/>
              <w:rPr>
                <w:rFonts w:hint="eastAsia" w:cs="Times New Roman"/>
                <w:sz w:val="24"/>
                <w:szCs w:val="24"/>
                <w:lang w:val="en-US" w:eastAsia="zh-CN"/>
              </w:rPr>
            </w:pPr>
            <w:r>
              <w:rPr>
                <w:rFonts w:hint="eastAsia" w:cs="Times New Roman"/>
                <w:sz w:val="24"/>
                <w:szCs w:val="24"/>
                <w:lang w:val="en-US" w:eastAsia="zh-CN"/>
              </w:rPr>
              <w:t>本项目污水处理使用消毒剂为二氧化氯泡腾片，固态，储存较为安全，加水反应为二氧化氯溶液，二氧化氯的化学性质非常活泼，具有强氧化性，空气中的体积浓度超过10%便有爆炸性，但其水溶液却是十分安全的（水中含量超过30%易爆炸），主要用于宠物诊疗污水净化处理，二氧化氯泄漏后有可能引起中毒。所以需要采用塑料瓶密封，</w:t>
            </w:r>
            <w:r>
              <w:rPr>
                <w:rFonts w:hint="eastAsia"/>
                <w:lang w:val="en-US" w:eastAsia="zh-CN"/>
              </w:rPr>
              <w:t>置于干燥处</w:t>
            </w:r>
            <w:r>
              <w:rPr>
                <w:rFonts w:hint="eastAsia" w:cs="Times New Roman"/>
                <w:sz w:val="24"/>
                <w:szCs w:val="24"/>
                <w:lang w:val="en-US" w:eastAsia="zh-CN"/>
              </w:rPr>
              <w:t>防止受潮。本项目一般情况下不会造成二氧化氯泄漏，泄漏主要为废水处理设施管线老化、破损等引起的泄漏，使用工具将泄漏次氯酸钠溶液转移至完好的容器内储存，本项目医院储存规模不大，消毒剂使用、暂存量小，对外环境影响不大。</w:t>
            </w:r>
          </w:p>
          <w:p w14:paraId="0766839D">
            <w:pPr>
              <w:keepNext w:val="0"/>
              <w:keepLines w:val="0"/>
              <w:widowControl/>
              <w:suppressLineNumbers w:val="0"/>
              <w:spacing w:before="0" w:beforeAutospacing="0" w:after="0" w:afterAutospacing="0"/>
              <w:ind w:left="0" w:right="0"/>
              <w:jc w:val="left"/>
              <w:rPr>
                <w:rFonts w:hint="eastAsia" w:cs="Times New Roman"/>
                <w:b/>
                <w:bCs/>
                <w:sz w:val="24"/>
                <w:szCs w:val="24"/>
                <w:lang w:val="en-US" w:eastAsia="zh-CN"/>
              </w:rPr>
            </w:pPr>
            <w:r>
              <w:rPr>
                <w:rFonts w:hint="eastAsia" w:cs="Times New Roman"/>
                <w:b/>
                <w:bCs/>
                <w:sz w:val="24"/>
                <w:szCs w:val="24"/>
                <w:lang w:val="en-US" w:eastAsia="zh-CN"/>
              </w:rPr>
              <w:t>6.4.5</w:t>
            </w:r>
            <w:r>
              <w:rPr>
                <w:rFonts w:hint="eastAsia" w:ascii="宋体" w:hAnsi="宋体" w:eastAsia="宋体" w:cs="宋体"/>
                <w:b/>
                <w:bCs/>
                <w:color w:val="000000"/>
                <w:kern w:val="0"/>
                <w:sz w:val="24"/>
                <w:szCs w:val="24"/>
                <w:lang w:val="en-US" w:eastAsia="zh-CN" w:bidi="ar"/>
              </w:rPr>
              <w:t>动物疫情风险防范措施</w:t>
            </w:r>
          </w:p>
          <w:p w14:paraId="3F769D5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cs="Times New Roman"/>
                <w:b/>
                <w:bCs/>
                <w:sz w:val="24"/>
                <w:szCs w:val="24"/>
                <w:lang w:val="en-US" w:eastAsia="zh-CN"/>
              </w:rPr>
            </w:pPr>
            <w:r>
              <w:rPr>
                <w:rFonts w:hint="default" w:ascii="Times New Roman" w:hAnsi="Times New Roman" w:eastAsia="宋体" w:cs="Times New Roman"/>
                <w:sz w:val="24"/>
                <w:szCs w:val="24"/>
                <w:lang w:val="en-US" w:eastAsia="zh-CN"/>
              </w:rPr>
              <w:t>诊疗过程发现有（传染）疫情的宠物，立即报告当地兽医主管部门、动物卫生监督机构或动物疾病预防控制机构，并将宠物放置在隔离室内，不得擅自进行治疗，防止动物疫情扩散，并配合当地兽医主管部门、动物卫生监督机构或动物疾病预防控制机构采取隔离、扑杀、销毁、消毒、无害化处理、紧急免疫接种、限制易感染的动物和动物产品及有关物品出入等措施。虑到本项目</w:t>
            </w:r>
            <w:r>
              <w:rPr>
                <w:rFonts w:hint="eastAsia" w:cs="Times New Roman"/>
                <w:sz w:val="24"/>
                <w:szCs w:val="24"/>
                <w:lang w:val="en-US" w:eastAsia="zh-CN"/>
              </w:rPr>
              <w:t>动物诊疗废物</w:t>
            </w:r>
            <w:r>
              <w:rPr>
                <w:rFonts w:hint="default" w:ascii="Times New Roman" w:hAnsi="Times New Roman" w:eastAsia="宋体" w:cs="Times New Roman"/>
                <w:sz w:val="24"/>
                <w:szCs w:val="24"/>
                <w:lang w:val="en-US" w:eastAsia="zh-CN"/>
              </w:rPr>
              <w:t>、清洗废水的产生量较少，且顾客大多会对宠物进行疫苗接种，故发生疫情的几率很小。通过加强日常监督检查、管理，严格规范医护人员的操作流程等，可以有效降低或避免风险事故的发生，环境风险处于可接受范围。</w:t>
            </w:r>
          </w:p>
          <w:p w14:paraId="36C415D7">
            <w:pPr>
              <w:pStyle w:val="94"/>
              <w:keepNext w:val="0"/>
              <w:keepLines w:val="0"/>
              <w:suppressLineNumbers w:val="0"/>
              <w:adjustRightInd w:val="0"/>
              <w:snapToGrid w:val="0"/>
              <w:spacing w:before="0" w:beforeAutospacing="0" w:after="0" w:afterAutospacing="0"/>
              <w:ind w:left="0" w:right="0" w:firstLine="480" w:firstLineChars="200"/>
              <w:rPr>
                <w:rFonts w:hint="default" w:ascii="Times New Roman" w:hAnsi="Times New Roman" w:cs="Times New Roman"/>
                <w:b/>
                <w:bCs/>
                <w:color w:val="000000"/>
                <w:sz w:val="24"/>
                <w:szCs w:val="24"/>
                <w:lang w:eastAsia="zh-CN"/>
              </w:rPr>
            </w:pPr>
            <w:r>
              <w:rPr>
                <w:rFonts w:hint="eastAsia" w:ascii="Times New Roman" w:hAnsi="Times New Roman" w:cs="Times New Roman"/>
                <w:b/>
                <w:bCs/>
                <w:color w:val="000000"/>
                <w:sz w:val="24"/>
                <w:szCs w:val="24"/>
                <w:lang w:val="en-US" w:eastAsia="zh-CN"/>
              </w:rPr>
              <w:t>6</w:t>
            </w:r>
            <w:r>
              <w:rPr>
                <w:rFonts w:hint="default" w:ascii="Times New Roman" w:hAnsi="Times New Roman" w:cs="Times New Roman"/>
                <w:b/>
                <w:bCs/>
                <w:color w:val="000000"/>
                <w:sz w:val="24"/>
                <w:szCs w:val="24"/>
                <w:lang w:eastAsia="zh-CN"/>
              </w:rPr>
              <w:t>.5分析结论</w:t>
            </w:r>
          </w:p>
          <w:p w14:paraId="003BD6D5">
            <w:pPr>
              <w:pStyle w:val="94"/>
              <w:keepNext w:val="0"/>
              <w:keepLines w:val="0"/>
              <w:suppressLineNumbers w:val="0"/>
              <w:adjustRightInd w:val="0"/>
              <w:snapToGrid w:val="0"/>
              <w:spacing w:before="0" w:beforeAutospacing="0" w:after="0" w:afterAutospacing="0"/>
              <w:ind w:left="0" w:right="0" w:firstLine="480" w:firstLineChars="200"/>
              <w:rPr>
                <w:rFonts w:hint="default" w:ascii="Times New Roman" w:hAnsi="Times New Roman" w:cs="Times New Roman"/>
                <w:color w:val="000000"/>
                <w:sz w:val="24"/>
                <w:szCs w:val="24"/>
                <w:lang w:eastAsia="zh-CN"/>
              </w:rPr>
            </w:pPr>
            <w:r>
              <w:rPr>
                <w:rFonts w:hint="default" w:ascii="Times New Roman" w:hAnsi="Times New Roman" w:cs="Times New Roman"/>
                <w:color w:val="000000"/>
                <w:sz w:val="24"/>
                <w:szCs w:val="24"/>
                <w:lang w:eastAsia="zh-CN"/>
              </w:rPr>
              <w:t>结合项目特点，本项目最大可信事故确定为</w:t>
            </w:r>
            <w:r>
              <w:rPr>
                <w:rFonts w:hint="eastAsia" w:ascii="Times New Roman" w:hAnsi="Times New Roman" w:cs="Times New Roman"/>
                <w:color w:val="000000"/>
                <w:sz w:val="24"/>
                <w:szCs w:val="24"/>
                <w:lang w:val="en-US" w:eastAsia="zh-CN"/>
              </w:rPr>
              <w:t>危险化学品</w:t>
            </w:r>
            <w:r>
              <w:rPr>
                <w:rFonts w:hint="default" w:ascii="Times New Roman" w:hAnsi="Times New Roman" w:cs="Times New Roman"/>
                <w:color w:val="000000"/>
                <w:sz w:val="24"/>
                <w:szCs w:val="24"/>
                <w:lang w:eastAsia="zh-CN"/>
              </w:rPr>
              <w:t>或</w:t>
            </w:r>
            <w:r>
              <w:rPr>
                <w:rFonts w:hint="eastAsia" w:cs="Times New Roman"/>
                <w:color w:val="000000"/>
                <w:sz w:val="24"/>
                <w:szCs w:val="24"/>
                <w:lang w:val="en-US" w:eastAsia="zh-CN"/>
              </w:rPr>
              <w:t>动物诊疗废物</w:t>
            </w:r>
            <w:r>
              <w:rPr>
                <w:rFonts w:hint="default" w:ascii="Times New Roman" w:hAnsi="Times New Roman" w:cs="Times New Roman"/>
                <w:color w:val="000000"/>
                <w:sz w:val="24"/>
                <w:szCs w:val="24"/>
                <w:lang w:eastAsia="zh-CN"/>
              </w:rPr>
              <w:t>泄漏与</w:t>
            </w:r>
            <w:r>
              <w:rPr>
                <w:rFonts w:hint="eastAsia" w:ascii="Times New Roman" w:hAnsi="Times New Roman" w:cs="Times New Roman"/>
                <w:color w:val="000000"/>
                <w:sz w:val="24"/>
                <w:szCs w:val="24"/>
                <w:lang w:val="en-US" w:eastAsia="zh-CN"/>
              </w:rPr>
              <w:t>乙醇</w:t>
            </w:r>
            <w:r>
              <w:rPr>
                <w:rFonts w:hint="default" w:ascii="Times New Roman" w:hAnsi="Times New Roman" w:cs="Times New Roman"/>
                <w:color w:val="000000"/>
                <w:sz w:val="24"/>
                <w:szCs w:val="24"/>
                <w:lang w:eastAsia="zh-CN"/>
              </w:rPr>
              <w:t>引起火灾事故。在采取有效安全措施后，广大社会公众能清楚认识可能发生重大事故的风险性。本项目在生产装置及其公用工程的设计、施工、运行及维护的全过程中将采用先进的生产技术和成熟可靠的抗风险措施。同时企业加强管理，落实预防措施之后，可以杜绝这类事故的发生，因此，项目的安全性将得到有效保证，不会对周围环境敏感目标产生较大影响。</w:t>
            </w:r>
          </w:p>
          <w:p w14:paraId="02D57531">
            <w:pPr>
              <w:keepNext w:val="0"/>
              <w:keepLines w:val="0"/>
              <w:suppressLineNumbers w:val="0"/>
              <w:spacing w:before="0" w:beforeAutospacing="0" w:after="0" w:afterAutospacing="0"/>
              <w:ind w:left="0" w:right="0" w:firstLine="482" w:firstLineChars="200"/>
              <w:rPr>
                <w:rFonts w:hint="default" w:ascii="Times New Roman" w:hAnsi="Times New Roman" w:eastAsia="宋体" w:cs="Times New Roman"/>
                <w:b/>
                <w:color w:val="000000"/>
                <w:kern w:val="0"/>
                <w:highlight w:val="none"/>
              </w:rPr>
            </w:pPr>
            <w:r>
              <w:rPr>
                <w:rFonts w:hint="default" w:ascii="Times New Roman" w:hAnsi="Times New Roman" w:eastAsia="宋体" w:cs="Times New Roman"/>
                <w:b/>
                <w:color w:val="000000"/>
                <w:kern w:val="0"/>
              </w:rPr>
              <w:t>7、</w:t>
            </w:r>
            <w:r>
              <w:rPr>
                <w:rFonts w:hint="default" w:ascii="Times New Roman" w:hAnsi="Times New Roman" w:eastAsia="宋体" w:cs="Times New Roman"/>
                <w:b/>
                <w:color w:val="000000"/>
                <w:kern w:val="0"/>
                <w:highlight w:val="none"/>
                <w:lang w:val="en-US" w:eastAsia="zh-CN"/>
              </w:rPr>
              <w:t>电磁辐射</w:t>
            </w:r>
          </w:p>
          <w:p w14:paraId="0259FFC1">
            <w:pPr>
              <w:keepNext w:val="0"/>
              <w:keepLines w:val="0"/>
              <w:suppressLineNumbers w:val="0"/>
              <w:spacing w:before="0" w:beforeAutospacing="0" w:after="0" w:afterAutospacing="0"/>
              <w:ind w:left="0" w:leftChars="0" w:right="0" w:firstLine="480" w:firstLineChars="200"/>
              <w:rPr>
                <w:rFonts w:hint="eastAsia" w:cs="Times New Roman"/>
                <w:b w:val="0"/>
                <w:bCs/>
                <w:color w:val="000000"/>
                <w:kern w:val="0"/>
                <w:highlight w:val="none"/>
                <w:lang w:val="en-US" w:eastAsia="zh-CN"/>
              </w:rPr>
            </w:pPr>
            <w:r>
              <w:rPr>
                <w:rFonts w:hint="default" w:ascii="Times New Roman" w:hAnsi="Times New Roman" w:eastAsia="宋体" w:cs="Times New Roman"/>
                <w:b w:val="0"/>
                <w:bCs/>
                <w:color w:val="000000"/>
                <w:kern w:val="0"/>
                <w:highlight w:val="none"/>
                <w:lang w:val="en-US" w:eastAsia="zh-CN"/>
              </w:rPr>
              <w:t>本项目设有DR设备，属Ⅲ类射线装置，建设单位已实行建设项目环境影响登记表网上备案，不在本次评价范围内</w:t>
            </w:r>
            <w:r>
              <w:rPr>
                <w:rFonts w:hint="eastAsia" w:cs="Times New Roman"/>
                <w:b w:val="0"/>
                <w:bCs/>
                <w:color w:val="000000"/>
                <w:kern w:val="0"/>
                <w:highlight w:val="none"/>
                <w:lang w:val="en-US" w:eastAsia="zh-CN"/>
              </w:rPr>
              <w:t>。</w:t>
            </w:r>
          </w:p>
          <w:p w14:paraId="31FEBDEE">
            <w:pPr>
              <w:pStyle w:val="38"/>
              <w:keepNext w:val="0"/>
              <w:keepLines w:val="0"/>
              <w:suppressLineNumbers w:val="0"/>
              <w:spacing w:before="0" w:beforeAutospacing="0" w:afterAutospacing="0"/>
              <w:ind w:left="0" w:right="0"/>
              <w:rPr>
                <w:rFonts w:hint="eastAsia" w:cs="Times New Roman"/>
                <w:b w:val="0"/>
                <w:bCs/>
                <w:color w:val="000000"/>
                <w:kern w:val="0"/>
                <w:highlight w:val="none"/>
                <w:lang w:val="en-US" w:eastAsia="zh-CN"/>
              </w:rPr>
            </w:pPr>
          </w:p>
          <w:p w14:paraId="71CBDD0E">
            <w:pPr>
              <w:pStyle w:val="38"/>
              <w:keepNext w:val="0"/>
              <w:keepLines w:val="0"/>
              <w:suppressLineNumbers w:val="0"/>
              <w:spacing w:before="0" w:beforeAutospacing="0" w:afterAutospacing="0"/>
              <w:ind w:left="0" w:right="0"/>
              <w:rPr>
                <w:rFonts w:hint="eastAsia" w:cs="Times New Roman"/>
                <w:b w:val="0"/>
                <w:bCs/>
                <w:color w:val="000000"/>
                <w:kern w:val="0"/>
                <w:highlight w:val="none"/>
                <w:lang w:val="en-US" w:eastAsia="zh-CN"/>
              </w:rPr>
            </w:pPr>
          </w:p>
          <w:p w14:paraId="4AE40F3A">
            <w:pPr>
              <w:pStyle w:val="38"/>
              <w:keepNext w:val="0"/>
              <w:keepLines w:val="0"/>
              <w:suppressLineNumbers w:val="0"/>
              <w:spacing w:before="0" w:beforeAutospacing="0" w:afterAutospacing="0"/>
              <w:ind w:left="0" w:right="0"/>
              <w:rPr>
                <w:rFonts w:hint="eastAsia" w:cs="Times New Roman"/>
                <w:b w:val="0"/>
                <w:bCs/>
                <w:color w:val="000000"/>
                <w:kern w:val="0"/>
                <w:highlight w:val="none"/>
                <w:lang w:val="en-US" w:eastAsia="zh-CN"/>
              </w:rPr>
            </w:pPr>
          </w:p>
          <w:p w14:paraId="262ACB35">
            <w:pPr>
              <w:pStyle w:val="38"/>
              <w:keepNext w:val="0"/>
              <w:keepLines w:val="0"/>
              <w:suppressLineNumbers w:val="0"/>
              <w:spacing w:before="0" w:beforeAutospacing="0" w:afterAutospacing="0"/>
              <w:ind w:left="0" w:right="0"/>
              <w:rPr>
                <w:rFonts w:hint="eastAsia" w:cs="Times New Roman"/>
                <w:b w:val="0"/>
                <w:bCs/>
                <w:color w:val="000000"/>
                <w:kern w:val="0"/>
                <w:highlight w:val="none"/>
                <w:lang w:val="en-US" w:eastAsia="zh-CN"/>
              </w:rPr>
            </w:pPr>
          </w:p>
          <w:p w14:paraId="76DF3D6E">
            <w:pPr>
              <w:pStyle w:val="38"/>
              <w:keepNext w:val="0"/>
              <w:keepLines w:val="0"/>
              <w:suppressLineNumbers w:val="0"/>
              <w:spacing w:before="0" w:beforeAutospacing="0" w:afterAutospacing="0"/>
              <w:ind w:left="0" w:right="0"/>
              <w:rPr>
                <w:rFonts w:hint="eastAsia" w:cs="Times New Roman"/>
                <w:b w:val="0"/>
                <w:bCs/>
                <w:color w:val="000000"/>
                <w:kern w:val="0"/>
                <w:highlight w:val="none"/>
                <w:lang w:val="en-US" w:eastAsia="zh-CN"/>
              </w:rPr>
            </w:pPr>
          </w:p>
          <w:p w14:paraId="5978310C">
            <w:pPr>
              <w:pStyle w:val="38"/>
              <w:keepNext w:val="0"/>
              <w:keepLines w:val="0"/>
              <w:suppressLineNumbers w:val="0"/>
              <w:spacing w:before="0" w:beforeAutospacing="0" w:afterAutospacing="0"/>
              <w:ind w:left="0" w:right="0"/>
              <w:rPr>
                <w:rFonts w:hint="eastAsia" w:cs="Times New Roman"/>
                <w:b w:val="0"/>
                <w:bCs/>
                <w:color w:val="000000"/>
                <w:kern w:val="0"/>
                <w:highlight w:val="none"/>
                <w:lang w:val="en-US" w:eastAsia="zh-CN"/>
              </w:rPr>
            </w:pPr>
          </w:p>
          <w:p w14:paraId="4BD1AD29">
            <w:pPr>
              <w:pStyle w:val="38"/>
              <w:keepNext w:val="0"/>
              <w:keepLines w:val="0"/>
              <w:suppressLineNumbers w:val="0"/>
              <w:spacing w:before="0" w:beforeAutospacing="0" w:afterAutospacing="0"/>
              <w:ind w:left="0" w:right="0"/>
              <w:rPr>
                <w:rFonts w:hint="eastAsia" w:cs="Times New Roman"/>
                <w:b w:val="0"/>
                <w:bCs/>
                <w:color w:val="000000"/>
                <w:kern w:val="0"/>
                <w:highlight w:val="none"/>
                <w:lang w:val="en-US" w:eastAsia="zh-CN"/>
              </w:rPr>
            </w:pPr>
          </w:p>
          <w:p w14:paraId="6A27150D">
            <w:pPr>
              <w:pStyle w:val="38"/>
              <w:keepNext w:val="0"/>
              <w:keepLines w:val="0"/>
              <w:suppressLineNumbers w:val="0"/>
              <w:spacing w:before="0" w:beforeAutospacing="0" w:afterAutospacing="0"/>
              <w:ind w:left="0" w:right="0"/>
              <w:rPr>
                <w:rFonts w:hint="eastAsia" w:cs="Times New Roman"/>
                <w:b w:val="0"/>
                <w:bCs/>
                <w:color w:val="000000"/>
                <w:kern w:val="0"/>
                <w:highlight w:val="none"/>
                <w:lang w:val="en-US" w:eastAsia="zh-CN"/>
              </w:rPr>
            </w:pPr>
          </w:p>
          <w:p w14:paraId="01770610">
            <w:pPr>
              <w:pStyle w:val="38"/>
              <w:keepNext w:val="0"/>
              <w:keepLines w:val="0"/>
              <w:suppressLineNumbers w:val="0"/>
              <w:spacing w:before="0" w:beforeAutospacing="0" w:afterAutospacing="0"/>
              <w:ind w:left="0" w:right="0"/>
              <w:rPr>
                <w:rFonts w:hint="eastAsia" w:cs="Times New Roman"/>
                <w:b w:val="0"/>
                <w:bCs/>
                <w:color w:val="000000"/>
                <w:kern w:val="0"/>
                <w:highlight w:val="none"/>
                <w:lang w:val="en-US" w:eastAsia="zh-CN"/>
              </w:rPr>
            </w:pPr>
          </w:p>
          <w:p w14:paraId="2D8055DF">
            <w:pPr>
              <w:pStyle w:val="38"/>
              <w:keepNext w:val="0"/>
              <w:keepLines w:val="0"/>
              <w:suppressLineNumbers w:val="0"/>
              <w:spacing w:before="0" w:beforeAutospacing="0" w:afterAutospacing="0"/>
              <w:ind w:left="0" w:right="0"/>
              <w:rPr>
                <w:rFonts w:hint="eastAsia" w:cs="Times New Roman"/>
                <w:b w:val="0"/>
                <w:bCs/>
                <w:color w:val="000000"/>
                <w:kern w:val="0"/>
                <w:highlight w:val="none"/>
                <w:lang w:val="en-US" w:eastAsia="zh-CN"/>
              </w:rPr>
            </w:pPr>
          </w:p>
          <w:p w14:paraId="4547466C">
            <w:pPr>
              <w:pStyle w:val="38"/>
              <w:keepNext w:val="0"/>
              <w:keepLines w:val="0"/>
              <w:suppressLineNumbers w:val="0"/>
              <w:spacing w:before="0" w:beforeAutospacing="0" w:afterAutospacing="0"/>
              <w:ind w:left="0" w:right="0"/>
              <w:rPr>
                <w:rFonts w:hint="eastAsia" w:cs="Times New Roman"/>
                <w:b w:val="0"/>
                <w:bCs/>
                <w:color w:val="000000"/>
                <w:kern w:val="0"/>
                <w:highlight w:val="none"/>
                <w:lang w:val="en-US" w:eastAsia="zh-CN"/>
              </w:rPr>
            </w:pPr>
          </w:p>
          <w:p w14:paraId="592A0D24">
            <w:pPr>
              <w:pStyle w:val="38"/>
              <w:keepNext w:val="0"/>
              <w:keepLines w:val="0"/>
              <w:suppressLineNumbers w:val="0"/>
              <w:spacing w:before="0" w:beforeAutospacing="0" w:afterAutospacing="0"/>
              <w:ind w:left="0" w:right="0"/>
              <w:rPr>
                <w:rFonts w:hint="eastAsia" w:cs="Times New Roman"/>
                <w:b w:val="0"/>
                <w:bCs/>
                <w:color w:val="000000"/>
                <w:kern w:val="0"/>
                <w:highlight w:val="none"/>
                <w:lang w:val="en-US" w:eastAsia="zh-CN"/>
              </w:rPr>
            </w:pPr>
          </w:p>
          <w:p w14:paraId="003CE599">
            <w:pPr>
              <w:pStyle w:val="38"/>
              <w:keepNext w:val="0"/>
              <w:keepLines w:val="0"/>
              <w:suppressLineNumbers w:val="0"/>
              <w:spacing w:before="0" w:beforeAutospacing="0" w:afterAutospacing="0"/>
              <w:ind w:left="0" w:right="0"/>
              <w:rPr>
                <w:rFonts w:hint="eastAsia" w:cs="Times New Roman"/>
                <w:b w:val="0"/>
                <w:bCs/>
                <w:color w:val="000000"/>
                <w:kern w:val="0"/>
                <w:highlight w:val="none"/>
                <w:lang w:val="en-US" w:eastAsia="zh-CN"/>
              </w:rPr>
            </w:pPr>
          </w:p>
          <w:p w14:paraId="2E69EDAE">
            <w:pPr>
              <w:pStyle w:val="38"/>
              <w:keepNext w:val="0"/>
              <w:keepLines w:val="0"/>
              <w:suppressLineNumbers w:val="0"/>
              <w:spacing w:before="0" w:beforeAutospacing="0" w:afterAutospacing="0"/>
              <w:ind w:left="0" w:right="0"/>
              <w:rPr>
                <w:rFonts w:hint="eastAsia" w:cs="Times New Roman"/>
                <w:b w:val="0"/>
                <w:bCs/>
                <w:color w:val="000000"/>
                <w:kern w:val="0"/>
                <w:highlight w:val="none"/>
                <w:lang w:val="en-US" w:eastAsia="zh-CN"/>
              </w:rPr>
            </w:pPr>
          </w:p>
          <w:p w14:paraId="44648221">
            <w:pPr>
              <w:pStyle w:val="38"/>
              <w:keepNext w:val="0"/>
              <w:keepLines w:val="0"/>
              <w:suppressLineNumbers w:val="0"/>
              <w:spacing w:before="0" w:beforeAutospacing="0" w:afterAutospacing="0"/>
              <w:ind w:left="0" w:leftChars="0" w:right="0" w:firstLine="0" w:firstLineChars="0"/>
              <w:jc w:val="both"/>
              <w:rPr>
                <w:rFonts w:hint="default" w:cs="Times New Roman"/>
                <w:b w:val="0"/>
                <w:bCs/>
                <w:color w:val="000000"/>
                <w:kern w:val="0"/>
                <w:highlight w:val="none"/>
                <w:lang w:val="en-US" w:eastAsia="zh-CN"/>
              </w:rPr>
            </w:pPr>
          </w:p>
        </w:tc>
      </w:tr>
    </w:tbl>
    <w:p w14:paraId="6656BD27">
      <w:pPr>
        <w:adjustRightInd w:val="0"/>
        <w:snapToGrid w:val="0"/>
        <w:spacing w:line="360" w:lineRule="auto"/>
        <w:rPr>
          <w:rFonts w:hint="eastAsia" w:ascii="宋体" w:cs="宋体"/>
          <w:b/>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40E0F460">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center"/>
        <w:textAlignment w:val="auto"/>
        <w:outlineLvl w:val="0"/>
        <w:rPr>
          <w:rFonts w:ascii="黑体" w:hAnsi="黑体" w:eastAsia="黑体"/>
          <w:snapToGrid w:val="0"/>
          <w:sz w:val="30"/>
          <w:szCs w:val="30"/>
        </w:rPr>
      </w:pPr>
      <w:bookmarkStart w:id="47" w:name="_Toc16001"/>
      <w:r>
        <w:rPr>
          <w:rFonts w:hint="eastAsia" w:ascii="黑体" w:hAnsi="黑体" w:eastAsia="黑体"/>
          <w:snapToGrid w:val="0"/>
          <w:sz w:val="30"/>
          <w:szCs w:val="30"/>
        </w:rPr>
        <w:t>五、</w:t>
      </w:r>
      <w:bookmarkStart w:id="48" w:name="_Hlk54167917"/>
      <w:r>
        <w:rPr>
          <w:rFonts w:hint="eastAsia" w:ascii="黑体" w:hAnsi="黑体" w:eastAsia="黑体"/>
          <w:snapToGrid w:val="0"/>
          <w:sz w:val="30"/>
          <w:szCs w:val="30"/>
        </w:rPr>
        <w:t>环境保护措施监督检查清单</w:t>
      </w:r>
      <w:bookmarkEnd w:id="47"/>
      <w:bookmarkEnd w:id="48"/>
    </w:p>
    <w:tbl>
      <w:tblPr>
        <w:tblStyle w:val="3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1773"/>
        <w:gridCol w:w="1400"/>
        <w:gridCol w:w="2362"/>
        <w:gridCol w:w="1812"/>
      </w:tblGrid>
      <w:tr w14:paraId="50DEEB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53" w:type="dxa"/>
            <w:tcBorders>
              <w:tl2br w:val="single" w:color="auto" w:sz="4" w:space="0"/>
            </w:tcBorders>
            <w:noWrap w:val="0"/>
            <w:vAlign w:val="top"/>
          </w:tcPr>
          <w:p w14:paraId="02087E0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723" w:firstLineChars="3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内容</w:t>
            </w:r>
          </w:p>
          <w:p w14:paraId="0C9DBB0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要素</w:t>
            </w:r>
          </w:p>
        </w:tc>
        <w:tc>
          <w:tcPr>
            <w:tcW w:w="1773" w:type="dxa"/>
            <w:noWrap w:val="0"/>
            <w:vAlign w:val="center"/>
          </w:tcPr>
          <w:p w14:paraId="1DF33A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排放口</w:t>
            </w:r>
            <w:r>
              <w:rPr>
                <w:rFonts w:hint="eastAsia" w:cs="Times New Roman"/>
                <w:b/>
                <w:bCs/>
                <w:sz w:val="24"/>
                <w:szCs w:val="24"/>
                <w:lang w:eastAsia="zh-CN"/>
              </w:rPr>
              <w:t>（</w:t>
            </w:r>
            <w:r>
              <w:rPr>
                <w:rFonts w:hint="default" w:ascii="Times New Roman" w:hAnsi="Times New Roman" w:eastAsia="宋体" w:cs="Times New Roman"/>
                <w:b/>
                <w:bCs/>
                <w:sz w:val="24"/>
                <w:szCs w:val="24"/>
              </w:rPr>
              <w:t>编号、</w:t>
            </w:r>
          </w:p>
          <w:p w14:paraId="685112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名称</w:t>
            </w:r>
            <w:r>
              <w:rPr>
                <w:rFonts w:hint="eastAsia" w:cs="Times New Roman"/>
                <w:b/>
                <w:bCs/>
                <w:sz w:val="24"/>
                <w:szCs w:val="24"/>
                <w:lang w:eastAsia="zh-CN"/>
              </w:rPr>
              <w:t>）</w:t>
            </w:r>
            <w:r>
              <w:rPr>
                <w:rFonts w:hint="default" w:ascii="Times New Roman" w:hAnsi="Times New Roman" w:eastAsia="宋体" w:cs="Times New Roman"/>
                <w:b/>
                <w:bCs/>
                <w:sz w:val="24"/>
                <w:szCs w:val="24"/>
              </w:rPr>
              <w:t>/污染源</w:t>
            </w:r>
          </w:p>
        </w:tc>
        <w:tc>
          <w:tcPr>
            <w:tcW w:w="1400" w:type="dxa"/>
            <w:noWrap w:val="0"/>
            <w:vAlign w:val="center"/>
          </w:tcPr>
          <w:p w14:paraId="7BDE380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污染物项目</w:t>
            </w:r>
          </w:p>
        </w:tc>
        <w:tc>
          <w:tcPr>
            <w:tcW w:w="2362" w:type="dxa"/>
            <w:noWrap w:val="0"/>
            <w:vAlign w:val="center"/>
          </w:tcPr>
          <w:p w14:paraId="4C24F17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环境保护措施</w:t>
            </w:r>
          </w:p>
        </w:tc>
        <w:tc>
          <w:tcPr>
            <w:tcW w:w="1812" w:type="dxa"/>
            <w:noWrap w:val="0"/>
            <w:vAlign w:val="center"/>
          </w:tcPr>
          <w:p w14:paraId="2AD2CDC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执行标准</w:t>
            </w:r>
          </w:p>
        </w:tc>
      </w:tr>
      <w:tr w14:paraId="6B440E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53" w:type="dxa"/>
            <w:noWrap w:val="0"/>
            <w:vAlign w:val="center"/>
          </w:tcPr>
          <w:p w14:paraId="753362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大气环境</w:t>
            </w:r>
          </w:p>
        </w:tc>
        <w:tc>
          <w:tcPr>
            <w:tcW w:w="1773" w:type="dxa"/>
            <w:noWrap w:val="0"/>
            <w:vAlign w:val="center"/>
          </w:tcPr>
          <w:p w14:paraId="5971027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sz w:val="24"/>
                <w:szCs w:val="24"/>
                <w:lang w:val="en-US" w:eastAsia="zh-CN"/>
              </w:rPr>
            </w:pPr>
            <w:r>
              <w:rPr>
                <w:rFonts w:hint="eastAsia" w:cs="Times New Roman"/>
                <w:color w:val="auto"/>
                <w:szCs w:val="21"/>
                <w:highlight w:val="none"/>
                <w:lang w:val="en-US" w:eastAsia="zh-CN"/>
              </w:rPr>
              <w:t>无组织废气</w:t>
            </w:r>
          </w:p>
        </w:tc>
        <w:tc>
          <w:tcPr>
            <w:tcW w:w="1400" w:type="dxa"/>
            <w:noWrap w:val="0"/>
            <w:vAlign w:val="center"/>
          </w:tcPr>
          <w:p w14:paraId="7423EB8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color w:val="auto"/>
                <w:sz w:val="24"/>
                <w:szCs w:val="24"/>
                <w:highlight w:val="none"/>
                <w:vertAlign w:val="baseline"/>
                <w:lang w:val="en-US" w:eastAsia="zh-CN"/>
              </w:rPr>
            </w:pPr>
            <w:r>
              <w:rPr>
                <w:rFonts w:hint="eastAsia" w:cs="Times New Roman"/>
                <w:color w:val="auto"/>
                <w:sz w:val="24"/>
                <w:szCs w:val="24"/>
                <w:highlight w:val="none"/>
                <w:vertAlign w:val="baseline"/>
                <w:lang w:val="en-US" w:eastAsia="zh-CN"/>
              </w:rPr>
              <w:t>臭气浓度</w:t>
            </w:r>
          </w:p>
        </w:tc>
        <w:tc>
          <w:tcPr>
            <w:tcW w:w="2362" w:type="dxa"/>
            <w:noWrap w:val="0"/>
            <w:vAlign w:val="center"/>
          </w:tcPr>
          <w:p w14:paraId="4FD8A94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cs="Times New Roman"/>
                <w:sz w:val="24"/>
                <w:szCs w:val="24"/>
                <w:highlight w:val="none"/>
                <w:lang w:val="en-US" w:eastAsia="zh-CN"/>
              </w:rPr>
            </w:pPr>
            <w:r>
              <w:rPr>
                <w:rFonts w:hint="default" w:cs="Times New Roman"/>
                <w:sz w:val="24"/>
                <w:szCs w:val="24"/>
                <w:highlight w:val="none"/>
                <w:lang w:val="en-US" w:eastAsia="zh-CN"/>
              </w:rPr>
              <w:t>及时更换清理猫砂和狗笼内的排便排尿盒，废水在小型废水处理设施内停留时间极短且废水处理设施密闭，并定期使用除臭剂和紫外线消毒车对</w:t>
            </w:r>
            <w:r>
              <w:rPr>
                <w:rFonts w:hint="eastAsia" w:cs="Times New Roman"/>
                <w:sz w:val="24"/>
                <w:szCs w:val="24"/>
                <w:highlight w:val="none"/>
                <w:lang w:val="en-US" w:eastAsia="zh-CN"/>
              </w:rPr>
              <w:t>室</w:t>
            </w:r>
            <w:r>
              <w:rPr>
                <w:rFonts w:hint="default" w:cs="Times New Roman"/>
                <w:sz w:val="24"/>
                <w:szCs w:val="24"/>
                <w:highlight w:val="none"/>
                <w:lang w:val="en-US" w:eastAsia="zh-CN"/>
              </w:rPr>
              <w:t>内空气及污水处理设施进行消毒</w:t>
            </w:r>
          </w:p>
        </w:tc>
        <w:tc>
          <w:tcPr>
            <w:tcW w:w="1812" w:type="dxa"/>
            <w:noWrap w:val="0"/>
            <w:vAlign w:val="center"/>
          </w:tcPr>
          <w:p w14:paraId="4E41A6B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eastAsia="宋体" w:cs="Times New Roman"/>
                <w:color w:val="000000"/>
                <w:lang w:val="en-US" w:eastAsia="zh-CN"/>
              </w:rPr>
            </w:pPr>
            <w:r>
              <w:rPr>
                <w:rFonts w:hint="eastAsia" w:eastAsia="宋体" w:cs="Times New Roman"/>
                <w:color w:val="000000"/>
                <w:lang w:val="en-US" w:eastAsia="zh-CN"/>
              </w:rPr>
              <w:t>厂界臭气浓度</w:t>
            </w:r>
            <w:r>
              <w:rPr>
                <w:rFonts w:hint="eastAsia" w:cs="Times New Roman"/>
                <w:color w:val="000000"/>
                <w:lang w:val="en-US" w:eastAsia="zh-CN"/>
              </w:rPr>
              <w:t>执行</w:t>
            </w:r>
            <w:r>
              <w:rPr>
                <w:rFonts w:hint="eastAsia" w:eastAsia="宋体" w:cs="Times New Roman"/>
                <w:color w:val="000000"/>
                <w:lang w:val="en-US" w:eastAsia="zh-CN"/>
              </w:rPr>
              <w:t>《恶臭污染物排放标准》（GB14554-93）表1二级新扩改标准限值</w:t>
            </w:r>
          </w:p>
        </w:tc>
      </w:tr>
      <w:tr w14:paraId="349C7D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53" w:type="dxa"/>
            <w:noWrap w:val="0"/>
            <w:vAlign w:val="center"/>
          </w:tcPr>
          <w:p w14:paraId="015888D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Times New Roman" w:hAnsi="Times New Roman" w:eastAsia="宋体" w:cs="Times New Roman"/>
                <w:b/>
                <w:bCs/>
                <w:kern w:val="2"/>
                <w:sz w:val="24"/>
                <w:szCs w:val="24"/>
                <w:lang w:val="en-US" w:eastAsia="zh-CN" w:bidi="ar-SA"/>
              </w:rPr>
            </w:pPr>
            <w:r>
              <w:rPr>
                <w:rFonts w:hint="default" w:ascii="Times New Roman" w:hAnsi="Times New Roman" w:eastAsia="宋体" w:cs="Times New Roman"/>
                <w:b/>
                <w:bCs/>
                <w:kern w:val="2"/>
                <w:sz w:val="24"/>
                <w:szCs w:val="24"/>
                <w:lang w:val="en-US" w:eastAsia="zh-CN" w:bidi="ar-SA"/>
              </w:rPr>
              <w:t>水环境</w:t>
            </w:r>
          </w:p>
        </w:tc>
        <w:tc>
          <w:tcPr>
            <w:tcW w:w="1773" w:type="dxa"/>
            <w:noWrap w:val="0"/>
            <w:vAlign w:val="center"/>
          </w:tcPr>
          <w:p w14:paraId="4181C03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DW001</w:t>
            </w:r>
          </w:p>
          <w:p w14:paraId="0AB8884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污水排放口</w:t>
            </w:r>
          </w:p>
        </w:tc>
        <w:tc>
          <w:tcPr>
            <w:tcW w:w="1400" w:type="dxa"/>
            <w:noWrap w:val="0"/>
            <w:vAlign w:val="center"/>
          </w:tcPr>
          <w:p w14:paraId="2B7E03A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COD、</w:t>
            </w:r>
            <w:r>
              <w:rPr>
                <w:rFonts w:hint="eastAsia" w:ascii="Times New Roman" w:hAnsi="Times New Roman" w:eastAsia="宋体" w:cs="Times New Roman"/>
                <w:color w:val="auto"/>
                <w:szCs w:val="21"/>
                <w:highlight w:val="none"/>
                <w:lang w:val="en-US" w:eastAsia="zh-CN"/>
              </w:rPr>
              <w:t>氨氮</w:t>
            </w:r>
            <w:r>
              <w:rPr>
                <w:rFonts w:hint="default" w:ascii="Times New Roman" w:hAnsi="Times New Roman" w:eastAsia="宋体" w:cs="Times New Roman"/>
                <w:color w:val="auto"/>
                <w:szCs w:val="21"/>
                <w:highlight w:val="none"/>
                <w:lang w:val="en-US" w:eastAsia="zh-CN"/>
              </w:rPr>
              <w:t>、BOD</w:t>
            </w:r>
            <w:r>
              <w:rPr>
                <w:rFonts w:hint="default" w:ascii="Times New Roman" w:hAnsi="Times New Roman" w:eastAsia="宋体" w:cs="Times New Roman"/>
                <w:color w:val="auto"/>
                <w:szCs w:val="21"/>
                <w:highlight w:val="none"/>
                <w:vertAlign w:val="subscript"/>
                <w:lang w:val="en-US" w:eastAsia="zh-CN"/>
              </w:rPr>
              <w:t>5</w:t>
            </w:r>
            <w:r>
              <w:rPr>
                <w:rFonts w:hint="default" w:ascii="Times New Roman" w:hAnsi="Times New Roman" w:eastAsia="宋体" w:cs="Times New Roman"/>
                <w:color w:val="auto"/>
                <w:szCs w:val="21"/>
                <w:highlight w:val="none"/>
                <w:lang w:val="en-US" w:eastAsia="zh-CN"/>
              </w:rPr>
              <w:t>、SS</w:t>
            </w:r>
            <w:r>
              <w:rPr>
                <w:rFonts w:hint="eastAsia" w:cs="Times New Roman"/>
                <w:color w:val="auto"/>
                <w:szCs w:val="21"/>
                <w:highlight w:val="none"/>
                <w:lang w:val="en-US" w:eastAsia="zh-CN"/>
              </w:rPr>
              <w:t>、粪大肠杆菌群、总余氯</w:t>
            </w:r>
          </w:p>
        </w:tc>
        <w:tc>
          <w:tcPr>
            <w:tcW w:w="2362" w:type="dxa"/>
            <w:noWrap w:val="0"/>
            <w:vAlign w:val="center"/>
          </w:tcPr>
          <w:p w14:paraId="783AEFD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宠物诊疗废水经小型废水治理设施消毒处理后进入小区化粪池处理，纳入市政污水管网，最终进入库尔勒市南市区污水处理厂集中处理。宠物清洗废水和生活污水进入小区化粪池处理后，纳入市政污水管网，最终进入库尔勒市南市区污水处理厂集中处理</w:t>
            </w:r>
          </w:p>
        </w:tc>
        <w:tc>
          <w:tcPr>
            <w:tcW w:w="1812" w:type="dxa"/>
            <w:noWrap w:val="0"/>
            <w:vAlign w:val="center"/>
          </w:tcPr>
          <w:p w14:paraId="326EBC1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《医疗机构水污染物排放标准》（GB18466-2005）表2中综合医疗机构和其他医疗机构水污染物排放限值的预处理标准限值</w:t>
            </w:r>
          </w:p>
        </w:tc>
      </w:tr>
      <w:tr w14:paraId="010C0E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53" w:type="dxa"/>
            <w:noWrap w:val="0"/>
            <w:vAlign w:val="center"/>
          </w:tcPr>
          <w:p w14:paraId="5BBAE79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声环境</w:t>
            </w:r>
          </w:p>
        </w:tc>
        <w:tc>
          <w:tcPr>
            <w:tcW w:w="1773" w:type="dxa"/>
            <w:noWrap w:val="0"/>
            <w:vAlign w:val="center"/>
          </w:tcPr>
          <w:p w14:paraId="5A3F2B5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sz w:val="24"/>
                <w:szCs w:val="24"/>
                <w:lang w:eastAsia="zh-CN"/>
              </w:rPr>
            </w:pPr>
            <w:r>
              <w:rPr>
                <w:rFonts w:hint="eastAsia" w:cs="Times New Roman"/>
                <w:color w:val="auto"/>
                <w:szCs w:val="21"/>
                <w:highlight w:val="none"/>
                <w:lang w:val="en-US" w:eastAsia="zh-CN"/>
              </w:rPr>
              <w:t>宠物医院</w:t>
            </w:r>
          </w:p>
        </w:tc>
        <w:tc>
          <w:tcPr>
            <w:tcW w:w="1400" w:type="dxa"/>
            <w:noWrap w:val="0"/>
            <w:vAlign w:val="center"/>
          </w:tcPr>
          <w:p w14:paraId="3A977C8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sz w:val="24"/>
                <w:szCs w:val="24"/>
                <w:lang w:val="en-US" w:eastAsia="zh-CN"/>
              </w:rPr>
            </w:pPr>
            <w:r>
              <w:rPr>
                <w:rFonts w:hint="eastAsia" w:cs="Times New Roman"/>
                <w:color w:val="auto"/>
                <w:szCs w:val="21"/>
                <w:highlight w:val="none"/>
                <w:lang w:val="en-US" w:eastAsia="zh-CN"/>
              </w:rPr>
              <w:t>宠物叫声</w:t>
            </w:r>
          </w:p>
        </w:tc>
        <w:tc>
          <w:tcPr>
            <w:tcW w:w="2362" w:type="dxa"/>
            <w:noWrap w:val="0"/>
            <w:vAlign w:val="center"/>
          </w:tcPr>
          <w:p w14:paraId="42C1545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sz w:val="24"/>
                <w:szCs w:val="24"/>
                <w:highlight w:val="none"/>
                <w:lang w:eastAsia="zh-CN"/>
              </w:rPr>
            </w:pPr>
            <w:r>
              <w:rPr>
                <w:rFonts w:hint="eastAsia" w:cs="Times New Roman"/>
                <w:sz w:val="24"/>
                <w:szCs w:val="24"/>
                <w:highlight w:val="none"/>
                <w:lang w:val="en-US" w:eastAsia="zh-CN"/>
              </w:rPr>
              <w:t>已</w:t>
            </w:r>
            <w:r>
              <w:rPr>
                <w:rFonts w:hint="default" w:ascii="Times New Roman" w:hAnsi="Times New Roman" w:eastAsia="宋体" w:cs="Times New Roman"/>
                <w:sz w:val="24"/>
                <w:szCs w:val="24"/>
                <w:highlight w:val="none"/>
                <w:lang w:val="en-US" w:eastAsia="zh-CN"/>
              </w:rPr>
              <w:t>采用低噪设备、加强对宠物的管理，避免宠物处于饥饿状态，医院合理布局，采用墙体建筑</w:t>
            </w:r>
            <w:r>
              <w:rPr>
                <w:rFonts w:hint="eastAsia" w:cs="Times New Roman"/>
                <w:sz w:val="24"/>
                <w:szCs w:val="24"/>
                <w:highlight w:val="none"/>
                <w:lang w:val="en-US" w:eastAsia="zh-CN"/>
              </w:rPr>
              <w:t>降噪</w:t>
            </w:r>
            <w:r>
              <w:rPr>
                <w:rFonts w:hint="default" w:ascii="Times New Roman" w:hAnsi="Times New Roman" w:eastAsia="宋体" w:cs="Times New Roman"/>
                <w:sz w:val="24"/>
                <w:szCs w:val="24"/>
                <w:highlight w:val="none"/>
                <w:lang w:val="en-US" w:eastAsia="zh-CN"/>
              </w:rPr>
              <w:t>，夜间关闭门窗，减少宠物可能产生的噪声影响</w:t>
            </w:r>
          </w:p>
        </w:tc>
        <w:tc>
          <w:tcPr>
            <w:tcW w:w="1812" w:type="dxa"/>
            <w:noWrap w:val="0"/>
            <w:vAlign w:val="center"/>
          </w:tcPr>
          <w:p w14:paraId="2F39E2B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eastAsia="zh-CN"/>
              </w:rPr>
              <w:t>《工业企业厂界环境噪声排放标准》（GB 12348-2008）中</w:t>
            </w:r>
            <w:r>
              <w:rPr>
                <w:rFonts w:hint="default" w:ascii="Times New Roman" w:hAnsi="Times New Roman" w:eastAsia="宋体" w:cs="Times New Roman"/>
                <w:sz w:val="24"/>
                <w:szCs w:val="24"/>
                <w:highlight w:val="none"/>
                <w:lang w:val="en-US" w:eastAsia="zh-CN"/>
              </w:rPr>
              <w:t>2类</w:t>
            </w:r>
            <w:r>
              <w:rPr>
                <w:rFonts w:hint="default" w:ascii="Times New Roman" w:hAnsi="Times New Roman" w:eastAsia="宋体" w:cs="Times New Roman"/>
                <w:sz w:val="24"/>
                <w:szCs w:val="24"/>
                <w:highlight w:val="none"/>
                <w:lang w:eastAsia="zh-CN"/>
              </w:rPr>
              <w:t>标准</w:t>
            </w:r>
          </w:p>
        </w:tc>
      </w:tr>
      <w:tr w14:paraId="31F92B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53" w:type="dxa"/>
            <w:noWrap w:val="0"/>
            <w:vAlign w:val="center"/>
          </w:tcPr>
          <w:p w14:paraId="75AE840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电磁辐射</w:t>
            </w:r>
          </w:p>
        </w:tc>
        <w:tc>
          <w:tcPr>
            <w:tcW w:w="7347" w:type="dxa"/>
            <w:gridSpan w:val="4"/>
            <w:noWrap w:val="0"/>
            <w:vAlign w:val="center"/>
          </w:tcPr>
          <w:p w14:paraId="7A1CBB4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本项目不涉及电磁辐射相关内容</w:t>
            </w:r>
          </w:p>
        </w:tc>
      </w:tr>
      <w:tr w14:paraId="48E159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67" w:hRule="atLeast"/>
          <w:jc w:val="center"/>
        </w:trPr>
        <w:tc>
          <w:tcPr>
            <w:tcW w:w="1453" w:type="dxa"/>
            <w:noWrap w:val="0"/>
            <w:vAlign w:val="center"/>
          </w:tcPr>
          <w:p w14:paraId="69D1B60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highlight w:val="none"/>
              </w:rPr>
              <w:t>固体废物</w:t>
            </w:r>
          </w:p>
        </w:tc>
        <w:tc>
          <w:tcPr>
            <w:tcW w:w="7347" w:type="dxa"/>
            <w:gridSpan w:val="4"/>
            <w:noWrap w:val="0"/>
            <w:vAlign w:val="center"/>
          </w:tcPr>
          <w:p w14:paraId="3E6649F7">
            <w:pPr>
              <w:keepNext w:val="0"/>
              <w:keepLines w:val="0"/>
              <w:pageBreakBefore w:val="0"/>
              <w:widowControl w:val="0"/>
              <w:numPr>
                <w:ilvl w:val="0"/>
                <w:numId w:val="8"/>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宠物粪便、美容废弃物与生活垃圾一同暂存于垃圾桶，交由环卫部门</w:t>
            </w:r>
            <w:r>
              <w:rPr>
                <w:rFonts w:hint="eastAsia" w:cs="Times New Roman"/>
                <w:color w:val="auto"/>
                <w:szCs w:val="21"/>
                <w:highlight w:val="none"/>
                <w:lang w:val="en-US" w:eastAsia="zh-CN"/>
              </w:rPr>
              <w:t>统一</w:t>
            </w:r>
            <w:r>
              <w:rPr>
                <w:rFonts w:hint="default" w:ascii="Times New Roman" w:hAnsi="Times New Roman" w:eastAsia="宋体" w:cs="Times New Roman"/>
                <w:color w:val="auto"/>
                <w:szCs w:val="21"/>
                <w:highlight w:val="none"/>
                <w:lang w:val="en-US" w:eastAsia="zh-CN"/>
              </w:rPr>
              <w:t>清运。</w:t>
            </w:r>
          </w:p>
          <w:p w14:paraId="2776D017">
            <w:pPr>
              <w:keepNext w:val="0"/>
              <w:keepLines w:val="0"/>
              <w:pageBreakBefore w:val="0"/>
              <w:widowControl w:val="0"/>
              <w:numPr>
                <w:ilvl w:val="0"/>
                <w:numId w:val="8"/>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动物诊疗废物按医疗废物进行管理，</w:t>
            </w:r>
            <w:r>
              <w:rPr>
                <w:rFonts w:hint="default" w:ascii="Times New Roman" w:hAnsi="Times New Roman" w:eastAsia="宋体" w:cs="Times New Roman"/>
                <w:sz w:val="24"/>
                <w:szCs w:val="24"/>
                <w:lang w:val="en-US" w:eastAsia="zh-CN"/>
              </w:rPr>
              <w:t>收集至</w:t>
            </w:r>
            <w:r>
              <w:rPr>
                <w:rFonts w:hint="eastAsia" w:cs="Times New Roman"/>
                <w:sz w:val="24"/>
                <w:szCs w:val="24"/>
                <w:lang w:val="en-US" w:eastAsia="zh-CN"/>
              </w:rPr>
              <w:t>医疗</w:t>
            </w:r>
            <w:r>
              <w:rPr>
                <w:rFonts w:hint="default" w:ascii="Times New Roman" w:hAnsi="Times New Roman" w:eastAsia="宋体" w:cs="Times New Roman"/>
                <w:sz w:val="24"/>
                <w:szCs w:val="24"/>
                <w:lang w:val="en-US" w:eastAsia="zh-CN"/>
              </w:rPr>
              <w:t>废物暂时贮存柜（箱），委托库尔勒天达环卫有限责任公司集中处置，</w:t>
            </w:r>
            <w:r>
              <w:rPr>
                <w:rFonts w:hint="eastAsia" w:cs="Times New Roman"/>
                <w:sz w:val="24"/>
                <w:szCs w:val="24"/>
                <w:lang w:val="en-US" w:eastAsia="zh-CN"/>
              </w:rPr>
              <w:t>尽量</w:t>
            </w:r>
            <w:r>
              <w:rPr>
                <w:rFonts w:hint="default" w:ascii="Times New Roman" w:hAnsi="Times New Roman" w:eastAsia="宋体" w:cs="Times New Roman"/>
                <w:sz w:val="24"/>
                <w:szCs w:val="24"/>
                <w:lang w:val="en-US" w:eastAsia="zh-CN"/>
              </w:rPr>
              <w:t>做到日产日清。</w:t>
            </w:r>
          </w:p>
        </w:tc>
      </w:tr>
      <w:tr w14:paraId="0C067C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53" w:type="dxa"/>
            <w:noWrap w:val="0"/>
            <w:vAlign w:val="center"/>
          </w:tcPr>
          <w:p w14:paraId="7479025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highlight w:val="none"/>
              </w:rPr>
              <w:t>土壤及地下水污染防治措施</w:t>
            </w:r>
          </w:p>
        </w:tc>
        <w:tc>
          <w:tcPr>
            <w:tcW w:w="7347" w:type="dxa"/>
            <w:gridSpan w:val="4"/>
            <w:noWrap w:val="0"/>
            <w:vAlign w:val="center"/>
          </w:tcPr>
          <w:p w14:paraId="520AAB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采取分区防渗措施：医疗废物专用暂时贮存柜（箱）为重点防渗区、污水处理设施为一般防渗区、其他生产生活设施为简单防渗区，仅做一般地面硬化。</w:t>
            </w:r>
          </w:p>
        </w:tc>
      </w:tr>
      <w:tr w14:paraId="685A8F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53" w:type="dxa"/>
            <w:noWrap w:val="0"/>
            <w:vAlign w:val="center"/>
          </w:tcPr>
          <w:p w14:paraId="316C58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生态保护措施</w:t>
            </w:r>
          </w:p>
        </w:tc>
        <w:tc>
          <w:tcPr>
            <w:tcW w:w="7347" w:type="dxa"/>
            <w:gridSpan w:val="4"/>
            <w:noWrap w:val="0"/>
            <w:vAlign w:val="center"/>
          </w:tcPr>
          <w:p w14:paraId="32FE916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w:t>
            </w:r>
          </w:p>
        </w:tc>
      </w:tr>
      <w:tr w14:paraId="107304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53" w:type="dxa"/>
            <w:noWrap w:val="0"/>
            <w:vAlign w:val="center"/>
          </w:tcPr>
          <w:p w14:paraId="527999D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
                <w:bCs/>
                <w:spacing w:val="0"/>
                <w:sz w:val="24"/>
                <w:szCs w:val="24"/>
                <w:highlight w:val="none"/>
              </w:rPr>
            </w:pPr>
            <w:r>
              <w:rPr>
                <w:rFonts w:hint="default" w:ascii="Times New Roman" w:hAnsi="Times New Roman" w:eastAsia="宋体" w:cs="Times New Roman"/>
                <w:b/>
                <w:bCs/>
                <w:spacing w:val="0"/>
                <w:sz w:val="24"/>
                <w:szCs w:val="24"/>
                <w:highlight w:val="none"/>
              </w:rPr>
              <w:t>环境风险</w:t>
            </w:r>
          </w:p>
          <w:p w14:paraId="3122CB7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default" w:ascii="Times New Roman" w:hAnsi="Times New Roman" w:eastAsia="宋体" w:cs="Times New Roman"/>
                <w:b/>
                <w:bCs/>
                <w:spacing w:val="-8"/>
                <w:sz w:val="24"/>
                <w:szCs w:val="24"/>
              </w:rPr>
            </w:pPr>
            <w:r>
              <w:rPr>
                <w:rFonts w:hint="default" w:ascii="Times New Roman" w:hAnsi="Times New Roman" w:eastAsia="宋体" w:cs="Times New Roman"/>
                <w:b/>
                <w:bCs/>
                <w:spacing w:val="0"/>
                <w:sz w:val="24"/>
                <w:szCs w:val="24"/>
                <w:highlight w:val="none"/>
              </w:rPr>
              <w:t>防范措施</w:t>
            </w:r>
          </w:p>
        </w:tc>
        <w:tc>
          <w:tcPr>
            <w:tcW w:w="7347" w:type="dxa"/>
            <w:gridSpan w:val="4"/>
            <w:noWrap w:val="0"/>
            <w:vAlign w:val="center"/>
          </w:tcPr>
          <w:p w14:paraId="628A6D70">
            <w:pPr>
              <w:keepNext w:val="0"/>
              <w:keepLines w:val="0"/>
              <w:pageBreakBefore w:val="0"/>
              <w:widowControl w:val="0"/>
              <w:suppressLineNumbers w:val="0"/>
              <w:tabs>
                <w:tab w:val="left" w:pos="2780"/>
              </w:tabs>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left"/>
              <w:textAlignment w:val="auto"/>
              <w:rPr>
                <w:rFonts w:hint="default" w:ascii="Times New Roman" w:hAnsi="Times New Roman" w:eastAsia="宋体" w:cs="Times New Roman"/>
                <w:bCs/>
                <w:sz w:val="24"/>
                <w:szCs w:val="24"/>
                <w:lang w:eastAsia="zh-CN"/>
              </w:rPr>
            </w:pPr>
            <w:r>
              <w:rPr>
                <w:rFonts w:hint="eastAsia" w:cs="Times New Roman"/>
                <w:bCs/>
                <w:sz w:val="24"/>
                <w:szCs w:val="24"/>
                <w:lang w:val="en-US" w:eastAsia="zh-CN"/>
              </w:rPr>
              <w:t>1、</w:t>
            </w:r>
            <w:r>
              <w:rPr>
                <w:rFonts w:hint="default" w:ascii="Times New Roman" w:hAnsi="Times New Roman" w:eastAsia="宋体" w:cs="Times New Roman"/>
                <w:bCs/>
                <w:sz w:val="24"/>
                <w:szCs w:val="24"/>
                <w:lang w:val="en-US" w:eastAsia="zh-CN"/>
              </w:rPr>
              <w:t xml:space="preserve">本项目地面全部硬化，配备消防栓、灭火器等消防设施； </w:t>
            </w:r>
          </w:p>
          <w:p w14:paraId="09F677D4">
            <w:pPr>
              <w:keepNext w:val="0"/>
              <w:keepLines w:val="0"/>
              <w:pageBreakBefore w:val="0"/>
              <w:widowControl w:val="0"/>
              <w:suppressLineNumbers w:val="0"/>
              <w:tabs>
                <w:tab w:val="left" w:pos="2780"/>
              </w:tabs>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left"/>
              <w:textAlignment w:val="auto"/>
              <w:rPr>
                <w:rFonts w:hint="default" w:ascii="Times New Roman" w:hAnsi="Times New Roman" w:eastAsia="宋体" w:cs="Times New Roman"/>
                <w:bCs/>
                <w:sz w:val="24"/>
                <w:szCs w:val="24"/>
                <w:lang w:eastAsia="zh-CN"/>
              </w:rPr>
            </w:pPr>
            <w:r>
              <w:rPr>
                <w:rFonts w:hint="eastAsia" w:cs="Times New Roman"/>
                <w:bCs/>
                <w:sz w:val="24"/>
                <w:szCs w:val="24"/>
                <w:lang w:val="en-US" w:eastAsia="zh-CN"/>
              </w:rPr>
              <w:t>2、动物诊疗废物</w:t>
            </w:r>
            <w:r>
              <w:rPr>
                <w:rFonts w:hint="default" w:ascii="Times New Roman" w:hAnsi="Times New Roman" w:eastAsia="宋体" w:cs="Times New Roman"/>
                <w:bCs/>
                <w:sz w:val="24"/>
                <w:szCs w:val="24"/>
                <w:lang w:val="en-US" w:eastAsia="zh-CN"/>
              </w:rPr>
              <w:t xml:space="preserve">贮存设置警示标识； </w:t>
            </w:r>
          </w:p>
          <w:p w14:paraId="204FB487">
            <w:pPr>
              <w:keepNext w:val="0"/>
              <w:keepLines w:val="0"/>
              <w:pageBreakBefore w:val="0"/>
              <w:widowControl w:val="0"/>
              <w:suppressLineNumbers w:val="0"/>
              <w:tabs>
                <w:tab w:val="left" w:pos="2780"/>
              </w:tabs>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left"/>
              <w:textAlignment w:val="auto"/>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val="en-US" w:eastAsia="zh-CN"/>
              </w:rPr>
              <w:t xml:space="preserve">3.酒精泄漏时采用不产生冲击、静电火花的工具回收； </w:t>
            </w:r>
          </w:p>
          <w:p w14:paraId="7B64EC0C">
            <w:pPr>
              <w:keepNext w:val="0"/>
              <w:keepLines w:val="0"/>
              <w:pageBreakBefore w:val="0"/>
              <w:widowControl w:val="0"/>
              <w:suppressLineNumbers w:val="0"/>
              <w:tabs>
                <w:tab w:val="left" w:pos="2780"/>
              </w:tabs>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left"/>
              <w:textAlignment w:val="auto"/>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val="en-US" w:eastAsia="zh-CN"/>
              </w:rPr>
              <w:t>4.</w:t>
            </w:r>
            <w:r>
              <w:rPr>
                <w:rFonts w:hint="eastAsia" w:cs="Times New Roman"/>
                <w:bCs/>
                <w:sz w:val="24"/>
                <w:szCs w:val="24"/>
                <w:lang w:val="en-US" w:eastAsia="zh-CN"/>
              </w:rPr>
              <w:t>二氧化氯泡腾片</w:t>
            </w:r>
            <w:r>
              <w:rPr>
                <w:rFonts w:hint="default" w:ascii="Times New Roman" w:hAnsi="Times New Roman" w:eastAsia="宋体" w:cs="Times New Roman"/>
                <w:bCs/>
                <w:sz w:val="24"/>
                <w:szCs w:val="24"/>
                <w:lang w:val="en-US" w:eastAsia="zh-CN"/>
              </w:rPr>
              <w:t>密闭储存，确保不受潮；污水处理设备专人专管，确保废水处理后排放</w:t>
            </w:r>
            <w:r>
              <w:rPr>
                <w:rFonts w:hint="eastAsia" w:cs="Times New Roman"/>
                <w:bCs/>
                <w:sz w:val="24"/>
                <w:szCs w:val="24"/>
                <w:lang w:val="en-US" w:eastAsia="zh-CN"/>
              </w:rPr>
              <w:t>；</w:t>
            </w:r>
          </w:p>
          <w:p w14:paraId="7C186740">
            <w:pPr>
              <w:keepNext w:val="0"/>
              <w:keepLines w:val="0"/>
              <w:pageBreakBefore w:val="0"/>
              <w:widowControl w:val="0"/>
              <w:suppressLineNumbers w:val="0"/>
              <w:tabs>
                <w:tab w:val="left" w:pos="2780"/>
              </w:tabs>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left"/>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5、诊疗过程发现有（传染）疫情的宠物，立即报告当地兽医主管部门、动物卫生监督机构或动物疾病预防控制机构，并将宠物放置在隔离室内，不得擅自进行治疗，防止动物疫情扩散。</w:t>
            </w:r>
          </w:p>
        </w:tc>
      </w:tr>
      <w:tr w14:paraId="5002BB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53" w:type="dxa"/>
            <w:noWrap w:val="0"/>
            <w:vAlign w:val="center"/>
          </w:tcPr>
          <w:p w14:paraId="03240D4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
                <w:bCs/>
                <w:color w:val="auto"/>
                <w:spacing w:val="0"/>
                <w:sz w:val="24"/>
                <w:szCs w:val="24"/>
              </w:rPr>
            </w:pPr>
            <w:r>
              <w:rPr>
                <w:rFonts w:hint="default" w:ascii="Times New Roman" w:hAnsi="Times New Roman" w:eastAsia="宋体" w:cs="Times New Roman"/>
                <w:b/>
                <w:bCs/>
                <w:color w:val="auto"/>
                <w:spacing w:val="0"/>
                <w:sz w:val="24"/>
                <w:szCs w:val="24"/>
              </w:rPr>
              <w:t>其他环境</w:t>
            </w:r>
          </w:p>
          <w:p w14:paraId="106DC3A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default" w:ascii="Times New Roman" w:hAnsi="Times New Roman" w:eastAsia="宋体" w:cs="Times New Roman"/>
                <w:b/>
                <w:bCs/>
                <w:spacing w:val="0"/>
                <w:sz w:val="24"/>
                <w:szCs w:val="24"/>
              </w:rPr>
            </w:pPr>
            <w:r>
              <w:rPr>
                <w:rFonts w:hint="default" w:ascii="Times New Roman" w:hAnsi="Times New Roman" w:eastAsia="宋体" w:cs="Times New Roman"/>
                <w:b/>
                <w:bCs/>
                <w:color w:val="auto"/>
                <w:spacing w:val="0"/>
                <w:sz w:val="24"/>
                <w:szCs w:val="24"/>
              </w:rPr>
              <w:t>管理要求</w:t>
            </w:r>
          </w:p>
        </w:tc>
        <w:tc>
          <w:tcPr>
            <w:tcW w:w="7347" w:type="dxa"/>
            <w:gridSpan w:val="4"/>
            <w:noWrap w:val="0"/>
            <w:vAlign w:val="center"/>
          </w:tcPr>
          <w:p w14:paraId="0A726465">
            <w:pPr>
              <w:pStyle w:val="23"/>
              <w:keepNext w:val="0"/>
              <w:keepLines w:val="0"/>
              <w:suppressLineNumbers w:val="0"/>
              <w:spacing w:before="0" w:beforeAutospacing="0" w:after="0" w:afterAutospacing="0" w:line="360" w:lineRule="auto"/>
              <w:ind w:left="0" w:leftChars="0" w:right="0" w:firstLine="0" w:firstLineChars="0"/>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1、加强环境管理，确保环保设施正常、稳定运行，确保污染物达标排放，同时要推广及应用先进的环保技术和经验，最大限度降低污染物的排放量。</w:t>
            </w:r>
          </w:p>
          <w:p w14:paraId="34D510A7">
            <w:pPr>
              <w:keepNext w:val="0"/>
              <w:keepLines w:val="0"/>
              <w:suppressLineNumbers w:val="0"/>
              <w:bidi w:val="0"/>
              <w:spacing w:before="0" w:beforeAutospacing="0" w:after="0" w:afterAutospacing="0" w:line="360" w:lineRule="auto"/>
              <w:ind w:left="0" w:leftChars="0" w:right="0" w:firstLine="0" w:firstLineChars="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2、落实“三同时”制度，按照要求开展竣工环境保护验收。</w:t>
            </w:r>
          </w:p>
          <w:p w14:paraId="22625862">
            <w:pPr>
              <w:pStyle w:val="23"/>
              <w:keepNext w:val="0"/>
              <w:keepLines w:val="0"/>
              <w:suppressLineNumbers w:val="0"/>
              <w:spacing w:before="0" w:beforeAutospacing="0" w:after="0" w:afterAutospacing="0" w:line="360" w:lineRule="auto"/>
              <w:ind w:left="0" w:leftChars="0" w:right="0" w:firstLine="0" w:firstLineChars="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3、根据国家和地方相关环保政策和法规，制定企业环境保护计划的环保方针目标。并建立相应的管理监督制度。</w:t>
            </w:r>
          </w:p>
          <w:p w14:paraId="129E29BB">
            <w:pPr>
              <w:pStyle w:val="23"/>
              <w:keepNext w:val="0"/>
              <w:keepLines w:val="0"/>
              <w:suppressLineNumbers w:val="0"/>
              <w:spacing w:before="0" w:beforeAutospacing="0" w:after="0" w:afterAutospacing="0" w:line="360" w:lineRule="auto"/>
              <w:ind w:left="0" w:leftChars="0" w:right="0" w:firstLine="0" w:firstLineChars="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4、加强环保教育宣传，并制定紧急情况应急措施，预防或减少可能的环境影响。</w:t>
            </w:r>
          </w:p>
          <w:p w14:paraId="132CB099">
            <w:pPr>
              <w:keepNext w:val="0"/>
              <w:keepLines w:val="0"/>
              <w:suppressLineNumbers w:val="0"/>
              <w:adjustRightInd w:val="0"/>
              <w:snapToGrid w:val="0"/>
              <w:spacing w:before="0" w:beforeAutospacing="0" w:after="0" w:afterAutospacing="0"/>
              <w:ind w:left="0" w:leftChars="0" w:right="0" w:firstLine="0" w:firstLineChars="0"/>
              <w:rPr>
                <w:rFonts w:hint="default"/>
                <w:lang w:val="en-US" w:eastAsia="zh-CN"/>
              </w:rPr>
            </w:pPr>
            <w:r>
              <w:rPr>
                <w:rFonts w:hint="eastAsia"/>
                <w:lang w:val="en-US" w:eastAsia="zh-CN"/>
              </w:rPr>
              <w:t>5、严格遵照国家和地方有关环境保护的方针、政策、法规、条例，如《中华人民共和国环境保护法》《全国生态环境保护纲要》等，结合企业的实际情况，确定环境保护控制目标，制定环境保护发展规划和年度实施计划，建立环境保护制度，并组织、监督实施。</w:t>
            </w:r>
          </w:p>
          <w:p w14:paraId="1182192F">
            <w:pPr>
              <w:keepNext w:val="0"/>
              <w:keepLines w:val="0"/>
              <w:suppressLineNumbers w:val="0"/>
              <w:adjustRightInd w:val="0"/>
              <w:snapToGrid w:val="0"/>
              <w:spacing w:before="0" w:beforeAutospacing="0" w:after="0" w:afterAutospacing="0"/>
              <w:ind w:left="0" w:leftChars="0" w:right="0" w:firstLine="0" w:firstLineChars="0"/>
              <w:rPr>
                <w:rFonts w:hint="default" w:ascii="Times New Roman" w:hAnsi="Times New Roman" w:eastAsia="宋体" w:cs="Times New Roman"/>
                <w:sz w:val="24"/>
                <w:szCs w:val="24"/>
                <w:lang w:val="en-US" w:eastAsia="zh-CN"/>
              </w:rPr>
            </w:pPr>
          </w:p>
          <w:p w14:paraId="4983463C">
            <w:pPr>
              <w:keepNext w:val="0"/>
              <w:keepLines w:val="0"/>
              <w:suppressLineNumbers w:val="0"/>
              <w:bidi w:val="0"/>
              <w:spacing w:before="0" w:beforeAutospacing="0" w:after="0" w:afterAutospacing="0" w:line="360" w:lineRule="auto"/>
              <w:ind w:left="0" w:leftChars="0" w:right="0" w:rightChars="0" w:firstLine="0" w:firstLineChars="0"/>
              <w:jc w:val="both"/>
              <w:rPr>
                <w:rFonts w:hint="default" w:ascii="Times New Roman" w:hAnsi="Times New Roman" w:eastAsia="宋体" w:cs="Times New Roman"/>
                <w:sz w:val="24"/>
                <w:szCs w:val="24"/>
                <w:lang w:val="en-US" w:eastAsia="zh-CN"/>
              </w:rPr>
            </w:pPr>
          </w:p>
          <w:p w14:paraId="321E6BDA">
            <w:pPr>
              <w:keepNext w:val="0"/>
              <w:keepLines w:val="0"/>
              <w:suppressLineNumbers w:val="0"/>
              <w:bidi w:val="0"/>
              <w:spacing w:before="0" w:beforeAutospacing="0" w:after="0" w:afterAutospacing="0" w:line="360" w:lineRule="auto"/>
              <w:ind w:left="0" w:leftChars="0" w:right="0" w:rightChars="0" w:firstLine="0" w:firstLineChars="0"/>
              <w:jc w:val="both"/>
              <w:rPr>
                <w:rFonts w:hint="default" w:ascii="Times New Roman" w:hAnsi="Times New Roman" w:eastAsia="宋体" w:cs="Times New Roman"/>
                <w:sz w:val="24"/>
                <w:szCs w:val="24"/>
                <w:lang w:val="en-US" w:eastAsia="zh-CN"/>
              </w:rPr>
            </w:pPr>
          </w:p>
          <w:p w14:paraId="4C2DE4F4">
            <w:pPr>
              <w:keepNext w:val="0"/>
              <w:keepLines w:val="0"/>
              <w:suppressLineNumbers w:val="0"/>
              <w:bidi w:val="0"/>
              <w:spacing w:before="0" w:beforeAutospacing="0" w:after="0" w:afterAutospacing="0" w:line="360" w:lineRule="auto"/>
              <w:ind w:left="0" w:leftChars="0" w:right="0" w:rightChars="0" w:firstLine="0" w:firstLineChars="0"/>
              <w:jc w:val="both"/>
              <w:rPr>
                <w:rFonts w:hint="default" w:ascii="Times New Roman" w:hAnsi="Times New Roman" w:eastAsia="宋体" w:cs="Times New Roman"/>
                <w:sz w:val="24"/>
                <w:szCs w:val="24"/>
                <w:lang w:val="en-US" w:eastAsia="zh-CN"/>
              </w:rPr>
            </w:pPr>
          </w:p>
          <w:p w14:paraId="3FD4ED81">
            <w:pPr>
              <w:keepNext w:val="0"/>
              <w:keepLines w:val="0"/>
              <w:suppressLineNumbers w:val="0"/>
              <w:spacing w:before="0" w:beforeAutospacing="0" w:after="0" w:afterAutospacing="0"/>
              <w:ind w:left="0" w:leftChars="0" w:right="0" w:firstLine="0" w:firstLineChars="0"/>
              <w:rPr>
                <w:rFonts w:hint="default" w:ascii="Times New Roman" w:hAnsi="Times New Roman" w:eastAsia="宋体" w:cs="Times New Roman"/>
                <w:sz w:val="24"/>
                <w:szCs w:val="24"/>
                <w:lang w:val="en-US" w:eastAsia="zh-CN"/>
              </w:rPr>
            </w:pPr>
          </w:p>
          <w:p w14:paraId="390EBBBD">
            <w:pPr>
              <w:keepNext w:val="0"/>
              <w:keepLines w:val="0"/>
              <w:suppressLineNumbers w:val="0"/>
              <w:bidi w:val="0"/>
              <w:spacing w:before="0" w:beforeAutospacing="0" w:after="0" w:afterAutospacing="0" w:line="360" w:lineRule="auto"/>
              <w:ind w:left="0" w:leftChars="0" w:right="0" w:rightChars="0" w:firstLine="0" w:firstLineChars="0"/>
              <w:jc w:val="both"/>
              <w:rPr>
                <w:rFonts w:hint="default" w:ascii="Times New Roman" w:hAnsi="Times New Roman" w:eastAsia="宋体" w:cs="Times New Roman"/>
                <w:bCs/>
                <w:sz w:val="24"/>
                <w:szCs w:val="24"/>
                <w:lang w:eastAsia="zh-CN"/>
              </w:rPr>
            </w:pPr>
          </w:p>
          <w:p w14:paraId="7887D8DF">
            <w:pPr>
              <w:keepNext w:val="0"/>
              <w:keepLines w:val="0"/>
              <w:suppressLineNumbers w:val="0"/>
              <w:bidi w:val="0"/>
              <w:spacing w:before="0" w:beforeAutospacing="0" w:after="0" w:afterAutospacing="0" w:line="360" w:lineRule="auto"/>
              <w:ind w:left="0" w:leftChars="0" w:right="0" w:rightChars="0" w:firstLine="0" w:firstLineChars="0"/>
              <w:jc w:val="both"/>
              <w:rPr>
                <w:rFonts w:hint="default" w:ascii="Times New Roman" w:hAnsi="Times New Roman" w:eastAsia="宋体" w:cs="Times New Roman"/>
                <w:bCs/>
                <w:sz w:val="24"/>
                <w:szCs w:val="24"/>
                <w:lang w:eastAsia="zh-CN"/>
              </w:rPr>
            </w:pPr>
          </w:p>
          <w:p w14:paraId="71485460">
            <w:pPr>
              <w:keepNext w:val="0"/>
              <w:keepLines w:val="0"/>
              <w:suppressLineNumbers w:val="0"/>
              <w:bidi w:val="0"/>
              <w:spacing w:before="0" w:beforeAutospacing="0" w:after="0" w:afterAutospacing="0" w:line="360" w:lineRule="auto"/>
              <w:ind w:left="0" w:leftChars="0" w:right="0" w:rightChars="0" w:firstLine="0" w:firstLineChars="0"/>
              <w:jc w:val="both"/>
              <w:rPr>
                <w:rFonts w:hint="default" w:ascii="Times New Roman" w:hAnsi="Times New Roman" w:eastAsia="宋体" w:cs="Times New Roman"/>
                <w:bCs/>
                <w:sz w:val="24"/>
                <w:szCs w:val="24"/>
                <w:lang w:eastAsia="zh-CN"/>
              </w:rPr>
            </w:pPr>
          </w:p>
          <w:p w14:paraId="5E086FD1">
            <w:pPr>
              <w:keepNext w:val="0"/>
              <w:keepLines w:val="0"/>
              <w:suppressLineNumbers w:val="0"/>
              <w:bidi w:val="0"/>
              <w:spacing w:before="0" w:beforeAutospacing="0" w:after="0" w:afterAutospacing="0" w:line="360" w:lineRule="auto"/>
              <w:ind w:left="0" w:leftChars="0" w:right="0" w:rightChars="0" w:firstLine="0" w:firstLineChars="0"/>
              <w:jc w:val="both"/>
              <w:rPr>
                <w:rFonts w:hint="default" w:ascii="Times New Roman" w:hAnsi="Times New Roman" w:eastAsia="宋体" w:cs="Times New Roman"/>
                <w:bCs/>
                <w:sz w:val="24"/>
                <w:szCs w:val="24"/>
                <w:lang w:eastAsia="zh-CN"/>
              </w:rPr>
            </w:pPr>
          </w:p>
          <w:p w14:paraId="404ACCB5">
            <w:pPr>
              <w:keepNext w:val="0"/>
              <w:keepLines w:val="0"/>
              <w:suppressLineNumbers w:val="0"/>
              <w:bidi w:val="0"/>
              <w:spacing w:before="0" w:beforeAutospacing="0" w:after="0" w:afterAutospacing="0" w:line="360" w:lineRule="auto"/>
              <w:ind w:left="0" w:leftChars="0" w:right="0" w:rightChars="0" w:firstLine="0" w:firstLineChars="0"/>
              <w:jc w:val="both"/>
              <w:rPr>
                <w:rFonts w:hint="default" w:ascii="Times New Roman" w:hAnsi="Times New Roman" w:eastAsia="宋体" w:cs="Times New Roman"/>
                <w:bCs/>
                <w:sz w:val="24"/>
                <w:szCs w:val="24"/>
                <w:lang w:eastAsia="zh-CN"/>
              </w:rPr>
            </w:pPr>
          </w:p>
          <w:p w14:paraId="002DEA95">
            <w:pPr>
              <w:keepNext w:val="0"/>
              <w:keepLines w:val="0"/>
              <w:suppressLineNumbers w:val="0"/>
              <w:bidi w:val="0"/>
              <w:spacing w:before="0" w:beforeAutospacing="0" w:after="0" w:afterAutospacing="0" w:line="360" w:lineRule="auto"/>
              <w:ind w:left="0" w:leftChars="0" w:right="0" w:rightChars="0" w:firstLine="0" w:firstLineChars="0"/>
              <w:jc w:val="both"/>
              <w:rPr>
                <w:rFonts w:hint="default" w:ascii="Times New Roman" w:hAnsi="Times New Roman" w:eastAsia="宋体" w:cs="Times New Roman"/>
                <w:bCs/>
                <w:sz w:val="24"/>
                <w:szCs w:val="24"/>
                <w:lang w:eastAsia="zh-CN"/>
              </w:rPr>
            </w:pPr>
          </w:p>
          <w:p w14:paraId="02FECC65">
            <w:pPr>
              <w:keepNext w:val="0"/>
              <w:keepLines w:val="0"/>
              <w:suppressLineNumbers w:val="0"/>
              <w:bidi w:val="0"/>
              <w:spacing w:before="0" w:beforeAutospacing="0" w:after="0" w:afterAutospacing="0" w:line="360" w:lineRule="auto"/>
              <w:ind w:left="0" w:leftChars="0" w:right="0" w:rightChars="0" w:firstLine="0" w:firstLineChars="0"/>
              <w:jc w:val="both"/>
              <w:rPr>
                <w:rFonts w:hint="default" w:ascii="Times New Roman" w:hAnsi="Times New Roman" w:eastAsia="宋体" w:cs="Times New Roman"/>
                <w:bCs/>
                <w:sz w:val="24"/>
                <w:szCs w:val="24"/>
                <w:lang w:eastAsia="zh-CN"/>
              </w:rPr>
            </w:pPr>
          </w:p>
          <w:p w14:paraId="2B7D1D19">
            <w:pPr>
              <w:keepNext w:val="0"/>
              <w:keepLines w:val="0"/>
              <w:suppressLineNumbers w:val="0"/>
              <w:bidi w:val="0"/>
              <w:spacing w:before="0" w:beforeAutospacing="0" w:after="0" w:afterAutospacing="0" w:line="360" w:lineRule="auto"/>
              <w:ind w:left="0" w:leftChars="0" w:right="0" w:rightChars="0" w:firstLine="0" w:firstLineChars="0"/>
              <w:jc w:val="both"/>
              <w:rPr>
                <w:rFonts w:hint="default" w:ascii="Times New Roman" w:hAnsi="Times New Roman" w:eastAsia="宋体" w:cs="Times New Roman"/>
                <w:bCs/>
                <w:sz w:val="24"/>
                <w:szCs w:val="24"/>
                <w:lang w:eastAsia="zh-CN"/>
              </w:rPr>
            </w:pPr>
          </w:p>
          <w:p w14:paraId="4C39843A">
            <w:pPr>
              <w:keepNext w:val="0"/>
              <w:keepLines w:val="0"/>
              <w:suppressLineNumbers w:val="0"/>
              <w:bidi w:val="0"/>
              <w:spacing w:before="0" w:beforeAutospacing="0" w:after="0" w:afterAutospacing="0" w:line="360" w:lineRule="auto"/>
              <w:ind w:left="0" w:leftChars="0" w:right="0" w:rightChars="0" w:firstLine="0" w:firstLineChars="0"/>
              <w:jc w:val="both"/>
              <w:rPr>
                <w:rFonts w:hint="default" w:ascii="Times New Roman" w:hAnsi="Times New Roman" w:eastAsia="宋体" w:cs="Times New Roman"/>
                <w:bCs/>
                <w:sz w:val="24"/>
                <w:szCs w:val="24"/>
                <w:lang w:eastAsia="zh-CN"/>
              </w:rPr>
            </w:pPr>
          </w:p>
          <w:p w14:paraId="1EF1E8C1">
            <w:pPr>
              <w:keepNext w:val="0"/>
              <w:keepLines w:val="0"/>
              <w:suppressLineNumbers w:val="0"/>
              <w:bidi w:val="0"/>
              <w:spacing w:before="0" w:beforeAutospacing="0" w:after="0" w:afterAutospacing="0" w:line="360" w:lineRule="auto"/>
              <w:ind w:left="0" w:leftChars="0" w:right="0" w:rightChars="0" w:firstLine="0" w:firstLineChars="0"/>
              <w:jc w:val="both"/>
              <w:rPr>
                <w:rFonts w:hint="default" w:ascii="Times New Roman" w:hAnsi="Times New Roman" w:eastAsia="宋体" w:cs="Times New Roman"/>
                <w:bCs/>
                <w:sz w:val="24"/>
                <w:szCs w:val="24"/>
                <w:lang w:eastAsia="zh-CN"/>
              </w:rPr>
            </w:pPr>
          </w:p>
          <w:p w14:paraId="0FEDC5CC">
            <w:pPr>
              <w:keepNext w:val="0"/>
              <w:keepLines w:val="0"/>
              <w:suppressLineNumbers w:val="0"/>
              <w:bidi w:val="0"/>
              <w:spacing w:before="0" w:beforeAutospacing="0" w:after="0" w:afterAutospacing="0" w:line="360" w:lineRule="auto"/>
              <w:ind w:left="0" w:leftChars="0" w:right="0" w:rightChars="0" w:firstLine="0" w:firstLineChars="0"/>
              <w:jc w:val="both"/>
              <w:rPr>
                <w:rFonts w:hint="default" w:ascii="Times New Roman" w:hAnsi="Times New Roman" w:eastAsia="宋体" w:cs="Times New Roman"/>
                <w:bCs/>
                <w:sz w:val="24"/>
                <w:szCs w:val="24"/>
                <w:lang w:eastAsia="zh-CN"/>
              </w:rPr>
            </w:pPr>
          </w:p>
          <w:p w14:paraId="22F7F7A9">
            <w:pPr>
              <w:keepNext w:val="0"/>
              <w:keepLines w:val="0"/>
              <w:suppressLineNumbers w:val="0"/>
              <w:bidi w:val="0"/>
              <w:spacing w:before="0" w:beforeAutospacing="0" w:after="0" w:afterAutospacing="0" w:line="360" w:lineRule="auto"/>
              <w:ind w:left="0" w:leftChars="0" w:right="0" w:rightChars="0" w:firstLine="0" w:firstLineChars="0"/>
              <w:jc w:val="both"/>
              <w:rPr>
                <w:rFonts w:hint="default" w:ascii="Times New Roman" w:hAnsi="Times New Roman" w:eastAsia="宋体" w:cs="Times New Roman"/>
                <w:bCs/>
                <w:sz w:val="24"/>
                <w:szCs w:val="24"/>
                <w:lang w:eastAsia="zh-CN"/>
              </w:rPr>
            </w:pPr>
          </w:p>
          <w:p w14:paraId="067C00C8">
            <w:pPr>
              <w:keepNext w:val="0"/>
              <w:keepLines w:val="0"/>
              <w:suppressLineNumbers w:val="0"/>
              <w:bidi w:val="0"/>
              <w:spacing w:before="0" w:beforeAutospacing="0" w:after="0" w:afterAutospacing="0" w:line="360" w:lineRule="auto"/>
              <w:ind w:left="0" w:leftChars="0" w:right="0" w:rightChars="0" w:firstLine="0" w:firstLineChars="0"/>
              <w:jc w:val="both"/>
              <w:rPr>
                <w:rFonts w:hint="default" w:ascii="Times New Roman" w:hAnsi="Times New Roman" w:eastAsia="宋体" w:cs="Times New Roman"/>
                <w:bCs/>
                <w:sz w:val="24"/>
                <w:szCs w:val="24"/>
                <w:lang w:eastAsia="zh-CN"/>
              </w:rPr>
            </w:pPr>
          </w:p>
          <w:p w14:paraId="12618D0A">
            <w:pPr>
              <w:keepNext w:val="0"/>
              <w:keepLines w:val="0"/>
              <w:suppressLineNumbers w:val="0"/>
              <w:bidi w:val="0"/>
              <w:spacing w:before="0" w:beforeAutospacing="0" w:after="0" w:afterAutospacing="0" w:line="360" w:lineRule="auto"/>
              <w:ind w:left="0" w:leftChars="0" w:right="0" w:rightChars="0" w:firstLine="0" w:firstLineChars="0"/>
              <w:jc w:val="both"/>
              <w:rPr>
                <w:rFonts w:hint="default" w:ascii="Times New Roman" w:hAnsi="Times New Roman" w:eastAsia="宋体" w:cs="Times New Roman"/>
                <w:bCs/>
                <w:sz w:val="24"/>
                <w:szCs w:val="24"/>
                <w:lang w:eastAsia="zh-CN"/>
              </w:rPr>
            </w:pPr>
          </w:p>
        </w:tc>
      </w:tr>
    </w:tbl>
    <w:p w14:paraId="572816E9">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center"/>
        <w:textAlignment w:val="auto"/>
        <w:outlineLvl w:val="0"/>
        <w:rPr>
          <w:rFonts w:ascii="黑体" w:hAnsi="黑体" w:eastAsia="黑体"/>
          <w:snapToGrid w:val="0"/>
          <w:sz w:val="30"/>
          <w:szCs w:val="30"/>
        </w:rPr>
      </w:pPr>
      <w:r>
        <w:rPr>
          <w:snapToGrid w:val="0"/>
        </w:rPr>
        <w:br w:type="page"/>
      </w:r>
      <w:bookmarkStart w:id="49" w:name="_Toc15149"/>
      <w:r>
        <w:rPr>
          <w:rFonts w:hint="eastAsia" w:ascii="黑体" w:hAnsi="黑体" w:eastAsia="黑体"/>
          <w:snapToGrid w:val="0"/>
          <w:sz w:val="30"/>
          <w:szCs w:val="30"/>
        </w:rPr>
        <w:t>六、结论</w:t>
      </w:r>
      <w:bookmarkEnd w:id="49"/>
    </w:p>
    <w:tbl>
      <w:tblPr>
        <w:tblStyle w:val="3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053495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95" w:hRule="atLeast"/>
          <w:jc w:val="center"/>
        </w:trPr>
        <w:tc>
          <w:tcPr>
            <w:tcW w:w="8865" w:type="dxa"/>
            <w:noWrap w:val="0"/>
            <w:vAlign w:val="top"/>
          </w:tcPr>
          <w:p w14:paraId="0C08E491">
            <w:pPr>
              <w:keepNext w:val="0"/>
              <w:keepLines w:val="0"/>
              <w:pageBreakBefore w:val="0"/>
              <w:widowControl w:val="0"/>
              <w:suppressLineNumbers w:val="0"/>
              <w:tabs>
                <w:tab w:val="left" w:pos="710"/>
              </w:tabs>
              <w:kinsoku/>
              <w:wordWrap/>
              <w:overflowPunct/>
              <w:topLinePunct w:val="0"/>
              <w:autoSpaceDE/>
              <w:autoSpaceDN/>
              <w:bidi w:val="0"/>
              <w:adjustRightInd/>
              <w:snapToGrid/>
              <w:spacing w:before="313" w:beforeLines="100" w:beforeAutospacing="0" w:after="0" w:afterAutospacing="0" w:line="360" w:lineRule="auto"/>
              <w:ind w:left="0" w:right="0"/>
              <w:jc w:val="both"/>
              <w:textAlignment w:val="auto"/>
              <w:rPr>
                <w:rFonts w:hint="eastAsia" w:ascii="Times New Roman" w:hAnsi="Times New Roman" w:eastAsia="宋体" w:cs="Times New Roman"/>
                <w:color w:val="000000"/>
                <w:sz w:val="24"/>
                <w:szCs w:val="24"/>
                <w:lang w:eastAsia="zh-CN"/>
              </w:rPr>
            </w:pPr>
            <w:r>
              <w:rPr>
                <w:rFonts w:hint="eastAsia" w:ascii="宋体" w:cs="宋体"/>
                <w:sz w:val="24"/>
                <w:lang w:eastAsia="zh-CN"/>
              </w:rPr>
              <w:tab/>
            </w:r>
            <w:r>
              <w:rPr>
                <w:rFonts w:hint="default" w:ascii="Times New Roman" w:hAnsi="Times New Roman" w:eastAsia="宋体" w:cs="Times New Roman"/>
                <w:color w:val="000000"/>
                <w:sz w:val="24"/>
                <w:szCs w:val="24"/>
              </w:rPr>
              <w:t>该项目只要切实落实报告表中提出的各项防治措施，严格执行各项污染物的排放标准，积极有效地进行污染治理和防范，并使各项污染物达标排放，从环境保护角度考虑，该项目的</w:t>
            </w:r>
            <w:r>
              <w:rPr>
                <w:rFonts w:hint="eastAsia" w:ascii="Times New Roman" w:hAnsi="Times New Roman" w:eastAsia="宋体" w:cs="Times New Roman"/>
                <w:color w:val="000000"/>
                <w:sz w:val="24"/>
                <w:szCs w:val="24"/>
                <w:lang w:val="en-US" w:eastAsia="zh-CN"/>
              </w:rPr>
              <w:t>环境影响</w:t>
            </w:r>
            <w:r>
              <w:rPr>
                <w:rFonts w:hint="default" w:ascii="Times New Roman" w:hAnsi="Times New Roman" w:eastAsia="宋体" w:cs="Times New Roman"/>
                <w:color w:val="000000"/>
                <w:sz w:val="24"/>
                <w:szCs w:val="24"/>
              </w:rPr>
              <w:t>是可行的</w:t>
            </w:r>
            <w:r>
              <w:rPr>
                <w:rFonts w:hint="eastAsia" w:ascii="Times New Roman" w:hAnsi="Times New Roman" w:eastAsia="宋体" w:cs="Times New Roman"/>
                <w:color w:val="000000"/>
                <w:sz w:val="24"/>
                <w:szCs w:val="24"/>
                <w:lang w:eastAsia="zh-CN"/>
              </w:rPr>
              <w:t>。</w:t>
            </w:r>
          </w:p>
          <w:p w14:paraId="08AA9F09">
            <w:pPr>
              <w:pStyle w:val="23"/>
              <w:keepNext w:val="0"/>
              <w:keepLines w:val="0"/>
              <w:suppressLineNumbers w:val="0"/>
              <w:spacing w:before="0" w:beforeAutospacing="0" w:after="0" w:afterAutospacing="0"/>
              <w:ind w:right="0"/>
              <w:rPr>
                <w:rFonts w:hint="eastAsia" w:cs="Times New Roman"/>
                <w:lang w:val="en-US" w:eastAsia="zh-CN"/>
              </w:rPr>
            </w:pPr>
          </w:p>
        </w:tc>
      </w:tr>
    </w:tbl>
    <w:p w14:paraId="6A971F47">
      <w:pPr>
        <w:rPr>
          <w:rFonts w:ascii="宋体"/>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39D55843">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textAlignment w:val="auto"/>
        <w:outlineLvl w:val="0"/>
        <w:rPr>
          <w:rFonts w:ascii="黑体" w:hAnsi="黑体" w:eastAsia="黑体"/>
          <w:snapToGrid w:val="0"/>
          <w:sz w:val="32"/>
          <w:szCs w:val="32"/>
        </w:rPr>
      </w:pPr>
      <w:bookmarkStart w:id="50" w:name="_Toc17389"/>
      <w:r>
        <w:rPr>
          <w:rFonts w:hint="eastAsia" w:ascii="黑体" w:hAnsi="黑体" w:eastAsia="黑体"/>
          <w:snapToGrid w:val="0"/>
          <w:sz w:val="32"/>
          <w:szCs w:val="32"/>
        </w:rPr>
        <w:t>附表</w:t>
      </w:r>
      <w:bookmarkEnd w:id="50"/>
    </w:p>
    <w:p w14:paraId="6F1035B5">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outlineLvl w:val="0"/>
        <w:rPr>
          <w:rFonts w:hint="eastAsia" w:ascii="方正小标宋_GBK" w:hAnsi="黑体" w:eastAsia="方正小标宋_GBK"/>
          <w:snapToGrid w:val="0"/>
          <w:sz w:val="38"/>
          <w:szCs w:val="38"/>
        </w:rPr>
      </w:pPr>
      <w:bookmarkStart w:id="51" w:name="_Toc11669"/>
      <w:r>
        <w:rPr>
          <w:rFonts w:hint="eastAsia" w:ascii="方正小标宋_GBK" w:hAnsi="黑体" w:eastAsia="方正小标宋_GBK"/>
          <w:snapToGrid w:val="0"/>
          <w:sz w:val="38"/>
          <w:szCs w:val="38"/>
        </w:rPr>
        <w:t>建设项目污染物排放量汇总表</w:t>
      </w:r>
      <w:bookmarkEnd w:id="51"/>
    </w:p>
    <w:tbl>
      <w:tblPr>
        <w:tblStyle w:val="31"/>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1426"/>
        <w:gridCol w:w="1625"/>
        <w:gridCol w:w="1193"/>
        <w:gridCol w:w="1534"/>
        <w:gridCol w:w="1752"/>
        <w:gridCol w:w="1358"/>
        <w:gridCol w:w="1839"/>
        <w:gridCol w:w="1580"/>
      </w:tblGrid>
      <w:tr w14:paraId="3793F7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9" w:type="pct"/>
            <w:tcBorders>
              <w:tl2br w:val="single" w:color="auto" w:sz="4" w:space="0"/>
            </w:tcBorders>
            <w:noWrap w:val="0"/>
            <w:tcMar>
              <w:left w:w="28" w:type="dxa"/>
              <w:right w:w="28" w:type="dxa"/>
            </w:tcMar>
            <w:vAlign w:val="center"/>
          </w:tcPr>
          <w:p w14:paraId="245E7EBD">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b/>
                <w:bCs/>
                <w:snapToGrid w:val="0"/>
                <w:color w:val="000000"/>
                <w:spacing w:val="-6"/>
                <w:kern w:val="21"/>
                <w:szCs w:val="21"/>
              </w:rPr>
            </w:pPr>
            <w:r>
              <w:rPr>
                <w:rFonts w:hint="default" w:ascii="Times New Roman" w:hAnsi="Times New Roman" w:eastAsia="宋体" w:cs="Times New Roman"/>
                <w:b/>
                <w:bCs/>
                <w:snapToGrid w:val="0"/>
                <w:color w:val="000000"/>
                <w:spacing w:val="-6"/>
                <w:kern w:val="21"/>
                <w:szCs w:val="21"/>
              </w:rPr>
              <w:t>项目</w:t>
            </w:r>
          </w:p>
          <w:p w14:paraId="03812AC3">
            <w:pPr>
              <w:pStyle w:val="58"/>
              <w:suppressLineNumbers w:val="0"/>
              <w:spacing w:beforeAutospacing="0" w:afterAutospacing="0"/>
              <w:ind w:right="0"/>
              <w:outlineLvl w:val="9"/>
              <w:rPr>
                <w:rFonts w:hint="default"/>
              </w:rPr>
            </w:pPr>
          </w:p>
          <w:p w14:paraId="0746DF1A">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b/>
                <w:bCs/>
                <w:snapToGrid w:val="0"/>
                <w:color w:val="000000"/>
                <w:spacing w:val="-6"/>
                <w:kern w:val="21"/>
                <w:szCs w:val="21"/>
              </w:rPr>
            </w:pPr>
            <w:r>
              <w:rPr>
                <w:rFonts w:hint="default" w:ascii="Times New Roman" w:hAnsi="Times New Roman" w:eastAsia="宋体" w:cs="Times New Roman"/>
                <w:b/>
                <w:bCs/>
                <w:snapToGrid w:val="0"/>
                <w:color w:val="000000"/>
                <w:spacing w:val="-6"/>
                <w:kern w:val="21"/>
                <w:szCs w:val="21"/>
              </w:rPr>
              <w:t>分类</w:t>
            </w:r>
          </w:p>
        </w:tc>
        <w:tc>
          <w:tcPr>
            <w:tcW w:w="528" w:type="pct"/>
            <w:noWrap w:val="0"/>
            <w:tcMar>
              <w:left w:w="28" w:type="dxa"/>
              <w:right w:w="28" w:type="dxa"/>
            </w:tcMar>
            <w:vAlign w:val="center"/>
          </w:tcPr>
          <w:p w14:paraId="1D406BDD">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b/>
                <w:bCs/>
                <w:snapToGrid w:val="0"/>
                <w:color w:val="000000"/>
                <w:spacing w:val="-6"/>
                <w:kern w:val="21"/>
                <w:szCs w:val="21"/>
              </w:rPr>
            </w:pPr>
            <w:r>
              <w:rPr>
                <w:rFonts w:hint="default" w:ascii="Times New Roman" w:hAnsi="Times New Roman" w:eastAsia="宋体" w:cs="Times New Roman"/>
                <w:b/>
                <w:bCs/>
                <w:snapToGrid w:val="0"/>
                <w:color w:val="000000"/>
                <w:spacing w:val="-6"/>
                <w:kern w:val="21"/>
                <w:szCs w:val="21"/>
              </w:rPr>
              <w:t>污染物名称</w:t>
            </w:r>
          </w:p>
        </w:tc>
        <w:tc>
          <w:tcPr>
            <w:tcW w:w="602" w:type="pct"/>
            <w:noWrap w:val="0"/>
            <w:tcMar>
              <w:left w:w="28" w:type="dxa"/>
              <w:right w:w="28" w:type="dxa"/>
            </w:tcMar>
            <w:vAlign w:val="center"/>
          </w:tcPr>
          <w:p w14:paraId="7A2518D9">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b/>
                <w:bCs/>
                <w:snapToGrid w:val="0"/>
                <w:color w:val="000000"/>
                <w:spacing w:val="-6"/>
                <w:kern w:val="21"/>
                <w:szCs w:val="21"/>
                <w:highlight w:val="none"/>
              </w:rPr>
            </w:pPr>
            <w:r>
              <w:rPr>
                <w:rFonts w:hint="default" w:ascii="Times New Roman" w:hAnsi="Times New Roman" w:eastAsia="宋体" w:cs="Times New Roman"/>
                <w:b/>
                <w:bCs/>
                <w:snapToGrid w:val="0"/>
                <w:color w:val="000000"/>
                <w:spacing w:val="-6"/>
                <w:kern w:val="21"/>
                <w:szCs w:val="21"/>
                <w:highlight w:val="none"/>
              </w:rPr>
              <w:t>现有工程</w:t>
            </w:r>
          </w:p>
          <w:p w14:paraId="452B436B">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b/>
                <w:bCs/>
                <w:snapToGrid w:val="0"/>
                <w:color w:val="000000"/>
                <w:spacing w:val="-6"/>
                <w:kern w:val="21"/>
                <w:szCs w:val="21"/>
                <w:highlight w:val="yellow"/>
              </w:rPr>
            </w:pPr>
            <w:r>
              <w:rPr>
                <w:rFonts w:hint="default" w:ascii="Times New Roman" w:hAnsi="Times New Roman" w:eastAsia="宋体" w:cs="Times New Roman"/>
                <w:b/>
                <w:bCs/>
                <w:snapToGrid w:val="0"/>
                <w:color w:val="000000"/>
                <w:spacing w:val="-6"/>
                <w:kern w:val="21"/>
                <w:szCs w:val="21"/>
                <w:highlight w:val="none"/>
              </w:rPr>
              <w:t>排放量（固体废物产生量）</w:t>
            </w:r>
            <w:r>
              <w:rPr>
                <w:rFonts w:hint="default" w:ascii="Times New Roman" w:hAnsi="Times New Roman" w:eastAsia="宋体" w:cs="Times New Roman"/>
                <w:b/>
                <w:bCs/>
                <w:snapToGrid w:val="0"/>
                <w:color w:val="000000"/>
                <w:spacing w:val="-6"/>
                <w:kern w:val="21"/>
                <w:szCs w:val="21"/>
                <w:highlight w:val="none"/>
              </w:rPr>
              <w:fldChar w:fldCharType="begin"/>
            </w:r>
            <w:r>
              <w:rPr>
                <w:rFonts w:hint="default" w:ascii="Times New Roman" w:hAnsi="Times New Roman" w:eastAsia="宋体" w:cs="Times New Roman"/>
                <w:b/>
                <w:bCs/>
                <w:snapToGrid w:val="0"/>
                <w:color w:val="000000"/>
                <w:spacing w:val="-6"/>
                <w:kern w:val="21"/>
                <w:szCs w:val="21"/>
                <w:highlight w:val="none"/>
              </w:rPr>
              <w:instrText xml:space="preserve">=1\*GB3\*MERGEFORMAT</w:instrText>
            </w:r>
            <w:r>
              <w:rPr>
                <w:rFonts w:hint="default" w:ascii="Times New Roman" w:hAnsi="Times New Roman" w:eastAsia="宋体" w:cs="Times New Roman"/>
                <w:b/>
                <w:bCs/>
                <w:snapToGrid w:val="0"/>
                <w:color w:val="000000"/>
                <w:spacing w:val="-6"/>
                <w:kern w:val="21"/>
                <w:szCs w:val="21"/>
                <w:highlight w:val="none"/>
              </w:rPr>
              <w:fldChar w:fldCharType="separate"/>
            </w:r>
            <w:r>
              <w:rPr>
                <w:rFonts w:hint="default" w:ascii="Times New Roman" w:hAnsi="Times New Roman" w:eastAsia="宋体" w:cs="Times New Roman"/>
                <w:b/>
                <w:bCs/>
                <w:kern w:val="2"/>
                <w:szCs w:val="21"/>
                <w:highlight w:val="none"/>
              </w:rPr>
              <w:t>①</w:t>
            </w:r>
            <w:r>
              <w:rPr>
                <w:rFonts w:hint="default" w:ascii="Times New Roman" w:hAnsi="Times New Roman" w:eastAsia="宋体" w:cs="Times New Roman"/>
                <w:b/>
                <w:bCs/>
                <w:snapToGrid w:val="0"/>
                <w:color w:val="000000"/>
                <w:spacing w:val="-6"/>
                <w:kern w:val="21"/>
                <w:szCs w:val="21"/>
                <w:highlight w:val="none"/>
              </w:rPr>
              <w:fldChar w:fldCharType="end"/>
            </w:r>
          </w:p>
        </w:tc>
        <w:tc>
          <w:tcPr>
            <w:tcW w:w="442" w:type="pct"/>
            <w:noWrap w:val="0"/>
            <w:tcMar>
              <w:left w:w="28" w:type="dxa"/>
              <w:right w:w="28" w:type="dxa"/>
            </w:tcMar>
            <w:vAlign w:val="center"/>
          </w:tcPr>
          <w:p w14:paraId="5D38CB63">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b/>
                <w:bCs/>
                <w:snapToGrid w:val="0"/>
                <w:color w:val="000000"/>
                <w:spacing w:val="-6"/>
                <w:kern w:val="21"/>
                <w:szCs w:val="21"/>
              </w:rPr>
            </w:pPr>
            <w:r>
              <w:rPr>
                <w:rFonts w:hint="default" w:ascii="Times New Roman" w:hAnsi="Times New Roman" w:eastAsia="宋体" w:cs="Times New Roman"/>
                <w:b/>
                <w:bCs/>
                <w:snapToGrid w:val="0"/>
                <w:color w:val="000000"/>
                <w:spacing w:val="-6"/>
                <w:kern w:val="21"/>
                <w:szCs w:val="21"/>
              </w:rPr>
              <w:t>现有工程</w:t>
            </w:r>
          </w:p>
          <w:p w14:paraId="64577416">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b/>
                <w:bCs/>
                <w:snapToGrid w:val="0"/>
                <w:color w:val="000000"/>
                <w:spacing w:val="-6"/>
                <w:kern w:val="21"/>
                <w:szCs w:val="21"/>
              </w:rPr>
            </w:pPr>
            <w:r>
              <w:rPr>
                <w:rFonts w:hint="default" w:ascii="Times New Roman" w:hAnsi="Times New Roman" w:eastAsia="宋体" w:cs="Times New Roman"/>
                <w:b/>
                <w:bCs/>
                <w:snapToGrid w:val="0"/>
                <w:color w:val="000000"/>
                <w:spacing w:val="-6"/>
                <w:kern w:val="21"/>
                <w:szCs w:val="21"/>
              </w:rPr>
              <w:t>许可排放量</w:t>
            </w:r>
          </w:p>
          <w:p w14:paraId="0CEC0A5F">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b/>
                <w:bCs/>
                <w:snapToGrid w:val="0"/>
                <w:color w:val="000000"/>
                <w:spacing w:val="-6"/>
                <w:kern w:val="21"/>
                <w:szCs w:val="21"/>
              </w:rPr>
            </w:pPr>
            <w:r>
              <w:rPr>
                <w:rFonts w:hint="default" w:ascii="Times New Roman" w:hAnsi="Times New Roman" w:eastAsia="宋体" w:cs="Times New Roman"/>
                <w:b/>
                <w:bCs/>
                <w:snapToGrid w:val="0"/>
                <w:color w:val="000000"/>
                <w:spacing w:val="-6"/>
                <w:kern w:val="21"/>
                <w:szCs w:val="21"/>
              </w:rPr>
              <w:fldChar w:fldCharType="begin"/>
            </w:r>
            <w:r>
              <w:rPr>
                <w:rFonts w:hint="default" w:ascii="Times New Roman" w:hAnsi="Times New Roman" w:eastAsia="宋体" w:cs="Times New Roman"/>
                <w:b/>
                <w:bCs/>
                <w:snapToGrid w:val="0"/>
                <w:color w:val="000000"/>
                <w:spacing w:val="-6"/>
                <w:kern w:val="21"/>
                <w:szCs w:val="21"/>
              </w:rPr>
              <w:instrText xml:space="preserve">=2\*GB3\*MERGEFORMAT</w:instrText>
            </w:r>
            <w:r>
              <w:rPr>
                <w:rFonts w:hint="default" w:ascii="Times New Roman" w:hAnsi="Times New Roman" w:eastAsia="宋体" w:cs="Times New Roman"/>
                <w:b/>
                <w:bCs/>
                <w:snapToGrid w:val="0"/>
                <w:color w:val="000000"/>
                <w:spacing w:val="-6"/>
                <w:kern w:val="21"/>
                <w:szCs w:val="21"/>
              </w:rPr>
              <w:fldChar w:fldCharType="separate"/>
            </w:r>
            <w:r>
              <w:rPr>
                <w:rFonts w:hint="default" w:ascii="Times New Roman" w:hAnsi="Times New Roman" w:eastAsia="宋体" w:cs="Times New Roman"/>
                <w:b/>
                <w:bCs/>
                <w:snapToGrid w:val="0"/>
                <w:color w:val="000000"/>
                <w:spacing w:val="-6"/>
                <w:kern w:val="21"/>
                <w:szCs w:val="21"/>
              </w:rPr>
              <w:t>②</w:t>
            </w:r>
            <w:r>
              <w:rPr>
                <w:rFonts w:hint="default" w:ascii="Times New Roman" w:hAnsi="Times New Roman" w:eastAsia="宋体" w:cs="Times New Roman"/>
                <w:b/>
                <w:bCs/>
                <w:snapToGrid w:val="0"/>
                <w:color w:val="000000"/>
                <w:spacing w:val="-6"/>
                <w:kern w:val="21"/>
                <w:szCs w:val="21"/>
              </w:rPr>
              <w:fldChar w:fldCharType="end"/>
            </w:r>
          </w:p>
        </w:tc>
        <w:tc>
          <w:tcPr>
            <w:tcW w:w="568" w:type="pct"/>
            <w:noWrap w:val="0"/>
            <w:tcMar>
              <w:left w:w="28" w:type="dxa"/>
              <w:right w:w="28" w:type="dxa"/>
            </w:tcMar>
            <w:vAlign w:val="center"/>
          </w:tcPr>
          <w:p w14:paraId="5B8AC9E3">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b/>
                <w:bCs/>
                <w:snapToGrid w:val="0"/>
                <w:color w:val="000000"/>
                <w:spacing w:val="-6"/>
                <w:kern w:val="21"/>
                <w:szCs w:val="21"/>
              </w:rPr>
            </w:pPr>
            <w:r>
              <w:rPr>
                <w:rFonts w:hint="default" w:ascii="Times New Roman" w:hAnsi="Times New Roman" w:eastAsia="宋体" w:cs="Times New Roman"/>
                <w:b/>
                <w:bCs/>
                <w:snapToGrid w:val="0"/>
                <w:color w:val="000000"/>
                <w:spacing w:val="-6"/>
                <w:kern w:val="21"/>
                <w:szCs w:val="21"/>
              </w:rPr>
              <w:t>在建工程</w:t>
            </w:r>
          </w:p>
          <w:p w14:paraId="315C336E">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b/>
                <w:bCs/>
                <w:snapToGrid w:val="0"/>
                <w:color w:val="000000"/>
                <w:spacing w:val="-6"/>
                <w:kern w:val="21"/>
                <w:szCs w:val="21"/>
              </w:rPr>
            </w:pPr>
            <w:r>
              <w:rPr>
                <w:rFonts w:hint="default" w:ascii="Times New Roman" w:hAnsi="Times New Roman" w:eastAsia="宋体" w:cs="Times New Roman"/>
                <w:b/>
                <w:bCs/>
                <w:snapToGrid w:val="0"/>
                <w:color w:val="000000"/>
                <w:spacing w:val="-6"/>
                <w:kern w:val="21"/>
                <w:szCs w:val="21"/>
              </w:rPr>
              <w:t>排放量（固体废物产生量）</w:t>
            </w:r>
            <w:r>
              <w:rPr>
                <w:rFonts w:hint="default" w:ascii="Times New Roman" w:hAnsi="Times New Roman" w:eastAsia="宋体" w:cs="Times New Roman"/>
                <w:b/>
                <w:bCs/>
                <w:snapToGrid w:val="0"/>
                <w:color w:val="000000"/>
                <w:spacing w:val="-6"/>
                <w:kern w:val="21"/>
                <w:szCs w:val="21"/>
              </w:rPr>
              <w:fldChar w:fldCharType="begin"/>
            </w:r>
            <w:r>
              <w:rPr>
                <w:rFonts w:hint="default" w:ascii="Times New Roman" w:hAnsi="Times New Roman" w:eastAsia="宋体" w:cs="Times New Roman"/>
                <w:b/>
                <w:bCs/>
                <w:snapToGrid w:val="0"/>
                <w:color w:val="000000"/>
                <w:spacing w:val="-6"/>
                <w:kern w:val="21"/>
                <w:szCs w:val="21"/>
              </w:rPr>
              <w:instrText xml:space="preserve">=3\*GB3\*MERGEFORMAT</w:instrText>
            </w:r>
            <w:r>
              <w:rPr>
                <w:rFonts w:hint="default" w:ascii="Times New Roman" w:hAnsi="Times New Roman" w:eastAsia="宋体" w:cs="Times New Roman"/>
                <w:b/>
                <w:bCs/>
                <w:snapToGrid w:val="0"/>
                <w:color w:val="000000"/>
                <w:spacing w:val="-6"/>
                <w:kern w:val="21"/>
                <w:szCs w:val="21"/>
              </w:rPr>
              <w:fldChar w:fldCharType="separate"/>
            </w:r>
            <w:r>
              <w:rPr>
                <w:rFonts w:hint="default" w:ascii="Times New Roman" w:hAnsi="Times New Roman" w:eastAsia="宋体" w:cs="Times New Roman"/>
                <w:b/>
                <w:bCs/>
                <w:kern w:val="2"/>
                <w:szCs w:val="21"/>
              </w:rPr>
              <w:t>③</w:t>
            </w:r>
            <w:r>
              <w:rPr>
                <w:rFonts w:hint="default" w:ascii="Times New Roman" w:hAnsi="Times New Roman" w:eastAsia="宋体" w:cs="Times New Roman"/>
                <w:b/>
                <w:bCs/>
                <w:snapToGrid w:val="0"/>
                <w:color w:val="000000"/>
                <w:spacing w:val="-6"/>
                <w:kern w:val="21"/>
                <w:szCs w:val="21"/>
              </w:rPr>
              <w:fldChar w:fldCharType="end"/>
            </w:r>
          </w:p>
        </w:tc>
        <w:tc>
          <w:tcPr>
            <w:tcW w:w="649" w:type="pct"/>
            <w:noWrap w:val="0"/>
            <w:tcMar>
              <w:left w:w="28" w:type="dxa"/>
              <w:right w:w="28" w:type="dxa"/>
            </w:tcMar>
            <w:vAlign w:val="center"/>
          </w:tcPr>
          <w:p w14:paraId="3C24FF61">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b/>
                <w:bCs/>
                <w:snapToGrid w:val="0"/>
                <w:color w:val="000000"/>
                <w:spacing w:val="-6"/>
                <w:kern w:val="21"/>
                <w:szCs w:val="21"/>
              </w:rPr>
            </w:pPr>
            <w:r>
              <w:rPr>
                <w:rFonts w:hint="default" w:ascii="Times New Roman" w:hAnsi="Times New Roman" w:eastAsia="宋体" w:cs="Times New Roman"/>
                <w:b/>
                <w:bCs/>
                <w:snapToGrid w:val="0"/>
                <w:color w:val="000000"/>
                <w:spacing w:val="-6"/>
                <w:kern w:val="21"/>
                <w:szCs w:val="21"/>
              </w:rPr>
              <w:t>本项目</w:t>
            </w:r>
          </w:p>
          <w:p w14:paraId="0C88DB14">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b/>
                <w:bCs/>
                <w:snapToGrid w:val="0"/>
                <w:color w:val="000000"/>
                <w:spacing w:val="-6"/>
                <w:kern w:val="21"/>
                <w:szCs w:val="21"/>
              </w:rPr>
            </w:pPr>
            <w:r>
              <w:rPr>
                <w:rFonts w:hint="default" w:ascii="Times New Roman" w:hAnsi="Times New Roman" w:eastAsia="宋体" w:cs="Times New Roman"/>
                <w:b/>
                <w:bCs/>
                <w:snapToGrid w:val="0"/>
                <w:color w:val="000000"/>
                <w:spacing w:val="-6"/>
                <w:kern w:val="21"/>
                <w:szCs w:val="21"/>
              </w:rPr>
              <w:t>排放量（固体废物产生量）</w:t>
            </w:r>
            <w:r>
              <w:rPr>
                <w:rFonts w:hint="default" w:ascii="Times New Roman" w:hAnsi="Times New Roman" w:eastAsia="宋体" w:cs="Times New Roman"/>
                <w:b/>
                <w:bCs/>
                <w:snapToGrid w:val="0"/>
                <w:color w:val="000000"/>
                <w:spacing w:val="-6"/>
                <w:kern w:val="21"/>
                <w:szCs w:val="21"/>
              </w:rPr>
              <w:fldChar w:fldCharType="begin"/>
            </w:r>
            <w:r>
              <w:rPr>
                <w:rFonts w:hint="default" w:ascii="Times New Roman" w:hAnsi="Times New Roman" w:eastAsia="宋体" w:cs="Times New Roman"/>
                <w:b/>
                <w:bCs/>
                <w:snapToGrid w:val="0"/>
                <w:color w:val="000000"/>
                <w:spacing w:val="-6"/>
                <w:kern w:val="21"/>
                <w:szCs w:val="21"/>
              </w:rPr>
              <w:instrText xml:space="preserve">=4\*GB3\*MERGEFORMAT</w:instrText>
            </w:r>
            <w:r>
              <w:rPr>
                <w:rFonts w:hint="default" w:ascii="Times New Roman" w:hAnsi="Times New Roman" w:eastAsia="宋体" w:cs="Times New Roman"/>
                <w:b/>
                <w:bCs/>
                <w:snapToGrid w:val="0"/>
                <w:color w:val="000000"/>
                <w:spacing w:val="-6"/>
                <w:kern w:val="21"/>
                <w:szCs w:val="21"/>
              </w:rPr>
              <w:fldChar w:fldCharType="separate"/>
            </w:r>
            <w:r>
              <w:rPr>
                <w:rFonts w:hint="default" w:ascii="Times New Roman" w:hAnsi="Times New Roman" w:eastAsia="宋体" w:cs="Times New Roman"/>
                <w:b/>
                <w:bCs/>
                <w:kern w:val="2"/>
                <w:szCs w:val="21"/>
              </w:rPr>
              <w:t>④</w:t>
            </w:r>
            <w:r>
              <w:rPr>
                <w:rFonts w:hint="default" w:ascii="Times New Roman" w:hAnsi="Times New Roman" w:eastAsia="宋体" w:cs="Times New Roman"/>
                <w:b/>
                <w:bCs/>
                <w:snapToGrid w:val="0"/>
                <w:color w:val="000000"/>
                <w:spacing w:val="-6"/>
                <w:kern w:val="21"/>
                <w:szCs w:val="21"/>
              </w:rPr>
              <w:fldChar w:fldCharType="end"/>
            </w:r>
          </w:p>
        </w:tc>
        <w:tc>
          <w:tcPr>
            <w:tcW w:w="503" w:type="pct"/>
            <w:noWrap w:val="0"/>
            <w:tcMar>
              <w:left w:w="28" w:type="dxa"/>
              <w:right w:w="28" w:type="dxa"/>
            </w:tcMar>
            <w:vAlign w:val="center"/>
          </w:tcPr>
          <w:p w14:paraId="60D62065">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b/>
                <w:bCs/>
                <w:snapToGrid w:val="0"/>
                <w:color w:val="000000"/>
                <w:spacing w:val="-16"/>
                <w:kern w:val="21"/>
                <w:szCs w:val="21"/>
              </w:rPr>
            </w:pPr>
            <w:r>
              <w:rPr>
                <w:rFonts w:hint="default" w:ascii="Times New Roman" w:hAnsi="Times New Roman" w:eastAsia="宋体" w:cs="Times New Roman"/>
                <w:b/>
                <w:bCs/>
                <w:snapToGrid w:val="0"/>
                <w:color w:val="000000"/>
                <w:spacing w:val="-16"/>
                <w:kern w:val="21"/>
                <w:szCs w:val="21"/>
              </w:rPr>
              <w:t>以新带老削减量（新建项目不填）</w:t>
            </w:r>
            <w:r>
              <w:rPr>
                <w:rFonts w:hint="default" w:ascii="Times New Roman" w:hAnsi="Times New Roman" w:eastAsia="宋体" w:cs="Times New Roman"/>
                <w:b/>
                <w:bCs/>
                <w:snapToGrid w:val="0"/>
                <w:color w:val="000000"/>
                <w:spacing w:val="-16"/>
                <w:kern w:val="21"/>
                <w:szCs w:val="21"/>
              </w:rPr>
              <w:fldChar w:fldCharType="begin"/>
            </w:r>
            <w:r>
              <w:rPr>
                <w:rFonts w:hint="default" w:ascii="Times New Roman" w:hAnsi="Times New Roman" w:eastAsia="宋体" w:cs="Times New Roman"/>
                <w:b/>
                <w:bCs/>
                <w:snapToGrid w:val="0"/>
                <w:color w:val="000000"/>
                <w:spacing w:val="-16"/>
                <w:kern w:val="21"/>
                <w:szCs w:val="21"/>
              </w:rPr>
              <w:instrText xml:space="preserve">=5\*GB3\*MERGEFORMAT</w:instrText>
            </w:r>
            <w:r>
              <w:rPr>
                <w:rFonts w:hint="default" w:ascii="Times New Roman" w:hAnsi="Times New Roman" w:eastAsia="宋体" w:cs="Times New Roman"/>
                <w:b/>
                <w:bCs/>
                <w:snapToGrid w:val="0"/>
                <w:color w:val="000000"/>
                <w:spacing w:val="-16"/>
                <w:kern w:val="21"/>
                <w:szCs w:val="21"/>
              </w:rPr>
              <w:fldChar w:fldCharType="separate"/>
            </w:r>
            <w:r>
              <w:rPr>
                <w:rFonts w:hint="default" w:ascii="Times New Roman" w:hAnsi="Times New Roman" w:eastAsia="宋体" w:cs="Times New Roman"/>
                <w:b/>
                <w:bCs/>
                <w:kern w:val="2"/>
                <w:szCs w:val="21"/>
              </w:rPr>
              <w:t>⑤</w:t>
            </w:r>
            <w:r>
              <w:rPr>
                <w:rFonts w:hint="default" w:ascii="Times New Roman" w:hAnsi="Times New Roman" w:eastAsia="宋体" w:cs="Times New Roman"/>
                <w:b/>
                <w:bCs/>
                <w:snapToGrid w:val="0"/>
                <w:color w:val="000000"/>
                <w:spacing w:val="-16"/>
                <w:kern w:val="21"/>
                <w:szCs w:val="21"/>
              </w:rPr>
              <w:fldChar w:fldCharType="end"/>
            </w:r>
          </w:p>
        </w:tc>
        <w:tc>
          <w:tcPr>
            <w:tcW w:w="681" w:type="pct"/>
            <w:noWrap w:val="0"/>
            <w:tcMar>
              <w:left w:w="28" w:type="dxa"/>
              <w:right w:w="28" w:type="dxa"/>
            </w:tcMar>
            <w:vAlign w:val="center"/>
          </w:tcPr>
          <w:p w14:paraId="7C04B83C">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b/>
                <w:bCs/>
                <w:snapToGrid w:val="0"/>
                <w:color w:val="000000"/>
                <w:spacing w:val="-16"/>
                <w:kern w:val="21"/>
                <w:szCs w:val="21"/>
              </w:rPr>
            </w:pPr>
            <w:r>
              <w:rPr>
                <w:rFonts w:hint="default" w:ascii="Times New Roman" w:hAnsi="Times New Roman" w:eastAsia="宋体" w:cs="Times New Roman"/>
                <w:b/>
                <w:bCs/>
                <w:snapToGrid w:val="0"/>
                <w:color w:val="000000"/>
                <w:spacing w:val="-16"/>
                <w:kern w:val="21"/>
                <w:szCs w:val="21"/>
              </w:rPr>
              <w:t>本项目建成后</w:t>
            </w:r>
          </w:p>
          <w:p w14:paraId="2D1A5888">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b/>
                <w:bCs/>
                <w:snapToGrid w:val="0"/>
                <w:color w:val="000000"/>
                <w:spacing w:val="-16"/>
                <w:kern w:val="21"/>
                <w:szCs w:val="21"/>
              </w:rPr>
            </w:pPr>
            <w:r>
              <w:rPr>
                <w:rFonts w:hint="default" w:ascii="Times New Roman" w:hAnsi="Times New Roman" w:eastAsia="宋体" w:cs="Times New Roman"/>
                <w:b/>
                <w:bCs/>
                <w:snapToGrid w:val="0"/>
                <w:color w:val="000000"/>
                <w:spacing w:val="-16"/>
                <w:kern w:val="21"/>
                <w:szCs w:val="21"/>
              </w:rPr>
              <w:t>全厂排放量（固体废物产生量）</w:t>
            </w:r>
            <w:r>
              <w:rPr>
                <w:rFonts w:hint="default" w:ascii="Times New Roman" w:hAnsi="Times New Roman" w:eastAsia="宋体" w:cs="Times New Roman"/>
                <w:b/>
                <w:bCs/>
                <w:snapToGrid w:val="0"/>
                <w:color w:val="000000"/>
                <w:spacing w:val="-16"/>
                <w:kern w:val="21"/>
                <w:szCs w:val="21"/>
              </w:rPr>
              <w:fldChar w:fldCharType="begin"/>
            </w:r>
            <w:r>
              <w:rPr>
                <w:rFonts w:hint="default" w:ascii="Times New Roman" w:hAnsi="Times New Roman" w:eastAsia="宋体" w:cs="Times New Roman"/>
                <w:b/>
                <w:bCs/>
                <w:snapToGrid w:val="0"/>
                <w:color w:val="000000"/>
                <w:spacing w:val="-16"/>
                <w:kern w:val="21"/>
                <w:szCs w:val="21"/>
              </w:rPr>
              <w:instrText xml:space="preserve">=6\*GB3\*MERGEFORMAT</w:instrText>
            </w:r>
            <w:r>
              <w:rPr>
                <w:rFonts w:hint="default" w:ascii="Times New Roman" w:hAnsi="Times New Roman" w:eastAsia="宋体" w:cs="Times New Roman"/>
                <w:b/>
                <w:bCs/>
                <w:snapToGrid w:val="0"/>
                <w:color w:val="000000"/>
                <w:spacing w:val="-16"/>
                <w:kern w:val="21"/>
                <w:szCs w:val="21"/>
              </w:rPr>
              <w:fldChar w:fldCharType="separate"/>
            </w:r>
            <w:r>
              <w:rPr>
                <w:rFonts w:hint="default" w:ascii="Times New Roman" w:hAnsi="Times New Roman" w:eastAsia="宋体" w:cs="Times New Roman"/>
                <w:b/>
                <w:bCs/>
                <w:kern w:val="2"/>
                <w:szCs w:val="21"/>
              </w:rPr>
              <w:t>⑥</w:t>
            </w:r>
            <w:r>
              <w:rPr>
                <w:rFonts w:hint="default" w:ascii="Times New Roman" w:hAnsi="Times New Roman" w:eastAsia="宋体" w:cs="Times New Roman"/>
                <w:b/>
                <w:bCs/>
                <w:snapToGrid w:val="0"/>
                <w:color w:val="000000"/>
                <w:spacing w:val="-16"/>
                <w:kern w:val="21"/>
                <w:szCs w:val="21"/>
              </w:rPr>
              <w:fldChar w:fldCharType="end"/>
            </w:r>
          </w:p>
        </w:tc>
        <w:tc>
          <w:tcPr>
            <w:tcW w:w="585" w:type="pct"/>
            <w:noWrap w:val="0"/>
            <w:tcMar>
              <w:left w:w="28" w:type="dxa"/>
              <w:right w:w="28" w:type="dxa"/>
            </w:tcMar>
            <w:vAlign w:val="center"/>
          </w:tcPr>
          <w:p w14:paraId="70E171F5">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b/>
                <w:bCs/>
                <w:snapToGrid w:val="0"/>
                <w:color w:val="000000"/>
                <w:spacing w:val="-6"/>
                <w:kern w:val="21"/>
                <w:szCs w:val="21"/>
              </w:rPr>
            </w:pPr>
            <w:r>
              <w:rPr>
                <w:rFonts w:hint="default" w:ascii="Times New Roman" w:hAnsi="Times New Roman" w:eastAsia="宋体" w:cs="Times New Roman"/>
                <w:b/>
                <w:bCs/>
                <w:snapToGrid w:val="0"/>
                <w:color w:val="000000"/>
                <w:spacing w:val="-6"/>
                <w:kern w:val="21"/>
                <w:szCs w:val="21"/>
              </w:rPr>
              <w:t>变化量</w:t>
            </w:r>
          </w:p>
          <w:p w14:paraId="51B7B243">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b/>
                <w:bCs/>
                <w:snapToGrid w:val="0"/>
                <w:color w:val="000000"/>
                <w:spacing w:val="-6"/>
                <w:kern w:val="21"/>
                <w:szCs w:val="21"/>
              </w:rPr>
            </w:pPr>
            <w:r>
              <w:rPr>
                <w:rFonts w:hint="default" w:ascii="Times New Roman" w:hAnsi="Times New Roman" w:eastAsia="宋体" w:cs="Times New Roman"/>
                <w:b/>
                <w:bCs/>
                <w:snapToGrid w:val="0"/>
                <w:color w:val="000000"/>
                <w:spacing w:val="-6"/>
                <w:kern w:val="21"/>
                <w:szCs w:val="21"/>
              </w:rPr>
              <w:fldChar w:fldCharType="begin"/>
            </w:r>
            <w:r>
              <w:rPr>
                <w:rFonts w:hint="default" w:ascii="Times New Roman" w:hAnsi="Times New Roman" w:eastAsia="宋体" w:cs="Times New Roman"/>
                <w:b/>
                <w:bCs/>
                <w:snapToGrid w:val="0"/>
                <w:color w:val="000000"/>
                <w:spacing w:val="-6"/>
                <w:kern w:val="21"/>
                <w:szCs w:val="21"/>
              </w:rPr>
              <w:instrText xml:space="preserve">=7\*GB3\*MERGEFORMAT</w:instrText>
            </w:r>
            <w:r>
              <w:rPr>
                <w:rFonts w:hint="default" w:ascii="Times New Roman" w:hAnsi="Times New Roman" w:eastAsia="宋体" w:cs="Times New Roman"/>
                <w:b/>
                <w:bCs/>
                <w:snapToGrid w:val="0"/>
                <w:color w:val="000000"/>
                <w:spacing w:val="-6"/>
                <w:kern w:val="21"/>
                <w:szCs w:val="21"/>
              </w:rPr>
              <w:fldChar w:fldCharType="separate"/>
            </w:r>
            <w:r>
              <w:rPr>
                <w:rFonts w:hint="default" w:ascii="Times New Roman" w:hAnsi="Times New Roman" w:eastAsia="宋体" w:cs="Times New Roman"/>
                <w:b/>
                <w:bCs/>
                <w:kern w:val="2"/>
                <w:szCs w:val="21"/>
              </w:rPr>
              <w:t>⑦</w:t>
            </w:r>
            <w:r>
              <w:rPr>
                <w:rFonts w:hint="default" w:ascii="Times New Roman" w:hAnsi="Times New Roman" w:eastAsia="宋体" w:cs="Times New Roman"/>
                <w:b/>
                <w:bCs/>
                <w:snapToGrid w:val="0"/>
                <w:color w:val="000000"/>
                <w:spacing w:val="-6"/>
                <w:kern w:val="21"/>
                <w:szCs w:val="21"/>
              </w:rPr>
              <w:fldChar w:fldCharType="end"/>
            </w:r>
          </w:p>
        </w:tc>
      </w:tr>
      <w:tr w14:paraId="5969D4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39" w:type="pct"/>
            <w:vMerge w:val="restart"/>
            <w:noWrap w:val="0"/>
            <w:vAlign w:val="center"/>
          </w:tcPr>
          <w:p w14:paraId="26E46CF6">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rPr>
              <w:t>废水</w:t>
            </w:r>
          </w:p>
        </w:tc>
        <w:tc>
          <w:tcPr>
            <w:tcW w:w="528" w:type="pct"/>
            <w:noWrap w:val="0"/>
            <w:vAlign w:val="center"/>
          </w:tcPr>
          <w:p w14:paraId="3A664BA7">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color w:val="000000"/>
                <w:sz w:val="21"/>
                <w:szCs w:val="21"/>
                <w:highlight w:val="none"/>
                <w:lang w:val="en-US" w:eastAsia="zh-CN"/>
              </w:rPr>
              <w:t>COD</w:t>
            </w:r>
          </w:p>
        </w:tc>
        <w:tc>
          <w:tcPr>
            <w:tcW w:w="602" w:type="pct"/>
            <w:noWrap w:val="0"/>
            <w:vAlign w:val="center"/>
          </w:tcPr>
          <w:p w14:paraId="35813981">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0</w:t>
            </w:r>
          </w:p>
        </w:tc>
        <w:tc>
          <w:tcPr>
            <w:tcW w:w="442" w:type="pct"/>
            <w:noWrap w:val="0"/>
            <w:vAlign w:val="center"/>
          </w:tcPr>
          <w:p w14:paraId="29928A16">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0</w:t>
            </w:r>
          </w:p>
        </w:tc>
        <w:tc>
          <w:tcPr>
            <w:tcW w:w="568" w:type="pct"/>
            <w:noWrap w:val="0"/>
            <w:vAlign w:val="center"/>
          </w:tcPr>
          <w:p w14:paraId="6D714605">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0</w:t>
            </w:r>
          </w:p>
        </w:tc>
        <w:tc>
          <w:tcPr>
            <w:tcW w:w="649" w:type="pct"/>
            <w:noWrap w:val="0"/>
            <w:vAlign w:val="center"/>
          </w:tcPr>
          <w:p w14:paraId="38ED4106">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highlight w:val="none"/>
                <w:lang w:val="en-US" w:eastAsia="zh-CN"/>
              </w:rPr>
              <w:t>0.00289t/a</w:t>
            </w:r>
          </w:p>
        </w:tc>
        <w:tc>
          <w:tcPr>
            <w:tcW w:w="503" w:type="pct"/>
            <w:noWrap w:val="0"/>
            <w:vAlign w:val="center"/>
          </w:tcPr>
          <w:p w14:paraId="30BF8216">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0</w:t>
            </w:r>
          </w:p>
        </w:tc>
        <w:tc>
          <w:tcPr>
            <w:tcW w:w="1839" w:type="dxa"/>
            <w:noWrap w:val="0"/>
            <w:vAlign w:val="center"/>
          </w:tcPr>
          <w:p w14:paraId="1FB3DC3A">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snapToGrid w:val="0"/>
                <w:color w:val="000000"/>
                <w:kern w:val="21"/>
                <w:sz w:val="21"/>
                <w:szCs w:val="21"/>
                <w:lang w:val="en-US" w:eastAsia="zh-CN" w:bidi="ar-SA"/>
              </w:rPr>
            </w:pPr>
            <w:r>
              <w:rPr>
                <w:rFonts w:hint="default" w:ascii="Times New Roman" w:hAnsi="Times New Roman" w:eastAsia="宋体" w:cs="Times New Roman"/>
                <w:sz w:val="21"/>
                <w:szCs w:val="21"/>
                <w:lang w:val="en-US" w:eastAsia="zh-CN"/>
              </w:rPr>
              <w:t>0.0</w:t>
            </w:r>
            <w:r>
              <w:rPr>
                <w:rFonts w:hint="eastAsia" w:ascii="Times New Roman" w:hAnsi="Times New Roman" w:cs="Times New Roman"/>
                <w:sz w:val="21"/>
                <w:szCs w:val="21"/>
                <w:lang w:val="en-US" w:eastAsia="zh-CN"/>
              </w:rPr>
              <w:t>296</w:t>
            </w:r>
            <w:r>
              <w:rPr>
                <w:rFonts w:hint="default" w:ascii="Times New Roman" w:hAnsi="Times New Roman" w:eastAsia="宋体" w:cs="Times New Roman"/>
                <w:snapToGrid w:val="0"/>
                <w:color w:val="000000"/>
                <w:kern w:val="21"/>
                <w:sz w:val="21"/>
                <w:szCs w:val="21"/>
                <w:highlight w:val="none"/>
                <w:lang w:val="en-US" w:eastAsia="zh-CN"/>
              </w:rPr>
              <w:t>t/a</w:t>
            </w:r>
          </w:p>
        </w:tc>
        <w:tc>
          <w:tcPr>
            <w:tcW w:w="1580" w:type="dxa"/>
            <w:noWrap w:val="0"/>
            <w:vAlign w:val="center"/>
          </w:tcPr>
          <w:p w14:paraId="64442E03">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z w:val="21"/>
                <w:szCs w:val="21"/>
                <w:lang w:val="en-US" w:eastAsia="zh-CN"/>
              </w:rPr>
              <w:t>0.0</w:t>
            </w:r>
            <w:r>
              <w:rPr>
                <w:rFonts w:hint="eastAsia" w:ascii="Times New Roman" w:hAnsi="Times New Roman" w:cs="Times New Roman"/>
                <w:sz w:val="21"/>
                <w:szCs w:val="21"/>
                <w:lang w:val="en-US" w:eastAsia="zh-CN"/>
              </w:rPr>
              <w:t>296</w:t>
            </w:r>
            <w:r>
              <w:rPr>
                <w:rFonts w:hint="default" w:ascii="Times New Roman" w:hAnsi="Times New Roman" w:eastAsia="宋体" w:cs="Times New Roman"/>
                <w:snapToGrid w:val="0"/>
                <w:color w:val="000000"/>
                <w:kern w:val="21"/>
                <w:sz w:val="21"/>
                <w:szCs w:val="21"/>
                <w:highlight w:val="none"/>
                <w:lang w:val="en-US" w:eastAsia="zh-CN"/>
              </w:rPr>
              <w:t>t/a</w:t>
            </w:r>
          </w:p>
        </w:tc>
      </w:tr>
      <w:tr w14:paraId="5258A6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39" w:type="pct"/>
            <w:vMerge w:val="continue"/>
            <w:noWrap w:val="0"/>
            <w:vAlign w:val="center"/>
          </w:tcPr>
          <w:p w14:paraId="5B297672">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napToGrid w:val="0"/>
                <w:color w:val="000000"/>
                <w:kern w:val="21"/>
                <w:sz w:val="21"/>
                <w:szCs w:val="21"/>
              </w:rPr>
            </w:pPr>
          </w:p>
        </w:tc>
        <w:tc>
          <w:tcPr>
            <w:tcW w:w="528" w:type="pct"/>
            <w:noWrap w:val="0"/>
            <w:vAlign w:val="center"/>
          </w:tcPr>
          <w:p w14:paraId="0C30B0D1">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color w:val="000000"/>
                <w:sz w:val="21"/>
                <w:szCs w:val="21"/>
                <w:highlight w:val="none"/>
                <w:lang w:val="en-US" w:eastAsia="zh-CN"/>
              </w:rPr>
              <w:t>BOD</w:t>
            </w:r>
            <w:r>
              <w:rPr>
                <w:rFonts w:hint="default" w:ascii="Times New Roman" w:hAnsi="Times New Roman" w:eastAsia="宋体" w:cs="Times New Roman"/>
                <w:color w:val="000000"/>
                <w:sz w:val="21"/>
                <w:szCs w:val="21"/>
                <w:highlight w:val="none"/>
                <w:vertAlign w:val="subscript"/>
                <w:lang w:val="en-US" w:eastAsia="zh-CN"/>
              </w:rPr>
              <w:t>5</w:t>
            </w:r>
          </w:p>
        </w:tc>
        <w:tc>
          <w:tcPr>
            <w:tcW w:w="602" w:type="pct"/>
            <w:noWrap w:val="0"/>
            <w:vAlign w:val="center"/>
          </w:tcPr>
          <w:p w14:paraId="7046265C">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z w:val="21"/>
                <w:szCs w:val="21"/>
                <w:highlight w:val="none"/>
                <w:lang w:val="en-US" w:eastAsia="zh-CN"/>
              </w:rPr>
              <w:t>0</w:t>
            </w:r>
          </w:p>
        </w:tc>
        <w:tc>
          <w:tcPr>
            <w:tcW w:w="442" w:type="pct"/>
            <w:noWrap w:val="0"/>
            <w:vAlign w:val="center"/>
          </w:tcPr>
          <w:p w14:paraId="411A66C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kern w:val="2"/>
                <w:sz w:val="21"/>
                <w:szCs w:val="21"/>
                <w:highlight w:val="none"/>
                <w:lang w:val="en-US" w:eastAsia="zh-CN" w:bidi="ar-SA"/>
              </w:rPr>
              <w:t>0</w:t>
            </w:r>
          </w:p>
        </w:tc>
        <w:tc>
          <w:tcPr>
            <w:tcW w:w="568" w:type="pct"/>
            <w:noWrap w:val="0"/>
            <w:vAlign w:val="center"/>
          </w:tcPr>
          <w:p w14:paraId="4FCF7F2E">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highlight w:val="none"/>
                <w:lang w:val="en-US" w:eastAsia="zh-CN"/>
              </w:rPr>
              <w:t>0</w:t>
            </w:r>
          </w:p>
        </w:tc>
        <w:tc>
          <w:tcPr>
            <w:tcW w:w="649" w:type="pct"/>
            <w:noWrap w:val="0"/>
            <w:vAlign w:val="center"/>
          </w:tcPr>
          <w:p w14:paraId="793F067B">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z w:val="21"/>
                <w:szCs w:val="21"/>
                <w:lang w:val="en-US" w:eastAsia="zh-CN"/>
              </w:rPr>
              <w:t>0.</w:t>
            </w:r>
            <w:r>
              <w:rPr>
                <w:rFonts w:hint="eastAsia" w:ascii="Times New Roman" w:hAnsi="Times New Roman" w:cs="Times New Roman"/>
                <w:sz w:val="21"/>
                <w:szCs w:val="21"/>
                <w:lang w:val="en-US" w:eastAsia="zh-CN"/>
              </w:rPr>
              <w:t>00112t</w:t>
            </w:r>
            <w:r>
              <w:rPr>
                <w:rFonts w:hint="default" w:ascii="Times New Roman" w:hAnsi="Times New Roman" w:eastAsia="宋体" w:cs="Times New Roman"/>
                <w:snapToGrid w:val="0"/>
                <w:color w:val="000000"/>
                <w:kern w:val="21"/>
                <w:sz w:val="21"/>
                <w:szCs w:val="21"/>
                <w:highlight w:val="none"/>
                <w:lang w:val="en-US" w:eastAsia="zh-CN"/>
              </w:rPr>
              <w:t>/a</w:t>
            </w:r>
          </w:p>
        </w:tc>
        <w:tc>
          <w:tcPr>
            <w:tcW w:w="503" w:type="pct"/>
            <w:noWrap w:val="0"/>
            <w:vAlign w:val="center"/>
          </w:tcPr>
          <w:p w14:paraId="4F0CAC1E">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0</w:t>
            </w:r>
          </w:p>
        </w:tc>
        <w:tc>
          <w:tcPr>
            <w:tcW w:w="1839" w:type="dxa"/>
            <w:noWrap w:val="0"/>
            <w:vAlign w:val="center"/>
          </w:tcPr>
          <w:p w14:paraId="136334FA">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snapToGrid w:val="0"/>
                <w:color w:val="000000"/>
                <w:kern w:val="21"/>
                <w:sz w:val="21"/>
                <w:szCs w:val="21"/>
                <w:lang w:val="en-US" w:eastAsia="zh-CN" w:bidi="ar-SA"/>
              </w:rPr>
            </w:pPr>
            <w:r>
              <w:rPr>
                <w:rFonts w:hint="default" w:ascii="Times New Roman" w:hAnsi="Times New Roman" w:eastAsia="宋体" w:cs="Times New Roman"/>
                <w:sz w:val="21"/>
                <w:szCs w:val="21"/>
                <w:lang w:val="en-US" w:eastAsia="zh-CN"/>
              </w:rPr>
              <w:t>0.</w:t>
            </w:r>
            <w:r>
              <w:rPr>
                <w:rFonts w:hint="eastAsia" w:ascii="Times New Roman" w:hAnsi="Times New Roman" w:cs="Times New Roman"/>
                <w:sz w:val="21"/>
                <w:szCs w:val="21"/>
                <w:lang w:val="en-US" w:eastAsia="zh-CN"/>
              </w:rPr>
              <w:t>110</w:t>
            </w:r>
            <w:r>
              <w:rPr>
                <w:rFonts w:hint="default" w:ascii="Times New Roman" w:hAnsi="Times New Roman" w:eastAsia="宋体" w:cs="Times New Roman"/>
                <w:snapToGrid w:val="0"/>
                <w:color w:val="000000"/>
                <w:kern w:val="21"/>
                <w:sz w:val="21"/>
                <w:szCs w:val="21"/>
                <w:highlight w:val="none"/>
                <w:lang w:val="en-US" w:eastAsia="zh-CN"/>
              </w:rPr>
              <w:t>t/a</w:t>
            </w:r>
          </w:p>
        </w:tc>
        <w:tc>
          <w:tcPr>
            <w:tcW w:w="1580" w:type="dxa"/>
            <w:noWrap w:val="0"/>
            <w:vAlign w:val="center"/>
          </w:tcPr>
          <w:p w14:paraId="1D0194BC">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z w:val="21"/>
                <w:szCs w:val="21"/>
                <w:lang w:val="en-US" w:eastAsia="zh-CN"/>
              </w:rPr>
              <w:t>0.</w:t>
            </w:r>
            <w:r>
              <w:rPr>
                <w:rFonts w:hint="eastAsia" w:ascii="Times New Roman" w:hAnsi="Times New Roman" w:cs="Times New Roman"/>
                <w:sz w:val="21"/>
                <w:szCs w:val="21"/>
                <w:lang w:val="en-US" w:eastAsia="zh-CN"/>
              </w:rPr>
              <w:t>110</w:t>
            </w:r>
            <w:r>
              <w:rPr>
                <w:rFonts w:hint="default" w:ascii="Times New Roman" w:hAnsi="Times New Roman" w:eastAsia="宋体" w:cs="Times New Roman"/>
                <w:snapToGrid w:val="0"/>
                <w:color w:val="000000"/>
                <w:kern w:val="21"/>
                <w:sz w:val="21"/>
                <w:szCs w:val="21"/>
                <w:highlight w:val="none"/>
                <w:lang w:val="en-US" w:eastAsia="zh-CN"/>
              </w:rPr>
              <w:t>t/a</w:t>
            </w:r>
          </w:p>
        </w:tc>
      </w:tr>
      <w:tr w14:paraId="659EDA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39" w:type="pct"/>
            <w:vMerge w:val="continue"/>
            <w:noWrap w:val="0"/>
            <w:vAlign w:val="center"/>
          </w:tcPr>
          <w:p w14:paraId="491A2B2B">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napToGrid w:val="0"/>
                <w:color w:val="000000"/>
                <w:kern w:val="21"/>
                <w:sz w:val="21"/>
                <w:szCs w:val="21"/>
              </w:rPr>
            </w:pPr>
          </w:p>
        </w:tc>
        <w:tc>
          <w:tcPr>
            <w:tcW w:w="528" w:type="pct"/>
            <w:noWrap w:val="0"/>
            <w:vAlign w:val="center"/>
          </w:tcPr>
          <w:p w14:paraId="3ABACB7B">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cs="Times New Roman"/>
                <w:snapToGrid w:val="0"/>
                <w:color w:val="000000"/>
                <w:kern w:val="21"/>
                <w:sz w:val="21"/>
                <w:szCs w:val="21"/>
                <w:lang w:val="en-US" w:eastAsia="zh-CN"/>
              </w:rPr>
            </w:pPr>
            <w:r>
              <w:rPr>
                <w:rFonts w:hint="default" w:ascii="Times New Roman" w:hAnsi="Times New Roman" w:eastAsia="宋体" w:cs="Times New Roman"/>
                <w:color w:val="000000"/>
                <w:sz w:val="21"/>
                <w:szCs w:val="21"/>
                <w:highlight w:val="none"/>
                <w:lang w:val="en-US" w:eastAsia="zh-CN"/>
              </w:rPr>
              <w:t>氨氮</w:t>
            </w:r>
          </w:p>
        </w:tc>
        <w:tc>
          <w:tcPr>
            <w:tcW w:w="602" w:type="pct"/>
            <w:noWrap w:val="0"/>
            <w:vAlign w:val="center"/>
          </w:tcPr>
          <w:p w14:paraId="71547760">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napToGrid w:val="0"/>
                <w:color w:val="000000"/>
                <w:kern w:val="21"/>
                <w:sz w:val="21"/>
                <w:szCs w:val="21"/>
                <w:lang w:val="en-US" w:eastAsia="zh-CN"/>
              </w:rPr>
              <w:t>0</w:t>
            </w:r>
          </w:p>
        </w:tc>
        <w:tc>
          <w:tcPr>
            <w:tcW w:w="442" w:type="pct"/>
            <w:noWrap w:val="0"/>
            <w:vAlign w:val="center"/>
          </w:tcPr>
          <w:p w14:paraId="649E4E39">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napToGrid w:val="0"/>
                <w:color w:val="000000"/>
                <w:kern w:val="21"/>
                <w:sz w:val="21"/>
                <w:szCs w:val="21"/>
                <w:lang w:val="en-US" w:eastAsia="zh-CN"/>
              </w:rPr>
              <w:t>0</w:t>
            </w:r>
          </w:p>
        </w:tc>
        <w:tc>
          <w:tcPr>
            <w:tcW w:w="568" w:type="pct"/>
            <w:noWrap w:val="0"/>
            <w:vAlign w:val="center"/>
          </w:tcPr>
          <w:p w14:paraId="3D8DE77B">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highlight w:val="none"/>
                <w:lang w:val="en-US" w:eastAsia="zh-CN"/>
              </w:rPr>
            </w:pPr>
            <w:r>
              <w:rPr>
                <w:rFonts w:hint="default" w:ascii="Times New Roman" w:hAnsi="Times New Roman" w:eastAsia="宋体" w:cs="Times New Roman"/>
                <w:snapToGrid w:val="0"/>
                <w:color w:val="000000"/>
                <w:kern w:val="21"/>
                <w:sz w:val="21"/>
                <w:szCs w:val="21"/>
                <w:lang w:val="en-US" w:eastAsia="zh-CN"/>
              </w:rPr>
              <w:t>0</w:t>
            </w:r>
          </w:p>
        </w:tc>
        <w:tc>
          <w:tcPr>
            <w:tcW w:w="649" w:type="pct"/>
            <w:noWrap w:val="0"/>
            <w:vAlign w:val="center"/>
          </w:tcPr>
          <w:p w14:paraId="7EC3167B">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pacing w:val="0"/>
                <w:kern w:val="0"/>
                <w:position w:val="0"/>
                <w:sz w:val="21"/>
                <w:lang w:val="en-US" w:eastAsia="zh-CN"/>
              </w:rPr>
            </w:pPr>
            <w:r>
              <w:rPr>
                <w:rFonts w:hint="default" w:ascii="Times New Roman" w:hAnsi="Times New Roman" w:eastAsia="宋体" w:cs="Times New Roman"/>
                <w:sz w:val="21"/>
                <w:szCs w:val="21"/>
                <w:lang w:val="en-US" w:eastAsia="zh-CN"/>
              </w:rPr>
              <w:t>0.00</w:t>
            </w:r>
            <w:r>
              <w:rPr>
                <w:rFonts w:hint="eastAsia" w:ascii="Times New Roman" w:hAnsi="Times New Roman" w:cs="Times New Roman"/>
                <w:sz w:val="21"/>
                <w:szCs w:val="21"/>
                <w:lang w:val="en-US" w:eastAsia="zh-CN"/>
              </w:rPr>
              <w:t>0248</w:t>
            </w:r>
            <w:r>
              <w:rPr>
                <w:rFonts w:hint="default" w:ascii="Times New Roman" w:hAnsi="Times New Roman" w:eastAsia="宋体" w:cs="Times New Roman"/>
                <w:snapToGrid w:val="0"/>
                <w:color w:val="000000"/>
                <w:kern w:val="21"/>
                <w:sz w:val="21"/>
                <w:szCs w:val="21"/>
                <w:highlight w:val="none"/>
                <w:lang w:val="en-US" w:eastAsia="zh-CN"/>
              </w:rPr>
              <w:t>t/a</w:t>
            </w:r>
          </w:p>
        </w:tc>
        <w:tc>
          <w:tcPr>
            <w:tcW w:w="503" w:type="pct"/>
            <w:noWrap w:val="0"/>
            <w:vAlign w:val="center"/>
          </w:tcPr>
          <w:p w14:paraId="05368C7D">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highlight w:val="none"/>
                <w:lang w:val="en-US" w:eastAsia="zh-CN"/>
              </w:rPr>
              <w:t>0</w:t>
            </w:r>
          </w:p>
        </w:tc>
        <w:tc>
          <w:tcPr>
            <w:tcW w:w="1839" w:type="dxa"/>
            <w:noWrap w:val="0"/>
            <w:vAlign w:val="center"/>
          </w:tcPr>
          <w:p w14:paraId="5A3BBA9F">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cs="Times New Roman"/>
                <w:snapToGrid w:val="0"/>
                <w:color w:val="000000"/>
                <w:spacing w:val="0"/>
                <w:kern w:val="0"/>
                <w:position w:val="0"/>
                <w:sz w:val="21"/>
                <w:szCs w:val="21"/>
                <w:vertAlign w:val="baseline"/>
                <w:lang w:val="en-US" w:eastAsia="zh-CN" w:bidi="ar-SA"/>
              </w:rPr>
            </w:pPr>
            <w:r>
              <w:rPr>
                <w:rFonts w:hint="default" w:ascii="Times New Roman" w:hAnsi="Times New Roman" w:eastAsia="宋体" w:cs="Times New Roman"/>
                <w:sz w:val="21"/>
                <w:szCs w:val="21"/>
                <w:lang w:val="en-US" w:eastAsia="zh-CN"/>
              </w:rPr>
              <w:t>0.00</w:t>
            </w:r>
            <w:r>
              <w:rPr>
                <w:rFonts w:hint="eastAsia" w:ascii="Times New Roman" w:hAnsi="Times New Roman" w:cs="Times New Roman"/>
                <w:sz w:val="21"/>
                <w:szCs w:val="21"/>
                <w:lang w:val="en-US" w:eastAsia="zh-CN"/>
              </w:rPr>
              <w:t>423</w:t>
            </w:r>
            <w:r>
              <w:rPr>
                <w:rFonts w:hint="default" w:ascii="Times New Roman" w:hAnsi="Times New Roman" w:eastAsia="宋体" w:cs="Times New Roman"/>
                <w:snapToGrid w:val="0"/>
                <w:color w:val="000000"/>
                <w:kern w:val="21"/>
                <w:sz w:val="21"/>
                <w:szCs w:val="21"/>
                <w:highlight w:val="none"/>
                <w:lang w:val="en-US" w:eastAsia="zh-CN"/>
              </w:rPr>
              <w:t>t/a</w:t>
            </w:r>
          </w:p>
        </w:tc>
        <w:tc>
          <w:tcPr>
            <w:tcW w:w="1580" w:type="dxa"/>
            <w:noWrap w:val="0"/>
            <w:vAlign w:val="center"/>
          </w:tcPr>
          <w:p w14:paraId="705BCDE2">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cs="Times New Roman"/>
                <w:spacing w:val="0"/>
                <w:kern w:val="0"/>
                <w:position w:val="0"/>
                <w:sz w:val="21"/>
                <w:lang w:val="en-US" w:eastAsia="zh-CN"/>
              </w:rPr>
            </w:pPr>
            <w:r>
              <w:rPr>
                <w:rFonts w:hint="default" w:ascii="Times New Roman" w:hAnsi="Times New Roman" w:eastAsia="宋体" w:cs="Times New Roman"/>
                <w:sz w:val="21"/>
                <w:szCs w:val="21"/>
                <w:lang w:val="en-US" w:eastAsia="zh-CN"/>
              </w:rPr>
              <w:t>0.00</w:t>
            </w:r>
            <w:r>
              <w:rPr>
                <w:rFonts w:hint="eastAsia" w:ascii="Times New Roman" w:hAnsi="Times New Roman" w:cs="Times New Roman"/>
                <w:sz w:val="21"/>
                <w:szCs w:val="21"/>
                <w:lang w:val="en-US" w:eastAsia="zh-CN"/>
              </w:rPr>
              <w:t>423</w:t>
            </w:r>
            <w:r>
              <w:rPr>
                <w:rFonts w:hint="default" w:ascii="Times New Roman" w:hAnsi="Times New Roman" w:eastAsia="宋体" w:cs="Times New Roman"/>
                <w:snapToGrid w:val="0"/>
                <w:color w:val="000000"/>
                <w:kern w:val="21"/>
                <w:sz w:val="21"/>
                <w:szCs w:val="21"/>
                <w:highlight w:val="none"/>
                <w:lang w:val="en-US" w:eastAsia="zh-CN"/>
              </w:rPr>
              <w:t>t/a</w:t>
            </w:r>
          </w:p>
        </w:tc>
      </w:tr>
      <w:tr w14:paraId="4094F2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39" w:type="pct"/>
            <w:vMerge w:val="continue"/>
            <w:noWrap w:val="0"/>
            <w:vAlign w:val="center"/>
          </w:tcPr>
          <w:p w14:paraId="37C55D3A">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napToGrid w:val="0"/>
                <w:color w:val="000000"/>
                <w:kern w:val="21"/>
                <w:sz w:val="21"/>
                <w:szCs w:val="21"/>
              </w:rPr>
            </w:pPr>
          </w:p>
        </w:tc>
        <w:tc>
          <w:tcPr>
            <w:tcW w:w="528" w:type="pct"/>
            <w:noWrap w:val="0"/>
            <w:vAlign w:val="center"/>
          </w:tcPr>
          <w:p w14:paraId="3014D5CF">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cs="Times New Roman"/>
                <w:snapToGrid w:val="0"/>
                <w:color w:val="000000"/>
                <w:kern w:val="21"/>
                <w:sz w:val="21"/>
                <w:szCs w:val="21"/>
                <w:lang w:val="en-US" w:eastAsia="zh-CN"/>
              </w:rPr>
            </w:pPr>
            <w:r>
              <w:rPr>
                <w:rFonts w:hint="default" w:ascii="Times New Roman" w:hAnsi="Times New Roman" w:eastAsia="宋体" w:cs="Times New Roman"/>
                <w:color w:val="000000"/>
                <w:sz w:val="21"/>
                <w:szCs w:val="21"/>
                <w:highlight w:val="none"/>
                <w:lang w:val="en-US" w:eastAsia="zh-CN"/>
              </w:rPr>
              <w:t>SS</w:t>
            </w:r>
          </w:p>
        </w:tc>
        <w:tc>
          <w:tcPr>
            <w:tcW w:w="602" w:type="pct"/>
            <w:noWrap w:val="0"/>
            <w:vAlign w:val="center"/>
          </w:tcPr>
          <w:p w14:paraId="727145D3">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napToGrid w:val="0"/>
                <w:color w:val="000000"/>
                <w:kern w:val="21"/>
                <w:sz w:val="21"/>
                <w:szCs w:val="21"/>
                <w:lang w:val="en-US" w:eastAsia="zh-CN"/>
              </w:rPr>
              <w:t>0</w:t>
            </w:r>
          </w:p>
        </w:tc>
        <w:tc>
          <w:tcPr>
            <w:tcW w:w="442" w:type="pct"/>
            <w:noWrap w:val="0"/>
            <w:vAlign w:val="center"/>
          </w:tcPr>
          <w:p w14:paraId="7FD99D7E">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napToGrid w:val="0"/>
                <w:color w:val="000000"/>
                <w:kern w:val="21"/>
                <w:sz w:val="21"/>
                <w:szCs w:val="21"/>
                <w:lang w:val="en-US" w:eastAsia="zh-CN"/>
              </w:rPr>
              <w:t>0</w:t>
            </w:r>
          </w:p>
        </w:tc>
        <w:tc>
          <w:tcPr>
            <w:tcW w:w="568" w:type="pct"/>
            <w:noWrap w:val="0"/>
            <w:vAlign w:val="center"/>
          </w:tcPr>
          <w:p w14:paraId="5A0D2F85">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highlight w:val="none"/>
                <w:lang w:val="en-US" w:eastAsia="zh-CN"/>
              </w:rPr>
            </w:pPr>
            <w:r>
              <w:rPr>
                <w:rFonts w:hint="default" w:ascii="Times New Roman" w:hAnsi="Times New Roman" w:eastAsia="宋体" w:cs="Times New Roman"/>
                <w:snapToGrid w:val="0"/>
                <w:color w:val="000000"/>
                <w:kern w:val="21"/>
                <w:sz w:val="21"/>
                <w:szCs w:val="21"/>
                <w:lang w:val="en-US" w:eastAsia="zh-CN"/>
              </w:rPr>
              <w:t>0</w:t>
            </w:r>
          </w:p>
        </w:tc>
        <w:tc>
          <w:tcPr>
            <w:tcW w:w="649" w:type="pct"/>
            <w:noWrap w:val="0"/>
            <w:vAlign w:val="center"/>
          </w:tcPr>
          <w:p w14:paraId="226B3F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pacing w:val="0"/>
                <w:kern w:val="0"/>
                <w:position w:val="0"/>
                <w:sz w:val="21"/>
                <w:lang w:val="en-US" w:eastAsia="zh-CN"/>
              </w:rPr>
            </w:pPr>
            <w:r>
              <w:rPr>
                <w:rFonts w:hint="default" w:ascii="Times New Roman" w:hAnsi="Times New Roman" w:eastAsia="宋体" w:cs="Times New Roman"/>
                <w:sz w:val="21"/>
                <w:szCs w:val="21"/>
                <w:lang w:val="en-US" w:eastAsia="zh-CN"/>
              </w:rPr>
              <w:t>0.0</w:t>
            </w:r>
            <w:r>
              <w:rPr>
                <w:rFonts w:hint="eastAsia" w:cs="Times New Roman"/>
                <w:sz w:val="21"/>
                <w:szCs w:val="21"/>
                <w:lang w:val="en-US" w:eastAsia="zh-CN"/>
              </w:rPr>
              <w:t>00269</w:t>
            </w:r>
            <w:r>
              <w:rPr>
                <w:rFonts w:hint="default" w:ascii="Times New Roman" w:hAnsi="Times New Roman" w:eastAsia="宋体" w:cs="Times New Roman"/>
                <w:sz w:val="21"/>
                <w:szCs w:val="21"/>
                <w:lang w:val="en-US" w:eastAsia="zh-CN"/>
              </w:rPr>
              <w:t>t/a</w:t>
            </w:r>
          </w:p>
        </w:tc>
        <w:tc>
          <w:tcPr>
            <w:tcW w:w="503" w:type="pct"/>
            <w:noWrap w:val="0"/>
            <w:vAlign w:val="center"/>
          </w:tcPr>
          <w:p w14:paraId="2B74D7B7">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highlight w:val="none"/>
                <w:lang w:val="en-US" w:eastAsia="zh-CN"/>
              </w:rPr>
              <w:t>0</w:t>
            </w:r>
          </w:p>
        </w:tc>
        <w:tc>
          <w:tcPr>
            <w:tcW w:w="1839" w:type="dxa"/>
            <w:noWrap w:val="0"/>
            <w:vAlign w:val="center"/>
          </w:tcPr>
          <w:p w14:paraId="2BB5998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snapToGrid w:val="0"/>
                <w:color w:val="000000"/>
                <w:spacing w:val="0"/>
                <w:kern w:val="0"/>
                <w:position w:val="0"/>
                <w:sz w:val="21"/>
                <w:szCs w:val="21"/>
                <w:vertAlign w:val="baseline"/>
                <w:lang w:val="en-US" w:eastAsia="zh-CN" w:bidi="ar-SA"/>
              </w:rPr>
            </w:pPr>
            <w:r>
              <w:rPr>
                <w:rFonts w:hint="default" w:ascii="Times New Roman" w:hAnsi="Times New Roman" w:eastAsia="宋体" w:cs="Times New Roman"/>
                <w:sz w:val="21"/>
                <w:szCs w:val="21"/>
                <w:lang w:val="en-US" w:eastAsia="zh-CN"/>
              </w:rPr>
              <w:t>0.0</w:t>
            </w:r>
            <w:r>
              <w:rPr>
                <w:rFonts w:hint="eastAsia" w:cs="Times New Roman"/>
                <w:sz w:val="21"/>
                <w:szCs w:val="21"/>
                <w:lang w:val="en-US" w:eastAsia="zh-CN"/>
              </w:rPr>
              <w:t>175</w:t>
            </w:r>
            <w:r>
              <w:rPr>
                <w:rFonts w:hint="default" w:ascii="Times New Roman" w:hAnsi="Times New Roman" w:eastAsia="宋体" w:cs="Times New Roman"/>
                <w:sz w:val="21"/>
                <w:szCs w:val="21"/>
                <w:lang w:val="en-US" w:eastAsia="zh-CN"/>
              </w:rPr>
              <w:t>t/a</w:t>
            </w:r>
          </w:p>
        </w:tc>
        <w:tc>
          <w:tcPr>
            <w:tcW w:w="1580" w:type="dxa"/>
            <w:noWrap w:val="0"/>
            <w:vAlign w:val="center"/>
          </w:tcPr>
          <w:p w14:paraId="0B99B9D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spacing w:val="0"/>
                <w:kern w:val="0"/>
                <w:position w:val="0"/>
                <w:sz w:val="21"/>
                <w:lang w:val="en-US" w:eastAsia="zh-CN"/>
              </w:rPr>
            </w:pPr>
            <w:r>
              <w:rPr>
                <w:rFonts w:hint="default" w:ascii="Times New Roman" w:hAnsi="Times New Roman" w:eastAsia="宋体" w:cs="Times New Roman"/>
                <w:sz w:val="21"/>
                <w:szCs w:val="21"/>
                <w:lang w:val="en-US" w:eastAsia="zh-CN"/>
              </w:rPr>
              <w:t>0.0</w:t>
            </w:r>
            <w:r>
              <w:rPr>
                <w:rFonts w:hint="eastAsia" w:cs="Times New Roman"/>
                <w:sz w:val="21"/>
                <w:szCs w:val="21"/>
                <w:lang w:val="en-US" w:eastAsia="zh-CN"/>
              </w:rPr>
              <w:t>175</w:t>
            </w:r>
            <w:r>
              <w:rPr>
                <w:rFonts w:hint="default" w:ascii="Times New Roman" w:hAnsi="Times New Roman" w:eastAsia="宋体" w:cs="Times New Roman"/>
                <w:sz w:val="21"/>
                <w:szCs w:val="21"/>
                <w:lang w:val="en-US" w:eastAsia="zh-CN"/>
              </w:rPr>
              <w:t>t/a</w:t>
            </w:r>
          </w:p>
        </w:tc>
      </w:tr>
      <w:tr w14:paraId="20A84A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39" w:type="pct"/>
            <w:vMerge w:val="continue"/>
            <w:noWrap w:val="0"/>
            <w:vAlign w:val="center"/>
          </w:tcPr>
          <w:p w14:paraId="16422B61">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napToGrid w:val="0"/>
                <w:color w:val="000000"/>
                <w:kern w:val="21"/>
                <w:sz w:val="21"/>
                <w:szCs w:val="21"/>
              </w:rPr>
            </w:pPr>
          </w:p>
        </w:tc>
        <w:tc>
          <w:tcPr>
            <w:tcW w:w="528" w:type="pct"/>
            <w:noWrap w:val="0"/>
            <w:vAlign w:val="center"/>
          </w:tcPr>
          <w:p w14:paraId="3AAECA22">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大肠杆菌（MPN/L）</w:t>
            </w:r>
          </w:p>
        </w:tc>
        <w:tc>
          <w:tcPr>
            <w:tcW w:w="602" w:type="pct"/>
            <w:shd w:val="clear" w:color="auto" w:fill="auto"/>
            <w:noWrap w:val="0"/>
            <w:vAlign w:val="center"/>
          </w:tcPr>
          <w:p w14:paraId="40016CB7">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kern w:val="0"/>
                <w:sz w:val="21"/>
                <w:szCs w:val="21"/>
                <w:highlight w:val="none"/>
                <w:lang w:val="en-US" w:eastAsia="zh-CN" w:bidi="zh-CN"/>
              </w:rPr>
            </w:pPr>
            <w:r>
              <w:rPr>
                <w:rFonts w:hint="default" w:ascii="Times New Roman" w:hAnsi="Times New Roman" w:eastAsia="宋体" w:cs="Times New Roman"/>
                <w:snapToGrid w:val="0"/>
                <w:color w:val="000000"/>
                <w:kern w:val="21"/>
                <w:sz w:val="21"/>
                <w:szCs w:val="21"/>
                <w:lang w:val="en-US" w:eastAsia="zh-CN"/>
              </w:rPr>
              <w:t>0</w:t>
            </w:r>
          </w:p>
        </w:tc>
        <w:tc>
          <w:tcPr>
            <w:tcW w:w="442" w:type="pct"/>
            <w:shd w:val="clear" w:color="auto" w:fill="auto"/>
            <w:noWrap w:val="0"/>
            <w:vAlign w:val="center"/>
          </w:tcPr>
          <w:p w14:paraId="51DFF1B0">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napToGrid w:val="0"/>
                <w:color w:val="000000"/>
                <w:kern w:val="21"/>
                <w:sz w:val="21"/>
                <w:szCs w:val="21"/>
                <w:lang w:val="en-US" w:eastAsia="zh-CN"/>
              </w:rPr>
              <w:t>0</w:t>
            </w:r>
          </w:p>
        </w:tc>
        <w:tc>
          <w:tcPr>
            <w:tcW w:w="568" w:type="pct"/>
            <w:shd w:val="clear" w:color="auto" w:fill="auto"/>
            <w:noWrap w:val="0"/>
            <w:vAlign w:val="center"/>
          </w:tcPr>
          <w:p w14:paraId="5377085D">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highlight w:val="none"/>
                <w:lang w:val="en-US" w:eastAsia="zh-CN" w:bidi="zh-CN"/>
              </w:rPr>
            </w:pPr>
            <w:r>
              <w:rPr>
                <w:rFonts w:hint="default" w:ascii="Times New Roman" w:hAnsi="Times New Roman" w:eastAsia="宋体" w:cs="Times New Roman"/>
                <w:snapToGrid w:val="0"/>
                <w:color w:val="000000"/>
                <w:kern w:val="21"/>
                <w:sz w:val="21"/>
                <w:szCs w:val="21"/>
                <w:lang w:val="en-US" w:eastAsia="zh-CN"/>
              </w:rPr>
              <w:t>0</w:t>
            </w:r>
          </w:p>
        </w:tc>
        <w:tc>
          <w:tcPr>
            <w:tcW w:w="649" w:type="pct"/>
            <w:noWrap w:val="0"/>
            <w:vAlign w:val="center"/>
          </w:tcPr>
          <w:p w14:paraId="39BFFC6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0.0609t/a</w:t>
            </w:r>
          </w:p>
        </w:tc>
        <w:tc>
          <w:tcPr>
            <w:tcW w:w="503" w:type="pct"/>
            <w:noWrap w:val="0"/>
            <w:vAlign w:val="center"/>
          </w:tcPr>
          <w:p w14:paraId="6EDAA14C">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highlight w:val="none"/>
                <w:lang w:val="en-US" w:eastAsia="zh-CN"/>
              </w:rPr>
            </w:pPr>
            <w:r>
              <w:rPr>
                <w:rFonts w:hint="eastAsia" w:ascii="Times New Roman" w:hAnsi="Times New Roman" w:cs="Times New Roman"/>
                <w:snapToGrid w:val="0"/>
                <w:color w:val="000000"/>
                <w:kern w:val="21"/>
                <w:sz w:val="21"/>
                <w:szCs w:val="21"/>
                <w:highlight w:val="none"/>
                <w:lang w:val="en-US" w:eastAsia="zh-CN"/>
              </w:rPr>
              <w:t>0</w:t>
            </w:r>
          </w:p>
        </w:tc>
        <w:tc>
          <w:tcPr>
            <w:tcW w:w="1839" w:type="dxa"/>
            <w:noWrap w:val="0"/>
            <w:vAlign w:val="center"/>
          </w:tcPr>
          <w:p w14:paraId="4004D00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0.000694t/a</w:t>
            </w:r>
          </w:p>
        </w:tc>
        <w:tc>
          <w:tcPr>
            <w:tcW w:w="1580" w:type="dxa"/>
            <w:noWrap w:val="0"/>
            <w:vAlign w:val="center"/>
          </w:tcPr>
          <w:p w14:paraId="082DDA7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0.000694t/a</w:t>
            </w:r>
          </w:p>
        </w:tc>
      </w:tr>
      <w:tr w14:paraId="15FCB2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39" w:type="pct"/>
            <w:vMerge w:val="restart"/>
            <w:noWrap w:val="0"/>
            <w:vAlign w:val="center"/>
          </w:tcPr>
          <w:p w14:paraId="79727940">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rPr>
              <w:t>一般工业</w:t>
            </w:r>
          </w:p>
          <w:p w14:paraId="207AE96F">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rPr>
              <w:t>固体废物</w:t>
            </w:r>
          </w:p>
        </w:tc>
        <w:tc>
          <w:tcPr>
            <w:tcW w:w="528" w:type="pct"/>
            <w:noWrap w:val="0"/>
            <w:vAlign w:val="center"/>
          </w:tcPr>
          <w:p w14:paraId="7509896F">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宠物粪便</w:t>
            </w:r>
          </w:p>
        </w:tc>
        <w:tc>
          <w:tcPr>
            <w:tcW w:w="602" w:type="pct"/>
            <w:noWrap w:val="0"/>
            <w:vAlign w:val="center"/>
          </w:tcPr>
          <w:p w14:paraId="63BF5DC7">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0</w:t>
            </w:r>
          </w:p>
        </w:tc>
        <w:tc>
          <w:tcPr>
            <w:tcW w:w="442" w:type="pct"/>
            <w:noWrap w:val="0"/>
            <w:vAlign w:val="center"/>
          </w:tcPr>
          <w:p w14:paraId="45BBE5CC">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0</w:t>
            </w:r>
          </w:p>
        </w:tc>
        <w:tc>
          <w:tcPr>
            <w:tcW w:w="568" w:type="pct"/>
            <w:noWrap w:val="0"/>
            <w:vAlign w:val="center"/>
          </w:tcPr>
          <w:p w14:paraId="4B872696">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0</w:t>
            </w:r>
          </w:p>
        </w:tc>
        <w:tc>
          <w:tcPr>
            <w:tcW w:w="649" w:type="pct"/>
            <w:noWrap w:val="0"/>
            <w:vAlign w:val="center"/>
          </w:tcPr>
          <w:p w14:paraId="0D3A94B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snapToGrid w:val="0"/>
                <w:color w:val="000000"/>
                <w:kern w:val="21"/>
                <w:sz w:val="21"/>
                <w:szCs w:val="21"/>
                <w:lang w:val="en-US" w:eastAsia="zh-CN" w:bidi="zh-CN"/>
              </w:rPr>
            </w:pPr>
            <w:r>
              <w:rPr>
                <w:rFonts w:hint="eastAsia" w:cs="Times New Roman"/>
                <w:snapToGrid w:val="0"/>
                <w:color w:val="000000"/>
                <w:kern w:val="21"/>
                <w:sz w:val="21"/>
                <w:szCs w:val="21"/>
                <w:highlight w:val="none"/>
                <w:lang w:val="en-US" w:eastAsia="zh-CN"/>
              </w:rPr>
              <w:t>0.1</w:t>
            </w:r>
            <w:r>
              <w:rPr>
                <w:rFonts w:hint="default" w:ascii="Times New Roman" w:hAnsi="Times New Roman" w:eastAsia="宋体" w:cs="Times New Roman"/>
                <w:snapToGrid w:val="0"/>
                <w:color w:val="000000"/>
                <w:kern w:val="21"/>
                <w:sz w:val="21"/>
                <w:szCs w:val="21"/>
                <w:highlight w:val="none"/>
                <w:lang w:val="en-US" w:eastAsia="zh-CN"/>
              </w:rPr>
              <w:t>t/a</w:t>
            </w:r>
          </w:p>
        </w:tc>
        <w:tc>
          <w:tcPr>
            <w:tcW w:w="503" w:type="pct"/>
            <w:noWrap w:val="0"/>
            <w:vAlign w:val="center"/>
          </w:tcPr>
          <w:p w14:paraId="1B0F9857">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snapToGrid w:val="0"/>
                <w:color w:val="000000"/>
                <w:kern w:val="21"/>
                <w:sz w:val="21"/>
                <w:szCs w:val="21"/>
                <w:lang w:val="en-US" w:eastAsia="zh-CN" w:bidi="zh-CN"/>
              </w:rPr>
            </w:pPr>
            <w:r>
              <w:rPr>
                <w:rFonts w:hint="default" w:ascii="Times New Roman" w:hAnsi="Times New Roman" w:eastAsia="宋体" w:cs="Times New Roman"/>
                <w:snapToGrid w:val="0"/>
                <w:color w:val="000000"/>
                <w:kern w:val="21"/>
                <w:sz w:val="21"/>
                <w:szCs w:val="21"/>
                <w:highlight w:val="none"/>
                <w:lang w:val="en-US" w:eastAsia="zh-CN"/>
              </w:rPr>
              <w:t>0</w:t>
            </w:r>
          </w:p>
        </w:tc>
        <w:tc>
          <w:tcPr>
            <w:tcW w:w="1839" w:type="dxa"/>
            <w:noWrap w:val="0"/>
            <w:vAlign w:val="center"/>
          </w:tcPr>
          <w:p w14:paraId="0D86A2C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snapToGrid w:val="0"/>
                <w:color w:val="000000"/>
                <w:kern w:val="21"/>
                <w:sz w:val="21"/>
                <w:szCs w:val="21"/>
                <w:lang w:val="en-US" w:eastAsia="zh-CN" w:bidi="zh-CN"/>
              </w:rPr>
            </w:pPr>
            <w:r>
              <w:rPr>
                <w:rFonts w:hint="eastAsia" w:cs="Times New Roman"/>
                <w:snapToGrid w:val="0"/>
                <w:color w:val="000000"/>
                <w:kern w:val="21"/>
                <w:sz w:val="21"/>
                <w:szCs w:val="21"/>
                <w:highlight w:val="none"/>
                <w:lang w:val="en-US" w:eastAsia="zh-CN"/>
              </w:rPr>
              <w:t>0.1</w:t>
            </w:r>
            <w:r>
              <w:rPr>
                <w:rFonts w:hint="default" w:ascii="Times New Roman" w:hAnsi="Times New Roman" w:eastAsia="宋体" w:cs="Times New Roman"/>
                <w:snapToGrid w:val="0"/>
                <w:color w:val="000000"/>
                <w:kern w:val="21"/>
                <w:sz w:val="21"/>
                <w:szCs w:val="21"/>
                <w:highlight w:val="none"/>
                <w:lang w:val="en-US" w:eastAsia="zh-CN"/>
              </w:rPr>
              <w:t>t/a</w:t>
            </w:r>
          </w:p>
        </w:tc>
        <w:tc>
          <w:tcPr>
            <w:tcW w:w="1580" w:type="dxa"/>
            <w:noWrap w:val="0"/>
            <w:vAlign w:val="center"/>
          </w:tcPr>
          <w:p w14:paraId="4E689DE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snapToGrid w:val="0"/>
                <w:color w:val="000000"/>
                <w:kern w:val="21"/>
                <w:sz w:val="21"/>
                <w:szCs w:val="21"/>
                <w:lang w:val="en-US" w:eastAsia="zh-CN" w:bidi="zh-CN"/>
              </w:rPr>
            </w:pPr>
            <w:r>
              <w:rPr>
                <w:rFonts w:hint="eastAsia" w:cs="Times New Roman"/>
                <w:snapToGrid w:val="0"/>
                <w:color w:val="000000"/>
                <w:kern w:val="21"/>
                <w:sz w:val="21"/>
                <w:szCs w:val="21"/>
                <w:highlight w:val="none"/>
                <w:lang w:val="en-US" w:eastAsia="zh-CN"/>
              </w:rPr>
              <w:t>0.1</w:t>
            </w:r>
            <w:r>
              <w:rPr>
                <w:rFonts w:hint="default" w:ascii="Times New Roman" w:hAnsi="Times New Roman" w:eastAsia="宋体" w:cs="Times New Roman"/>
                <w:snapToGrid w:val="0"/>
                <w:color w:val="000000"/>
                <w:kern w:val="21"/>
                <w:sz w:val="21"/>
                <w:szCs w:val="21"/>
                <w:highlight w:val="none"/>
                <w:lang w:val="en-US" w:eastAsia="zh-CN"/>
              </w:rPr>
              <w:t>t/a</w:t>
            </w:r>
          </w:p>
        </w:tc>
      </w:tr>
      <w:tr w14:paraId="41EC69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39" w:type="pct"/>
            <w:vMerge w:val="continue"/>
            <w:noWrap w:val="0"/>
            <w:vAlign w:val="center"/>
          </w:tcPr>
          <w:p w14:paraId="4055786E">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napToGrid w:val="0"/>
                <w:color w:val="000000"/>
                <w:kern w:val="21"/>
                <w:sz w:val="21"/>
                <w:szCs w:val="21"/>
              </w:rPr>
            </w:pPr>
          </w:p>
        </w:tc>
        <w:tc>
          <w:tcPr>
            <w:tcW w:w="528" w:type="pct"/>
            <w:noWrap w:val="0"/>
            <w:vAlign w:val="center"/>
          </w:tcPr>
          <w:p w14:paraId="008DB43E">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美容废弃物</w:t>
            </w:r>
          </w:p>
        </w:tc>
        <w:tc>
          <w:tcPr>
            <w:tcW w:w="602" w:type="pct"/>
            <w:shd w:val="clear" w:color="auto" w:fill="auto"/>
            <w:noWrap w:val="0"/>
            <w:vAlign w:val="center"/>
          </w:tcPr>
          <w:p w14:paraId="758F43B6">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lang w:val="en-US" w:eastAsia="zh-CN" w:bidi="zh-CN"/>
              </w:rPr>
            </w:pPr>
            <w:r>
              <w:rPr>
                <w:rFonts w:hint="default" w:ascii="Times New Roman" w:hAnsi="Times New Roman" w:eastAsia="宋体" w:cs="Times New Roman"/>
                <w:snapToGrid w:val="0"/>
                <w:color w:val="000000"/>
                <w:kern w:val="21"/>
                <w:sz w:val="21"/>
                <w:szCs w:val="21"/>
                <w:lang w:val="en-US" w:eastAsia="zh-CN"/>
              </w:rPr>
              <w:t>0</w:t>
            </w:r>
          </w:p>
        </w:tc>
        <w:tc>
          <w:tcPr>
            <w:tcW w:w="442" w:type="pct"/>
            <w:shd w:val="clear" w:color="auto" w:fill="auto"/>
            <w:noWrap w:val="0"/>
            <w:vAlign w:val="center"/>
          </w:tcPr>
          <w:p w14:paraId="5DFD99BA">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lang w:val="en-US" w:eastAsia="zh-CN" w:bidi="zh-CN"/>
              </w:rPr>
            </w:pPr>
            <w:r>
              <w:rPr>
                <w:rFonts w:hint="default" w:ascii="Times New Roman" w:hAnsi="Times New Roman" w:eastAsia="宋体" w:cs="Times New Roman"/>
                <w:snapToGrid w:val="0"/>
                <w:color w:val="000000"/>
                <w:kern w:val="21"/>
                <w:sz w:val="21"/>
                <w:szCs w:val="21"/>
                <w:lang w:val="en-US" w:eastAsia="zh-CN"/>
              </w:rPr>
              <w:t>0</w:t>
            </w:r>
          </w:p>
        </w:tc>
        <w:tc>
          <w:tcPr>
            <w:tcW w:w="568" w:type="pct"/>
            <w:shd w:val="clear" w:color="auto" w:fill="auto"/>
            <w:noWrap w:val="0"/>
            <w:vAlign w:val="center"/>
          </w:tcPr>
          <w:p w14:paraId="3A543CF9">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lang w:val="en-US" w:eastAsia="zh-CN" w:bidi="zh-CN"/>
              </w:rPr>
            </w:pPr>
            <w:r>
              <w:rPr>
                <w:rFonts w:hint="default" w:ascii="Times New Roman" w:hAnsi="Times New Roman" w:eastAsia="宋体" w:cs="Times New Roman"/>
                <w:snapToGrid w:val="0"/>
                <w:color w:val="000000"/>
                <w:kern w:val="21"/>
                <w:sz w:val="21"/>
                <w:szCs w:val="21"/>
                <w:lang w:val="en-US" w:eastAsia="zh-CN"/>
              </w:rPr>
              <w:t>0</w:t>
            </w:r>
          </w:p>
        </w:tc>
        <w:tc>
          <w:tcPr>
            <w:tcW w:w="649" w:type="pct"/>
            <w:shd w:val="clear" w:color="auto" w:fill="auto"/>
            <w:noWrap w:val="0"/>
            <w:vAlign w:val="center"/>
          </w:tcPr>
          <w:p w14:paraId="613AA79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highlight w:val="none"/>
                <w:lang w:val="en-US" w:eastAsia="zh-CN" w:bidi="ar-SA"/>
              </w:rPr>
            </w:pPr>
            <w:r>
              <w:rPr>
                <w:rFonts w:hint="eastAsia" w:cs="Times New Roman"/>
                <w:snapToGrid w:val="0"/>
                <w:color w:val="000000"/>
                <w:kern w:val="21"/>
                <w:sz w:val="21"/>
                <w:szCs w:val="21"/>
                <w:highlight w:val="none"/>
                <w:lang w:val="en-US" w:eastAsia="zh-CN"/>
              </w:rPr>
              <w:t>0.1t/a</w:t>
            </w:r>
          </w:p>
        </w:tc>
        <w:tc>
          <w:tcPr>
            <w:tcW w:w="503" w:type="pct"/>
            <w:noWrap w:val="0"/>
            <w:vAlign w:val="center"/>
          </w:tcPr>
          <w:p w14:paraId="430B1913">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highlight w:val="none"/>
                <w:lang w:val="en-US" w:eastAsia="zh-CN"/>
              </w:rPr>
            </w:pPr>
            <w:r>
              <w:rPr>
                <w:rFonts w:hint="eastAsia" w:ascii="Times New Roman" w:hAnsi="Times New Roman" w:cs="Times New Roman"/>
                <w:snapToGrid w:val="0"/>
                <w:color w:val="000000"/>
                <w:kern w:val="21"/>
                <w:sz w:val="21"/>
                <w:szCs w:val="21"/>
                <w:highlight w:val="none"/>
                <w:lang w:val="en-US" w:eastAsia="zh-CN"/>
              </w:rPr>
              <w:t>0</w:t>
            </w:r>
          </w:p>
        </w:tc>
        <w:tc>
          <w:tcPr>
            <w:tcW w:w="1839" w:type="dxa"/>
            <w:noWrap w:val="0"/>
            <w:vAlign w:val="center"/>
          </w:tcPr>
          <w:p w14:paraId="1584ADA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snapToGrid w:val="0"/>
                <w:color w:val="000000"/>
                <w:kern w:val="21"/>
                <w:sz w:val="21"/>
                <w:szCs w:val="21"/>
                <w:highlight w:val="none"/>
                <w:lang w:val="en-US" w:eastAsia="zh-CN"/>
              </w:rPr>
            </w:pPr>
            <w:r>
              <w:rPr>
                <w:rFonts w:hint="eastAsia" w:cs="Times New Roman"/>
                <w:snapToGrid w:val="0"/>
                <w:color w:val="000000"/>
                <w:kern w:val="21"/>
                <w:sz w:val="21"/>
                <w:szCs w:val="21"/>
                <w:highlight w:val="none"/>
                <w:lang w:val="en-US" w:eastAsia="zh-CN"/>
              </w:rPr>
              <w:t>0.1t/a</w:t>
            </w:r>
          </w:p>
        </w:tc>
        <w:tc>
          <w:tcPr>
            <w:tcW w:w="1580" w:type="dxa"/>
            <w:noWrap w:val="0"/>
            <w:vAlign w:val="center"/>
          </w:tcPr>
          <w:p w14:paraId="4BAFB3B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snapToGrid w:val="0"/>
                <w:color w:val="000000"/>
                <w:kern w:val="21"/>
                <w:sz w:val="21"/>
                <w:szCs w:val="21"/>
                <w:highlight w:val="none"/>
                <w:lang w:val="en-US" w:eastAsia="zh-CN"/>
              </w:rPr>
            </w:pPr>
            <w:r>
              <w:rPr>
                <w:rFonts w:hint="eastAsia" w:cs="Times New Roman"/>
                <w:snapToGrid w:val="0"/>
                <w:color w:val="000000"/>
                <w:kern w:val="21"/>
                <w:sz w:val="21"/>
                <w:szCs w:val="21"/>
                <w:highlight w:val="none"/>
                <w:lang w:val="en-US" w:eastAsia="zh-CN"/>
              </w:rPr>
              <w:t>0.1t/a</w:t>
            </w:r>
          </w:p>
        </w:tc>
      </w:tr>
      <w:tr w14:paraId="7AD941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39" w:type="pct"/>
            <w:vMerge w:val="continue"/>
            <w:noWrap w:val="0"/>
            <w:vAlign w:val="center"/>
          </w:tcPr>
          <w:p w14:paraId="6A32DD50">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eastAsia" w:ascii="Times New Roman" w:hAnsi="Times New Roman" w:eastAsia="宋体" w:cs="Times New Roman"/>
                <w:snapToGrid w:val="0"/>
                <w:color w:val="000000"/>
                <w:kern w:val="21"/>
                <w:sz w:val="21"/>
                <w:szCs w:val="21"/>
                <w:lang w:val="en-US" w:eastAsia="zh-CN"/>
              </w:rPr>
            </w:pPr>
          </w:p>
        </w:tc>
        <w:tc>
          <w:tcPr>
            <w:tcW w:w="528" w:type="pct"/>
            <w:noWrap w:val="0"/>
            <w:vAlign w:val="center"/>
          </w:tcPr>
          <w:p w14:paraId="49C26236">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snapToGrid w:val="0"/>
                <w:color w:val="000000"/>
                <w:kern w:val="21"/>
                <w:sz w:val="21"/>
                <w:szCs w:val="21"/>
                <w:highlight w:val="none"/>
                <w:lang w:val="en-US" w:eastAsia="zh-CN"/>
              </w:rPr>
            </w:pPr>
            <w:r>
              <w:rPr>
                <w:rFonts w:hint="eastAsia" w:ascii="Times New Roman" w:hAnsi="Times New Roman" w:cs="Times New Roman"/>
                <w:snapToGrid w:val="0"/>
                <w:color w:val="000000"/>
                <w:kern w:val="21"/>
                <w:sz w:val="21"/>
                <w:szCs w:val="21"/>
                <w:highlight w:val="none"/>
                <w:lang w:val="en-US" w:eastAsia="zh-CN"/>
              </w:rPr>
              <w:t>废包装</w:t>
            </w:r>
          </w:p>
        </w:tc>
        <w:tc>
          <w:tcPr>
            <w:tcW w:w="602" w:type="pct"/>
            <w:shd w:val="clear" w:color="auto" w:fill="auto"/>
            <w:noWrap w:val="0"/>
            <w:vAlign w:val="center"/>
          </w:tcPr>
          <w:p w14:paraId="6070A0A5">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lang w:val="en-US" w:eastAsia="zh-CN" w:bidi="zh-CN"/>
              </w:rPr>
            </w:pPr>
            <w:r>
              <w:rPr>
                <w:rFonts w:hint="default" w:ascii="Times New Roman" w:hAnsi="Times New Roman" w:eastAsia="宋体" w:cs="Times New Roman"/>
                <w:snapToGrid w:val="0"/>
                <w:color w:val="000000"/>
                <w:kern w:val="21"/>
                <w:sz w:val="21"/>
                <w:szCs w:val="21"/>
                <w:lang w:val="en-US" w:eastAsia="zh-CN"/>
              </w:rPr>
              <w:t>0</w:t>
            </w:r>
          </w:p>
        </w:tc>
        <w:tc>
          <w:tcPr>
            <w:tcW w:w="442" w:type="pct"/>
            <w:shd w:val="clear" w:color="auto" w:fill="auto"/>
            <w:noWrap w:val="0"/>
            <w:vAlign w:val="center"/>
          </w:tcPr>
          <w:p w14:paraId="655F2574">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lang w:val="en-US" w:eastAsia="zh-CN" w:bidi="zh-CN"/>
              </w:rPr>
            </w:pPr>
            <w:r>
              <w:rPr>
                <w:rFonts w:hint="default" w:ascii="Times New Roman" w:hAnsi="Times New Roman" w:eastAsia="宋体" w:cs="Times New Roman"/>
                <w:snapToGrid w:val="0"/>
                <w:color w:val="000000"/>
                <w:kern w:val="21"/>
                <w:sz w:val="21"/>
                <w:szCs w:val="21"/>
                <w:lang w:val="en-US" w:eastAsia="zh-CN"/>
              </w:rPr>
              <w:t>0</w:t>
            </w:r>
          </w:p>
        </w:tc>
        <w:tc>
          <w:tcPr>
            <w:tcW w:w="568" w:type="pct"/>
            <w:shd w:val="clear" w:color="auto" w:fill="auto"/>
            <w:noWrap w:val="0"/>
            <w:vAlign w:val="center"/>
          </w:tcPr>
          <w:p w14:paraId="7FE53C27">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lang w:val="en-US" w:eastAsia="zh-CN" w:bidi="zh-CN"/>
              </w:rPr>
            </w:pPr>
            <w:r>
              <w:rPr>
                <w:rFonts w:hint="default" w:ascii="Times New Roman" w:hAnsi="Times New Roman" w:eastAsia="宋体" w:cs="Times New Roman"/>
                <w:snapToGrid w:val="0"/>
                <w:color w:val="000000"/>
                <w:kern w:val="21"/>
                <w:sz w:val="21"/>
                <w:szCs w:val="21"/>
                <w:lang w:val="en-US" w:eastAsia="zh-CN"/>
              </w:rPr>
              <w:t>0</w:t>
            </w:r>
          </w:p>
        </w:tc>
        <w:tc>
          <w:tcPr>
            <w:tcW w:w="649" w:type="pct"/>
            <w:noWrap w:val="0"/>
            <w:vAlign w:val="center"/>
          </w:tcPr>
          <w:p w14:paraId="02CF7CE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snapToGrid w:val="0"/>
                <w:color w:val="000000"/>
                <w:kern w:val="21"/>
                <w:sz w:val="21"/>
                <w:szCs w:val="21"/>
                <w:highlight w:val="none"/>
                <w:lang w:val="en-US" w:eastAsia="zh-CN"/>
              </w:rPr>
            </w:pPr>
            <w:r>
              <w:rPr>
                <w:rFonts w:hint="eastAsia" w:cs="Times New Roman"/>
                <w:snapToGrid w:val="0"/>
                <w:color w:val="000000"/>
                <w:kern w:val="21"/>
                <w:sz w:val="21"/>
                <w:szCs w:val="21"/>
                <w:highlight w:val="none"/>
                <w:lang w:val="en-US" w:eastAsia="zh-CN"/>
              </w:rPr>
              <w:t>0.1t/a</w:t>
            </w:r>
          </w:p>
        </w:tc>
        <w:tc>
          <w:tcPr>
            <w:tcW w:w="503" w:type="pct"/>
            <w:shd w:val="clear" w:color="auto" w:fill="auto"/>
            <w:noWrap w:val="0"/>
            <w:vAlign w:val="center"/>
          </w:tcPr>
          <w:p w14:paraId="5C21B555">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lang w:val="en-US" w:eastAsia="zh-CN" w:bidi="zh-CN"/>
              </w:rPr>
            </w:pPr>
            <w:r>
              <w:rPr>
                <w:rFonts w:hint="default" w:ascii="Times New Roman" w:hAnsi="Times New Roman" w:eastAsia="宋体" w:cs="Times New Roman"/>
                <w:snapToGrid w:val="0"/>
                <w:color w:val="000000"/>
                <w:kern w:val="21"/>
                <w:sz w:val="21"/>
                <w:szCs w:val="21"/>
                <w:lang w:val="en-US" w:eastAsia="zh-CN"/>
              </w:rPr>
              <w:t>0</w:t>
            </w:r>
          </w:p>
        </w:tc>
        <w:tc>
          <w:tcPr>
            <w:tcW w:w="1839" w:type="dxa"/>
            <w:shd w:val="clear" w:color="auto" w:fill="auto"/>
            <w:noWrap w:val="0"/>
            <w:vAlign w:val="center"/>
          </w:tcPr>
          <w:p w14:paraId="048A8F5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snapToGrid w:val="0"/>
                <w:color w:val="000000"/>
                <w:kern w:val="21"/>
                <w:sz w:val="21"/>
                <w:szCs w:val="21"/>
                <w:lang w:val="en-US" w:eastAsia="zh-CN" w:bidi="zh-CN"/>
              </w:rPr>
            </w:pPr>
            <w:r>
              <w:rPr>
                <w:rFonts w:hint="eastAsia" w:cs="Times New Roman"/>
                <w:snapToGrid w:val="0"/>
                <w:color w:val="000000"/>
                <w:kern w:val="21"/>
                <w:sz w:val="21"/>
                <w:szCs w:val="21"/>
                <w:highlight w:val="none"/>
                <w:lang w:val="en-US" w:eastAsia="zh-CN"/>
              </w:rPr>
              <w:t>0.1t/a</w:t>
            </w:r>
          </w:p>
        </w:tc>
        <w:tc>
          <w:tcPr>
            <w:tcW w:w="1580" w:type="dxa"/>
            <w:shd w:val="clear" w:color="auto" w:fill="auto"/>
            <w:noWrap w:val="0"/>
            <w:vAlign w:val="center"/>
          </w:tcPr>
          <w:p w14:paraId="7BEF11A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snapToGrid w:val="0"/>
                <w:color w:val="000000"/>
                <w:kern w:val="21"/>
                <w:sz w:val="21"/>
                <w:szCs w:val="21"/>
                <w:lang w:val="en-US" w:eastAsia="zh-CN" w:bidi="zh-CN"/>
              </w:rPr>
            </w:pPr>
            <w:r>
              <w:rPr>
                <w:rFonts w:hint="eastAsia" w:cs="Times New Roman"/>
                <w:snapToGrid w:val="0"/>
                <w:color w:val="000000"/>
                <w:kern w:val="21"/>
                <w:sz w:val="21"/>
                <w:szCs w:val="21"/>
                <w:highlight w:val="none"/>
                <w:lang w:val="en-US" w:eastAsia="zh-CN"/>
              </w:rPr>
              <w:t>0.1t/a</w:t>
            </w:r>
          </w:p>
        </w:tc>
      </w:tr>
      <w:tr w14:paraId="6DA9F2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39" w:type="pct"/>
            <w:noWrap w:val="0"/>
            <w:vAlign w:val="center"/>
          </w:tcPr>
          <w:p w14:paraId="5D9E771E">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napToGrid w:val="0"/>
                <w:color w:val="000000"/>
                <w:kern w:val="21"/>
                <w:sz w:val="21"/>
                <w:szCs w:val="21"/>
                <w:highlight w:val="none"/>
                <w:lang w:eastAsia="zh-CN"/>
              </w:rPr>
            </w:pPr>
            <w:r>
              <w:rPr>
                <w:rFonts w:hint="default" w:ascii="Times New Roman" w:hAnsi="Times New Roman" w:eastAsia="宋体" w:cs="Times New Roman"/>
                <w:snapToGrid w:val="0"/>
                <w:color w:val="000000"/>
                <w:kern w:val="21"/>
                <w:sz w:val="21"/>
                <w:szCs w:val="21"/>
                <w:highlight w:val="none"/>
                <w:lang w:eastAsia="zh-CN"/>
              </w:rPr>
              <w:t>危险废物</w:t>
            </w:r>
          </w:p>
        </w:tc>
        <w:tc>
          <w:tcPr>
            <w:tcW w:w="528" w:type="pct"/>
            <w:noWrap w:val="0"/>
            <w:vAlign w:val="center"/>
          </w:tcPr>
          <w:p w14:paraId="1B5B4D93">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lang w:val="en-US" w:eastAsia="zh-CN" w:bidi="zh-CN"/>
              </w:rPr>
            </w:pPr>
            <w:r>
              <w:rPr>
                <w:rFonts w:hint="eastAsia" w:cs="Times New Roman"/>
                <w:sz w:val="21"/>
                <w:szCs w:val="21"/>
                <w:lang w:val="en-US" w:eastAsia="zh-CN"/>
              </w:rPr>
              <w:t>动物诊疗废物</w:t>
            </w:r>
          </w:p>
        </w:tc>
        <w:tc>
          <w:tcPr>
            <w:tcW w:w="602" w:type="pct"/>
            <w:noWrap w:val="0"/>
            <w:vAlign w:val="center"/>
          </w:tcPr>
          <w:p w14:paraId="3AB59C5D">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lang w:val="en-US" w:eastAsia="zh-CN" w:bidi="zh-CN"/>
              </w:rPr>
            </w:pPr>
            <w:r>
              <w:rPr>
                <w:rFonts w:hint="default" w:ascii="Times New Roman" w:hAnsi="Times New Roman" w:eastAsia="宋体" w:cs="Times New Roman"/>
                <w:sz w:val="21"/>
                <w:szCs w:val="21"/>
                <w:highlight w:val="none"/>
                <w:lang w:val="en-US" w:eastAsia="zh-CN"/>
              </w:rPr>
              <w:t>0</w:t>
            </w:r>
          </w:p>
        </w:tc>
        <w:tc>
          <w:tcPr>
            <w:tcW w:w="442" w:type="pct"/>
            <w:noWrap w:val="0"/>
            <w:vAlign w:val="center"/>
          </w:tcPr>
          <w:p w14:paraId="2F4FEE4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lang w:val="en-US" w:eastAsia="zh-CN" w:bidi="zh-CN"/>
              </w:rPr>
            </w:pPr>
            <w:r>
              <w:rPr>
                <w:rFonts w:hint="default" w:ascii="Times New Roman" w:hAnsi="Times New Roman" w:eastAsia="宋体" w:cs="Times New Roman"/>
                <w:kern w:val="2"/>
                <w:sz w:val="21"/>
                <w:szCs w:val="21"/>
                <w:highlight w:val="none"/>
                <w:lang w:val="en-US" w:eastAsia="zh-CN" w:bidi="ar-SA"/>
              </w:rPr>
              <w:t>0</w:t>
            </w:r>
          </w:p>
        </w:tc>
        <w:tc>
          <w:tcPr>
            <w:tcW w:w="568" w:type="pct"/>
            <w:noWrap w:val="0"/>
            <w:vAlign w:val="center"/>
          </w:tcPr>
          <w:p w14:paraId="75E8C843">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lang w:val="en-US" w:eastAsia="zh-CN" w:bidi="zh-CN"/>
              </w:rPr>
            </w:pPr>
            <w:r>
              <w:rPr>
                <w:rFonts w:hint="default" w:ascii="Times New Roman" w:hAnsi="Times New Roman" w:eastAsia="宋体" w:cs="Times New Roman"/>
                <w:snapToGrid w:val="0"/>
                <w:color w:val="000000"/>
                <w:kern w:val="21"/>
                <w:sz w:val="21"/>
                <w:szCs w:val="21"/>
                <w:highlight w:val="none"/>
                <w:lang w:val="en-US" w:eastAsia="zh-CN"/>
              </w:rPr>
              <w:t>0</w:t>
            </w:r>
          </w:p>
        </w:tc>
        <w:tc>
          <w:tcPr>
            <w:tcW w:w="649" w:type="pct"/>
            <w:shd w:val="clear" w:color="auto" w:fill="auto"/>
            <w:noWrap w:val="0"/>
            <w:vAlign w:val="center"/>
          </w:tcPr>
          <w:p w14:paraId="22550109">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lang w:val="en-US" w:eastAsia="zh-CN" w:bidi="zh-CN"/>
              </w:rPr>
            </w:pPr>
            <w:r>
              <w:rPr>
                <w:rFonts w:hint="eastAsia" w:cs="Times New Roman"/>
                <w:snapToGrid w:val="0"/>
                <w:color w:val="000000"/>
                <w:kern w:val="21"/>
                <w:sz w:val="21"/>
                <w:szCs w:val="21"/>
                <w:highlight w:val="none"/>
                <w:lang w:val="en-US" w:eastAsia="zh-CN"/>
              </w:rPr>
              <w:t>0.3</w:t>
            </w:r>
            <w:r>
              <w:rPr>
                <w:rFonts w:hint="default" w:ascii="Times New Roman" w:hAnsi="Times New Roman" w:eastAsia="宋体" w:cs="Times New Roman"/>
                <w:snapToGrid w:val="0"/>
                <w:color w:val="000000"/>
                <w:kern w:val="21"/>
                <w:sz w:val="21"/>
                <w:szCs w:val="21"/>
                <w:highlight w:val="none"/>
                <w:lang w:val="en-US" w:eastAsia="zh-CN"/>
              </w:rPr>
              <w:t>t/a</w:t>
            </w:r>
          </w:p>
        </w:tc>
        <w:tc>
          <w:tcPr>
            <w:tcW w:w="503" w:type="pct"/>
            <w:noWrap w:val="0"/>
            <w:vAlign w:val="center"/>
          </w:tcPr>
          <w:p w14:paraId="2327E260">
            <w:pPr>
              <w:pStyle w:val="56"/>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snapToGrid w:val="0"/>
                <w:color w:val="000000"/>
                <w:kern w:val="21"/>
                <w:sz w:val="21"/>
                <w:szCs w:val="21"/>
                <w:lang w:val="en-US" w:eastAsia="zh-CN" w:bidi="zh-CN"/>
              </w:rPr>
            </w:pPr>
            <w:r>
              <w:rPr>
                <w:rFonts w:hint="default" w:ascii="Times New Roman" w:hAnsi="Times New Roman" w:eastAsia="宋体" w:cs="Times New Roman"/>
                <w:snapToGrid w:val="0"/>
                <w:color w:val="000000"/>
                <w:kern w:val="21"/>
                <w:sz w:val="21"/>
                <w:szCs w:val="21"/>
                <w:highlight w:val="none"/>
                <w:lang w:val="en-US" w:eastAsia="zh-CN"/>
              </w:rPr>
              <w:t>0</w:t>
            </w:r>
          </w:p>
        </w:tc>
        <w:tc>
          <w:tcPr>
            <w:tcW w:w="1839" w:type="dxa"/>
            <w:noWrap w:val="0"/>
            <w:vAlign w:val="center"/>
          </w:tcPr>
          <w:p w14:paraId="1721C19A">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snapToGrid w:val="0"/>
                <w:color w:val="000000"/>
                <w:kern w:val="21"/>
                <w:sz w:val="21"/>
                <w:szCs w:val="21"/>
                <w:lang w:val="en-US" w:eastAsia="zh-CN" w:bidi="zh-CN"/>
              </w:rPr>
            </w:pPr>
            <w:r>
              <w:rPr>
                <w:rFonts w:hint="eastAsia" w:cs="Times New Roman"/>
                <w:snapToGrid w:val="0"/>
                <w:color w:val="000000"/>
                <w:kern w:val="21"/>
                <w:sz w:val="21"/>
                <w:szCs w:val="21"/>
                <w:highlight w:val="none"/>
                <w:lang w:val="en-US" w:eastAsia="zh-CN"/>
              </w:rPr>
              <w:t>0.3</w:t>
            </w:r>
            <w:r>
              <w:rPr>
                <w:rFonts w:hint="default" w:ascii="Times New Roman" w:hAnsi="Times New Roman" w:eastAsia="宋体" w:cs="Times New Roman"/>
                <w:snapToGrid w:val="0"/>
                <w:color w:val="000000"/>
                <w:kern w:val="21"/>
                <w:sz w:val="21"/>
                <w:szCs w:val="21"/>
                <w:highlight w:val="none"/>
                <w:lang w:val="en-US" w:eastAsia="zh-CN"/>
              </w:rPr>
              <w:t>t/a</w:t>
            </w:r>
          </w:p>
        </w:tc>
        <w:tc>
          <w:tcPr>
            <w:tcW w:w="1580" w:type="dxa"/>
            <w:noWrap w:val="0"/>
            <w:vAlign w:val="center"/>
          </w:tcPr>
          <w:p w14:paraId="601AE610">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snapToGrid w:val="0"/>
                <w:color w:val="000000"/>
                <w:kern w:val="21"/>
                <w:sz w:val="21"/>
                <w:szCs w:val="21"/>
                <w:lang w:val="en-US" w:eastAsia="zh-CN" w:bidi="zh-CN"/>
              </w:rPr>
            </w:pPr>
            <w:r>
              <w:rPr>
                <w:rFonts w:hint="eastAsia" w:cs="Times New Roman"/>
                <w:snapToGrid w:val="0"/>
                <w:color w:val="000000"/>
                <w:kern w:val="21"/>
                <w:sz w:val="21"/>
                <w:szCs w:val="21"/>
                <w:highlight w:val="none"/>
                <w:lang w:val="en-US" w:eastAsia="zh-CN"/>
              </w:rPr>
              <w:t>0.3</w:t>
            </w:r>
            <w:r>
              <w:rPr>
                <w:rFonts w:hint="default" w:ascii="Times New Roman" w:hAnsi="Times New Roman" w:eastAsia="宋体" w:cs="Times New Roman"/>
                <w:snapToGrid w:val="0"/>
                <w:color w:val="000000"/>
                <w:kern w:val="21"/>
                <w:sz w:val="21"/>
                <w:szCs w:val="21"/>
                <w:highlight w:val="none"/>
                <w:lang w:val="en-US" w:eastAsia="zh-CN"/>
              </w:rPr>
              <w:t>t/a</w:t>
            </w:r>
          </w:p>
        </w:tc>
      </w:tr>
    </w:tbl>
    <w:p w14:paraId="08A59F92">
      <w:pPr>
        <w:pStyle w:val="56"/>
        <w:spacing w:before="192" w:beforeLines="80" w:after="24"/>
        <w:jc w:val="left"/>
        <w:rPr>
          <w:rFonts w:ascii="宋体" w:hAnsi="宋体" w:eastAsia="黑体"/>
        </w:rPr>
      </w:pPr>
      <w:r>
        <w:rPr>
          <w:rFonts w:hAnsi="宋体"/>
          <w:snapToGrid w:val="0"/>
          <w:color w:val="000000"/>
          <w:kern w:val="21"/>
          <w:szCs w:val="21"/>
        </w:rPr>
        <w:t>注：</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3 \* GB3 \* MERGEFORMAT </w:instrText>
      </w:r>
      <w:r>
        <w:rPr>
          <w:rFonts w:hAnsi="宋体"/>
          <w:snapToGrid w:val="0"/>
          <w:color w:val="000000"/>
          <w:spacing w:val="-6"/>
          <w:kern w:val="21"/>
          <w:szCs w:val="21"/>
        </w:rPr>
        <w:fldChar w:fldCharType="separate"/>
      </w:r>
      <w:r>
        <w:rPr>
          <w:rFonts w:hint="eastAsia" w:hAnsi="宋体"/>
          <w:szCs w:val="21"/>
        </w:rPr>
        <w:t>③</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4 \* GB3 \* MERGEFORMAT </w:instrText>
      </w:r>
      <w:r>
        <w:rPr>
          <w:rFonts w:hAnsi="宋体"/>
          <w:snapToGrid w:val="0"/>
          <w:color w:val="000000"/>
          <w:spacing w:val="-6"/>
          <w:kern w:val="21"/>
          <w:szCs w:val="21"/>
        </w:rPr>
        <w:fldChar w:fldCharType="separate"/>
      </w:r>
      <w:r>
        <w:rPr>
          <w:rFonts w:hint="eastAsia" w:hAnsi="宋体"/>
          <w:szCs w:val="21"/>
        </w:rPr>
        <w:t>④</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5 \* GB3 \* MERGEFORMAT </w:instrText>
      </w:r>
      <w:r>
        <w:rPr>
          <w:rFonts w:hAnsi="宋体"/>
          <w:snapToGrid w:val="0"/>
          <w:color w:val="000000"/>
          <w:spacing w:val="-16"/>
          <w:kern w:val="21"/>
          <w:szCs w:val="21"/>
        </w:rPr>
        <w:fldChar w:fldCharType="separate"/>
      </w:r>
      <w:r>
        <w:rPr>
          <w:rFonts w:hint="eastAsia" w:hAnsi="宋体"/>
          <w:szCs w:val="21"/>
        </w:rPr>
        <w:t>⑤</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7 \* GB3 \* MERGEFORMAT </w:instrText>
      </w:r>
      <w:r>
        <w:rPr>
          <w:rFonts w:hAnsi="宋体"/>
          <w:snapToGrid w:val="0"/>
          <w:color w:val="000000"/>
          <w:spacing w:val="-6"/>
          <w:kern w:val="21"/>
          <w:szCs w:val="21"/>
        </w:rPr>
        <w:fldChar w:fldCharType="separate"/>
      </w:r>
      <w:r>
        <w:rPr>
          <w:rFonts w:hint="eastAsia" w:hAnsi="宋体"/>
          <w:szCs w:val="21"/>
        </w:rPr>
        <w:t>⑦</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p>
    <w:sectPr>
      <w:footerReference r:id="rId8" w:type="default"/>
      <w:pgSz w:w="16838" w:h="11906" w:orient="landscape"/>
      <w:pgMar w:top="1531" w:right="1701" w:bottom="1531" w:left="1701"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7A"/>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方正小标宋_GBK">
    <w:altName w:val="微软雅黑"/>
    <w:panose1 w:val="02000000000000000000"/>
    <w:charset w:val="86"/>
    <w:family w:val="script"/>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BF515">
    <w:pPr>
      <w:pStyle w:val="20"/>
      <w:ind w:right="360"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83550F">
                          <w:pPr>
                            <w:pStyle w:val="20"/>
                            <w:rPr>
                              <w:rStyle w:val="35"/>
                              <w:rFonts w:ascii="宋体" w:hAnsi="宋体"/>
                              <w:sz w:val="28"/>
                              <w:szCs w:val="28"/>
                            </w:rPr>
                          </w:pP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OiSLyMcBAACZAwAADgAAAAAAAAABACAAAAAeAQAAZHJzL2Uyb0RvYy54&#10;bWxQSwUGAAAAAAYABgBZAQAAVwUAAAAA&#10;">
              <v:fill on="f" focussize="0,0"/>
              <v:stroke on="f"/>
              <v:imagedata o:title=""/>
              <o:lock v:ext="edit" aspectratio="f"/>
              <v:textbox inset="0mm,0mm,0mm,0mm" style="mso-fit-shape-to-text:t;">
                <w:txbxContent>
                  <w:p w14:paraId="5B83550F">
                    <w:pPr>
                      <w:pStyle w:val="20"/>
                      <w:rPr>
                        <w:rStyle w:val="35"/>
                        <w:rFonts w:ascii="宋体" w:hAnsi="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62BB5">
    <w:pPr>
      <w:pStyle w:val="20"/>
      <w:ind w:right="360" w:firstLine="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EFD9C6">
                          <w:pPr>
                            <w:pStyle w:val="2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21EFD9C6">
                    <w:pPr>
                      <w:pStyle w:val="20"/>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2C645C">
                          <w:pPr>
                            <w:pStyle w:val="20"/>
                            <w:rPr>
                              <w:rStyle w:val="35"/>
                              <w:rFonts w:ascii="宋体" w:hAnsi="宋体"/>
                              <w:sz w:val="28"/>
                              <w:szCs w:val="28"/>
                            </w:rPr>
                          </w:pP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4j/V8cBAACZAwAADgAAAGRycy9lMm9Eb2MueG1srVPNjtMwEL4j8Q6W&#10;79TZIqE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pISxy0O/PL92+XHr8vPr6TO&#10;8gwBGsy6D5iXxjd+xKVZ/IDOzHpU0eYv8iEYR3HPV3HlmIjIj+p1XVcYEhhbLojPHp6HCOmt9JZk&#10;o6URp1dE5af3kKbUJSVXc/5OG1MmaNxfDsTMHpZ7n3rMVhr340xo77sz8hlw8C11uOeUmHcOdc07&#10;shhxMfaLcQxRH/qyRLkehNfHhE2U3nKFCXYujBMr7Obtyivx571kPfxR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D4j/V8cBAACZAwAADgAAAAAAAAABACAAAAAeAQAAZHJzL2Uyb0RvYy54&#10;bWxQSwUGAAAAAAYABgBZAQAAVwUAAAAA&#10;">
              <v:fill on="f" focussize="0,0"/>
              <v:stroke on="f"/>
              <v:imagedata o:title=""/>
              <o:lock v:ext="edit" aspectratio="f"/>
              <v:textbox inset="0mm,0mm,0mm,0mm" style="mso-fit-shape-to-text:t;">
                <w:txbxContent>
                  <w:p w14:paraId="1D2C645C">
                    <w:pPr>
                      <w:pStyle w:val="20"/>
                      <w:rPr>
                        <w:rStyle w:val="35"/>
                        <w:rFonts w:ascii="宋体" w:hAnsi="宋体"/>
                        <w:sz w:val="28"/>
                        <w:szCs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BC4BD">
    <w:pPr>
      <w:pStyle w:val="20"/>
      <w:ind w:right="360"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F28FCA">
                          <w:pPr>
                            <w:pStyle w:val="20"/>
                          </w:pPr>
                          <w:r>
                            <w:fldChar w:fldCharType="begin"/>
                          </w:r>
                          <w:r>
                            <w:instrText xml:space="preserve"> PAGE  \* MERGEFORMAT </w:instrText>
                          </w:r>
                          <w:r>
                            <w:fldChar w:fldCharType="separate"/>
                          </w:r>
                          <w:r>
                            <w:t>44</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SOb0a3gEAAL4DAAAOAAAAAAAA&#10;AAEAIAAAAB4BAABkcnMvZTJvRG9jLnhtbFBLBQYAAAAABgAGAFkBAABuBQAAAAA=&#10;">
              <v:fill on="f" focussize="0,0"/>
              <v:stroke on="f"/>
              <v:imagedata o:title=""/>
              <o:lock v:ext="edit" aspectratio="f"/>
              <v:textbox inset="0mm,0mm,0mm,0mm" style="mso-fit-shape-to-text:t;">
                <w:txbxContent>
                  <w:p w14:paraId="5DF28FCA">
                    <w:pPr>
                      <w:pStyle w:val="20"/>
                    </w:pPr>
                    <w:r>
                      <w:fldChar w:fldCharType="begin"/>
                    </w:r>
                    <w:r>
                      <w:instrText xml:space="preserve"> PAGE  \* MERGEFORMAT </w:instrText>
                    </w:r>
                    <w:r>
                      <w:fldChar w:fldCharType="separate"/>
                    </w:r>
                    <w:r>
                      <w:t>44</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BA6A28">
                          <w:pPr>
                            <w:pStyle w:val="20"/>
                            <w:rPr>
                              <w:rStyle w:val="35"/>
                              <w:rFonts w:ascii="宋体" w:hAnsi="宋体"/>
                              <w:sz w:val="28"/>
                              <w:szCs w:val="28"/>
                            </w:rPr>
                          </w:pP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EtDmx3gEAAL4DAAAOAAAAAAAA&#10;AAEAIAAAAB4BAABkcnMvZTJvRG9jLnhtbFBLBQYAAAAABgAGAFkBAABuBQAAAAA=&#10;">
              <v:fill on="f" focussize="0,0"/>
              <v:stroke on="f"/>
              <v:imagedata o:title=""/>
              <o:lock v:ext="edit" aspectratio="f"/>
              <v:textbox inset="0mm,0mm,0mm,0mm" style="mso-fit-shape-to-text:t;">
                <w:txbxContent>
                  <w:p w14:paraId="4CBA6A28">
                    <w:pPr>
                      <w:pStyle w:val="20"/>
                      <w:rPr>
                        <w:rStyle w:val="35"/>
                        <w:rFonts w:ascii="宋体" w:hAnsi="宋体"/>
                        <w:sz w:val="28"/>
                        <w:szCs w:val="2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7B03F">
    <w:pPr>
      <w:pStyle w:val="21"/>
      <w:pBdr>
        <w:bottom w:val="none" w:color="auto" w:sz="0" w:space="1"/>
      </w:pBdr>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CFDC45"/>
    <w:multiLevelType w:val="singleLevel"/>
    <w:tmpl w:val="90CFDC45"/>
    <w:lvl w:ilvl="0" w:tentative="0">
      <w:start w:val="1"/>
      <w:numFmt w:val="decimal"/>
      <w:suff w:val="nothing"/>
      <w:lvlText w:val="（%1）"/>
      <w:lvlJc w:val="left"/>
    </w:lvl>
  </w:abstractNum>
  <w:abstractNum w:abstractNumId="1">
    <w:nsid w:val="97360F49"/>
    <w:multiLevelType w:val="singleLevel"/>
    <w:tmpl w:val="97360F49"/>
    <w:lvl w:ilvl="0" w:tentative="0">
      <w:start w:val="2"/>
      <w:numFmt w:val="decimal"/>
      <w:suff w:val="nothing"/>
      <w:lvlText w:val="%1、"/>
      <w:lvlJc w:val="left"/>
    </w:lvl>
  </w:abstractNum>
  <w:abstractNum w:abstractNumId="2">
    <w:nsid w:val="BE04EFE0"/>
    <w:multiLevelType w:val="singleLevel"/>
    <w:tmpl w:val="BE04EFE0"/>
    <w:lvl w:ilvl="0" w:tentative="0">
      <w:start w:val="1"/>
      <w:numFmt w:val="bullet"/>
      <w:pStyle w:val="13"/>
      <w:lvlText w:val=""/>
      <w:lvlJc w:val="left"/>
      <w:pPr>
        <w:tabs>
          <w:tab w:val="left" w:pos="2040"/>
        </w:tabs>
        <w:ind w:left="2040" w:hanging="360"/>
      </w:pPr>
      <w:rPr>
        <w:rFonts w:hint="default" w:ascii="Wingdings" w:hAnsi="Wingdings"/>
      </w:rPr>
    </w:lvl>
  </w:abstractNum>
  <w:abstractNum w:abstractNumId="3">
    <w:nsid w:val="DE5B7786"/>
    <w:multiLevelType w:val="singleLevel"/>
    <w:tmpl w:val="DE5B7786"/>
    <w:lvl w:ilvl="0" w:tentative="0">
      <w:start w:val="1"/>
      <w:numFmt w:val="lowerLetter"/>
      <w:lvlText w:val="%1."/>
      <w:lvlJc w:val="left"/>
      <w:pPr>
        <w:tabs>
          <w:tab w:val="left" w:pos="312"/>
        </w:tabs>
      </w:pPr>
    </w:lvl>
  </w:abstractNum>
  <w:abstractNum w:abstractNumId="4">
    <w:nsid w:val="F9927B3B"/>
    <w:multiLevelType w:val="singleLevel"/>
    <w:tmpl w:val="F9927B3B"/>
    <w:lvl w:ilvl="0" w:tentative="0">
      <w:start w:val="1"/>
      <w:numFmt w:val="decimal"/>
      <w:suff w:val="nothing"/>
      <w:lvlText w:val="%1、"/>
      <w:lvlJc w:val="left"/>
    </w:lvl>
  </w:abstractNum>
  <w:abstractNum w:abstractNumId="5">
    <w:nsid w:val="233D11D6"/>
    <w:multiLevelType w:val="singleLevel"/>
    <w:tmpl w:val="233D11D6"/>
    <w:lvl w:ilvl="0" w:tentative="0">
      <w:start w:val="1"/>
      <w:numFmt w:val="decimal"/>
      <w:suff w:val="nothing"/>
      <w:lvlText w:val="%1、"/>
      <w:lvlJc w:val="left"/>
      <w:rPr>
        <w:rFonts w:hint="default"/>
        <w:b/>
        <w:bCs/>
        <w:sz w:val="24"/>
        <w:szCs w:val="24"/>
      </w:rPr>
    </w:lvl>
  </w:abstractNum>
  <w:abstractNum w:abstractNumId="6">
    <w:nsid w:val="779FD336"/>
    <w:multiLevelType w:val="singleLevel"/>
    <w:tmpl w:val="779FD336"/>
    <w:lvl w:ilvl="0" w:tentative="0">
      <w:start w:val="1"/>
      <w:numFmt w:val="decimal"/>
      <w:suff w:val="nothing"/>
      <w:lvlText w:val="（%1）"/>
      <w:lvlJc w:val="left"/>
    </w:lvl>
  </w:abstractNum>
  <w:abstractNum w:abstractNumId="7">
    <w:nsid w:val="796EF296"/>
    <w:multiLevelType w:val="singleLevel"/>
    <w:tmpl w:val="796EF296"/>
    <w:lvl w:ilvl="0" w:tentative="0">
      <w:start w:val="3"/>
      <w:numFmt w:val="decimal"/>
      <w:suff w:val="nothing"/>
      <w:lvlText w:val="（%1）"/>
      <w:lvlJc w:val="left"/>
    </w:lvl>
  </w:abstractNum>
  <w:num w:numId="1">
    <w:abstractNumId w:val="2"/>
  </w:num>
  <w:num w:numId="2">
    <w:abstractNumId w:val="1"/>
  </w:num>
  <w:num w:numId="3">
    <w:abstractNumId w:val="7"/>
  </w:num>
  <w:num w:numId="4">
    <w:abstractNumId w:val="5"/>
  </w:num>
  <w:num w:numId="5">
    <w:abstractNumId w:val="4"/>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24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1OGJiNTcxNjU4MGFlMWYzZjFjYWM4MDVkZjczYWQifQ=="/>
  </w:docVars>
  <w:rsids>
    <w:rsidRoot w:val="00A14947"/>
    <w:rsid w:val="000060B3"/>
    <w:rsid w:val="0004364B"/>
    <w:rsid w:val="00061B1F"/>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3030B"/>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B49E2"/>
    <w:rsid w:val="002B7B00"/>
    <w:rsid w:val="002B7C44"/>
    <w:rsid w:val="002C2B17"/>
    <w:rsid w:val="002D3DD0"/>
    <w:rsid w:val="002E1F3A"/>
    <w:rsid w:val="002E298A"/>
    <w:rsid w:val="002F41F9"/>
    <w:rsid w:val="00301978"/>
    <w:rsid w:val="0030332C"/>
    <w:rsid w:val="003051C2"/>
    <w:rsid w:val="00312296"/>
    <w:rsid w:val="00314F0E"/>
    <w:rsid w:val="00321D8E"/>
    <w:rsid w:val="00325928"/>
    <w:rsid w:val="00332863"/>
    <w:rsid w:val="0033684D"/>
    <w:rsid w:val="00337B42"/>
    <w:rsid w:val="00341B42"/>
    <w:rsid w:val="0034348F"/>
    <w:rsid w:val="00351BFB"/>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84B9B"/>
    <w:rsid w:val="004855F6"/>
    <w:rsid w:val="0048661E"/>
    <w:rsid w:val="00494670"/>
    <w:rsid w:val="004A3823"/>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617CC3"/>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32922"/>
    <w:rsid w:val="0075162E"/>
    <w:rsid w:val="00754034"/>
    <w:rsid w:val="00756556"/>
    <w:rsid w:val="007603C0"/>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3743"/>
    <w:rsid w:val="008340A4"/>
    <w:rsid w:val="0087135F"/>
    <w:rsid w:val="00872D94"/>
    <w:rsid w:val="00880364"/>
    <w:rsid w:val="00881A31"/>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14B6"/>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24EBD"/>
    <w:rsid w:val="00A32A83"/>
    <w:rsid w:val="00A368DB"/>
    <w:rsid w:val="00A423AA"/>
    <w:rsid w:val="00A53EC6"/>
    <w:rsid w:val="00A55C0F"/>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264F2"/>
    <w:rsid w:val="00B31ABF"/>
    <w:rsid w:val="00B33BE3"/>
    <w:rsid w:val="00B53B5D"/>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308ED"/>
    <w:rsid w:val="00D36D86"/>
    <w:rsid w:val="00D428AA"/>
    <w:rsid w:val="00D50A34"/>
    <w:rsid w:val="00D53EFA"/>
    <w:rsid w:val="00D94A7C"/>
    <w:rsid w:val="00D95896"/>
    <w:rsid w:val="00DB2983"/>
    <w:rsid w:val="00DC1257"/>
    <w:rsid w:val="00DC2680"/>
    <w:rsid w:val="00DC3DC0"/>
    <w:rsid w:val="00DC5B2B"/>
    <w:rsid w:val="00DD318D"/>
    <w:rsid w:val="00DE6D06"/>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9242D"/>
    <w:rsid w:val="00EB5255"/>
    <w:rsid w:val="00EB5C47"/>
    <w:rsid w:val="00ED0639"/>
    <w:rsid w:val="00EF4755"/>
    <w:rsid w:val="00EF7135"/>
    <w:rsid w:val="00F027DB"/>
    <w:rsid w:val="00F14A7A"/>
    <w:rsid w:val="00F22985"/>
    <w:rsid w:val="00F3383E"/>
    <w:rsid w:val="00F41B7F"/>
    <w:rsid w:val="00F465A7"/>
    <w:rsid w:val="00F50B7C"/>
    <w:rsid w:val="00F550E6"/>
    <w:rsid w:val="00F74345"/>
    <w:rsid w:val="00F80A0A"/>
    <w:rsid w:val="00F82B19"/>
    <w:rsid w:val="00F9212D"/>
    <w:rsid w:val="00F95A97"/>
    <w:rsid w:val="00F965DA"/>
    <w:rsid w:val="00FA406A"/>
    <w:rsid w:val="00FB503A"/>
    <w:rsid w:val="00FB516C"/>
    <w:rsid w:val="00FD0236"/>
    <w:rsid w:val="00FD18F4"/>
    <w:rsid w:val="00FD54DB"/>
    <w:rsid w:val="00FD619F"/>
    <w:rsid w:val="01113ACD"/>
    <w:rsid w:val="011E0B4A"/>
    <w:rsid w:val="01290F7E"/>
    <w:rsid w:val="01464A85"/>
    <w:rsid w:val="015C5CB4"/>
    <w:rsid w:val="015D1E09"/>
    <w:rsid w:val="019D0730"/>
    <w:rsid w:val="01BA47CA"/>
    <w:rsid w:val="01CC64D9"/>
    <w:rsid w:val="01D46E90"/>
    <w:rsid w:val="024F550A"/>
    <w:rsid w:val="026223A4"/>
    <w:rsid w:val="02697903"/>
    <w:rsid w:val="02767476"/>
    <w:rsid w:val="02981163"/>
    <w:rsid w:val="02AA722A"/>
    <w:rsid w:val="02D37EB0"/>
    <w:rsid w:val="02F95D99"/>
    <w:rsid w:val="02F96569"/>
    <w:rsid w:val="02FB6D1E"/>
    <w:rsid w:val="030D3E41"/>
    <w:rsid w:val="03107EDB"/>
    <w:rsid w:val="033E6F2F"/>
    <w:rsid w:val="03B828E3"/>
    <w:rsid w:val="03EA7B21"/>
    <w:rsid w:val="03F51722"/>
    <w:rsid w:val="040F607C"/>
    <w:rsid w:val="041D5DAF"/>
    <w:rsid w:val="04667A2B"/>
    <w:rsid w:val="04741CC5"/>
    <w:rsid w:val="04924CD9"/>
    <w:rsid w:val="04D85927"/>
    <w:rsid w:val="04F27E99"/>
    <w:rsid w:val="05391DFF"/>
    <w:rsid w:val="05591FF5"/>
    <w:rsid w:val="05BE36B7"/>
    <w:rsid w:val="05E5546B"/>
    <w:rsid w:val="05EA4B8A"/>
    <w:rsid w:val="05F83EAE"/>
    <w:rsid w:val="06000D39"/>
    <w:rsid w:val="061C2E8F"/>
    <w:rsid w:val="063E7D85"/>
    <w:rsid w:val="06435898"/>
    <w:rsid w:val="065434CB"/>
    <w:rsid w:val="065E2E82"/>
    <w:rsid w:val="06623179"/>
    <w:rsid w:val="06CD7561"/>
    <w:rsid w:val="06CE3A8A"/>
    <w:rsid w:val="06E6773D"/>
    <w:rsid w:val="07065F22"/>
    <w:rsid w:val="07293586"/>
    <w:rsid w:val="07295285"/>
    <w:rsid w:val="073E50B3"/>
    <w:rsid w:val="074A2E94"/>
    <w:rsid w:val="07636392"/>
    <w:rsid w:val="07770C56"/>
    <w:rsid w:val="07893F2F"/>
    <w:rsid w:val="078A2181"/>
    <w:rsid w:val="07BB01ED"/>
    <w:rsid w:val="07CA609C"/>
    <w:rsid w:val="07EE4B08"/>
    <w:rsid w:val="07FD2F68"/>
    <w:rsid w:val="08034550"/>
    <w:rsid w:val="08115F3A"/>
    <w:rsid w:val="08413EFA"/>
    <w:rsid w:val="085831FB"/>
    <w:rsid w:val="088C58E2"/>
    <w:rsid w:val="08B8335F"/>
    <w:rsid w:val="08B865BE"/>
    <w:rsid w:val="08C2566D"/>
    <w:rsid w:val="09194CC4"/>
    <w:rsid w:val="092217DD"/>
    <w:rsid w:val="093A7294"/>
    <w:rsid w:val="09430E45"/>
    <w:rsid w:val="09E44F83"/>
    <w:rsid w:val="09EF6814"/>
    <w:rsid w:val="0A263993"/>
    <w:rsid w:val="0A2D3AC2"/>
    <w:rsid w:val="0A464EA8"/>
    <w:rsid w:val="0A7C390D"/>
    <w:rsid w:val="0A802CC4"/>
    <w:rsid w:val="0AA7129C"/>
    <w:rsid w:val="0AA755DF"/>
    <w:rsid w:val="0AC64E8B"/>
    <w:rsid w:val="0AE32E78"/>
    <w:rsid w:val="0B120D44"/>
    <w:rsid w:val="0B46638A"/>
    <w:rsid w:val="0B4877B6"/>
    <w:rsid w:val="0B662F05"/>
    <w:rsid w:val="0BD27BF6"/>
    <w:rsid w:val="0C1741FF"/>
    <w:rsid w:val="0C3B3C7D"/>
    <w:rsid w:val="0C704602"/>
    <w:rsid w:val="0CAB2EAE"/>
    <w:rsid w:val="0CB01880"/>
    <w:rsid w:val="0CBF30C0"/>
    <w:rsid w:val="0CDF70AA"/>
    <w:rsid w:val="0CE8383B"/>
    <w:rsid w:val="0D2872A2"/>
    <w:rsid w:val="0D4E76D2"/>
    <w:rsid w:val="0D570D57"/>
    <w:rsid w:val="0D5B011C"/>
    <w:rsid w:val="0D621C7D"/>
    <w:rsid w:val="0D6439EC"/>
    <w:rsid w:val="0D742FEC"/>
    <w:rsid w:val="0E1A32CC"/>
    <w:rsid w:val="0E4612B7"/>
    <w:rsid w:val="0E527771"/>
    <w:rsid w:val="0E5E6DE0"/>
    <w:rsid w:val="0E73034D"/>
    <w:rsid w:val="0E88187E"/>
    <w:rsid w:val="0F0C1D2E"/>
    <w:rsid w:val="0F13775A"/>
    <w:rsid w:val="0F3830FD"/>
    <w:rsid w:val="0F5F45FE"/>
    <w:rsid w:val="0F9A112B"/>
    <w:rsid w:val="0F9C3E91"/>
    <w:rsid w:val="0FA64FF8"/>
    <w:rsid w:val="0FAF3AA6"/>
    <w:rsid w:val="0FDA5B36"/>
    <w:rsid w:val="0FF81EC7"/>
    <w:rsid w:val="10240EEE"/>
    <w:rsid w:val="1028408C"/>
    <w:rsid w:val="102E0B5A"/>
    <w:rsid w:val="10460165"/>
    <w:rsid w:val="105B3112"/>
    <w:rsid w:val="10631D28"/>
    <w:rsid w:val="10646263"/>
    <w:rsid w:val="106D2F64"/>
    <w:rsid w:val="108E30F0"/>
    <w:rsid w:val="10B23B37"/>
    <w:rsid w:val="10B63710"/>
    <w:rsid w:val="10F10820"/>
    <w:rsid w:val="11185091"/>
    <w:rsid w:val="1119589E"/>
    <w:rsid w:val="111C2F7A"/>
    <w:rsid w:val="111F5FEC"/>
    <w:rsid w:val="113F529C"/>
    <w:rsid w:val="11665CA1"/>
    <w:rsid w:val="116A0738"/>
    <w:rsid w:val="11823EC9"/>
    <w:rsid w:val="11CC73A0"/>
    <w:rsid w:val="11E668D7"/>
    <w:rsid w:val="121A6368"/>
    <w:rsid w:val="12317EE8"/>
    <w:rsid w:val="12907582"/>
    <w:rsid w:val="12A30A91"/>
    <w:rsid w:val="12B42541"/>
    <w:rsid w:val="13090BB8"/>
    <w:rsid w:val="131A33B2"/>
    <w:rsid w:val="133409A6"/>
    <w:rsid w:val="134111B2"/>
    <w:rsid w:val="13431F3F"/>
    <w:rsid w:val="136673B0"/>
    <w:rsid w:val="138262EA"/>
    <w:rsid w:val="138D70C1"/>
    <w:rsid w:val="13951726"/>
    <w:rsid w:val="13B02A8C"/>
    <w:rsid w:val="13BE7D37"/>
    <w:rsid w:val="13DF668A"/>
    <w:rsid w:val="13F07645"/>
    <w:rsid w:val="13FF287E"/>
    <w:rsid w:val="14396509"/>
    <w:rsid w:val="143B65FA"/>
    <w:rsid w:val="144F513B"/>
    <w:rsid w:val="147434E2"/>
    <w:rsid w:val="14776E42"/>
    <w:rsid w:val="14A43135"/>
    <w:rsid w:val="14DD2C3C"/>
    <w:rsid w:val="14EA48EA"/>
    <w:rsid w:val="15257C70"/>
    <w:rsid w:val="152D0A3B"/>
    <w:rsid w:val="153A3168"/>
    <w:rsid w:val="155C4E15"/>
    <w:rsid w:val="15621226"/>
    <w:rsid w:val="158914BB"/>
    <w:rsid w:val="15A045F7"/>
    <w:rsid w:val="15D1058E"/>
    <w:rsid w:val="15D20113"/>
    <w:rsid w:val="15D26FF0"/>
    <w:rsid w:val="16007AB2"/>
    <w:rsid w:val="16087E1D"/>
    <w:rsid w:val="16213887"/>
    <w:rsid w:val="16AC7DD5"/>
    <w:rsid w:val="16CB5618"/>
    <w:rsid w:val="16FF3F74"/>
    <w:rsid w:val="17171186"/>
    <w:rsid w:val="1731262F"/>
    <w:rsid w:val="173475A1"/>
    <w:rsid w:val="175744B3"/>
    <w:rsid w:val="17701D14"/>
    <w:rsid w:val="17735226"/>
    <w:rsid w:val="17865ED8"/>
    <w:rsid w:val="178C4AB4"/>
    <w:rsid w:val="179B0129"/>
    <w:rsid w:val="17A24160"/>
    <w:rsid w:val="17EB5932"/>
    <w:rsid w:val="17EF4B9B"/>
    <w:rsid w:val="17FB4DB8"/>
    <w:rsid w:val="18033785"/>
    <w:rsid w:val="18115FA7"/>
    <w:rsid w:val="183C1816"/>
    <w:rsid w:val="18432BEA"/>
    <w:rsid w:val="18504D21"/>
    <w:rsid w:val="189F624C"/>
    <w:rsid w:val="18E263BA"/>
    <w:rsid w:val="18E42AC2"/>
    <w:rsid w:val="19174F8C"/>
    <w:rsid w:val="19607A6D"/>
    <w:rsid w:val="19D315A2"/>
    <w:rsid w:val="19F40762"/>
    <w:rsid w:val="1A1346D7"/>
    <w:rsid w:val="1A137E46"/>
    <w:rsid w:val="1A1C66C0"/>
    <w:rsid w:val="1A28109A"/>
    <w:rsid w:val="1A42393B"/>
    <w:rsid w:val="1A445A0A"/>
    <w:rsid w:val="1A5676E8"/>
    <w:rsid w:val="1AA06875"/>
    <w:rsid w:val="1AAD45DE"/>
    <w:rsid w:val="1AB943F9"/>
    <w:rsid w:val="1AE53EF7"/>
    <w:rsid w:val="1B046F80"/>
    <w:rsid w:val="1B3249ED"/>
    <w:rsid w:val="1B3267B5"/>
    <w:rsid w:val="1B40161D"/>
    <w:rsid w:val="1B4160A6"/>
    <w:rsid w:val="1B441859"/>
    <w:rsid w:val="1B6606B1"/>
    <w:rsid w:val="1B685992"/>
    <w:rsid w:val="1B7E7DF7"/>
    <w:rsid w:val="1B9F213C"/>
    <w:rsid w:val="1BB25B54"/>
    <w:rsid w:val="1BBC7132"/>
    <w:rsid w:val="1C3E3668"/>
    <w:rsid w:val="1C5E7925"/>
    <w:rsid w:val="1C655FC8"/>
    <w:rsid w:val="1CD00D9F"/>
    <w:rsid w:val="1CD314D0"/>
    <w:rsid w:val="1CF65792"/>
    <w:rsid w:val="1CFC46C1"/>
    <w:rsid w:val="1CFD070F"/>
    <w:rsid w:val="1D011A95"/>
    <w:rsid w:val="1D5630E4"/>
    <w:rsid w:val="1D5F6196"/>
    <w:rsid w:val="1D6132A5"/>
    <w:rsid w:val="1D8E56D5"/>
    <w:rsid w:val="1D927B8A"/>
    <w:rsid w:val="1DA70108"/>
    <w:rsid w:val="1DAF767D"/>
    <w:rsid w:val="1DD76877"/>
    <w:rsid w:val="1E1B11C2"/>
    <w:rsid w:val="1E255A2C"/>
    <w:rsid w:val="1E3663F2"/>
    <w:rsid w:val="1E3F4D99"/>
    <w:rsid w:val="1E4C3A00"/>
    <w:rsid w:val="1E6D119C"/>
    <w:rsid w:val="1E7A43DA"/>
    <w:rsid w:val="1EA05A97"/>
    <w:rsid w:val="1EA41F0A"/>
    <w:rsid w:val="1F2928B1"/>
    <w:rsid w:val="1F2B7CAE"/>
    <w:rsid w:val="1F564397"/>
    <w:rsid w:val="1F75623E"/>
    <w:rsid w:val="1FA476A3"/>
    <w:rsid w:val="1FE7539E"/>
    <w:rsid w:val="202076CF"/>
    <w:rsid w:val="20265902"/>
    <w:rsid w:val="203344DD"/>
    <w:rsid w:val="20352361"/>
    <w:rsid w:val="20490699"/>
    <w:rsid w:val="204C364A"/>
    <w:rsid w:val="20671BE0"/>
    <w:rsid w:val="207B4A9D"/>
    <w:rsid w:val="20963CB8"/>
    <w:rsid w:val="20A81A1B"/>
    <w:rsid w:val="20B07FB6"/>
    <w:rsid w:val="20B646FB"/>
    <w:rsid w:val="20C36B83"/>
    <w:rsid w:val="20D26716"/>
    <w:rsid w:val="20D927D9"/>
    <w:rsid w:val="21263BF2"/>
    <w:rsid w:val="21284670"/>
    <w:rsid w:val="213B74B1"/>
    <w:rsid w:val="214C7C2D"/>
    <w:rsid w:val="215A2310"/>
    <w:rsid w:val="21656D1C"/>
    <w:rsid w:val="216821FF"/>
    <w:rsid w:val="216E552B"/>
    <w:rsid w:val="21B225A8"/>
    <w:rsid w:val="21C9156C"/>
    <w:rsid w:val="21DE318A"/>
    <w:rsid w:val="21EF5B80"/>
    <w:rsid w:val="21F12EE0"/>
    <w:rsid w:val="22401799"/>
    <w:rsid w:val="22576990"/>
    <w:rsid w:val="228C4BA7"/>
    <w:rsid w:val="22976A2C"/>
    <w:rsid w:val="22B33472"/>
    <w:rsid w:val="22D7787B"/>
    <w:rsid w:val="22E83975"/>
    <w:rsid w:val="22F47480"/>
    <w:rsid w:val="22FB3556"/>
    <w:rsid w:val="23245445"/>
    <w:rsid w:val="23337EA3"/>
    <w:rsid w:val="23617369"/>
    <w:rsid w:val="2367514F"/>
    <w:rsid w:val="237468A9"/>
    <w:rsid w:val="23803490"/>
    <w:rsid w:val="23A012E0"/>
    <w:rsid w:val="23C3103F"/>
    <w:rsid w:val="23C83725"/>
    <w:rsid w:val="23DE1C48"/>
    <w:rsid w:val="23E5296E"/>
    <w:rsid w:val="23E6478B"/>
    <w:rsid w:val="23EE6999"/>
    <w:rsid w:val="240210CD"/>
    <w:rsid w:val="240E2574"/>
    <w:rsid w:val="243414E1"/>
    <w:rsid w:val="24517416"/>
    <w:rsid w:val="248F7A11"/>
    <w:rsid w:val="24977A47"/>
    <w:rsid w:val="24B2607E"/>
    <w:rsid w:val="24BF09F7"/>
    <w:rsid w:val="24E07795"/>
    <w:rsid w:val="24E3110E"/>
    <w:rsid w:val="250C7E18"/>
    <w:rsid w:val="251147EE"/>
    <w:rsid w:val="2527505B"/>
    <w:rsid w:val="252D53FE"/>
    <w:rsid w:val="25EC2D81"/>
    <w:rsid w:val="26215016"/>
    <w:rsid w:val="262619C5"/>
    <w:rsid w:val="264B37F4"/>
    <w:rsid w:val="26B56ED8"/>
    <w:rsid w:val="26BE4A47"/>
    <w:rsid w:val="26CD1C32"/>
    <w:rsid w:val="26F95A0D"/>
    <w:rsid w:val="273E27E8"/>
    <w:rsid w:val="277057A2"/>
    <w:rsid w:val="27875CC4"/>
    <w:rsid w:val="27C64FF9"/>
    <w:rsid w:val="28485A15"/>
    <w:rsid w:val="284E2D93"/>
    <w:rsid w:val="2874016E"/>
    <w:rsid w:val="28B84A26"/>
    <w:rsid w:val="28C80903"/>
    <w:rsid w:val="29001145"/>
    <w:rsid w:val="29127758"/>
    <w:rsid w:val="29206EB8"/>
    <w:rsid w:val="29285F1C"/>
    <w:rsid w:val="29361B01"/>
    <w:rsid w:val="29595666"/>
    <w:rsid w:val="29820027"/>
    <w:rsid w:val="29874881"/>
    <w:rsid w:val="298A1025"/>
    <w:rsid w:val="29BE2B2F"/>
    <w:rsid w:val="29E325E0"/>
    <w:rsid w:val="2A2E4E47"/>
    <w:rsid w:val="2A452503"/>
    <w:rsid w:val="2A494CCF"/>
    <w:rsid w:val="2A580A0E"/>
    <w:rsid w:val="2A69258B"/>
    <w:rsid w:val="2A76603C"/>
    <w:rsid w:val="2A856662"/>
    <w:rsid w:val="2ACC4A59"/>
    <w:rsid w:val="2B08148B"/>
    <w:rsid w:val="2B0E6673"/>
    <w:rsid w:val="2B1A634A"/>
    <w:rsid w:val="2B3E7F64"/>
    <w:rsid w:val="2B413D82"/>
    <w:rsid w:val="2B7E1F20"/>
    <w:rsid w:val="2B982729"/>
    <w:rsid w:val="2BA936A8"/>
    <w:rsid w:val="2BC22C9C"/>
    <w:rsid w:val="2BCC667D"/>
    <w:rsid w:val="2BDB6BA0"/>
    <w:rsid w:val="2C315A5A"/>
    <w:rsid w:val="2C4B1C25"/>
    <w:rsid w:val="2C4D0E98"/>
    <w:rsid w:val="2C96242D"/>
    <w:rsid w:val="2CC56DE4"/>
    <w:rsid w:val="2CC65CD5"/>
    <w:rsid w:val="2CE90F62"/>
    <w:rsid w:val="2CF81414"/>
    <w:rsid w:val="2D0929A6"/>
    <w:rsid w:val="2D17768B"/>
    <w:rsid w:val="2D2265D6"/>
    <w:rsid w:val="2D424A36"/>
    <w:rsid w:val="2D6B35AE"/>
    <w:rsid w:val="2D8A318A"/>
    <w:rsid w:val="2D9E56F5"/>
    <w:rsid w:val="2DE66A50"/>
    <w:rsid w:val="2DF5394F"/>
    <w:rsid w:val="2E667F96"/>
    <w:rsid w:val="2E681DAD"/>
    <w:rsid w:val="2E6B6BD4"/>
    <w:rsid w:val="2E8226AB"/>
    <w:rsid w:val="2E8D2B8C"/>
    <w:rsid w:val="2EA241E4"/>
    <w:rsid w:val="2EB8653D"/>
    <w:rsid w:val="2F256F42"/>
    <w:rsid w:val="2F265000"/>
    <w:rsid w:val="2F486D7F"/>
    <w:rsid w:val="2F666129"/>
    <w:rsid w:val="2FD065E6"/>
    <w:rsid w:val="2FD96870"/>
    <w:rsid w:val="2FDF4207"/>
    <w:rsid w:val="2FE30F65"/>
    <w:rsid w:val="300E69C7"/>
    <w:rsid w:val="302A1C88"/>
    <w:rsid w:val="30580BC9"/>
    <w:rsid w:val="306627DC"/>
    <w:rsid w:val="30736953"/>
    <w:rsid w:val="30754BE6"/>
    <w:rsid w:val="30A341ED"/>
    <w:rsid w:val="30AF188D"/>
    <w:rsid w:val="3104461F"/>
    <w:rsid w:val="310652CF"/>
    <w:rsid w:val="311326AC"/>
    <w:rsid w:val="311E2ED7"/>
    <w:rsid w:val="314F3769"/>
    <w:rsid w:val="315619EE"/>
    <w:rsid w:val="315C449C"/>
    <w:rsid w:val="319C6CC2"/>
    <w:rsid w:val="31AB237B"/>
    <w:rsid w:val="31B82709"/>
    <w:rsid w:val="31D05482"/>
    <w:rsid w:val="31FD161E"/>
    <w:rsid w:val="32050658"/>
    <w:rsid w:val="3219186F"/>
    <w:rsid w:val="32400B34"/>
    <w:rsid w:val="325E0B71"/>
    <w:rsid w:val="329E6876"/>
    <w:rsid w:val="32CA7B92"/>
    <w:rsid w:val="32CE6520"/>
    <w:rsid w:val="332F0815"/>
    <w:rsid w:val="333015F2"/>
    <w:rsid w:val="33390EC4"/>
    <w:rsid w:val="334B6320"/>
    <w:rsid w:val="33724583"/>
    <w:rsid w:val="33C52B3A"/>
    <w:rsid w:val="33D934D4"/>
    <w:rsid w:val="33DD46DA"/>
    <w:rsid w:val="33ED35A9"/>
    <w:rsid w:val="33FE2F6A"/>
    <w:rsid w:val="340E07E5"/>
    <w:rsid w:val="34235BF7"/>
    <w:rsid w:val="34336106"/>
    <w:rsid w:val="347309F0"/>
    <w:rsid w:val="348F562A"/>
    <w:rsid w:val="34A9783B"/>
    <w:rsid w:val="34B41A5F"/>
    <w:rsid w:val="3501552B"/>
    <w:rsid w:val="350C5088"/>
    <w:rsid w:val="350F78CB"/>
    <w:rsid w:val="35321FAF"/>
    <w:rsid w:val="354639B3"/>
    <w:rsid w:val="3550679A"/>
    <w:rsid w:val="35523A2F"/>
    <w:rsid w:val="3565121A"/>
    <w:rsid w:val="358C5FA8"/>
    <w:rsid w:val="3592135F"/>
    <w:rsid w:val="35AD335B"/>
    <w:rsid w:val="35AE42F8"/>
    <w:rsid w:val="35B539D0"/>
    <w:rsid w:val="35C15DF1"/>
    <w:rsid w:val="36074A7F"/>
    <w:rsid w:val="36416261"/>
    <w:rsid w:val="367800B6"/>
    <w:rsid w:val="36923549"/>
    <w:rsid w:val="36B75FBF"/>
    <w:rsid w:val="36BA3AA7"/>
    <w:rsid w:val="36BD0C45"/>
    <w:rsid w:val="36DF3460"/>
    <w:rsid w:val="37010B31"/>
    <w:rsid w:val="372A5FB6"/>
    <w:rsid w:val="37991DE9"/>
    <w:rsid w:val="37BB598B"/>
    <w:rsid w:val="37E00298"/>
    <w:rsid w:val="37F2722E"/>
    <w:rsid w:val="380D44DE"/>
    <w:rsid w:val="382C1B0F"/>
    <w:rsid w:val="38475EC5"/>
    <w:rsid w:val="388900DE"/>
    <w:rsid w:val="38B302F9"/>
    <w:rsid w:val="38BA5A33"/>
    <w:rsid w:val="38F02619"/>
    <w:rsid w:val="38F12CD3"/>
    <w:rsid w:val="38F179B3"/>
    <w:rsid w:val="38F94775"/>
    <w:rsid w:val="390D5F46"/>
    <w:rsid w:val="39135BBA"/>
    <w:rsid w:val="392971ED"/>
    <w:rsid w:val="39325651"/>
    <w:rsid w:val="39361E2E"/>
    <w:rsid w:val="39547B12"/>
    <w:rsid w:val="397B7831"/>
    <w:rsid w:val="399759EB"/>
    <w:rsid w:val="39A779DC"/>
    <w:rsid w:val="3A07204D"/>
    <w:rsid w:val="3A1204A1"/>
    <w:rsid w:val="3A730749"/>
    <w:rsid w:val="3A872856"/>
    <w:rsid w:val="3A882D08"/>
    <w:rsid w:val="3A97068C"/>
    <w:rsid w:val="3A9F12BF"/>
    <w:rsid w:val="3AC96263"/>
    <w:rsid w:val="3B2B2F7A"/>
    <w:rsid w:val="3B3763D1"/>
    <w:rsid w:val="3B403F9C"/>
    <w:rsid w:val="3B76156C"/>
    <w:rsid w:val="3B7D0C4F"/>
    <w:rsid w:val="3B8B0FCD"/>
    <w:rsid w:val="3BA701E3"/>
    <w:rsid w:val="3BB57101"/>
    <w:rsid w:val="3BC07F72"/>
    <w:rsid w:val="3BE64C7C"/>
    <w:rsid w:val="3C1D682F"/>
    <w:rsid w:val="3C2F6E1E"/>
    <w:rsid w:val="3C3E099B"/>
    <w:rsid w:val="3C4A2E77"/>
    <w:rsid w:val="3C4F64BA"/>
    <w:rsid w:val="3C7E6A0C"/>
    <w:rsid w:val="3CDA245A"/>
    <w:rsid w:val="3D104A03"/>
    <w:rsid w:val="3D1E06B7"/>
    <w:rsid w:val="3D2B609B"/>
    <w:rsid w:val="3D5C2B76"/>
    <w:rsid w:val="3D657C0F"/>
    <w:rsid w:val="3DA34958"/>
    <w:rsid w:val="3DB35286"/>
    <w:rsid w:val="3DF44ACD"/>
    <w:rsid w:val="3DF727C2"/>
    <w:rsid w:val="3E10092B"/>
    <w:rsid w:val="3E337B2A"/>
    <w:rsid w:val="3EB86F08"/>
    <w:rsid w:val="3EDA0523"/>
    <w:rsid w:val="3EE67F87"/>
    <w:rsid w:val="3EEB4F86"/>
    <w:rsid w:val="3EEF0D52"/>
    <w:rsid w:val="3EF95EC6"/>
    <w:rsid w:val="3F404954"/>
    <w:rsid w:val="3F454604"/>
    <w:rsid w:val="3F48003F"/>
    <w:rsid w:val="3F62320B"/>
    <w:rsid w:val="3F9006D6"/>
    <w:rsid w:val="3FF03236"/>
    <w:rsid w:val="407A6407"/>
    <w:rsid w:val="40D85B3D"/>
    <w:rsid w:val="418C09AF"/>
    <w:rsid w:val="41EF790E"/>
    <w:rsid w:val="4200449D"/>
    <w:rsid w:val="421D67C5"/>
    <w:rsid w:val="423A3BCC"/>
    <w:rsid w:val="423E4A28"/>
    <w:rsid w:val="424D161D"/>
    <w:rsid w:val="424E57D2"/>
    <w:rsid w:val="42721EA8"/>
    <w:rsid w:val="42816AAC"/>
    <w:rsid w:val="42B26C49"/>
    <w:rsid w:val="42E73D13"/>
    <w:rsid w:val="432F1C80"/>
    <w:rsid w:val="43326C4D"/>
    <w:rsid w:val="433A6FE6"/>
    <w:rsid w:val="43480868"/>
    <w:rsid w:val="434A773D"/>
    <w:rsid w:val="434E0495"/>
    <w:rsid w:val="434E21CC"/>
    <w:rsid w:val="4350713C"/>
    <w:rsid w:val="436001D4"/>
    <w:rsid w:val="43654793"/>
    <w:rsid w:val="436653E0"/>
    <w:rsid w:val="43720DC1"/>
    <w:rsid w:val="437C3CB6"/>
    <w:rsid w:val="43A00B6A"/>
    <w:rsid w:val="43C4431A"/>
    <w:rsid w:val="4418238E"/>
    <w:rsid w:val="44487FB4"/>
    <w:rsid w:val="444D2782"/>
    <w:rsid w:val="447119F7"/>
    <w:rsid w:val="44A65088"/>
    <w:rsid w:val="44B951CC"/>
    <w:rsid w:val="44CD14E0"/>
    <w:rsid w:val="44F20B0B"/>
    <w:rsid w:val="45060392"/>
    <w:rsid w:val="451008ED"/>
    <w:rsid w:val="4523312E"/>
    <w:rsid w:val="452E5F4C"/>
    <w:rsid w:val="45304261"/>
    <w:rsid w:val="45321D5B"/>
    <w:rsid w:val="454B4E95"/>
    <w:rsid w:val="454B661F"/>
    <w:rsid w:val="45586341"/>
    <w:rsid w:val="45612018"/>
    <w:rsid w:val="45617E79"/>
    <w:rsid w:val="45750685"/>
    <w:rsid w:val="458946E9"/>
    <w:rsid w:val="45A47C0E"/>
    <w:rsid w:val="45EA49A6"/>
    <w:rsid w:val="463C6E6A"/>
    <w:rsid w:val="46577FD6"/>
    <w:rsid w:val="46AA5E91"/>
    <w:rsid w:val="46BB461F"/>
    <w:rsid w:val="46D955A7"/>
    <w:rsid w:val="46E63F61"/>
    <w:rsid w:val="46F25071"/>
    <w:rsid w:val="47112200"/>
    <w:rsid w:val="47133957"/>
    <w:rsid w:val="472D34B9"/>
    <w:rsid w:val="477F6F51"/>
    <w:rsid w:val="47812EFD"/>
    <w:rsid w:val="4792415F"/>
    <w:rsid w:val="47A07E0C"/>
    <w:rsid w:val="47A12F36"/>
    <w:rsid w:val="47CB3E38"/>
    <w:rsid w:val="47D30A52"/>
    <w:rsid w:val="47D67C40"/>
    <w:rsid w:val="480B6240"/>
    <w:rsid w:val="485E04E5"/>
    <w:rsid w:val="4870272E"/>
    <w:rsid w:val="48B87C5F"/>
    <w:rsid w:val="48B94448"/>
    <w:rsid w:val="48C57A24"/>
    <w:rsid w:val="48CE4277"/>
    <w:rsid w:val="4905425A"/>
    <w:rsid w:val="491014AA"/>
    <w:rsid w:val="49185BC5"/>
    <w:rsid w:val="491B7088"/>
    <w:rsid w:val="494C35F9"/>
    <w:rsid w:val="495F1A6B"/>
    <w:rsid w:val="49661802"/>
    <w:rsid w:val="49A563CB"/>
    <w:rsid w:val="49BC757A"/>
    <w:rsid w:val="49CF5DF4"/>
    <w:rsid w:val="49DC7715"/>
    <w:rsid w:val="4A023139"/>
    <w:rsid w:val="4A1A3A80"/>
    <w:rsid w:val="4A1E2784"/>
    <w:rsid w:val="4A3579D0"/>
    <w:rsid w:val="4A4C114A"/>
    <w:rsid w:val="4A5327F3"/>
    <w:rsid w:val="4A6317A4"/>
    <w:rsid w:val="4A7B576F"/>
    <w:rsid w:val="4A8E572B"/>
    <w:rsid w:val="4A9D3D46"/>
    <w:rsid w:val="4ADE139B"/>
    <w:rsid w:val="4AF561A9"/>
    <w:rsid w:val="4B0072DB"/>
    <w:rsid w:val="4B0310FF"/>
    <w:rsid w:val="4B0D3EC6"/>
    <w:rsid w:val="4B392944"/>
    <w:rsid w:val="4B53235D"/>
    <w:rsid w:val="4B881CFC"/>
    <w:rsid w:val="4BB444F7"/>
    <w:rsid w:val="4BF413E4"/>
    <w:rsid w:val="4BF74ED8"/>
    <w:rsid w:val="4BFB7DB3"/>
    <w:rsid w:val="4BFE29D7"/>
    <w:rsid w:val="4C4A0649"/>
    <w:rsid w:val="4C605FD4"/>
    <w:rsid w:val="4C7E5ECA"/>
    <w:rsid w:val="4C7F3F5D"/>
    <w:rsid w:val="4C876AA5"/>
    <w:rsid w:val="4CDC0039"/>
    <w:rsid w:val="4CED69A2"/>
    <w:rsid w:val="4CFB758B"/>
    <w:rsid w:val="4D0E00FB"/>
    <w:rsid w:val="4D105656"/>
    <w:rsid w:val="4D171CCF"/>
    <w:rsid w:val="4D176606"/>
    <w:rsid w:val="4D2E0C27"/>
    <w:rsid w:val="4D302450"/>
    <w:rsid w:val="4D3F580C"/>
    <w:rsid w:val="4D480B30"/>
    <w:rsid w:val="4D556786"/>
    <w:rsid w:val="4D82005D"/>
    <w:rsid w:val="4DB36985"/>
    <w:rsid w:val="4DBD2397"/>
    <w:rsid w:val="4DC87A9C"/>
    <w:rsid w:val="4DEC4FB0"/>
    <w:rsid w:val="4E075D8A"/>
    <w:rsid w:val="4E2D147F"/>
    <w:rsid w:val="4E564E00"/>
    <w:rsid w:val="4E7874D7"/>
    <w:rsid w:val="4E8672DF"/>
    <w:rsid w:val="4E9B7D6C"/>
    <w:rsid w:val="4E9D1CE1"/>
    <w:rsid w:val="4E9F5DB2"/>
    <w:rsid w:val="4EB55296"/>
    <w:rsid w:val="4EC00FAD"/>
    <w:rsid w:val="4EC15119"/>
    <w:rsid w:val="4EE87931"/>
    <w:rsid w:val="4EF47E4F"/>
    <w:rsid w:val="4F421925"/>
    <w:rsid w:val="4F6C127D"/>
    <w:rsid w:val="4F9843DC"/>
    <w:rsid w:val="4FC62A8C"/>
    <w:rsid w:val="4FC669C7"/>
    <w:rsid w:val="4FE20F0D"/>
    <w:rsid w:val="4FE51552"/>
    <w:rsid w:val="4FEC0A10"/>
    <w:rsid w:val="50504C4B"/>
    <w:rsid w:val="505626AA"/>
    <w:rsid w:val="509C6E7C"/>
    <w:rsid w:val="50E41FDB"/>
    <w:rsid w:val="51134562"/>
    <w:rsid w:val="5162104E"/>
    <w:rsid w:val="516E07A0"/>
    <w:rsid w:val="51866F47"/>
    <w:rsid w:val="51BB6BC4"/>
    <w:rsid w:val="51C8269D"/>
    <w:rsid w:val="51CB07C6"/>
    <w:rsid w:val="51DA69F7"/>
    <w:rsid w:val="51DF61F2"/>
    <w:rsid w:val="51F2349C"/>
    <w:rsid w:val="524F5B51"/>
    <w:rsid w:val="52827125"/>
    <w:rsid w:val="52842DED"/>
    <w:rsid w:val="52A0335B"/>
    <w:rsid w:val="52EC678B"/>
    <w:rsid w:val="52F7693D"/>
    <w:rsid w:val="53296AF0"/>
    <w:rsid w:val="5348181A"/>
    <w:rsid w:val="5378431E"/>
    <w:rsid w:val="53891926"/>
    <w:rsid w:val="538D7C23"/>
    <w:rsid w:val="53A039CC"/>
    <w:rsid w:val="53A1505A"/>
    <w:rsid w:val="53AA0A87"/>
    <w:rsid w:val="53C733E2"/>
    <w:rsid w:val="54043905"/>
    <w:rsid w:val="54063E08"/>
    <w:rsid w:val="5416065F"/>
    <w:rsid w:val="543437E8"/>
    <w:rsid w:val="546F3C12"/>
    <w:rsid w:val="54817A35"/>
    <w:rsid w:val="549C3834"/>
    <w:rsid w:val="54AA2B9E"/>
    <w:rsid w:val="54C115E8"/>
    <w:rsid w:val="54F73313"/>
    <w:rsid w:val="54F80955"/>
    <w:rsid w:val="5508122E"/>
    <w:rsid w:val="55106B84"/>
    <w:rsid w:val="55431621"/>
    <w:rsid w:val="555170A7"/>
    <w:rsid w:val="555A00C6"/>
    <w:rsid w:val="555B2062"/>
    <w:rsid w:val="5587536D"/>
    <w:rsid w:val="55906F34"/>
    <w:rsid w:val="559B174B"/>
    <w:rsid w:val="559F02E5"/>
    <w:rsid w:val="55CE0CF4"/>
    <w:rsid w:val="55FB6735"/>
    <w:rsid w:val="5615713C"/>
    <w:rsid w:val="569862EE"/>
    <w:rsid w:val="56A43309"/>
    <w:rsid w:val="56A82F45"/>
    <w:rsid w:val="56B22A9C"/>
    <w:rsid w:val="56FF3953"/>
    <w:rsid w:val="57374974"/>
    <w:rsid w:val="57793F65"/>
    <w:rsid w:val="57B72A76"/>
    <w:rsid w:val="57C3426C"/>
    <w:rsid w:val="57CE1F93"/>
    <w:rsid w:val="57DC0BDC"/>
    <w:rsid w:val="582901C7"/>
    <w:rsid w:val="58341895"/>
    <w:rsid w:val="585A24FE"/>
    <w:rsid w:val="586D55CA"/>
    <w:rsid w:val="5880775F"/>
    <w:rsid w:val="588743D1"/>
    <w:rsid w:val="5887701A"/>
    <w:rsid w:val="58C82B4A"/>
    <w:rsid w:val="58C83A24"/>
    <w:rsid w:val="58F4686B"/>
    <w:rsid w:val="58FD3081"/>
    <w:rsid w:val="591308C9"/>
    <w:rsid w:val="59196F08"/>
    <w:rsid w:val="5984504A"/>
    <w:rsid w:val="59A26A9D"/>
    <w:rsid w:val="59C0439F"/>
    <w:rsid w:val="5A1F3E12"/>
    <w:rsid w:val="5A210A21"/>
    <w:rsid w:val="5A3463E4"/>
    <w:rsid w:val="5A8736DE"/>
    <w:rsid w:val="5A922190"/>
    <w:rsid w:val="5A9E33F9"/>
    <w:rsid w:val="5ABE2233"/>
    <w:rsid w:val="5ACC18B7"/>
    <w:rsid w:val="5AD87297"/>
    <w:rsid w:val="5AE01618"/>
    <w:rsid w:val="5AEB447E"/>
    <w:rsid w:val="5B0D4129"/>
    <w:rsid w:val="5B2A69F0"/>
    <w:rsid w:val="5B5F4B3A"/>
    <w:rsid w:val="5B9147BD"/>
    <w:rsid w:val="5BA921F5"/>
    <w:rsid w:val="5BDF5D95"/>
    <w:rsid w:val="5BF775B7"/>
    <w:rsid w:val="5BFE7528"/>
    <w:rsid w:val="5D037D89"/>
    <w:rsid w:val="5D093429"/>
    <w:rsid w:val="5D174F1C"/>
    <w:rsid w:val="5D7E25BA"/>
    <w:rsid w:val="5DA72C52"/>
    <w:rsid w:val="5DDC7EB5"/>
    <w:rsid w:val="5DFB44B2"/>
    <w:rsid w:val="5DFD4613"/>
    <w:rsid w:val="5E242E32"/>
    <w:rsid w:val="5E2467F1"/>
    <w:rsid w:val="5E3B4AFD"/>
    <w:rsid w:val="5E43141D"/>
    <w:rsid w:val="5EC400F9"/>
    <w:rsid w:val="5EDE731D"/>
    <w:rsid w:val="5F1A2B43"/>
    <w:rsid w:val="5F1D7D6A"/>
    <w:rsid w:val="5F4207E4"/>
    <w:rsid w:val="5F494A05"/>
    <w:rsid w:val="5F53568B"/>
    <w:rsid w:val="5F6E0BB6"/>
    <w:rsid w:val="5F7C23A0"/>
    <w:rsid w:val="5F8B486C"/>
    <w:rsid w:val="5FB837BB"/>
    <w:rsid w:val="5FE07D05"/>
    <w:rsid w:val="602F7491"/>
    <w:rsid w:val="603B3DB0"/>
    <w:rsid w:val="60503D50"/>
    <w:rsid w:val="605F3090"/>
    <w:rsid w:val="607D0AAB"/>
    <w:rsid w:val="60A75438"/>
    <w:rsid w:val="60B01C16"/>
    <w:rsid w:val="60B21215"/>
    <w:rsid w:val="60C05441"/>
    <w:rsid w:val="60C81AC4"/>
    <w:rsid w:val="60CC405A"/>
    <w:rsid w:val="60D151F4"/>
    <w:rsid w:val="60F50591"/>
    <w:rsid w:val="61300925"/>
    <w:rsid w:val="61E215D8"/>
    <w:rsid w:val="620F50ED"/>
    <w:rsid w:val="621B3775"/>
    <w:rsid w:val="62364782"/>
    <w:rsid w:val="62381540"/>
    <w:rsid w:val="625343FE"/>
    <w:rsid w:val="62CC5E45"/>
    <w:rsid w:val="62F053B9"/>
    <w:rsid w:val="633B34A5"/>
    <w:rsid w:val="633D20F1"/>
    <w:rsid w:val="6380515F"/>
    <w:rsid w:val="63905CCD"/>
    <w:rsid w:val="6394356A"/>
    <w:rsid w:val="63B737EA"/>
    <w:rsid w:val="63C47D35"/>
    <w:rsid w:val="63C61B2C"/>
    <w:rsid w:val="63D40BE9"/>
    <w:rsid w:val="64102431"/>
    <w:rsid w:val="644C5885"/>
    <w:rsid w:val="6467524F"/>
    <w:rsid w:val="647C5B23"/>
    <w:rsid w:val="647E3897"/>
    <w:rsid w:val="64A5243A"/>
    <w:rsid w:val="64DE0AB1"/>
    <w:rsid w:val="64ED27B4"/>
    <w:rsid w:val="64F531DE"/>
    <w:rsid w:val="65091AAC"/>
    <w:rsid w:val="65373578"/>
    <w:rsid w:val="657A673F"/>
    <w:rsid w:val="659006E0"/>
    <w:rsid w:val="65C856B1"/>
    <w:rsid w:val="65D23AC8"/>
    <w:rsid w:val="65EF7EAF"/>
    <w:rsid w:val="66055A2E"/>
    <w:rsid w:val="66296AAB"/>
    <w:rsid w:val="6632293D"/>
    <w:rsid w:val="6670264A"/>
    <w:rsid w:val="667953BF"/>
    <w:rsid w:val="66A47586"/>
    <w:rsid w:val="66CF658C"/>
    <w:rsid w:val="66DB6874"/>
    <w:rsid w:val="66EE6144"/>
    <w:rsid w:val="670D4BD7"/>
    <w:rsid w:val="671F124A"/>
    <w:rsid w:val="672F1572"/>
    <w:rsid w:val="67505EC7"/>
    <w:rsid w:val="67714E74"/>
    <w:rsid w:val="677A33C6"/>
    <w:rsid w:val="678363CC"/>
    <w:rsid w:val="67AD6DE0"/>
    <w:rsid w:val="67CC700E"/>
    <w:rsid w:val="67F14B8D"/>
    <w:rsid w:val="67F674EC"/>
    <w:rsid w:val="681F6961"/>
    <w:rsid w:val="682C0094"/>
    <w:rsid w:val="68553AA9"/>
    <w:rsid w:val="68577EBB"/>
    <w:rsid w:val="685A3532"/>
    <w:rsid w:val="68610A2F"/>
    <w:rsid w:val="68805514"/>
    <w:rsid w:val="68C26054"/>
    <w:rsid w:val="68C324E0"/>
    <w:rsid w:val="68C61A62"/>
    <w:rsid w:val="68F27056"/>
    <w:rsid w:val="68F87646"/>
    <w:rsid w:val="69316E2F"/>
    <w:rsid w:val="69396034"/>
    <w:rsid w:val="694D56D2"/>
    <w:rsid w:val="694E2071"/>
    <w:rsid w:val="69727058"/>
    <w:rsid w:val="69766163"/>
    <w:rsid w:val="697A3B33"/>
    <w:rsid w:val="69B64393"/>
    <w:rsid w:val="69D44760"/>
    <w:rsid w:val="6A366901"/>
    <w:rsid w:val="6A520EC7"/>
    <w:rsid w:val="6A5F1FEC"/>
    <w:rsid w:val="6A64599A"/>
    <w:rsid w:val="6A6C1A48"/>
    <w:rsid w:val="6A7052EE"/>
    <w:rsid w:val="6A812A7F"/>
    <w:rsid w:val="6A9625B0"/>
    <w:rsid w:val="6AB953B5"/>
    <w:rsid w:val="6AC534B8"/>
    <w:rsid w:val="6AF87E20"/>
    <w:rsid w:val="6B0577FC"/>
    <w:rsid w:val="6B322639"/>
    <w:rsid w:val="6B4F21E3"/>
    <w:rsid w:val="6B6E2254"/>
    <w:rsid w:val="6B7317BB"/>
    <w:rsid w:val="6BA91925"/>
    <w:rsid w:val="6BBB1F50"/>
    <w:rsid w:val="6BC318DA"/>
    <w:rsid w:val="6BE07578"/>
    <w:rsid w:val="6BE45B15"/>
    <w:rsid w:val="6C20473D"/>
    <w:rsid w:val="6C4042F3"/>
    <w:rsid w:val="6C432ECA"/>
    <w:rsid w:val="6C636C38"/>
    <w:rsid w:val="6C6413A0"/>
    <w:rsid w:val="6C6A1319"/>
    <w:rsid w:val="6C79668F"/>
    <w:rsid w:val="6CA42398"/>
    <w:rsid w:val="6CC50D3A"/>
    <w:rsid w:val="6CFD4C04"/>
    <w:rsid w:val="6D1E350D"/>
    <w:rsid w:val="6D2555A0"/>
    <w:rsid w:val="6D405D0F"/>
    <w:rsid w:val="6D737D11"/>
    <w:rsid w:val="6D813401"/>
    <w:rsid w:val="6D9D2DD0"/>
    <w:rsid w:val="6DB34098"/>
    <w:rsid w:val="6DB545B6"/>
    <w:rsid w:val="6DE02FB4"/>
    <w:rsid w:val="6DF7236D"/>
    <w:rsid w:val="6DFA7821"/>
    <w:rsid w:val="6DFF4C7E"/>
    <w:rsid w:val="6E126DDC"/>
    <w:rsid w:val="6E344FE3"/>
    <w:rsid w:val="6E3D6CFF"/>
    <w:rsid w:val="6E514CED"/>
    <w:rsid w:val="6EB563D5"/>
    <w:rsid w:val="6ED92677"/>
    <w:rsid w:val="6EE20999"/>
    <w:rsid w:val="6EF5644E"/>
    <w:rsid w:val="6F210F03"/>
    <w:rsid w:val="6F225983"/>
    <w:rsid w:val="6F28284C"/>
    <w:rsid w:val="6F2D7E51"/>
    <w:rsid w:val="6F5C6C7D"/>
    <w:rsid w:val="6F6E3519"/>
    <w:rsid w:val="6F9C3B1E"/>
    <w:rsid w:val="6FBE16E5"/>
    <w:rsid w:val="6FC01817"/>
    <w:rsid w:val="6FCE0852"/>
    <w:rsid w:val="6FFC5590"/>
    <w:rsid w:val="706D1DD0"/>
    <w:rsid w:val="70856B87"/>
    <w:rsid w:val="708B7819"/>
    <w:rsid w:val="70A73F27"/>
    <w:rsid w:val="70C93F3F"/>
    <w:rsid w:val="70D527EE"/>
    <w:rsid w:val="70DE7B0E"/>
    <w:rsid w:val="715B5300"/>
    <w:rsid w:val="715F55AE"/>
    <w:rsid w:val="71684A76"/>
    <w:rsid w:val="7169675E"/>
    <w:rsid w:val="71A23468"/>
    <w:rsid w:val="71C932C3"/>
    <w:rsid w:val="71CD1ADC"/>
    <w:rsid w:val="71D27F8A"/>
    <w:rsid w:val="71E1367C"/>
    <w:rsid w:val="71F42466"/>
    <w:rsid w:val="720974AC"/>
    <w:rsid w:val="72154FD8"/>
    <w:rsid w:val="72170B4F"/>
    <w:rsid w:val="7237652F"/>
    <w:rsid w:val="72553024"/>
    <w:rsid w:val="72773F21"/>
    <w:rsid w:val="72AC7DD8"/>
    <w:rsid w:val="72BA6AFD"/>
    <w:rsid w:val="72BE686E"/>
    <w:rsid w:val="72FE116B"/>
    <w:rsid w:val="73025D8D"/>
    <w:rsid w:val="73122968"/>
    <w:rsid w:val="731F5D5E"/>
    <w:rsid w:val="73256914"/>
    <w:rsid w:val="737E1193"/>
    <w:rsid w:val="739B2D5C"/>
    <w:rsid w:val="73A27AC4"/>
    <w:rsid w:val="73BA10DE"/>
    <w:rsid w:val="73C51AD5"/>
    <w:rsid w:val="741E793C"/>
    <w:rsid w:val="74442931"/>
    <w:rsid w:val="745E3944"/>
    <w:rsid w:val="74692B1C"/>
    <w:rsid w:val="74873898"/>
    <w:rsid w:val="749D15E8"/>
    <w:rsid w:val="74C458D0"/>
    <w:rsid w:val="74E75836"/>
    <w:rsid w:val="752764A9"/>
    <w:rsid w:val="752A624D"/>
    <w:rsid w:val="753F5CD4"/>
    <w:rsid w:val="75581C94"/>
    <w:rsid w:val="75B319EF"/>
    <w:rsid w:val="76247335"/>
    <w:rsid w:val="7635099D"/>
    <w:rsid w:val="76526073"/>
    <w:rsid w:val="77077001"/>
    <w:rsid w:val="773B37D6"/>
    <w:rsid w:val="7766341D"/>
    <w:rsid w:val="776936E5"/>
    <w:rsid w:val="77762421"/>
    <w:rsid w:val="77B56B1F"/>
    <w:rsid w:val="77C60E96"/>
    <w:rsid w:val="77E8202B"/>
    <w:rsid w:val="77F31C6A"/>
    <w:rsid w:val="77FA58F8"/>
    <w:rsid w:val="77FC22D9"/>
    <w:rsid w:val="780B79FE"/>
    <w:rsid w:val="780B7AE0"/>
    <w:rsid w:val="780F09F4"/>
    <w:rsid w:val="783B7341"/>
    <w:rsid w:val="784B65FA"/>
    <w:rsid w:val="7868049E"/>
    <w:rsid w:val="788E4A70"/>
    <w:rsid w:val="78A90480"/>
    <w:rsid w:val="78CB1820"/>
    <w:rsid w:val="790D29F5"/>
    <w:rsid w:val="792F7170"/>
    <w:rsid w:val="794077CD"/>
    <w:rsid w:val="794C3D0D"/>
    <w:rsid w:val="79513999"/>
    <w:rsid w:val="79631270"/>
    <w:rsid w:val="798600AB"/>
    <w:rsid w:val="79B23B36"/>
    <w:rsid w:val="79CD3007"/>
    <w:rsid w:val="7A156B79"/>
    <w:rsid w:val="7A364017"/>
    <w:rsid w:val="7A374B58"/>
    <w:rsid w:val="7A5C12B0"/>
    <w:rsid w:val="7A61783D"/>
    <w:rsid w:val="7A8265E1"/>
    <w:rsid w:val="7A8D0562"/>
    <w:rsid w:val="7A9312D6"/>
    <w:rsid w:val="7A9A7505"/>
    <w:rsid w:val="7A9B6A8A"/>
    <w:rsid w:val="7AC30B5A"/>
    <w:rsid w:val="7AE41587"/>
    <w:rsid w:val="7AFD69AA"/>
    <w:rsid w:val="7B0C669E"/>
    <w:rsid w:val="7B465D38"/>
    <w:rsid w:val="7B557244"/>
    <w:rsid w:val="7B5F1FCE"/>
    <w:rsid w:val="7B686D42"/>
    <w:rsid w:val="7B841746"/>
    <w:rsid w:val="7B9712B3"/>
    <w:rsid w:val="7BE0225C"/>
    <w:rsid w:val="7C1A5E70"/>
    <w:rsid w:val="7C1D1851"/>
    <w:rsid w:val="7C261B4F"/>
    <w:rsid w:val="7C29438A"/>
    <w:rsid w:val="7C366F78"/>
    <w:rsid w:val="7C6158D2"/>
    <w:rsid w:val="7C620452"/>
    <w:rsid w:val="7C6924B6"/>
    <w:rsid w:val="7C6C5AC7"/>
    <w:rsid w:val="7C8559CA"/>
    <w:rsid w:val="7C975798"/>
    <w:rsid w:val="7CA27198"/>
    <w:rsid w:val="7CBA6C75"/>
    <w:rsid w:val="7CBF19A2"/>
    <w:rsid w:val="7CC6544B"/>
    <w:rsid w:val="7CDD0AD2"/>
    <w:rsid w:val="7CEE1591"/>
    <w:rsid w:val="7D0239FF"/>
    <w:rsid w:val="7D030EDB"/>
    <w:rsid w:val="7D2167D7"/>
    <w:rsid w:val="7D234E70"/>
    <w:rsid w:val="7D4D33EB"/>
    <w:rsid w:val="7D5E40CD"/>
    <w:rsid w:val="7DC11FC2"/>
    <w:rsid w:val="7DCD56F2"/>
    <w:rsid w:val="7DCD7F37"/>
    <w:rsid w:val="7DE95B7F"/>
    <w:rsid w:val="7DF93B47"/>
    <w:rsid w:val="7DFD31C4"/>
    <w:rsid w:val="7E000269"/>
    <w:rsid w:val="7E072E92"/>
    <w:rsid w:val="7E194B7D"/>
    <w:rsid w:val="7E2E20D8"/>
    <w:rsid w:val="7E385201"/>
    <w:rsid w:val="7E510B52"/>
    <w:rsid w:val="7E5701CC"/>
    <w:rsid w:val="7E583BB9"/>
    <w:rsid w:val="7E5D3FFD"/>
    <w:rsid w:val="7E81505E"/>
    <w:rsid w:val="7EBD622D"/>
    <w:rsid w:val="7EE44598"/>
    <w:rsid w:val="7EEC79AB"/>
    <w:rsid w:val="7EEE7FFF"/>
    <w:rsid w:val="7F001CE7"/>
    <w:rsid w:val="7F2765DE"/>
    <w:rsid w:val="7F2F61D4"/>
    <w:rsid w:val="7F701E04"/>
    <w:rsid w:val="7F876EC1"/>
    <w:rsid w:val="7FB173C3"/>
    <w:rsid w:val="7FCF6FF7"/>
    <w:rsid w:val="7FD05998"/>
    <w:rsid w:val="7FE47E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qFormat="1" w:unhideWhenUsed="0" w:uiPriority="0" w:semiHidden="0" w:name="toc 7" w:locked="1"/>
    <w:lsdException w:unhideWhenUsed="0" w:uiPriority="0" w:semiHidden="0" w:name="toc 8" w:locked="1"/>
    <w:lsdException w:qFormat="1"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qFormat="1" w:uiPriority="99"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iPriority="99"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qFormat="1" w:unhideWhenUsed="0" w:uiPriority="0" w:semiHidden="0" w:name="Body Text 2" w:locked="1"/>
    <w:lsdException w:qFormat="1" w:unhideWhenUsed="0" w:uiPriority="0" w:semiHidden="0" w:name="Body Text 3" w:locked="1"/>
    <w:lsdException w:qFormat="1" w:unhideWhenUsed="0" w:uiPriority="0" w:semiHidden="0" w:name="Body Text Indent 2" w:locked="1"/>
    <w:lsdException w:unhideWhenUsed="0" w:uiPriority="0" w:semiHidden="0" w:name="Body Text Indent 3" w:locked="1"/>
    <w:lsdException w:qFormat="1"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napToGrid w:val="0"/>
      <w:spacing w:line="360" w:lineRule="auto"/>
      <w:ind w:firstLine="720" w:firstLineChars="200"/>
      <w:jc w:val="both"/>
    </w:pPr>
    <w:rPr>
      <w:rFonts w:ascii="Times New Roman" w:hAnsi="Times New Roman" w:eastAsia="宋体" w:cs="Times New Roman"/>
      <w:kern w:val="2"/>
      <w:sz w:val="24"/>
      <w:szCs w:val="24"/>
      <w:lang w:val="en-US" w:eastAsia="zh-CN" w:bidi="ar-SA"/>
    </w:rPr>
  </w:style>
  <w:style w:type="paragraph" w:styleId="4">
    <w:name w:val="heading 1"/>
    <w:basedOn w:val="1"/>
    <w:next w:val="1"/>
    <w:autoRedefine/>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5">
    <w:name w:val="heading 2"/>
    <w:basedOn w:val="1"/>
    <w:next w:val="1"/>
    <w:link w:val="44"/>
    <w:autoRedefine/>
    <w:qFormat/>
    <w:locked/>
    <w:uiPriority w:val="0"/>
    <w:pPr>
      <w:keepNext/>
      <w:keepLines/>
      <w:spacing w:line="360" w:lineRule="auto"/>
      <w:ind w:firstLine="0" w:firstLineChars="0"/>
      <w:outlineLvl w:val="1"/>
    </w:pPr>
    <w:rPr>
      <w:rFonts w:ascii="Times New Roman" w:hAnsi="Times New Roman"/>
      <w:b/>
      <w:bCs/>
      <w:szCs w:val="32"/>
    </w:rPr>
  </w:style>
  <w:style w:type="paragraph" w:styleId="6">
    <w:name w:val="heading 3"/>
    <w:basedOn w:val="1"/>
    <w:next w:val="1"/>
    <w:autoRedefine/>
    <w:qFormat/>
    <w:locked/>
    <w:uiPriority w:val="0"/>
    <w:pPr>
      <w:keepNext/>
      <w:keepLines/>
      <w:spacing w:before="260" w:after="260" w:line="416" w:lineRule="auto"/>
      <w:outlineLvl w:val="2"/>
    </w:pPr>
    <w:rPr>
      <w:b/>
      <w:bCs/>
      <w:sz w:val="32"/>
      <w:szCs w:val="32"/>
    </w:rPr>
  </w:style>
  <w:style w:type="paragraph" w:styleId="7">
    <w:name w:val="heading 4"/>
    <w:basedOn w:val="1"/>
    <w:next w:val="1"/>
    <w:autoRedefine/>
    <w:qFormat/>
    <w:locked/>
    <w:uiPriority w:val="0"/>
    <w:pPr>
      <w:keepNext/>
      <w:keepLines/>
      <w:spacing w:line="240" w:lineRule="auto"/>
      <w:ind w:firstLine="720" w:firstLineChars="200"/>
      <w:outlineLvl w:val="3"/>
    </w:pPr>
    <w:rPr>
      <w:rFonts w:cs="Times New Roman"/>
      <w:b/>
      <w:bCs/>
      <w:sz w:val="21"/>
      <w:szCs w:val="28"/>
    </w:rPr>
  </w:style>
  <w:style w:type="character" w:default="1" w:styleId="33">
    <w:name w:val="Default Paragraph Font"/>
    <w:autoRedefine/>
    <w:semiHidden/>
    <w:qFormat/>
    <w:uiPriority w:val="0"/>
  </w:style>
  <w:style w:type="table" w:default="1" w:styleId="31">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Default"/>
    <w:basedOn w:val="3"/>
    <w:next w:val="1"/>
    <w:autoRedefine/>
    <w:qFormat/>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Times New Roman" w:eastAsia="宋体" w:cs="宋体"/>
      <w:color w:val="000000"/>
      <w:kern w:val="0"/>
      <w:sz w:val="24"/>
      <w:szCs w:val="24"/>
      <w:lang w:val="en-US" w:eastAsia="zh-CN" w:bidi="ar"/>
    </w:rPr>
  </w:style>
  <w:style w:type="paragraph" w:customStyle="1" w:styleId="3">
    <w:name w:val="1 表头"/>
    <w:basedOn w:val="1"/>
    <w:autoRedefine/>
    <w:qFormat/>
    <w:uiPriority w:val="0"/>
    <w:pPr>
      <w:adjustRightInd w:val="0"/>
      <w:snapToGrid w:val="0"/>
      <w:spacing w:line="240" w:lineRule="auto"/>
      <w:ind w:firstLine="0" w:firstLineChars="0"/>
      <w:jc w:val="center"/>
    </w:pPr>
    <w:rPr>
      <w:b/>
      <w:color w:val="000000"/>
      <w:sz w:val="21"/>
      <w:szCs w:val="21"/>
    </w:rPr>
  </w:style>
  <w:style w:type="paragraph" w:styleId="8">
    <w:name w:val="toc 7"/>
    <w:basedOn w:val="1"/>
    <w:next w:val="1"/>
    <w:qFormat/>
    <w:locked/>
    <w:uiPriority w:val="0"/>
    <w:pPr>
      <w:spacing w:line="240" w:lineRule="auto"/>
      <w:ind w:left="0" w:firstLine="0" w:firstLineChars="0"/>
      <w:jc w:val="center"/>
    </w:pPr>
    <w:rPr>
      <w:rFonts w:ascii="Times New Roman" w:hAnsi="Times New Roman"/>
      <w:sz w:val="24"/>
      <w:szCs w:val="18"/>
    </w:rPr>
  </w:style>
  <w:style w:type="paragraph" w:styleId="9">
    <w:name w:val="Normal Indent"/>
    <w:basedOn w:val="1"/>
    <w:next w:val="1"/>
    <w:autoRedefine/>
    <w:qFormat/>
    <w:locked/>
    <w:uiPriority w:val="0"/>
    <w:pPr>
      <w:ind w:firstLine="420" w:firstLineChars="200"/>
    </w:pPr>
    <w:rPr>
      <w:szCs w:val="24"/>
    </w:rPr>
  </w:style>
  <w:style w:type="paragraph" w:styleId="10">
    <w:name w:val="annotation text"/>
    <w:basedOn w:val="1"/>
    <w:link w:val="45"/>
    <w:autoRedefine/>
    <w:qFormat/>
    <w:uiPriority w:val="0"/>
    <w:pPr>
      <w:jc w:val="left"/>
    </w:pPr>
    <w:rPr>
      <w:kern w:val="0"/>
      <w:sz w:val="24"/>
      <w:szCs w:val="20"/>
    </w:rPr>
  </w:style>
  <w:style w:type="paragraph" w:styleId="11">
    <w:name w:val="Body Text 3"/>
    <w:basedOn w:val="1"/>
    <w:qFormat/>
    <w:locked/>
    <w:uiPriority w:val="0"/>
    <w:pPr>
      <w:spacing w:line="560" w:lineRule="exact"/>
    </w:pPr>
    <w:rPr>
      <w:rFonts w:ascii="宋体"/>
      <w:sz w:val="28"/>
    </w:rPr>
  </w:style>
  <w:style w:type="paragraph" w:styleId="12">
    <w:name w:val="Body Text"/>
    <w:basedOn w:val="1"/>
    <w:next w:val="13"/>
    <w:link w:val="46"/>
    <w:autoRedefine/>
    <w:qFormat/>
    <w:uiPriority w:val="0"/>
    <w:pPr>
      <w:widowControl/>
      <w:snapToGrid w:val="0"/>
      <w:spacing w:before="60" w:after="160" w:line="259" w:lineRule="auto"/>
      <w:ind w:right="113"/>
    </w:pPr>
    <w:rPr>
      <w:kern w:val="0"/>
      <w:sz w:val="18"/>
      <w:szCs w:val="20"/>
    </w:rPr>
  </w:style>
  <w:style w:type="paragraph" w:styleId="13">
    <w:name w:val="List Bullet 5"/>
    <w:basedOn w:val="1"/>
    <w:autoRedefine/>
    <w:qFormat/>
    <w:locked/>
    <w:uiPriority w:val="0"/>
    <w:pPr>
      <w:numPr>
        <w:ilvl w:val="0"/>
        <w:numId w:val="1"/>
      </w:numPr>
    </w:pPr>
  </w:style>
  <w:style w:type="paragraph" w:styleId="14">
    <w:name w:val="Body Text Indent"/>
    <w:basedOn w:val="1"/>
    <w:next w:val="7"/>
    <w:link w:val="47"/>
    <w:autoRedefine/>
    <w:qFormat/>
    <w:uiPriority w:val="0"/>
    <w:pPr>
      <w:spacing w:after="120"/>
      <w:ind w:left="420" w:leftChars="200"/>
    </w:pPr>
    <w:rPr>
      <w:kern w:val="0"/>
      <w:sz w:val="24"/>
      <w:szCs w:val="20"/>
    </w:rPr>
  </w:style>
  <w:style w:type="paragraph" w:styleId="15">
    <w:name w:val="Block Text"/>
    <w:basedOn w:val="1"/>
    <w:autoRedefine/>
    <w:qFormat/>
    <w:locked/>
    <w:uiPriority w:val="0"/>
    <w:pPr>
      <w:spacing w:after="120" w:afterLines="0" w:afterAutospacing="0"/>
      <w:ind w:left="1440" w:leftChars="700" w:rightChars="700"/>
    </w:pPr>
  </w:style>
  <w:style w:type="paragraph" w:styleId="16">
    <w:name w:val="Plain Text"/>
    <w:basedOn w:val="1"/>
    <w:next w:val="11"/>
    <w:qFormat/>
    <w:locked/>
    <w:uiPriority w:val="0"/>
    <w:pPr>
      <w:widowControl w:val="0"/>
      <w:ind w:firstLine="200" w:firstLineChars="200"/>
      <w:jc w:val="both"/>
    </w:pPr>
    <w:rPr>
      <w:rFonts w:ascii="宋体"/>
      <w:bCs/>
      <w:color w:val="000000"/>
      <w:sz w:val="28"/>
      <w:szCs w:val="28"/>
    </w:rPr>
  </w:style>
  <w:style w:type="paragraph" w:styleId="17">
    <w:name w:val="Date"/>
    <w:basedOn w:val="1"/>
    <w:next w:val="1"/>
    <w:link w:val="48"/>
    <w:autoRedefine/>
    <w:qFormat/>
    <w:uiPriority w:val="0"/>
    <w:pPr>
      <w:ind w:left="100" w:leftChars="2500"/>
    </w:pPr>
    <w:rPr>
      <w:kern w:val="0"/>
      <w:sz w:val="24"/>
      <w:szCs w:val="20"/>
    </w:rPr>
  </w:style>
  <w:style w:type="paragraph" w:styleId="18">
    <w:name w:val="Body Text Indent 2"/>
    <w:basedOn w:val="1"/>
    <w:autoRedefine/>
    <w:qFormat/>
    <w:locked/>
    <w:uiPriority w:val="0"/>
    <w:pPr>
      <w:spacing w:line="360" w:lineRule="auto"/>
      <w:ind w:firstLine="573"/>
    </w:pPr>
    <w:rPr>
      <w:sz w:val="28"/>
    </w:rPr>
  </w:style>
  <w:style w:type="paragraph" w:styleId="19">
    <w:name w:val="Balloon Text"/>
    <w:basedOn w:val="1"/>
    <w:link w:val="49"/>
    <w:autoRedefine/>
    <w:semiHidden/>
    <w:qFormat/>
    <w:uiPriority w:val="0"/>
    <w:rPr>
      <w:kern w:val="0"/>
      <w:sz w:val="18"/>
      <w:szCs w:val="20"/>
    </w:rPr>
  </w:style>
  <w:style w:type="paragraph" w:styleId="20">
    <w:name w:val="footer"/>
    <w:basedOn w:val="1"/>
    <w:next w:val="1"/>
    <w:link w:val="50"/>
    <w:autoRedefine/>
    <w:qFormat/>
    <w:uiPriority w:val="99"/>
    <w:pPr>
      <w:tabs>
        <w:tab w:val="center" w:pos="4153"/>
        <w:tab w:val="right" w:pos="8306"/>
      </w:tabs>
      <w:snapToGrid w:val="0"/>
      <w:jc w:val="left"/>
    </w:pPr>
    <w:rPr>
      <w:kern w:val="0"/>
      <w:sz w:val="18"/>
      <w:szCs w:val="20"/>
    </w:rPr>
  </w:style>
  <w:style w:type="paragraph" w:styleId="21">
    <w:name w:val="header"/>
    <w:basedOn w:val="1"/>
    <w:link w:val="54"/>
    <w:autoRedefine/>
    <w:qFormat/>
    <w:uiPriority w:val="0"/>
    <w:pPr>
      <w:pBdr>
        <w:bottom w:val="single" w:color="auto" w:sz="6" w:space="1"/>
      </w:pBdr>
      <w:tabs>
        <w:tab w:val="center" w:pos="4153"/>
        <w:tab w:val="right" w:pos="8306"/>
      </w:tabs>
      <w:snapToGrid w:val="0"/>
      <w:jc w:val="center"/>
    </w:pPr>
    <w:rPr>
      <w:kern w:val="0"/>
      <w:sz w:val="18"/>
      <w:szCs w:val="20"/>
    </w:rPr>
  </w:style>
  <w:style w:type="paragraph" w:styleId="22">
    <w:name w:val="toc 1"/>
    <w:basedOn w:val="1"/>
    <w:next w:val="1"/>
    <w:qFormat/>
    <w:locked/>
    <w:uiPriority w:val="39"/>
    <w:rPr>
      <w:b/>
    </w:rPr>
  </w:style>
  <w:style w:type="paragraph" w:styleId="23">
    <w:name w:val="List"/>
    <w:basedOn w:val="1"/>
    <w:next w:val="1"/>
    <w:autoRedefine/>
    <w:unhideWhenUsed/>
    <w:qFormat/>
    <w:locked/>
    <w:uiPriority w:val="99"/>
    <w:pPr>
      <w:ind w:left="200" w:hanging="200" w:hangingChars="200"/>
      <w:contextualSpacing/>
    </w:pPr>
  </w:style>
  <w:style w:type="paragraph" w:styleId="24">
    <w:name w:val="table of figures"/>
    <w:basedOn w:val="1"/>
    <w:next w:val="1"/>
    <w:autoRedefine/>
    <w:unhideWhenUsed/>
    <w:qFormat/>
    <w:locked/>
    <w:uiPriority w:val="99"/>
    <w:pPr>
      <w:jc w:val="center"/>
    </w:pPr>
    <w:rPr>
      <w:sz w:val="24"/>
    </w:rPr>
  </w:style>
  <w:style w:type="paragraph" w:styleId="25">
    <w:name w:val="toc 9"/>
    <w:basedOn w:val="1"/>
    <w:next w:val="1"/>
    <w:qFormat/>
    <w:locked/>
    <w:uiPriority w:val="0"/>
    <w:pPr>
      <w:widowControl/>
      <w:wordWrap w:val="0"/>
      <w:autoSpaceDE/>
      <w:autoSpaceDN/>
      <w:spacing w:before="0" w:after="0" w:line="240" w:lineRule="auto"/>
      <w:ind w:left="2975" w:firstLine="0"/>
      <w:jc w:val="both"/>
    </w:pPr>
    <w:rPr>
      <w:sz w:val="21"/>
      <w:szCs w:val="22"/>
    </w:rPr>
  </w:style>
  <w:style w:type="paragraph" w:styleId="26">
    <w:name w:val="Body Text 2"/>
    <w:basedOn w:val="1"/>
    <w:autoRedefine/>
    <w:qFormat/>
    <w:locked/>
    <w:uiPriority w:val="0"/>
    <w:pPr>
      <w:spacing w:after="120" w:line="480" w:lineRule="auto"/>
    </w:pPr>
  </w:style>
  <w:style w:type="paragraph" w:styleId="27">
    <w:name w:val="Normal (Web)"/>
    <w:basedOn w:val="1"/>
    <w:link w:val="52"/>
    <w:autoRedefine/>
    <w:qFormat/>
    <w:uiPriority w:val="0"/>
    <w:pPr>
      <w:widowControl/>
      <w:spacing w:before="100" w:beforeAutospacing="1" w:after="100" w:afterAutospacing="1"/>
      <w:jc w:val="left"/>
    </w:pPr>
    <w:rPr>
      <w:rFonts w:ascii="宋体" w:hAnsi="宋体"/>
      <w:kern w:val="0"/>
      <w:sz w:val="24"/>
      <w:szCs w:val="20"/>
    </w:rPr>
  </w:style>
  <w:style w:type="paragraph" w:styleId="28">
    <w:name w:val="annotation subject"/>
    <w:basedOn w:val="10"/>
    <w:next w:val="10"/>
    <w:link w:val="53"/>
    <w:autoRedefine/>
    <w:semiHidden/>
    <w:qFormat/>
    <w:uiPriority w:val="0"/>
    <w:rPr>
      <w:b/>
      <w:sz w:val="24"/>
      <w:szCs w:val="20"/>
    </w:rPr>
  </w:style>
  <w:style w:type="paragraph" w:styleId="29">
    <w:name w:val="Body Text First Indent"/>
    <w:basedOn w:val="12"/>
    <w:autoRedefine/>
    <w:qFormat/>
    <w:locked/>
    <w:uiPriority w:val="0"/>
    <w:pPr>
      <w:spacing w:after="120"/>
      <w:ind w:firstLine="420" w:firstLineChars="100"/>
    </w:pPr>
    <w:rPr>
      <w:sz w:val="21"/>
    </w:rPr>
  </w:style>
  <w:style w:type="paragraph" w:styleId="30">
    <w:name w:val="Body Text First Indent 2"/>
    <w:basedOn w:val="14"/>
    <w:next w:val="1"/>
    <w:autoRedefine/>
    <w:qFormat/>
    <w:locked/>
    <w:uiPriority w:val="0"/>
    <w:pPr>
      <w:topLinePunct/>
      <w:adjustRightInd/>
      <w:spacing w:after="120" w:line="240" w:lineRule="auto"/>
      <w:ind w:left="420" w:leftChars="200" w:firstLine="420" w:firstLineChars="200"/>
      <w:textAlignment w:val="auto"/>
    </w:pPr>
    <w:rPr>
      <w:rFonts w:eastAsia="华文仿宋"/>
      <w:kern w:val="2"/>
      <w:sz w:val="28"/>
    </w:rPr>
  </w:style>
  <w:style w:type="table" w:styleId="32">
    <w:name w:val="Table Grid"/>
    <w:basedOn w:val="31"/>
    <w:autoRedefine/>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autoRedefine/>
    <w:qFormat/>
    <w:locked/>
    <w:uiPriority w:val="0"/>
    <w:rPr>
      <w:b/>
    </w:rPr>
  </w:style>
  <w:style w:type="character" w:styleId="35">
    <w:name w:val="page number"/>
    <w:basedOn w:val="33"/>
    <w:autoRedefine/>
    <w:qFormat/>
    <w:locked/>
    <w:uiPriority w:val="0"/>
  </w:style>
  <w:style w:type="character" w:styleId="36">
    <w:name w:val="Hyperlink"/>
    <w:basedOn w:val="33"/>
    <w:autoRedefine/>
    <w:qFormat/>
    <w:locked/>
    <w:uiPriority w:val="0"/>
    <w:rPr>
      <w:color w:val="000000"/>
      <w:u w:val="none"/>
    </w:rPr>
  </w:style>
  <w:style w:type="character" w:styleId="37">
    <w:name w:val="annotation reference"/>
    <w:autoRedefine/>
    <w:semiHidden/>
    <w:qFormat/>
    <w:uiPriority w:val="0"/>
    <w:rPr>
      <w:sz w:val="21"/>
    </w:rPr>
  </w:style>
  <w:style w:type="paragraph" w:customStyle="1" w:styleId="38">
    <w:name w:val="表格内"/>
    <w:basedOn w:val="1"/>
    <w:autoRedefine/>
    <w:qFormat/>
    <w:uiPriority w:val="0"/>
    <w:pPr>
      <w:widowControl/>
      <w:adjustRightInd w:val="0"/>
      <w:snapToGrid w:val="0"/>
      <w:spacing w:after="200" w:line="360" w:lineRule="exact"/>
      <w:jc w:val="center"/>
    </w:pPr>
    <w:rPr>
      <w:rFonts w:ascii="Calibri" w:hAnsi="Calibri" w:eastAsia="微软雅黑" w:cs="Times New Roman"/>
      <w:snapToGrid w:val="0"/>
      <w:kern w:val="0"/>
      <w:sz w:val="22"/>
      <w:szCs w:val="21"/>
    </w:rPr>
  </w:style>
  <w:style w:type="paragraph" w:customStyle="1" w:styleId="39">
    <w:name w:val="Char Char Char Char Char Char Char Char Char1 Char"/>
    <w:basedOn w:val="1"/>
    <w:next w:val="40"/>
    <w:autoRedefine/>
    <w:qFormat/>
    <w:uiPriority w:val="0"/>
    <w:pPr>
      <w:spacing w:line="360" w:lineRule="auto"/>
      <w:ind w:firstLine="200" w:firstLineChars="200"/>
    </w:pPr>
    <w:rPr>
      <w:rFonts w:hAnsi="宋体" w:cs="宋体"/>
      <w:spacing w:val="0"/>
      <w:sz w:val="24"/>
      <w:szCs w:val="24"/>
    </w:rPr>
  </w:style>
  <w:style w:type="paragraph" w:customStyle="1" w:styleId="40">
    <w:name w:val="Body Text First Indent1"/>
    <w:next w:val="1"/>
    <w:autoRedefine/>
    <w:qFormat/>
    <w:uiPriority w:val="0"/>
    <w:pPr>
      <w:widowControl w:val="0"/>
      <w:spacing w:after="120"/>
      <w:ind w:firstLine="420"/>
      <w:jc w:val="both"/>
    </w:pPr>
    <w:rPr>
      <w:rFonts w:ascii="Times New Roman" w:hAnsi="Times New Roman" w:eastAsia="宋体" w:cs="Times New Roman"/>
      <w:sz w:val="21"/>
      <w:szCs w:val="22"/>
      <w:lang w:val="en-US" w:eastAsia="zh-CN" w:bidi="ar-SA"/>
    </w:rPr>
  </w:style>
  <w:style w:type="paragraph" w:customStyle="1" w:styleId="41">
    <w:name w:val="正文1"/>
    <w:basedOn w:val="9"/>
    <w:next w:val="1"/>
    <w:autoRedefine/>
    <w:qFormat/>
    <w:uiPriority w:val="0"/>
    <w:pPr>
      <w:adjustRightInd w:val="0"/>
      <w:snapToGrid w:val="0"/>
      <w:spacing w:line="500" w:lineRule="atLeast"/>
      <w:ind w:firstLine="567"/>
    </w:pPr>
    <w:rPr>
      <w:sz w:val="28"/>
    </w:rPr>
  </w:style>
  <w:style w:type="paragraph" w:customStyle="1" w:styleId="42">
    <w:name w:val="Body Text Indent1"/>
    <w:basedOn w:val="1"/>
    <w:qFormat/>
    <w:uiPriority w:val="0"/>
    <w:pPr>
      <w:spacing w:after="120" w:line="360" w:lineRule="auto"/>
      <w:ind w:left="200" w:leftChars="200" w:firstLine="200" w:firstLineChars="200"/>
    </w:pPr>
    <w:rPr>
      <w:rFonts w:ascii="Times New Roman" w:hAnsi="Times New Roman" w:eastAsia="宋体"/>
      <w:kern w:val="2"/>
      <w:sz w:val="24"/>
      <w:lang w:val="en-US" w:eastAsia="zh-CN"/>
    </w:rPr>
  </w:style>
  <w:style w:type="paragraph" w:customStyle="1" w:styleId="43">
    <w:name w:val="样式 正文文本缩进 + 行距: 1.5 倍行距"/>
    <w:basedOn w:val="14"/>
    <w:autoRedefine/>
    <w:qFormat/>
    <w:uiPriority w:val="0"/>
    <w:pPr>
      <w:spacing w:line="360" w:lineRule="auto"/>
      <w:ind w:firstLine="560"/>
    </w:pPr>
    <w:rPr>
      <w:rFonts w:cs="宋体"/>
      <w:sz w:val="28"/>
    </w:rPr>
  </w:style>
  <w:style w:type="character" w:customStyle="1" w:styleId="44">
    <w:name w:val="标题 2 Char1"/>
    <w:link w:val="5"/>
    <w:autoRedefine/>
    <w:qFormat/>
    <w:uiPriority w:val="0"/>
    <w:rPr>
      <w:rFonts w:ascii="Times New Roman" w:hAnsi="Times New Roman"/>
      <w:b/>
      <w:bCs/>
      <w:szCs w:val="32"/>
    </w:rPr>
  </w:style>
  <w:style w:type="character" w:customStyle="1" w:styleId="45">
    <w:name w:val="批注文字 Char"/>
    <w:link w:val="10"/>
    <w:autoRedefine/>
    <w:qFormat/>
    <w:locked/>
    <w:uiPriority w:val="0"/>
    <w:rPr>
      <w:rFonts w:ascii="Times New Roman" w:hAnsi="Times New Roman" w:eastAsia="宋体"/>
      <w:sz w:val="24"/>
    </w:rPr>
  </w:style>
  <w:style w:type="character" w:customStyle="1" w:styleId="46">
    <w:name w:val="正文文本 Char"/>
    <w:link w:val="12"/>
    <w:autoRedefine/>
    <w:qFormat/>
    <w:locked/>
    <w:uiPriority w:val="0"/>
    <w:rPr>
      <w:sz w:val="18"/>
    </w:rPr>
  </w:style>
  <w:style w:type="character" w:customStyle="1" w:styleId="47">
    <w:name w:val="正文文本缩进 Char"/>
    <w:link w:val="14"/>
    <w:autoRedefine/>
    <w:semiHidden/>
    <w:qFormat/>
    <w:locked/>
    <w:uiPriority w:val="0"/>
    <w:rPr>
      <w:rFonts w:ascii="Times New Roman" w:hAnsi="Times New Roman" w:eastAsia="宋体"/>
      <w:sz w:val="24"/>
    </w:rPr>
  </w:style>
  <w:style w:type="character" w:customStyle="1" w:styleId="48">
    <w:name w:val="日期 Char"/>
    <w:link w:val="17"/>
    <w:autoRedefine/>
    <w:qFormat/>
    <w:locked/>
    <w:uiPriority w:val="0"/>
    <w:rPr>
      <w:rFonts w:ascii="Times New Roman" w:hAnsi="Times New Roman" w:eastAsia="宋体"/>
      <w:sz w:val="24"/>
    </w:rPr>
  </w:style>
  <w:style w:type="character" w:customStyle="1" w:styleId="49">
    <w:name w:val="批注框文本 Char"/>
    <w:link w:val="19"/>
    <w:autoRedefine/>
    <w:semiHidden/>
    <w:qFormat/>
    <w:locked/>
    <w:uiPriority w:val="0"/>
    <w:rPr>
      <w:rFonts w:ascii="Times New Roman" w:hAnsi="Times New Roman" w:eastAsia="宋体"/>
      <w:sz w:val="18"/>
    </w:rPr>
  </w:style>
  <w:style w:type="character" w:customStyle="1" w:styleId="50">
    <w:name w:val="页脚 Char"/>
    <w:link w:val="20"/>
    <w:autoRedefine/>
    <w:qFormat/>
    <w:locked/>
    <w:uiPriority w:val="99"/>
    <w:rPr>
      <w:sz w:val="18"/>
    </w:rPr>
  </w:style>
  <w:style w:type="character" w:customStyle="1" w:styleId="51">
    <w:name w:val="页眉 字符"/>
    <w:basedOn w:val="33"/>
    <w:link w:val="21"/>
    <w:autoRedefine/>
    <w:qFormat/>
    <w:uiPriority w:val="0"/>
    <w:rPr>
      <w:rFonts w:hint="eastAsia" w:ascii="宋体" w:hAnsi="宋体" w:eastAsia="宋体" w:cs="宋体"/>
    </w:rPr>
  </w:style>
  <w:style w:type="character" w:customStyle="1" w:styleId="52">
    <w:name w:val="普通(网站) Char"/>
    <w:link w:val="27"/>
    <w:autoRedefine/>
    <w:qFormat/>
    <w:locked/>
    <w:uiPriority w:val="0"/>
    <w:rPr>
      <w:rFonts w:ascii="宋体" w:hAnsi="宋体" w:eastAsia="宋体"/>
      <w:sz w:val="24"/>
    </w:rPr>
  </w:style>
  <w:style w:type="character" w:customStyle="1" w:styleId="53">
    <w:name w:val="批注主题 Char"/>
    <w:link w:val="28"/>
    <w:autoRedefine/>
    <w:semiHidden/>
    <w:qFormat/>
    <w:locked/>
    <w:uiPriority w:val="0"/>
    <w:rPr>
      <w:rFonts w:ascii="Times New Roman" w:hAnsi="Times New Roman" w:eastAsia="宋体"/>
      <w:b/>
      <w:kern w:val="2"/>
      <w:sz w:val="24"/>
    </w:rPr>
  </w:style>
  <w:style w:type="character" w:customStyle="1" w:styleId="54">
    <w:name w:val="页眉 Char"/>
    <w:link w:val="21"/>
    <w:autoRedefine/>
    <w:qFormat/>
    <w:locked/>
    <w:uiPriority w:val="0"/>
    <w:rPr>
      <w:sz w:val="18"/>
    </w:rPr>
  </w:style>
  <w:style w:type="paragraph" w:customStyle="1" w:styleId="55">
    <w:name w:val="表格文字"/>
    <w:basedOn w:val="29"/>
    <w:next w:val="1"/>
    <w:autoRedefine/>
    <w:qFormat/>
    <w:uiPriority w:val="0"/>
    <w:pPr>
      <w:overflowPunct w:val="0"/>
      <w:autoSpaceDE w:val="0"/>
      <w:autoSpaceDN w:val="0"/>
      <w:adjustRightInd w:val="0"/>
      <w:snapToGrid w:val="0"/>
      <w:spacing w:after="0" w:line="240" w:lineRule="auto"/>
      <w:ind w:right="0" w:firstLine="0" w:firstLineChars="0"/>
      <w:jc w:val="center"/>
      <w:textAlignment w:val="center"/>
    </w:pPr>
    <w:rPr>
      <w:szCs w:val="18"/>
    </w:rPr>
  </w:style>
  <w:style w:type="paragraph" w:customStyle="1" w:styleId="56">
    <w:name w:val="表格"/>
    <w:basedOn w:val="57"/>
    <w:next w:val="58"/>
    <w:link w:val="61"/>
    <w:autoRedefine/>
    <w:qFormat/>
    <w:uiPriority w:val="0"/>
    <w:pPr>
      <w:adjustRightInd w:val="0"/>
      <w:snapToGrid w:val="0"/>
      <w:spacing w:beforeLines="10" w:afterLines="10" w:line="259" w:lineRule="auto"/>
      <w:jc w:val="center"/>
    </w:pPr>
    <w:rPr>
      <w:rFonts w:ascii="宋体"/>
      <w:kern w:val="0"/>
      <w:szCs w:val="20"/>
    </w:rPr>
  </w:style>
  <w:style w:type="paragraph" w:customStyle="1" w:styleId="57">
    <w:name w:val="Table Paragraph"/>
    <w:basedOn w:val="1"/>
    <w:autoRedefine/>
    <w:qFormat/>
    <w:uiPriority w:val="1"/>
    <w:rPr>
      <w:rFonts w:ascii="宋体" w:hAnsi="宋体" w:eastAsia="宋体" w:cs="宋体"/>
      <w:lang w:val="zh-CN" w:eastAsia="zh-CN" w:bidi="zh-CN"/>
    </w:rPr>
  </w:style>
  <w:style w:type="paragraph" w:customStyle="1" w:styleId="58">
    <w:name w:val="样式 标题 2 + 首行缩进:  2 字符"/>
    <w:basedOn w:val="5"/>
    <w:next w:val="59"/>
    <w:autoRedefine/>
    <w:qFormat/>
    <w:uiPriority w:val="0"/>
    <w:pPr>
      <w:widowControl/>
      <w:autoSpaceDE/>
      <w:autoSpaceDN/>
      <w:spacing w:before="0" w:after="0" w:line="300" w:lineRule="auto"/>
      <w:ind w:left="1320" w:hanging="420"/>
      <w:outlineLvl w:val="1"/>
    </w:pPr>
    <w:rPr>
      <w:rFonts w:ascii="Times New Roman" w:eastAsia="黑体"/>
      <w:b w:val="0"/>
      <w:sz w:val="30"/>
    </w:rPr>
  </w:style>
  <w:style w:type="paragraph" w:customStyle="1" w:styleId="59">
    <w:name w:val="图号"/>
    <w:next w:val="60"/>
    <w:autoRedefine/>
    <w:qFormat/>
    <w:uiPriority w:val="0"/>
    <w:pPr>
      <w:widowControl w:val="0"/>
      <w:spacing w:line="529" w:lineRule="exact"/>
      <w:ind w:left="198"/>
    </w:pPr>
    <w:rPr>
      <w:rFonts w:ascii="宋体" w:hAnsi="Times New Roman" w:eastAsia="宋体" w:cs="Times New Roman"/>
      <w:b/>
      <w:sz w:val="24"/>
      <w:lang w:val="en-US" w:eastAsia="zh-CN" w:bidi="ar-SA"/>
    </w:rPr>
  </w:style>
  <w:style w:type="paragraph" w:customStyle="1" w:styleId="60">
    <w:name w:val=" Char Char Char Char Char Char Char Char Char Char Char Char Char Char Char Char Char Char Char Char Char Char"/>
    <w:basedOn w:val="1"/>
    <w:next w:val="1"/>
    <w:autoRedefine/>
    <w:qFormat/>
    <w:uiPriority w:val="0"/>
    <w:pPr>
      <w:widowControl w:val="0"/>
      <w:autoSpaceDE/>
      <w:autoSpaceDN/>
      <w:spacing w:before="0" w:after="0" w:line="360" w:lineRule="auto"/>
      <w:ind w:left="0" w:firstLine="200"/>
    </w:pPr>
    <w:rPr>
      <w:rFonts w:ascii="宋体" w:eastAsia="宋体"/>
      <w:sz w:val="24"/>
    </w:rPr>
  </w:style>
  <w:style w:type="character" w:customStyle="1" w:styleId="61">
    <w:name w:val="表格 Char"/>
    <w:link w:val="56"/>
    <w:autoRedefine/>
    <w:qFormat/>
    <w:locked/>
    <w:uiPriority w:val="0"/>
    <w:rPr>
      <w:rFonts w:ascii="宋体"/>
      <w:sz w:val="21"/>
    </w:rPr>
  </w:style>
  <w:style w:type="character" w:customStyle="1" w:styleId="62">
    <w:name w:val="页脚 字符"/>
    <w:basedOn w:val="33"/>
    <w:autoRedefine/>
    <w:qFormat/>
    <w:uiPriority w:val="99"/>
  </w:style>
  <w:style w:type="character" w:customStyle="1" w:styleId="63">
    <w:name w:val="正文文本 字符1"/>
    <w:autoRedefine/>
    <w:semiHidden/>
    <w:qFormat/>
    <w:uiPriority w:val="0"/>
    <w:rPr>
      <w:rFonts w:ascii="Times New Roman" w:hAnsi="Times New Roman" w:eastAsia="宋体"/>
      <w:sz w:val="24"/>
    </w:rPr>
  </w:style>
  <w:style w:type="character" w:customStyle="1" w:styleId="64">
    <w:name w:val="正文(首行缩进) Char"/>
    <w:link w:val="65"/>
    <w:autoRedefine/>
    <w:qFormat/>
    <w:uiPriority w:val="0"/>
    <w:rPr>
      <w:rFonts w:eastAsia="宋体"/>
      <w:bCs/>
      <w:color w:val="000000"/>
      <w:kern w:val="24"/>
      <w:sz w:val="24"/>
      <w:szCs w:val="24"/>
    </w:rPr>
  </w:style>
  <w:style w:type="paragraph" w:customStyle="1" w:styleId="65">
    <w:name w:val="正文(首行缩进)"/>
    <w:basedOn w:val="1"/>
    <w:next w:val="5"/>
    <w:link w:val="64"/>
    <w:autoRedefine/>
    <w:qFormat/>
    <w:uiPriority w:val="0"/>
    <w:pPr>
      <w:spacing w:line="360" w:lineRule="auto"/>
      <w:ind w:firstLine="480" w:firstLineChars="200"/>
    </w:pPr>
    <w:rPr>
      <w:rFonts w:eastAsia="宋体"/>
      <w:bCs/>
      <w:color w:val="000000"/>
      <w:kern w:val="24"/>
      <w:sz w:val="24"/>
      <w:szCs w:val="24"/>
    </w:rPr>
  </w:style>
  <w:style w:type="character" w:customStyle="1" w:styleId="66">
    <w:name w:val="日期 字符"/>
    <w:autoRedefine/>
    <w:semiHidden/>
    <w:qFormat/>
    <w:uiPriority w:val="0"/>
    <w:rPr>
      <w:rFonts w:ascii="Times New Roman" w:hAnsi="Times New Roman" w:eastAsia="宋体"/>
      <w:sz w:val="24"/>
    </w:rPr>
  </w:style>
  <w:style w:type="character" w:customStyle="1" w:styleId="67">
    <w:name w:val="批注文字 字符1"/>
    <w:autoRedefine/>
    <w:semiHidden/>
    <w:qFormat/>
    <w:uiPriority w:val="0"/>
    <w:rPr>
      <w:rFonts w:ascii="Times New Roman" w:hAnsi="Times New Roman" w:eastAsia="宋体"/>
      <w:sz w:val="24"/>
    </w:rPr>
  </w:style>
  <w:style w:type="paragraph" w:customStyle="1" w:styleId="68">
    <w:name w:val="无间隔1"/>
    <w:autoRedefine/>
    <w:qFormat/>
    <w:uiPriority w:val="0"/>
    <w:pPr>
      <w:widowControl w:val="0"/>
      <w:tabs>
        <w:tab w:val="right" w:leader="dot" w:pos="8494"/>
      </w:tabs>
      <w:snapToGrid w:val="0"/>
    </w:pPr>
    <w:rPr>
      <w:rFonts w:ascii="宋体" w:hAnsi="宋体" w:eastAsia="宋体" w:cs="Times New Roman"/>
      <w:bCs/>
      <w:kern w:val="2"/>
      <w:sz w:val="24"/>
      <w:szCs w:val="36"/>
      <w:lang w:val="en-US" w:eastAsia="zh-CN" w:bidi="ar-SA"/>
    </w:rPr>
  </w:style>
  <w:style w:type="paragraph" w:customStyle="1" w:styleId="69">
    <w:name w:val="0"/>
    <w:basedOn w:val="70"/>
    <w:autoRedefine/>
    <w:qFormat/>
    <w:uiPriority w:val="0"/>
    <w:pPr>
      <w:overflowPunct w:val="0"/>
      <w:snapToGrid w:val="0"/>
      <w:jc w:val="center"/>
    </w:pPr>
    <w:rPr>
      <w:rFonts w:ascii="Arial" w:hAnsi="Arial" w:eastAsia="仿宋_GB2312" w:cs="Arial"/>
      <w:bCs/>
      <w:snapToGrid w:val="0"/>
      <w:kern w:val="0"/>
      <w:szCs w:val="28"/>
    </w:rPr>
  </w:style>
  <w:style w:type="paragraph" w:customStyle="1" w:styleId="70">
    <w:name w:val="Char"/>
    <w:basedOn w:val="1"/>
    <w:autoRedefine/>
    <w:qFormat/>
    <w:uiPriority w:val="0"/>
    <w:rPr>
      <w:szCs w:val="24"/>
    </w:rPr>
  </w:style>
  <w:style w:type="paragraph" w:customStyle="1" w:styleId="71">
    <w:name w:val="样式13"/>
    <w:autoRedefine/>
    <w:qFormat/>
    <w:uiPriority w:val="0"/>
    <w:pPr>
      <w:widowControl/>
      <w:topLinePunct/>
      <w:spacing w:line="240" w:lineRule="auto"/>
      <w:ind w:firstLine="0" w:firstLineChars="0"/>
      <w:jc w:val="both"/>
    </w:pPr>
    <w:rPr>
      <w:rFonts w:ascii="Times New Roman" w:hAnsi="Times New Roman" w:eastAsia="宋体" w:cs="Times New Roman"/>
      <w:bCs/>
      <w:color w:val="000000"/>
      <w:kern w:val="0"/>
      <w:sz w:val="21"/>
      <w:szCs w:val="21"/>
      <w:lang w:val="en-US" w:eastAsia="zh-CN" w:bidi="ar-SA"/>
    </w:rPr>
  </w:style>
  <w:style w:type="paragraph" w:customStyle="1" w:styleId="72">
    <w:name w:val="纯文本1"/>
    <w:basedOn w:val="1"/>
    <w:autoRedefine/>
    <w:qFormat/>
    <w:uiPriority w:val="0"/>
    <w:rPr>
      <w:rFonts w:ascii="宋体" w:hAnsi="Courier New"/>
    </w:rPr>
  </w:style>
  <w:style w:type="paragraph" w:customStyle="1" w:styleId="73">
    <w:name w:val="表格2"/>
    <w:basedOn w:val="56"/>
    <w:autoRedefine/>
    <w:qFormat/>
    <w:uiPriority w:val="0"/>
    <w:pPr>
      <w:spacing w:after="0" w:afterLines="0" w:line="400" w:lineRule="exact"/>
    </w:pPr>
    <w:rPr>
      <w:rFonts w:ascii="Times New Roman" w:hAnsi="Times New Roman" w:eastAsia="宋体" w:cs="Times New Roman"/>
    </w:rPr>
  </w:style>
  <w:style w:type="paragraph" w:customStyle="1" w:styleId="74">
    <w:name w:val="表内容"/>
    <w:next w:val="1"/>
    <w:autoRedefine/>
    <w:qFormat/>
    <w:uiPriority w:val="99"/>
    <w:pPr>
      <w:jc w:val="center"/>
    </w:pPr>
    <w:rPr>
      <w:rFonts w:ascii="Times New Roman" w:hAnsi="Times New Roman" w:eastAsia="宋体" w:cs="Times New Roman"/>
      <w:sz w:val="21"/>
      <w:lang w:val="en-US" w:eastAsia="zh-CN" w:bidi="ar-SA"/>
    </w:rPr>
  </w:style>
  <w:style w:type="paragraph" w:customStyle="1" w:styleId="75">
    <w:name w:val="表头及表尾"/>
    <w:autoRedefine/>
    <w:qFormat/>
    <w:uiPriority w:val="0"/>
    <w:pPr>
      <w:tabs>
        <w:tab w:val="center" w:pos="4200"/>
        <w:tab w:val="right" w:pos="8400"/>
      </w:tabs>
      <w:adjustRightInd w:val="0"/>
      <w:snapToGrid w:val="0"/>
      <w:spacing w:line="360" w:lineRule="auto"/>
      <w:jc w:val="center"/>
    </w:pPr>
    <w:rPr>
      <w:rFonts w:ascii="Times New Roman" w:hAnsi="Times New Roman" w:eastAsia="宋体" w:cs="Times New Roman"/>
      <w:b/>
      <w:sz w:val="21"/>
      <w:szCs w:val="21"/>
      <w:lang w:val="en-US" w:eastAsia="zh-CN" w:bidi="ar-SA"/>
    </w:rPr>
  </w:style>
  <w:style w:type="paragraph" w:customStyle="1" w:styleId="76">
    <w:name w:val="li_正文"/>
    <w:basedOn w:val="1"/>
    <w:autoRedefine/>
    <w:qFormat/>
    <w:uiPriority w:val="0"/>
    <w:pPr>
      <w:ind w:firstLine="200" w:firstLineChars="200"/>
      <w:jc w:val="left"/>
    </w:pPr>
    <w:rPr>
      <w:rFonts w:ascii="Calibri" w:hAnsi="Calibri"/>
      <w:sz w:val="28"/>
      <w:szCs w:val="28"/>
    </w:rPr>
  </w:style>
  <w:style w:type="paragraph" w:customStyle="1" w:styleId="77">
    <w:name w:val="表题"/>
    <w:basedOn w:val="1"/>
    <w:next w:val="1"/>
    <w:autoRedefine/>
    <w:qFormat/>
    <w:uiPriority w:val="0"/>
    <w:pPr>
      <w:spacing w:before="50" w:beforeLines="50" w:line="240" w:lineRule="auto"/>
      <w:ind w:firstLine="0" w:firstLineChars="0"/>
      <w:jc w:val="center"/>
    </w:pPr>
    <w:rPr>
      <w:b/>
      <w:sz w:val="21"/>
    </w:rPr>
  </w:style>
  <w:style w:type="paragraph" w:customStyle="1" w:styleId="78">
    <w:name w:val="准 正文 左侧:  2 字符 + 首行缩进:  2 字符"/>
    <w:basedOn w:val="1"/>
    <w:autoRedefine/>
    <w:qFormat/>
    <w:uiPriority w:val="0"/>
    <w:pPr>
      <w:spacing w:line="360" w:lineRule="auto"/>
      <w:ind w:firstLine="480" w:firstLineChars="200"/>
    </w:pPr>
    <w:rPr>
      <w:rFonts w:cs="宋体"/>
      <w:sz w:val="24"/>
    </w:rPr>
  </w:style>
  <w:style w:type="paragraph" w:styleId="79">
    <w:name w:val="No Spacing"/>
    <w:basedOn w:val="23"/>
    <w:next w:val="1"/>
    <w:autoRedefine/>
    <w:qFormat/>
    <w:uiPriority w:val="1"/>
    <w:pPr>
      <w:spacing w:line="240" w:lineRule="auto"/>
      <w:ind w:left="0" w:firstLine="0" w:firstLineChars="0"/>
      <w:jc w:val="center"/>
    </w:pPr>
    <w:rPr>
      <w:sz w:val="21"/>
    </w:rPr>
  </w:style>
  <w:style w:type="paragraph" w:styleId="80">
    <w:name w:val="List Paragraph"/>
    <w:basedOn w:val="1"/>
    <w:autoRedefine/>
    <w:qFormat/>
    <w:uiPriority w:val="1"/>
    <w:pPr>
      <w:ind w:left="122" w:hanging="795"/>
    </w:pPr>
    <w:rPr>
      <w:rFonts w:ascii="宋体" w:hAnsi="宋体" w:eastAsia="宋体" w:cs="宋体"/>
      <w:lang w:val="zh-CN" w:eastAsia="zh-CN" w:bidi="zh-CN"/>
    </w:rPr>
  </w:style>
  <w:style w:type="paragraph" w:customStyle="1" w:styleId="81">
    <w:name w:val="正文_1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2">
    <w:name w:val="样式 表内容 + 行距: 固定值 28 磅"/>
    <w:basedOn w:val="74"/>
    <w:autoRedefine/>
    <w:qFormat/>
    <w:uiPriority w:val="0"/>
    <w:pPr>
      <w:jc w:val="center"/>
    </w:pPr>
    <w:rPr>
      <w:rFonts w:hAnsi="宋体" w:cs="宋体"/>
      <w:spacing w:val="5"/>
      <w:sz w:val="21"/>
      <w:szCs w:val="20"/>
    </w:rPr>
  </w:style>
  <w:style w:type="paragraph" w:customStyle="1" w:styleId="83">
    <w:name w:val="普通(网站)2"/>
    <w:basedOn w:val="1"/>
    <w:autoRedefine/>
    <w:qFormat/>
    <w:uiPriority w:val="0"/>
    <w:pPr>
      <w:widowControl/>
      <w:spacing w:before="100" w:beforeAutospacing="1" w:after="100" w:afterAutospacing="1"/>
      <w:jc w:val="left"/>
    </w:pPr>
    <w:rPr>
      <w:rFonts w:ascii="宋体" w:hAnsi="宋体"/>
      <w:sz w:val="24"/>
      <w:szCs w:val="20"/>
    </w:rPr>
  </w:style>
  <w:style w:type="paragraph" w:customStyle="1" w:styleId="84">
    <w:name w:val="报告表正文"/>
    <w:basedOn w:val="1"/>
    <w:autoRedefine/>
    <w:qFormat/>
    <w:uiPriority w:val="0"/>
    <w:pPr>
      <w:adjustRightInd w:val="0"/>
      <w:spacing w:line="312" w:lineRule="auto"/>
      <w:ind w:left="113" w:right="113" w:firstLine="482"/>
      <w:jc w:val="left"/>
      <w:textAlignment w:val="baseline"/>
    </w:pPr>
    <w:rPr>
      <w:kern w:val="0"/>
      <w:sz w:val="24"/>
      <w:szCs w:val="20"/>
    </w:rPr>
  </w:style>
  <w:style w:type="paragraph" w:customStyle="1" w:styleId="85">
    <w:name w:val="文本"/>
    <w:basedOn w:val="26"/>
    <w:autoRedefine/>
    <w:qFormat/>
    <w:uiPriority w:val="0"/>
    <w:pPr>
      <w:adjustRightInd w:val="0"/>
      <w:snapToGrid w:val="0"/>
      <w:spacing w:line="540" w:lineRule="exact"/>
      <w:ind w:firstLine="200" w:firstLineChars="200"/>
      <w:jc w:val="both"/>
    </w:pPr>
    <w:rPr>
      <w:rFonts w:ascii="宋体" w:hAnsi="Calibri" w:eastAsia="宋体" w:cs="Times New Roman"/>
      <w:kern w:val="2"/>
      <w:sz w:val="28"/>
      <w:szCs w:val="22"/>
      <w:lang w:val="en-US" w:eastAsia="zh-CN" w:bidi="ar-SA"/>
    </w:rPr>
  </w:style>
  <w:style w:type="paragraph" w:customStyle="1" w:styleId="86">
    <w:name w:val="样式 标题 1一级标题 + 段前: 0.5 行 段后: 0.5 行"/>
    <w:basedOn w:val="4"/>
    <w:autoRedefine/>
    <w:qFormat/>
    <w:uiPriority w:val="99"/>
    <w:pPr>
      <w:spacing w:line="320" w:lineRule="exact"/>
      <w:outlineLvl w:val="9"/>
    </w:pPr>
    <w:rPr>
      <w:spacing w:val="-6"/>
      <w:sz w:val="21"/>
      <w:szCs w:val="21"/>
    </w:rPr>
  </w:style>
  <w:style w:type="paragraph" w:customStyle="1" w:styleId="87">
    <w:name w:val="表格后空行"/>
    <w:basedOn w:val="1"/>
    <w:autoRedefine/>
    <w:qFormat/>
    <w:uiPriority w:val="0"/>
    <w:pPr>
      <w:widowControl/>
      <w:spacing w:line="240" w:lineRule="exact"/>
      <w:textAlignment w:val="baseline"/>
    </w:pPr>
    <w:rPr>
      <w:rFonts w:ascii="宋体" w:cs="宋体"/>
      <w:color w:val="000000"/>
      <w:kern w:val="0"/>
      <w:sz w:val="18"/>
      <w:szCs w:val="20"/>
      <w:u w:val="none" w:color="000000"/>
    </w:rPr>
  </w:style>
  <w:style w:type="paragraph" w:customStyle="1" w:styleId="88">
    <w:name w:val="样式 首行缩进:  2 字符1"/>
    <w:basedOn w:val="1"/>
    <w:autoRedefine/>
    <w:qFormat/>
    <w:uiPriority w:val="0"/>
    <w:pPr>
      <w:adjustRightInd w:val="0"/>
      <w:snapToGrid w:val="0"/>
      <w:spacing w:line="360" w:lineRule="auto"/>
      <w:ind w:firstLine="480"/>
    </w:pPr>
    <w:rPr>
      <w:rFonts w:cs="宋体"/>
    </w:rPr>
  </w:style>
  <w:style w:type="table" w:customStyle="1" w:styleId="89">
    <w:name w:val="Table Normal"/>
    <w:autoRedefine/>
    <w:unhideWhenUsed/>
    <w:qFormat/>
    <w:uiPriority w:val="0"/>
    <w:tblPr>
      <w:tblCellMar>
        <w:top w:w="0" w:type="dxa"/>
        <w:left w:w="0" w:type="dxa"/>
        <w:bottom w:w="0" w:type="dxa"/>
        <w:right w:w="0" w:type="dxa"/>
      </w:tblCellMar>
    </w:tblPr>
  </w:style>
  <w:style w:type="paragraph" w:customStyle="1" w:styleId="90">
    <w:name w:val="标题三！！！！！！！"/>
    <w:basedOn w:val="6"/>
    <w:autoRedefine/>
    <w:qFormat/>
    <w:uiPriority w:val="0"/>
    <w:pPr>
      <w:keepNext w:val="0"/>
      <w:keepLines w:val="0"/>
      <w:adjustRightInd/>
      <w:spacing w:before="0" w:after="0" w:line="500" w:lineRule="exact"/>
      <w:textAlignment w:val="auto"/>
    </w:pPr>
    <w:rPr>
      <w:rFonts w:ascii="楷体_GB2312" w:hAnsi="楷体_GB2312" w:eastAsia="楷体_GB2312" w:cs="楷体_GB2312"/>
      <w:bCs w:val="0"/>
      <w:sz w:val="28"/>
      <w:szCs w:val="28"/>
    </w:rPr>
  </w:style>
  <w:style w:type="paragraph" w:customStyle="1" w:styleId="91">
    <w:name w:val="表格标题"/>
    <w:basedOn w:val="92"/>
    <w:autoRedefine/>
    <w:qFormat/>
    <w:uiPriority w:val="0"/>
    <w:pPr>
      <w:tabs>
        <w:tab w:val="left" w:pos="0"/>
        <w:tab w:val="center" w:pos="4153"/>
        <w:tab w:val="right" w:pos="8306"/>
      </w:tabs>
      <w:adjustRightInd w:val="0"/>
      <w:snapToGrid w:val="0"/>
      <w:spacing w:line="240" w:lineRule="auto"/>
      <w:ind w:firstLine="0" w:firstLineChars="0"/>
      <w:jc w:val="center"/>
    </w:pPr>
    <w:rPr>
      <w:bCs/>
      <w:spacing w:val="6"/>
      <w:sz w:val="21"/>
      <w:szCs w:val="24"/>
    </w:rPr>
  </w:style>
  <w:style w:type="paragraph" w:customStyle="1" w:styleId="92">
    <w:name w:val="表头"/>
    <w:basedOn w:val="20"/>
    <w:next w:val="56"/>
    <w:autoRedefine/>
    <w:qFormat/>
    <w:uiPriority w:val="0"/>
    <w:pPr>
      <w:tabs>
        <w:tab w:val="left" w:pos="0"/>
      </w:tabs>
      <w:wordWrap w:val="0"/>
      <w:spacing w:line="500" w:lineRule="exact"/>
      <w:ind w:right="17" w:firstLine="413" w:firstLineChars="196"/>
    </w:pPr>
    <w:rPr>
      <w:rFonts w:ascii="宋体" w:hAnsi="宋体"/>
      <w:b/>
      <w:szCs w:val="21"/>
    </w:rPr>
  </w:style>
  <w:style w:type="paragraph" w:customStyle="1" w:styleId="93">
    <w:name w:val="表中文字"/>
    <w:basedOn w:val="1"/>
    <w:next w:val="1"/>
    <w:autoRedefine/>
    <w:qFormat/>
    <w:uiPriority w:val="0"/>
    <w:pPr>
      <w:tabs>
        <w:tab w:val="left" w:pos="2700"/>
      </w:tabs>
      <w:spacing w:line="240" w:lineRule="auto"/>
      <w:ind w:firstLine="0" w:firstLineChars="0"/>
      <w:jc w:val="center"/>
      <w:textAlignment w:val="center"/>
    </w:pPr>
    <w:rPr>
      <w:sz w:val="21"/>
      <w:szCs w:val="21"/>
    </w:rPr>
  </w:style>
  <w:style w:type="paragraph" w:customStyle="1" w:styleId="94">
    <w:name w:val="Table Text"/>
    <w:basedOn w:val="1"/>
    <w:autoRedefine/>
    <w:semiHidden/>
    <w:qFormat/>
    <w:uiPriority w:val="0"/>
    <w:rPr>
      <w:rFonts w:ascii="Times New Roman" w:hAnsi="Times New Roman" w:eastAsia="Times New Roman" w:cs="Times New Roman"/>
      <w:sz w:val="21"/>
      <w:szCs w:val="21"/>
      <w:lang w:val="en-US" w:eastAsia="en-US" w:bidi="ar-SA"/>
    </w:rPr>
  </w:style>
  <w:style w:type="paragraph" w:customStyle="1" w:styleId="95">
    <w:name w:val="正文（缩进）"/>
    <w:basedOn w:val="1"/>
    <w:autoRedefine/>
    <w:qFormat/>
    <w:uiPriority w:val="99"/>
    <w:pPr>
      <w:spacing w:line="360" w:lineRule="auto"/>
      <w:ind w:firstLine="480" w:firstLineChars="200"/>
    </w:pPr>
    <w:rPr>
      <w:sz w:val="24"/>
      <w:szCs w:val="20"/>
    </w:rPr>
  </w:style>
  <w:style w:type="paragraph" w:customStyle="1" w:styleId="96">
    <w:name w:val="1正文"/>
    <w:autoRedefine/>
    <w:qFormat/>
    <w:uiPriority w:val="0"/>
    <w:pPr>
      <w:widowControl w:val="0"/>
      <w:spacing w:line="360" w:lineRule="auto"/>
      <w:ind w:firstLine="480" w:firstLineChars="200"/>
      <w:jc w:val="both"/>
    </w:pPr>
    <w:rPr>
      <w:rFonts w:ascii="Times New Roman" w:hAnsi="Times New Roman" w:eastAsia="宋体" w:cs="Times New Roman"/>
      <w:color w:val="000000"/>
      <w:sz w:val="24"/>
      <w:szCs w:val="24"/>
      <w:lang w:val="en-US" w:eastAsia="zh-CN" w:bidi="ar-SA"/>
    </w:rPr>
  </w:style>
  <w:style w:type="paragraph" w:customStyle="1" w:styleId="97">
    <w:name w:val="我"/>
    <w:basedOn w:val="1"/>
    <w:autoRedefine/>
    <w:qFormat/>
    <w:uiPriority w:val="0"/>
    <w:pPr>
      <w:spacing w:line="360" w:lineRule="auto"/>
      <w:ind w:firstLine="640" w:firstLineChars="200"/>
    </w:pPr>
    <w:rPr>
      <w:rFonts w:ascii="宋体" w:hAnsi="宋体" w:eastAsia="宋体" w:cs="宋体"/>
      <w:sz w:val="24"/>
    </w:rPr>
  </w:style>
  <w:style w:type="paragraph" w:customStyle="1" w:styleId="98">
    <w:name w:val="样式 正文缩进 + 宋体 行距: 固定值 22 磅"/>
    <w:basedOn w:val="9"/>
    <w:autoRedefine/>
    <w:qFormat/>
    <w:uiPriority w:val="0"/>
    <w:pPr>
      <w:ind w:firstLine="0" w:firstLineChars="0"/>
    </w:pPr>
    <w:rPr>
      <w:rFonts w:ascii="Arial Unicode MS" w:hAnsi="Arial Unicode MS" w:cs="宋体"/>
      <w:szCs w:val="20"/>
    </w:rPr>
  </w:style>
  <w:style w:type="paragraph" w:customStyle="1" w:styleId="99">
    <w:name w:val="ZM 表内格式"/>
    <w:autoRedefine/>
    <w:qFormat/>
    <w:uiPriority w:val="0"/>
    <w:pPr>
      <w:widowControl w:val="0"/>
      <w:adjustRightInd w:val="0"/>
      <w:snapToGrid w:val="0"/>
      <w:jc w:val="center"/>
      <w:textAlignment w:val="center"/>
    </w:pPr>
    <w:rPr>
      <w:rFonts w:ascii="宋体" w:hAnsi="Times New Roman" w:eastAsia="宋体" w:cs="Times New Roman"/>
      <w:kern w:val="2"/>
      <w:sz w:val="21"/>
      <w:szCs w:val="21"/>
      <w:lang w:val="en-US" w:eastAsia="zh-CN" w:bidi="ar-SA"/>
    </w:rPr>
  </w:style>
  <w:style w:type="paragraph" w:customStyle="1" w:styleId="100">
    <w:name w:val="WPSOffice手动目录 1"/>
    <w:autoRedefine/>
    <w:qFormat/>
    <w:uiPriority w:val="0"/>
    <w:pPr>
      <w:ind w:leftChars="0"/>
    </w:pPr>
    <w:rPr>
      <w:rFonts w:ascii="Times New Roman" w:hAnsi="Times New Roman" w:eastAsia="宋体" w:cs="Times New Roman"/>
      <w:sz w:val="20"/>
      <w:szCs w:val="20"/>
    </w:rPr>
  </w:style>
  <w:style w:type="paragraph" w:customStyle="1" w:styleId="101">
    <w:name w:val="WPSOffice手动目录 2"/>
    <w:autoRedefine/>
    <w:qFormat/>
    <w:uiPriority w:val="0"/>
    <w:pPr>
      <w:ind w:leftChars="200"/>
    </w:pPr>
    <w:rPr>
      <w:rFonts w:ascii="Times New Roman" w:hAnsi="Times New Roman" w:eastAsia="宋体" w:cs="Times New Roman"/>
      <w:sz w:val="20"/>
      <w:szCs w:val="20"/>
    </w:rPr>
  </w:style>
  <w:style w:type="paragraph" w:customStyle="1" w:styleId="102">
    <w:name w:val="WPSOffice手动目录 3"/>
    <w:autoRedefine/>
    <w:qFormat/>
    <w:uiPriority w:val="0"/>
    <w:pPr>
      <w:ind w:leftChars="400"/>
    </w:pPr>
    <w:rPr>
      <w:rFonts w:ascii="Times New Roman" w:hAnsi="Times New Roman" w:eastAsia="宋体" w:cs="Times New Roman"/>
      <w:sz w:val="20"/>
      <w:szCs w:val="20"/>
    </w:rPr>
  </w:style>
  <w:style w:type="paragraph" w:customStyle="1" w:styleId="103">
    <w:name w:val="1.危废库"/>
    <w:basedOn w:val="1"/>
    <w:qFormat/>
    <w:uiPriority w:val="0"/>
    <w:pPr>
      <w:spacing w:line="360" w:lineRule="auto"/>
      <w:ind w:firstLine="480" w:firstLineChars="200"/>
      <w:jc w:val="both"/>
    </w:pPr>
    <w:rPr>
      <w:rFonts w:ascii="Times New Roman" w:hAnsi="Times New Roman" w:eastAsia="宋体" w:cs="Times New Roman"/>
      <w:snapToGrid w:val="0"/>
      <w:color w:val="000000"/>
      <w:sz w:val="24"/>
    </w:rPr>
  </w:style>
  <w:style w:type="character" w:customStyle="1" w:styleId="104">
    <w:name w:val="正文文本_"/>
    <w:qFormat/>
    <w:uiPriority w:val="0"/>
    <w:rPr>
      <w:rFonts w:ascii="Arial Unicode MS" w:hAnsi="Times New Roman" w:eastAsia="Arial Unicode MS" w:cs="Arial Unicode MS"/>
      <w:sz w:val="23"/>
      <w:szCs w:val="23"/>
      <w:u w:val="none"/>
    </w:rPr>
  </w:style>
  <w:style w:type="paragraph" w:customStyle="1" w:styleId="105">
    <w:name w:val="报告正文"/>
    <w:basedOn w:val="1"/>
    <w:qFormat/>
    <w:uiPriority w:val="0"/>
    <w:pPr>
      <w:spacing w:line="520" w:lineRule="exact"/>
      <w:ind w:firstLine="488" w:firstLineChars="200"/>
      <w:jc w:val="left"/>
    </w:pPr>
    <w:rPr>
      <w:bCs/>
      <w:spacing w:val="8"/>
      <w:kern w:val="0"/>
      <w:sz w:val="24"/>
    </w:rPr>
  </w:style>
  <w:style w:type="paragraph" w:customStyle="1" w:styleId="106">
    <w:name w:val="正文文字"/>
    <w:basedOn w:val="1"/>
    <w:qFormat/>
    <w:uiPriority w:val="0"/>
    <w:pPr>
      <w:spacing w:line="360" w:lineRule="auto"/>
      <w:ind w:firstLine="480" w:firstLineChars="200"/>
    </w:pPr>
    <w:rPr>
      <w:rFonts w:ascii="Times New Roman" w:hAnsi="Times New Roman" w:eastAsia="宋体"/>
      <w:sz w:val="24"/>
    </w:rPr>
  </w:style>
  <w:style w:type="paragraph" w:customStyle="1" w:styleId="107">
    <w:name w:val="表格内容"/>
    <w:basedOn w:val="1"/>
    <w:qFormat/>
    <w:uiPriority w:val="0"/>
    <w:pPr>
      <w:overflowPunct w:val="0"/>
      <w:adjustRightInd w:val="0"/>
      <w:spacing w:before="40" w:after="60" w:line="200" w:lineRule="atLeast"/>
      <w:textAlignment w:val="baseline"/>
    </w:pPr>
    <w:rPr>
      <w:rFonts w:ascii="Arial" w:hAnsi="Arial" w:eastAsia="仿宋_GB2312"/>
      <w:kern w:val="0"/>
      <w:sz w:val="24"/>
      <w:szCs w:val="20"/>
    </w:rPr>
  </w:style>
  <w:style w:type="paragraph" w:customStyle="1" w:styleId="108">
    <w:name w:val="表、图名"/>
    <w:basedOn w:val="1"/>
    <w:autoRedefine/>
    <w:qFormat/>
    <w:uiPriority w:val="0"/>
    <w:pPr>
      <w:adjustRightInd w:val="0"/>
      <w:snapToGrid w:val="0"/>
      <w:spacing w:line="520" w:lineRule="exact"/>
      <w:ind w:left="-6" w:firstLine="560"/>
    </w:pPr>
    <w:rPr>
      <w:b/>
      <w:szCs w:val="20"/>
    </w:rPr>
  </w:style>
  <w:style w:type="character" w:customStyle="1" w:styleId="109">
    <w:name w:val="_Style 5"/>
    <w:autoRedefine/>
    <w:qFormat/>
    <w:uiPriority w:val="0"/>
    <w:rPr>
      <w:b/>
      <w:smallCaps/>
      <w:spacing w:val="5"/>
    </w:rPr>
  </w:style>
  <w:style w:type="paragraph" w:customStyle="1" w:styleId="110">
    <w:name w:val="表头、图号"/>
    <w:basedOn w:val="1"/>
    <w:autoRedefine/>
    <w:unhideWhenUsed/>
    <w:qFormat/>
    <w:uiPriority w:val="0"/>
    <w:pPr>
      <w:widowControl/>
      <w:spacing w:line="240" w:lineRule="auto"/>
    </w:pPr>
    <w:rPr>
      <w:rFonts w:eastAsia="黑体" w:cs="Times New Roman"/>
      <w:kern w:val="0"/>
    </w:rPr>
  </w:style>
  <w:style w:type="paragraph" w:customStyle="1" w:styleId="111">
    <w:name w:val="Body text|1"/>
    <w:basedOn w:val="1"/>
    <w:qFormat/>
    <w:uiPriority w:val="0"/>
    <w:pPr>
      <w:spacing w:after="330" w:line="480" w:lineRule="auto"/>
      <w:ind w:firstLine="400"/>
    </w:pPr>
    <w:rPr>
      <w:sz w:val="20"/>
      <w:szCs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extobjs>
    <extobj name="ECB019B1-382A-4266-B25C-5B523AA43C14-1">
      <extobjdata type="ECB019B1-382A-4266-B25C-5B523AA43C14" data="ewoJIkZpbGVJZCIgOiAiNDE1MjgyMzg5MzcyIiwKCSJHcm91cElkIiA6ICIyMTk1NDExNyIsCgkiSW1hZ2UiIDogImlWQk9SdzBLR2dvQUFBQU5TVWhFVWdBQUJDQUFBQUhnQ0FZQUFBQjBQQngyQUFBQUFYTlNSMElBcnM0YzZRQUFJQUJKUkVGVWVKenMzWGw0VE5mL0IvRDNtWmxNdHBsSVNJaXRhS21sUW1LblgxUnRyYlY3UzZ0YVZhcXFSWlRZOXlxbGFrbHRyUlMxYjZXb3BxMGlSWWtLUVlnbG9pS0VDU0hKWkRLWm1mUDdJODM5R1pOVkU2TzhYOC9qZWN5NTU5NzdtYVNOM1BlY0JTQ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qc0gvQi9yU0hJU3c4cmdSQUFBQUFFbEZUa1N1UW1DQyIsCgkiVGhlbWUiIDogIiIsCgkiVHlwZSIgOiAiZmxvdyIsCgkiVXNlcklkIiA6ICIxMjc3MzQ2IiwKCSJWZXJzaW9uIiA6ICI2NSIKfQo="/>
    </extobj>
    <extobj name="ECB019B1-382A-4266-B25C-5B523AA43C14-2">
      <extobjdata type="ECB019B1-382A-4266-B25C-5B523AA43C14" data="ewoJIkZpbGVJZCIgOiAiNDE1MzA2MTg2MDg1IiwKCSJHcm91cElkIiA6ICIyMTk1NDExNyIsCgkiSW1hZ2UiIDogImlWQk9SdzBLR2dvQUFBQU5TVWhFVWdBQUJOVUFBQUxGQ0FZQUFBRGswTld6QUFBQUFYTlNSMElBcnM0YzZRQUFJQUJKUkVGVWVKenMzWGxjVk9YK0IvRFBtWTE5bFUxQVFka1JVRXZOQlZmVXEyWjI2MXBkdGRSZmkzWExwVnl5TEZPdkxXcGV2V3BaV1pabTVaYTVwWlc3bVhvekZWd1FFRVJVQkJUQllaOWhsdlA3ZzJZYWRsRHdnSHplcjVldmx6eHo1cHp2ekp6bk96UGZlYzd6QU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"/>
    </extobj>
    <extobj name="ECB019B1-382A-4266-B25C-5B523AA43C14-3">
      <extobjdata type="ECB019B1-382A-4266-B25C-5B523AA43C14" data="ewoJIkZpbGVJZCIgOiAiNDIwMDU2MTMwOTI0IiwKCSJHcm91cElkIiA6ICIyMTk1NDExNyIsCgkiSW1hZ2UiIDogImlWQk9SdzBLR2dvQUFBQU5TVWhFVWdBQUE1TUFBQUZJQ0FZQUFBRE5pYXBNQUFBQUFYTlNSMElBcnM0YzZRQUFJQUJKUkVGVWVKenMzWGRZRk5mNkIvRHZiSUZkV0pxSzNZUnJiR0FEalJYclZhUEczcUl4bGtRVDlWNTc3ekdLeHRpd2R3VTE5bGhpdWNiWVM5U29pZGdMc1VXeGdLQW9DeXhzT2I4L0NQdHpoVVVXZ1FYNWZwN0hKOHZNbVRQdlRqak12RFBubkFH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FWMHY4RDgzVmluaVArbmMwQUFBQUFTVVZPUks1Q1lJST0iLAoJIlRoZW1lIiA6ICIiLAoJIlR5cGUiIDogImZsb3ciLAoJIlVzZXJJZCIgOiAiMTI3NzM0NiIsCgkiVmVyc2lvbiIgOiAiOS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51</Pages>
  <Words>13413</Words>
  <Characters>14370</Characters>
  <Lines>1</Lines>
  <Paragraphs>1</Paragraphs>
  <TotalTime>0</TotalTime>
  <ScaleCrop>false</ScaleCrop>
  <LinksUpToDate>false</LinksUpToDate>
  <CharactersWithSpaces>14616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纯净的冰海蓝</cp:lastModifiedBy>
  <cp:lastPrinted>2025-05-13T08:53:00Z</cp:lastPrinted>
  <dcterms:modified xsi:type="dcterms:W3CDTF">2025-07-21T05:23:48Z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357F96BCC3B74C928C89AC40947F9F38_13</vt:lpwstr>
  </property>
  <property fmtid="{D5CDD505-2E9C-101B-9397-08002B2CF9AE}" pid="4" name="KSOTemplateDocerSaveRecord">
    <vt:lpwstr>eyJoZGlkIjoiMTI1OGJiNTcxNjU4MGFlMWYzZjFjYWM4MDVkZjczYWQiLCJ1c2VySWQiOiIxMjc3MzQ2In0=</vt:lpwstr>
  </property>
</Properties>
</file>