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jc w:val="center"/>
        <w:outlineLvl w:val="0"/>
        <w:rPr>
          <w:rFonts w:hint="eastAsia" w:ascii="黑体" w:hAnsi="黑体" w:eastAsia="黑体"/>
          <w:snapToGrid w:val="0"/>
          <w:sz w:val="30"/>
          <w:szCs w:val="30"/>
        </w:rPr>
      </w:pPr>
      <w:r>
        <w:rPr>
          <w:rFonts w:hint="eastAsia" w:ascii="黑体" w:hAnsi="黑体" w:eastAsia="黑体"/>
          <w:snapToGrid w:val="0"/>
          <w:sz w:val="30"/>
          <w:szCs w:val="30"/>
        </w:rPr>
        <w:drawing>
          <wp:inline distT="0" distB="0" distL="114300" distR="114300">
            <wp:extent cx="5615305" cy="7935595"/>
            <wp:effectExtent l="0" t="0" r="4445" b="8255"/>
            <wp:docPr id="6" name="图片 6" descr="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封面_01"/>
                    <pic:cNvPicPr>
                      <a:picLocks noChangeAspect="1"/>
                    </pic:cNvPicPr>
                  </pic:nvPicPr>
                  <pic:blipFill>
                    <a:blip r:embed="rId8"/>
                    <a:stretch>
                      <a:fillRect/>
                    </a:stretch>
                  </pic:blipFill>
                  <pic:spPr>
                    <a:xfrm>
                      <a:off x="0" y="0"/>
                      <a:ext cx="5615305" cy="7935595"/>
                    </a:xfrm>
                    <a:prstGeom prst="rect">
                      <a:avLst/>
                    </a:prstGeom>
                  </pic:spPr>
                </pic:pic>
              </a:graphicData>
            </a:graphic>
          </wp:inline>
        </w:drawing>
      </w:r>
    </w:p>
    <w:p>
      <w:pPr>
        <w:pStyle w:val="16"/>
        <w:jc w:val="center"/>
        <w:outlineLvl w:val="0"/>
        <w:rPr>
          <w:rFonts w:hint="eastAsia" w:ascii="黑体" w:hAnsi="黑体" w:eastAsia="黑体"/>
          <w:snapToGrid w:val="0"/>
          <w:sz w:val="30"/>
          <w:szCs w:val="30"/>
          <w:lang w:eastAsia="zh-CN"/>
        </w:rPr>
      </w:pPr>
      <w:r>
        <w:rPr>
          <w:rFonts w:hint="eastAsia" w:ascii="黑体" w:hAnsi="黑体" w:eastAsia="黑体"/>
          <w:snapToGrid w:val="0"/>
          <w:sz w:val="30"/>
          <w:szCs w:val="30"/>
          <w:lang w:eastAsia="zh-CN"/>
        </w:rPr>
        <w:drawing>
          <wp:inline distT="0" distB="0" distL="114300" distR="114300">
            <wp:extent cx="5615305" cy="7935595"/>
            <wp:effectExtent l="0" t="0" r="4445" b="8255"/>
            <wp:docPr id="7" name="图片 7" descr="请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请示_01"/>
                    <pic:cNvPicPr>
                      <a:picLocks noChangeAspect="1"/>
                    </pic:cNvPicPr>
                  </pic:nvPicPr>
                  <pic:blipFill>
                    <a:blip r:embed="rId9"/>
                    <a:stretch>
                      <a:fillRect/>
                    </a:stretch>
                  </pic:blipFill>
                  <pic:spPr>
                    <a:xfrm>
                      <a:off x="0" y="0"/>
                      <a:ext cx="5615305" cy="7935595"/>
                    </a:xfrm>
                    <a:prstGeom prst="rect">
                      <a:avLst/>
                    </a:prstGeom>
                  </pic:spPr>
                </pic:pic>
              </a:graphicData>
            </a:graphic>
          </wp:inline>
        </w:drawing>
      </w:r>
      <w:r>
        <w:rPr>
          <w:rFonts w:hint="eastAsia" w:ascii="黑体" w:hAnsi="黑体" w:eastAsia="黑体"/>
          <w:snapToGrid w:val="0"/>
          <w:sz w:val="30"/>
          <w:szCs w:val="30"/>
          <w:lang w:eastAsia="zh-CN"/>
        </w:rPr>
        <w:drawing>
          <wp:inline distT="0" distB="0" distL="114300" distR="114300">
            <wp:extent cx="5615305" cy="7935595"/>
            <wp:effectExtent l="0" t="0" r="4445" b="8255"/>
            <wp:docPr id="8" name="图片 8" descr="资质页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资质页_01"/>
                    <pic:cNvPicPr>
                      <a:picLocks noChangeAspect="1"/>
                    </pic:cNvPicPr>
                  </pic:nvPicPr>
                  <pic:blipFill>
                    <a:blip r:embed="rId10"/>
                    <a:stretch>
                      <a:fillRect/>
                    </a:stretch>
                  </pic:blipFill>
                  <pic:spPr>
                    <a:xfrm>
                      <a:off x="0" y="0"/>
                      <a:ext cx="5615305" cy="7935595"/>
                    </a:xfrm>
                    <a:prstGeom prst="rect">
                      <a:avLst/>
                    </a:prstGeom>
                  </pic:spPr>
                </pic:pic>
              </a:graphicData>
            </a:graphic>
          </wp:inline>
        </w:drawing>
      </w:r>
    </w:p>
    <w:p>
      <w:pPr>
        <w:pStyle w:val="16"/>
        <w:jc w:val="center"/>
        <w:outlineLvl w:val="0"/>
        <w:rPr>
          <w:rFonts w:hint="eastAsia" w:ascii="黑体" w:hAnsi="黑体" w:eastAsia="黑体"/>
          <w:snapToGrid w:val="0"/>
          <w:sz w:val="30"/>
          <w:szCs w:val="30"/>
          <w:lang w:eastAsia="zh-CN"/>
        </w:rPr>
      </w:pPr>
      <w:r>
        <w:rPr>
          <w:rFonts w:hint="eastAsia" w:ascii="黑体" w:hAnsi="黑体" w:eastAsia="黑体"/>
          <w:snapToGrid w:val="0"/>
          <w:sz w:val="30"/>
          <w:szCs w:val="30"/>
          <w:lang w:eastAsia="zh-CN"/>
        </w:rPr>
        <w:drawing>
          <wp:inline distT="0" distB="0" distL="114300" distR="114300">
            <wp:extent cx="5607050" cy="3968115"/>
            <wp:effectExtent l="0" t="0" r="12700" b="13335"/>
            <wp:docPr id="9" name="图片 9" descr="5.张茜环评工程师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张茜环评工程师证_01"/>
                    <pic:cNvPicPr>
                      <a:picLocks noChangeAspect="1"/>
                    </pic:cNvPicPr>
                  </pic:nvPicPr>
                  <pic:blipFill>
                    <a:blip r:embed="rId11"/>
                    <a:stretch>
                      <a:fillRect/>
                    </a:stretch>
                  </pic:blipFill>
                  <pic:spPr>
                    <a:xfrm>
                      <a:off x="0" y="0"/>
                      <a:ext cx="5607050" cy="3968115"/>
                    </a:xfrm>
                    <a:prstGeom prst="rect">
                      <a:avLst/>
                    </a:prstGeom>
                  </pic:spPr>
                </pic:pic>
              </a:graphicData>
            </a:graphic>
          </wp:inline>
        </w:drawing>
      </w:r>
    </w:p>
    <w:p>
      <w:pPr>
        <w:pStyle w:val="16"/>
        <w:jc w:val="center"/>
        <w:outlineLvl w:val="0"/>
        <w:rPr>
          <w:rFonts w:hint="eastAsia" w:ascii="黑体" w:hAnsi="黑体" w:eastAsia="黑体"/>
          <w:snapToGrid w:val="0"/>
          <w:sz w:val="30"/>
          <w:szCs w:val="30"/>
          <w:lang w:eastAsia="zh-CN"/>
        </w:rPr>
      </w:pPr>
      <w:r>
        <w:rPr>
          <w:rFonts w:hint="eastAsia" w:ascii="黑体" w:hAnsi="黑体" w:eastAsia="黑体"/>
          <w:snapToGrid w:val="0"/>
          <w:sz w:val="30"/>
          <w:szCs w:val="30"/>
          <w:lang w:eastAsia="zh-CN"/>
        </w:rPr>
        <w:drawing>
          <wp:inline distT="0" distB="0" distL="114300" distR="114300">
            <wp:extent cx="5610860" cy="7934960"/>
            <wp:effectExtent l="0" t="0" r="8890" b="8890"/>
            <wp:docPr id="10" name="图片 10" descr="14.现场踏勘照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现场踏勘照片_01"/>
                    <pic:cNvPicPr>
                      <a:picLocks noChangeAspect="1"/>
                    </pic:cNvPicPr>
                  </pic:nvPicPr>
                  <pic:blipFill>
                    <a:blip r:embed="rId12"/>
                    <a:stretch>
                      <a:fillRect/>
                    </a:stretch>
                  </pic:blipFill>
                  <pic:spPr>
                    <a:xfrm>
                      <a:off x="0" y="0"/>
                      <a:ext cx="5610860" cy="7934960"/>
                    </a:xfrm>
                    <a:prstGeom prst="rect">
                      <a:avLst/>
                    </a:prstGeom>
                  </pic:spPr>
                </pic:pic>
              </a:graphicData>
            </a:graphic>
          </wp:inline>
        </w:drawing>
      </w:r>
    </w:p>
    <w:p>
      <w:pPr>
        <w:pStyle w:val="16"/>
        <w:jc w:val="center"/>
        <w:outlineLvl w:val="0"/>
        <w:rPr>
          <w:rFonts w:hint="eastAsia" w:ascii="黑体" w:hAnsi="黑体" w:eastAsia="黑体"/>
          <w:snapToGrid w:val="0"/>
          <w:sz w:val="30"/>
          <w:szCs w:val="30"/>
        </w:rPr>
      </w:pPr>
    </w:p>
    <w:p>
      <w:pPr>
        <w:pStyle w:val="16"/>
        <w:jc w:val="center"/>
        <w:outlineLvl w:val="0"/>
        <w:rPr>
          <w:rFonts w:hint="eastAsia" w:ascii="黑体" w:hAnsi="黑体" w:eastAsia="黑体"/>
          <w:snapToGrid w:val="0"/>
          <w:sz w:val="30"/>
          <w:szCs w:val="30"/>
        </w:rPr>
      </w:pPr>
      <w:r>
        <w:rPr>
          <w:rFonts w:hint="eastAsia" w:ascii="黑体" w:hAnsi="黑体" w:eastAsia="黑体"/>
          <w:snapToGrid w:val="0"/>
          <w:sz w:val="30"/>
          <w:szCs w:val="30"/>
        </w:rPr>
        <w:t>一、建设项目基本情况</w:t>
      </w:r>
    </w:p>
    <w:tbl>
      <w:tblPr>
        <w:tblStyle w:val="19"/>
        <w:tblW w:w="88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38"/>
        <w:gridCol w:w="2486"/>
        <w:gridCol w:w="2216"/>
        <w:gridCol w:w="26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pPr>
              <w:pStyle w:val="34"/>
              <w:bidi w:val="0"/>
            </w:pPr>
            <w:r>
              <w:rPr>
                <w:rFonts w:hint="eastAsia"/>
              </w:rPr>
              <w:t>建设项目名称</w:t>
            </w:r>
          </w:p>
        </w:tc>
        <w:tc>
          <w:tcPr>
            <w:tcW w:w="7225" w:type="dxa"/>
            <w:gridSpan w:val="3"/>
            <w:noWrap w:val="0"/>
            <w:vAlign w:val="center"/>
          </w:tcPr>
          <w:p>
            <w:pPr>
              <w:pStyle w:val="34"/>
              <w:bidi w:val="0"/>
            </w:pPr>
            <w:r>
              <w:rPr>
                <w:rFonts w:hint="eastAsia"/>
                <w:lang w:val="en-US" w:eastAsia="zh-CN"/>
              </w:rPr>
              <w:t>库尔勒新奥丰保温材料厂年产60万平方米复合保温外模项目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pPr>
              <w:pStyle w:val="34"/>
              <w:bidi w:val="0"/>
            </w:pPr>
            <w:r>
              <w:rPr>
                <w:rFonts w:hint="eastAsia"/>
                <w:highlight w:val="none"/>
              </w:rPr>
              <w:t>项目代码</w:t>
            </w:r>
          </w:p>
        </w:tc>
        <w:tc>
          <w:tcPr>
            <w:tcW w:w="7225" w:type="dxa"/>
            <w:gridSpan w:val="3"/>
            <w:noWrap w:val="0"/>
            <w:vAlign w:val="center"/>
          </w:tcPr>
          <w:p>
            <w:pPr>
              <w:pStyle w:val="34"/>
              <w:bidi w:val="0"/>
              <w:rPr>
                <w:rFonts w:hint="default" w:eastAsia="宋体"/>
                <w:lang w:val="en-US" w:eastAsia="zh-CN"/>
              </w:rPr>
            </w:pPr>
            <w:r>
              <w:rPr>
                <w:rFonts w:hint="eastAsia"/>
                <w:lang w:val="en-US" w:eastAsia="zh-CN"/>
              </w:rPr>
              <w:t>2507-652801-04-05-522178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pPr>
              <w:pStyle w:val="34"/>
              <w:bidi w:val="0"/>
              <w:rPr>
                <w:rFonts w:hint="eastAsia"/>
              </w:rPr>
            </w:pPr>
            <w:r>
              <w:rPr>
                <w:rFonts w:hint="eastAsia"/>
              </w:rPr>
              <w:t>建设单位联系人</w:t>
            </w:r>
          </w:p>
        </w:tc>
        <w:tc>
          <w:tcPr>
            <w:tcW w:w="2371" w:type="dxa"/>
            <w:noWrap w:val="0"/>
            <w:vAlign w:val="center"/>
          </w:tcPr>
          <w:p>
            <w:pPr>
              <w:pStyle w:val="34"/>
              <w:bidi w:val="0"/>
            </w:pPr>
          </w:p>
        </w:tc>
        <w:tc>
          <w:tcPr>
            <w:tcW w:w="2212" w:type="dxa"/>
            <w:noWrap w:val="0"/>
            <w:vAlign w:val="center"/>
          </w:tcPr>
          <w:p>
            <w:pPr>
              <w:pStyle w:val="34"/>
              <w:bidi w:val="0"/>
            </w:pPr>
            <w:r>
              <w:rPr>
                <w:rFonts w:hint="eastAsia"/>
              </w:rPr>
              <w:t>联系方式</w:t>
            </w:r>
          </w:p>
        </w:tc>
        <w:tc>
          <w:tcPr>
            <w:tcW w:w="2642" w:type="dxa"/>
            <w:noWrap w:val="0"/>
            <w:vAlign w:val="center"/>
          </w:tcPr>
          <w:p>
            <w:pPr>
              <w:pStyle w:val="34"/>
              <w:bidi w:val="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pPr>
              <w:pStyle w:val="34"/>
              <w:bidi w:val="0"/>
            </w:pPr>
            <w:r>
              <w:rPr>
                <w:rFonts w:hint="eastAsia"/>
              </w:rPr>
              <w:t>建设地点</w:t>
            </w:r>
          </w:p>
        </w:tc>
        <w:tc>
          <w:tcPr>
            <w:tcW w:w="7225" w:type="dxa"/>
            <w:gridSpan w:val="3"/>
            <w:noWrap w:val="0"/>
            <w:vAlign w:val="center"/>
          </w:tcPr>
          <w:p>
            <w:pPr>
              <w:pStyle w:val="34"/>
              <w:bidi w:val="0"/>
              <w:rPr>
                <w:rFonts w:hint="default"/>
                <w:lang w:val="en-US" w:eastAsia="zh-CN"/>
              </w:rPr>
            </w:pPr>
            <w:r>
              <w:rPr>
                <w:rFonts w:hint="eastAsia"/>
              </w:rPr>
              <w:t>新疆维吾尔自治区巴音郭楞蒙古自治州库尔勒上库</w:t>
            </w:r>
            <w:r>
              <w:rPr>
                <w:rFonts w:hint="eastAsia"/>
                <w:lang w:val="en-US" w:eastAsia="zh-CN"/>
              </w:rPr>
              <w:t>高新技术产业开发区综合园</w:t>
            </w:r>
            <w:bookmarkStart w:id="8" w:name="_GoBack"/>
            <w:bookmarkEnd w:id="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pPr>
              <w:pStyle w:val="34"/>
              <w:bidi w:val="0"/>
            </w:pPr>
            <w:r>
              <w:rPr>
                <w:rFonts w:hint="eastAsia"/>
              </w:rPr>
              <w:t>地理坐标</w:t>
            </w:r>
          </w:p>
        </w:tc>
        <w:tc>
          <w:tcPr>
            <w:tcW w:w="7225" w:type="dxa"/>
            <w:gridSpan w:val="3"/>
            <w:noWrap w:val="0"/>
            <w:vAlign w:val="center"/>
          </w:tcPr>
          <w:p>
            <w:pPr>
              <w:pStyle w:val="34"/>
              <w:bidi w:val="0"/>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48" w:type="dxa"/>
            <w:noWrap w:val="0"/>
            <w:tcMar>
              <w:top w:w="16" w:type="dxa"/>
              <w:left w:w="16" w:type="dxa"/>
              <w:right w:w="16" w:type="dxa"/>
            </w:tcMar>
            <w:vAlign w:val="center"/>
          </w:tcPr>
          <w:p>
            <w:pPr>
              <w:pStyle w:val="34"/>
              <w:bidi w:val="0"/>
              <w:rPr>
                <w:rFonts w:hint="eastAsia"/>
              </w:rPr>
            </w:pPr>
            <w:r>
              <w:rPr>
                <w:rFonts w:hint="eastAsia"/>
              </w:rPr>
              <w:t>国民经济</w:t>
            </w:r>
          </w:p>
          <w:p>
            <w:pPr>
              <w:pStyle w:val="34"/>
              <w:bidi w:val="0"/>
            </w:pPr>
            <w:r>
              <w:rPr>
                <w:rFonts w:hint="eastAsia"/>
              </w:rPr>
              <w:t>行业类别</w:t>
            </w:r>
          </w:p>
        </w:tc>
        <w:tc>
          <w:tcPr>
            <w:tcW w:w="2371" w:type="dxa"/>
            <w:noWrap w:val="0"/>
            <w:vAlign w:val="center"/>
          </w:tcPr>
          <w:p>
            <w:pPr>
              <w:pStyle w:val="34"/>
              <w:bidi w:val="0"/>
              <w:rPr>
                <w:rFonts w:hint="default" w:eastAsia="宋体"/>
                <w:lang w:val="en-US" w:eastAsia="zh-CN"/>
              </w:rPr>
            </w:pPr>
            <w:r>
              <w:rPr>
                <w:rFonts w:hint="default"/>
              </w:rPr>
              <w:t>C3</w:t>
            </w:r>
            <w:r>
              <w:rPr>
                <w:rFonts w:hint="default"/>
                <w:lang w:val="en-US" w:eastAsia="zh-CN"/>
              </w:rPr>
              <w:t>021水泥制品制造</w:t>
            </w:r>
          </w:p>
        </w:tc>
        <w:tc>
          <w:tcPr>
            <w:tcW w:w="2212" w:type="dxa"/>
            <w:noWrap w:val="0"/>
            <w:vAlign w:val="center"/>
          </w:tcPr>
          <w:p>
            <w:pPr>
              <w:pStyle w:val="34"/>
              <w:bidi w:val="0"/>
            </w:pPr>
            <w:bookmarkStart w:id="0" w:name="_Hlk49843745"/>
            <w:r>
              <w:rPr>
                <w:rFonts w:hint="eastAsia"/>
              </w:rPr>
              <w:t>建设项目</w:t>
            </w:r>
          </w:p>
          <w:p>
            <w:pPr>
              <w:pStyle w:val="34"/>
              <w:bidi w:val="0"/>
            </w:pPr>
            <w:r>
              <w:rPr>
                <w:rFonts w:hint="eastAsia"/>
              </w:rPr>
              <w:t>行业类别</w:t>
            </w:r>
            <w:bookmarkEnd w:id="0"/>
          </w:p>
        </w:tc>
        <w:tc>
          <w:tcPr>
            <w:tcW w:w="2642" w:type="dxa"/>
            <w:noWrap w:val="0"/>
            <w:vAlign w:val="center"/>
          </w:tcPr>
          <w:p>
            <w:pPr>
              <w:pStyle w:val="34"/>
              <w:bidi w:val="0"/>
              <w:jc w:val="both"/>
              <w:rPr>
                <w:rFonts w:hint="default"/>
                <w:lang w:val="en-US"/>
              </w:rPr>
            </w:pPr>
            <w:r>
              <w:rPr>
                <w:rFonts w:hint="eastAsia"/>
                <w:lang w:val="en-US" w:eastAsia="zh-CN"/>
              </w:rPr>
              <w:t>二十七、非金属矿物制品业 30-石膏、水泥制品及类似制品制造302-水泥制品制造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48" w:type="dxa"/>
            <w:noWrap w:val="0"/>
            <w:tcMar>
              <w:top w:w="16" w:type="dxa"/>
              <w:left w:w="16" w:type="dxa"/>
              <w:right w:w="16" w:type="dxa"/>
            </w:tcMar>
            <w:vAlign w:val="center"/>
          </w:tcPr>
          <w:p>
            <w:pPr>
              <w:pStyle w:val="34"/>
              <w:bidi w:val="0"/>
            </w:pPr>
            <w:r>
              <w:rPr>
                <w:rFonts w:hint="eastAsia"/>
              </w:rPr>
              <w:t>建设性质</w:t>
            </w:r>
          </w:p>
        </w:tc>
        <w:tc>
          <w:tcPr>
            <w:tcW w:w="2371" w:type="dxa"/>
            <w:noWrap w:val="0"/>
            <w:vAlign w:val="center"/>
          </w:tcPr>
          <w:p>
            <w:pPr>
              <w:pStyle w:val="34"/>
              <w:bidi w:val="0"/>
              <w:jc w:val="both"/>
            </w:pPr>
            <w:r>
              <w:rPr>
                <w:rFonts w:hint="eastAsia"/>
                <w:lang w:eastAsia="zh-CN"/>
              </w:rPr>
              <w:t>☑</w:t>
            </w:r>
            <w:r>
              <w:rPr>
                <w:rFonts w:hint="eastAsia"/>
              </w:rPr>
              <w:t>新建（迁建）</w:t>
            </w:r>
          </w:p>
          <w:p>
            <w:pPr>
              <w:pStyle w:val="34"/>
              <w:bidi w:val="0"/>
              <w:jc w:val="both"/>
              <w:rPr>
                <w:rFonts w:hint="eastAsia"/>
              </w:rPr>
            </w:pPr>
            <w:r>
              <w:rPr>
                <w:rFonts w:hint="eastAsia"/>
              </w:rPr>
              <w:t>□改建</w:t>
            </w:r>
          </w:p>
          <w:p>
            <w:pPr>
              <w:pStyle w:val="34"/>
              <w:bidi w:val="0"/>
              <w:jc w:val="both"/>
              <w:rPr>
                <w:rFonts w:hint="eastAsia"/>
              </w:rPr>
            </w:pPr>
            <w:r>
              <w:rPr>
                <w:rFonts w:hint="eastAsia"/>
              </w:rPr>
              <w:t>□扩建</w:t>
            </w:r>
          </w:p>
          <w:p>
            <w:pPr>
              <w:pStyle w:val="34"/>
              <w:bidi w:val="0"/>
              <w:jc w:val="both"/>
            </w:pPr>
            <w:r>
              <w:rPr>
                <w:rFonts w:hint="eastAsia"/>
              </w:rPr>
              <w:t>□技术改造</w:t>
            </w:r>
          </w:p>
        </w:tc>
        <w:tc>
          <w:tcPr>
            <w:tcW w:w="2212" w:type="dxa"/>
            <w:noWrap w:val="0"/>
            <w:vAlign w:val="center"/>
          </w:tcPr>
          <w:p>
            <w:pPr>
              <w:pStyle w:val="34"/>
              <w:bidi w:val="0"/>
              <w:rPr>
                <w:rFonts w:hint="eastAsia"/>
              </w:rPr>
            </w:pPr>
            <w:r>
              <w:rPr>
                <w:rFonts w:hint="eastAsia"/>
              </w:rPr>
              <w:t>建设项目</w:t>
            </w:r>
          </w:p>
          <w:p>
            <w:pPr>
              <w:pStyle w:val="34"/>
              <w:bidi w:val="0"/>
            </w:pPr>
            <w:r>
              <w:rPr>
                <w:rFonts w:hint="eastAsia"/>
              </w:rPr>
              <w:t>申报情形</w:t>
            </w:r>
          </w:p>
        </w:tc>
        <w:tc>
          <w:tcPr>
            <w:tcW w:w="2642" w:type="dxa"/>
            <w:noWrap w:val="0"/>
            <w:vAlign w:val="center"/>
          </w:tcPr>
          <w:p>
            <w:pPr>
              <w:pStyle w:val="34"/>
              <w:bidi w:val="0"/>
              <w:jc w:val="both"/>
            </w:pPr>
            <w:r>
              <w:rPr>
                <w:rFonts w:hint="eastAsia"/>
              </w:rPr>
              <w:sym w:font="Wingdings 2" w:char="0052"/>
            </w:r>
            <w:r>
              <w:rPr>
                <w:rFonts w:hint="eastAsia"/>
              </w:rPr>
              <w:t>首次申报项目</w:t>
            </w:r>
            <w:r>
              <w:t xml:space="preserve">           </w:t>
            </w:r>
          </w:p>
          <w:p>
            <w:pPr>
              <w:pStyle w:val="34"/>
              <w:bidi w:val="0"/>
              <w:jc w:val="both"/>
            </w:pPr>
            <w:r>
              <w:rPr>
                <w:rFonts w:hint="eastAsia"/>
              </w:rPr>
              <w:t>□不予批准后再次申报项目</w:t>
            </w:r>
          </w:p>
          <w:p>
            <w:pPr>
              <w:pStyle w:val="34"/>
              <w:bidi w:val="0"/>
              <w:jc w:val="both"/>
            </w:pPr>
            <w:r>
              <w:rPr>
                <w:rFonts w:hint="eastAsia"/>
              </w:rPr>
              <w:sym w:font="Wingdings 2" w:char="00A3"/>
            </w:r>
            <w:r>
              <w:rPr>
                <w:rFonts w:hint="eastAsia"/>
              </w:rPr>
              <w:t>超五年重新审核项目</w:t>
            </w:r>
            <w:r>
              <w:t xml:space="preserve">     </w:t>
            </w:r>
          </w:p>
          <w:p>
            <w:pPr>
              <w:pStyle w:val="34"/>
              <w:bidi w:val="0"/>
              <w:jc w:val="both"/>
            </w:pPr>
            <w:r>
              <w:rPr>
                <w:rFonts w:hint="eastAsia"/>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48" w:type="dxa"/>
            <w:noWrap w:val="0"/>
            <w:tcMar>
              <w:top w:w="16" w:type="dxa"/>
              <w:left w:w="16" w:type="dxa"/>
              <w:right w:w="16" w:type="dxa"/>
            </w:tcMar>
            <w:vAlign w:val="center"/>
          </w:tcPr>
          <w:p>
            <w:pPr>
              <w:pStyle w:val="34"/>
              <w:bidi w:val="0"/>
              <w:rPr>
                <w:rFonts w:hint="eastAsia"/>
                <w:highlight w:val="none"/>
              </w:rPr>
            </w:pPr>
            <w:r>
              <w:rPr>
                <w:rFonts w:hint="eastAsia"/>
                <w:highlight w:val="none"/>
              </w:rPr>
              <w:t>项目审批（核准</w:t>
            </w:r>
            <w:r>
              <w:rPr>
                <w:highlight w:val="none"/>
              </w:rPr>
              <w:t>/</w:t>
            </w:r>
          </w:p>
          <w:p>
            <w:pPr>
              <w:pStyle w:val="34"/>
              <w:bidi w:val="0"/>
              <w:rPr>
                <w:highlight w:val="green"/>
              </w:rPr>
            </w:pPr>
            <w:r>
              <w:rPr>
                <w:rFonts w:hint="eastAsia"/>
                <w:highlight w:val="none"/>
              </w:rPr>
              <w:t>备案）部门（选填）</w:t>
            </w:r>
          </w:p>
        </w:tc>
        <w:tc>
          <w:tcPr>
            <w:tcW w:w="2371" w:type="dxa"/>
            <w:noWrap w:val="0"/>
            <w:vAlign w:val="center"/>
          </w:tcPr>
          <w:p>
            <w:pPr>
              <w:pStyle w:val="34"/>
              <w:bidi w:val="0"/>
              <w:rPr>
                <w:rFonts w:hint="default" w:eastAsia="宋体"/>
                <w:highlight w:val="green"/>
                <w:lang w:val="en-US" w:eastAsia="zh-CN"/>
              </w:rPr>
            </w:pPr>
            <w:r>
              <w:rPr>
                <w:rFonts w:hint="eastAsia"/>
                <w:highlight w:val="none"/>
                <w:lang w:val="en-US" w:eastAsia="zh-CN"/>
              </w:rPr>
              <w:t>库尔勒市发展和改革委员会</w:t>
            </w:r>
          </w:p>
        </w:tc>
        <w:tc>
          <w:tcPr>
            <w:tcW w:w="2212" w:type="dxa"/>
            <w:noWrap w:val="0"/>
            <w:vAlign w:val="center"/>
          </w:tcPr>
          <w:p>
            <w:pPr>
              <w:pStyle w:val="34"/>
              <w:bidi w:val="0"/>
              <w:rPr>
                <w:rFonts w:hint="eastAsia"/>
                <w:highlight w:val="none"/>
              </w:rPr>
            </w:pPr>
            <w:r>
              <w:rPr>
                <w:rFonts w:hint="eastAsia"/>
                <w:highlight w:val="none"/>
              </w:rPr>
              <w:t>项目审批（核准</w:t>
            </w:r>
            <w:r>
              <w:rPr>
                <w:highlight w:val="none"/>
              </w:rPr>
              <w:t>/</w:t>
            </w:r>
          </w:p>
          <w:p>
            <w:pPr>
              <w:pStyle w:val="34"/>
              <w:bidi w:val="0"/>
              <w:rPr>
                <w:rFonts w:hint="eastAsia"/>
                <w:highlight w:val="green"/>
              </w:rPr>
            </w:pPr>
            <w:r>
              <w:rPr>
                <w:rFonts w:hint="eastAsia"/>
                <w:highlight w:val="none"/>
              </w:rPr>
              <w:t>备案）文号（选填）</w:t>
            </w:r>
          </w:p>
        </w:tc>
        <w:tc>
          <w:tcPr>
            <w:tcW w:w="2642" w:type="dxa"/>
            <w:noWrap w:val="0"/>
            <w:vAlign w:val="center"/>
          </w:tcPr>
          <w:p>
            <w:pPr>
              <w:pStyle w:val="34"/>
              <w:bidi w:val="0"/>
              <w:rPr>
                <w:rFonts w:hint="default" w:eastAsia="宋体"/>
                <w:lang w:val="en-US" w:eastAsia="zh-CN"/>
              </w:rPr>
            </w:pPr>
            <w:r>
              <w:rPr>
                <w:rFonts w:hint="eastAsia"/>
                <w:lang w:val="en-US" w:eastAsia="zh-CN"/>
              </w:rPr>
              <w:t>20250220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pPr>
              <w:pStyle w:val="34"/>
              <w:bidi w:val="0"/>
            </w:pPr>
            <w:r>
              <w:rPr>
                <w:rFonts w:hint="eastAsia"/>
              </w:rPr>
              <w:t>总投资（万元）</w:t>
            </w:r>
          </w:p>
        </w:tc>
        <w:tc>
          <w:tcPr>
            <w:tcW w:w="2371" w:type="dxa"/>
            <w:noWrap w:val="0"/>
            <w:vAlign w:val="center"/>
          </w:tcPr>
          <w:p>
            <w:pPr>
              <w:pStyle w:val="34"/>
              <w:bidi w:val="0"/>
              <w:rPr>
                <w:rFonts w:hint="default" w:eastAsia="宋体"/>
                <w:highlight w:val="green"/>
                <w:lang w:val="en-US" w:eastAsia="zh-CN"/>
              </w:rPr>
            </w:pPr>
            <w:r>
              <w:rPr>
                <w:rFonts w:hint="eastAsia"/>
                <w:highlight w:val="none"/>
                <w:lang w:val="en-US" w:eastAsia="zh-CN"/>
              </w:rPr>
              <w:t>180</w:t>
            </w:r>
          </w:p>
        </w:tc>
        <w:tc>
          <w:tcPr>
            <w:tcW w:w="2212" w:type="dxa"/>
            <w:noWrap w:val="0"/>
            <w:tcMar>
              <w:top w:w="16" w:type="dxa"/>
              <w:left w:w="16" w:type="dxa"/>
              <w:right w:w="16" w:type="dxa"/>
            </w:tcMar>
            <w:vAlign w:val="center"/>
          </w:tcPr>
          <w:p>
            <w:pPr>
              <w:pStyle w:val="34"/>
              <w:bidi w:val="0"/>
            </w:pPr>
            <w:r>
              <w:rPr>
                <w:rFonts w:hint="eastAsia"/>
              </w:rPr>
              <w:t>环保投资（万元）</w:t>
            </w:r>
          </w:p>
        </w:tc>
        <w:tc>
          <w:tcPr>
            <w:tcW w:w="2642" w:type="dxa"/>
            <w:noWrap w:val="0"/>
            <w:vAlign w:val="center"/>
          </w:tcPr>
          <w:p>
            <w:pPr>
              <w:pStyle w:val="34"/>
              <w:bidi w:val="0"/>
              <w:rPr>
                <w:rFonts w:hint="default" w:eastAsia="宋体"/>
                <w:lang w:val="en-US" w:eastAsia="zh-CN"/>
              </w:rPr>
            </w:pPr>
            <w:r>
              <w:rPr>
                <w:rFonts w:hint="eastAsia"/>
                <w:highlight w:val="none"/>
                <w:lang w:val="en-US" w:eastAsia="zh-CN"/>
              </w:rPr>
              <w:t>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pPr>
              <w:pStyle w:val="34"/>
              <w:bidi w:val="0"/>
            </w:pPr>
            <w:r>
              <w:rPr>
                <w:rFonts w:hint="eastAsia"/>
              </w:rPr>
              <w:t>环保投资占比（</w:t>
            </w:r>
            <w:r>
              <w:t>%</w:t>
            </w:r>
            <w:r>
              <w:rPr>
                <w:rFonts w:hint="eastAsia"/>
              </w:rPr>
              <w:t>）</w:t>
            </w:r>
          </w:p>
        </w:tc>
        <w:tc>
          <w:tcPr>
            <w:tcW w:w="2371" w:type="dxa"/>
            <w:noWrap w:val="0"/>
            <w:vAlign w:val="center"/>
          </w:tcPr>
          <w:p>
            <w:pPr>
              <w:pStyle w:val="34"/>
              <w:bidi w:val="0"/>
              <w:rPr>
                <w:rFonts w:hint="default" w:eastAsia="宋体"/>
                <w:lang w:val="en-US" w:eastAsia="zh-CN"/>
              </w:rPr>
            </w:pPr>
            <w:r>
              <w:rPr>
                <w:rFonts w:hint="eastAsia"/>
                <w:highlight w:val="none"/>
                <w:lang w:val="en-US" w:eastAsia="zh-CN"/>
              </w:rPr>
              <w:t>18</w:t>
            </w:r>
          </w:p>
        </w:tc>
        <w:tc>
          <w:tcPr>
            <w:tcW w:w="2212" w:type="dxa"/>
            <w:noWrap w:val="0"/>
            <w:tcMar>
              <w:top w:w="16" w:type="dxa"/>
              <w:left w:w="16" w:type="dxa"/>
              <w:right w:w="16" w:type="dxa"/>
            </w:tcMar>
            <w:vAlign w:val="center"/>
          </w:tcPr>
          <w:p>
            <w:pPr>
              <w:pStyle w:val="34"/>
              <w:bidi w:val="0"/>
            </w:pPr>
            <w:r>
              <w:rPr>
                <w:rFonts w:hint="eastAsia"/>
              </w:rPr>
              <w:t>施工工期</w:t>
            </w:r>
          </w:p>
        </w:tc>
        <w:tc>
          <w:tcPr>
            <w:tcW w:w="2642" w:type="dxa"/>
            <w:noWrap w:val="0"/>
            <w:vAlign w:val="center"/>
          </w:tcPr>
          <w:p>
            <w:pPr>
              <w:pStyle w:val="34"/>
              <w:bidi w:val="0"/>
              <w:rPr>
                <w:rFonts w:hint="default" w:eastAsia="宋体"/>
                <w:lang w:val="en-US" w:eastAsia="zh-CN"/>
              </w:rPr>
            </w:pPr>
            <w:r>
              <w:rPr>
                <w:rFonts w:hint="eastAsia"/>
                <w:lang w:val="en-US" w:eastAsia="zh-CN"/>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48" w:type="dxa"/>
            <w:noWrap w:val="0"/>
            <w:tcMar>
              <w:top w:w="16" w:type="dxa"/>
              <w:left w:w="16" w:type="dxa"/>
              <w:right w:w="16" w:type="dxa"/>
            </w:tcMar>
            <w:vAlign w:val="center"/>
          </w:tcPr>
          <w:p>
            <w:pPr>
              <w:pStyle w:val="34"/>
              <w:bidi w:val="0"/>
              <w:rPr>
                <w:rFonts w:hint="eastAsia"/>
              </w:rPr>
            </w:pPr>
            <w:r>
              <w:rPr>
                <w:rFonts w:hint="eastAsia"/>
              </w:rPr>
              <w:t>是否开工建设</w:t>
            </w:r>
          </w:p>
        </w:tc>
        <w:tc>
          <w:tcPr>
            <w:tcW w:w="2371" w:type="dxa"/>
            <w:noWrap w:val="0"/>
            <w:vAlign w:val="center"/>
          </w:tcPr>
          <w:p>
            <w:pPr>
              <w:pStyle w:val="34"/>
              <w:bidi w:val="0"/>
              <w:jc w:val="left"/>
            </w:pPr>
            <w:r>
              <w:rPr>
                <w:rFonts w:hint="eastAsia"/>
              </w:rPr>
              <w:sym w:font="Wingdings 2" w:char="0052"/>
            </w:r>
            <w:r>
              <w:rPr>
                <w:rFonts w:hint="eastAsia"/>
              </w:rPr>
              <w:t>否</w:t>
            </w:r>
          </w:p>
          <w:p>
            <w:pPr>
              <w:pStyle w:val="34"/>
              <w:bidi w:val="0"/>
              <w:jc w:val="left"/>
            </w:pPr>
            <w:r>
              <w:rPr>
                <w:rFonts w:hint="eastAsia"/>
              </w:rPr>
              <w:sym w:font="Wingdings 2" w:char="00A3"/>
            </w:r>
            <w:r>
              <w:rPr>
                <w:rFonts w:hint="eastAsia"/>
              </w:rPr>
              <w:t xml:space="preserve">是：             </w:t>
            </w:r>
          </w:p>
        </w:tc>
        <w:tc>
          <w:tcPr>
            <w:tcW w:w="2212" w:type="dxa"/>
            <w:noWrap w:val="0"/>
            <w:tcMar>
              <w:top w:w="16" w:type="dxa"/>
              <w:left w:w="16" w:type="dxa"/>
              <w:right w:w="16" w:type="dxa"/>
            </w:tcMar>
            <w:vAlign w:val="center"/>
          </w:tcPr>
          <w:p>
            <w:pPr>
              <w:pStyle w:val="34"/>
              <w:bidi w:val="0"/>
            </w:pPr>
            <w:r>
              <w:rPr>
                <w:rFonts w:hint="eastAsia"/>
              </w:rPr>
              <w:t>用地（用海）</w:t>
            </w:r>
          </w:p>
          <w:p>
            <w:pPr>
              <w:pStyle w:val="34"/>
              <w:bidi w:val="0"/>
              <w:rPr>
                <w:rFonts w:hint="eastAsia"/>
              </w:rPr>
            </w:pPr>
            <w:r>
              <w:rPr>
                <w:rFonts w:hint="eastAsia"/>
              </w:rPr>
              <w:t>面积（</w:t>
            </w:r>
            <w:r>
              <w:t>m</w:t>
            </w:r>
            <w:r>
              <w:rPr>
                <w:vertAlign w:val="superscript"/>
              </w:rPr>
              <w:t>2</w:t>
            </w:r>
            <w:r>
              <w:rPr>
                <w:rFonts w:hint="eastAsia"/>
              </w:rPr>
              <w:t>）</w:t>
            </w:r>
          </w:p>
        </w:tc>
        <w:tc>
          <w:tcPr>
            <w:tcW w:w="2642" w:type="dxa"/>
            <w:noWrap w:val="0"/>
            <w:vAlign w:val="center"/>
          </w:tcPr>
          <w:p>
            <w:pPr>
              <w:pStyle w:val="34"/>
              <w:bidi w:val="0"/>
              <w:rPr>
                <w:rFonts w:hint="default"/>
                <w:lang w:val="en-US"/>
              </w:rPr>
            </w:pPr>
            <w:r>
              <w:rPr>
                <w:rFonts w:hint="eastAsia"/>
                <w:lang w:val="en-US" w:eastAsia="zh-CN"/>
              </w:rPr>
              <w:t>1500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1" w:hRule="atLeast"/>
          <w:jc w:val="center"/>
        </w:trPr>
        <w:tc>
          <w:tcPr>
            <w:tcW w:w="1648" w:type="dxa"/>
            <w:noWrap w:val="0"/>
            <w:vAlign w:val="center"/>
          </w:tcPr>
          <w:p>
            <w:pPr>
              <w:pStyle w:val="34"/>
              <w:bidi w:val="0"/>
            </w:pPr>
            <w:r>
              <w:rPr>
                <w:rFonts w:hint="eastAsia"/>
              </w:rPr>
              <w:t>专项评价设置情况</w:t>
            </w:r>
          </w:p>
        </w:tc>
        <w:tc>
          <w:tcPr>
            <w:tcW w:w="7225" w:type="dxa"/>
            <w:gridSpan w:val="3"/>
            <w:noWrap w:val="0"/>
            <w:vAlign w:val="center"/>
          </w:tcPr>
          <w:p>
            <w:pPr>
              <w:pStyle w:val="34"/>
              <w:bidi w:val="0"/>
              <w:rPr>
                <w:rFonts w:hint="eastAsia"/>
                <w:lang w:val="en-US" w:eastAsia="zh-CN"/>
              </w:rPr>
            </w:pPr>
            <w:r>
              <w:rPr>
                <w:rFonts w:hint="eastAsia"/>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1648" w:type="dxa"/>
            <w:noWrap w:val="0"/>
            <w:vAlign w:val="center"/>
          </w:tcPr>
          <w:p>
            <w:pPr>
              <w:pStyle w:val="34"/>
              <w:bidi w:val="0"/>
              <w:rPr>
                <w:rFonts w:hint="eastAsia"/>
              </w:rPr>
            </w:pPr>
            <w:r>
              <w:rPr>
                <w:rFonts w:hint="eastAsia"/>
              </w:rPr>
              <w:t>规划情况</w:t>
            </w:r>
          </w:p>
        </w:tc>
        <w:tc>
          <w:tcPr>
            <w:tcW w:w="7225" w:type="dxa"/>
            <w:gridSpan w:val="3"/>
            <w:noWrap w:val="0"/>
            <w:vAlign w:val="center"/>
          </w:tcPr>
          <w:p>
            <w:pPr>
              <w:pStyle w:val="34"/>
              <w:bidi w:val="0"/>
              <w:jc w:val="left"/>
              <w:rPr>
                <w:rFonts w:hint="default"/>
                <w:lang w:val="en-US" w:eastAsia="zh-CN"/>
              </w:rPr>
            </w:pPr>
            <w:r>
              <w:rPr>
                <w:rFonts w:hint="default"/>
                <w:lang w:val="en-US" w:eastAsia="zh-CN"/>
              </w:rPr>
              <w:t>规划名称：《库尔勒上库高新技术产业开发区国土空间专项规划（2024-2035年）》</w:t>
            </w:r>
            <w:r>
              <w:rPr>
                <w:rFonts w:hint="eastAsia"/>
                <w:lang w:val="en-US" w:eastAsia="zh-CN"/>
              </w:rPr>
              <w:t>；</w:t>
            </w:r>
          </w:p>
          <w:p>
            <w:pPr>
              <w:pStyle w:val="34"/>
              <w:bidi w:val="0"/>
              <w:jc w:val="left"/>
              <w:rPr>
                <w:rFonts w:hint="default"/>
                <w:lang w:val="en-US" w:eastAsia="zh-CN"/>
              </w:rPr>
            </w:pPr>
            <w:r>
              <w:rPr>
                <w:rFonts w:hint="default"/>
                <w:lang w:val="en-US" w:eastAsia="zh-CN"/>
              </w:rPr>
              <w:t>审批机关：巴音郭楞蒙古自治州人民政府</w:t>
            </w:r>
            <w:r>
              <w:rPr>
                <w:rFonts w:hint="eastAsia"/>
                <w:lang w:val="en-US" w:eastAsia="zh-CN"/>
              </w:rPr>
              <w:t>；</w:t>
            </w:r>
          </w:p>
          <w:p>
            <w:pPr>
              <w:pStyle w:val="34"/>
              <w:bidi w:val="0"/>
              <w:jc w:val="left"/>
            </w:pPr>
            <w:r>
              <w:rPr>
                <w:rFonts w:hint="default"/>
                <w:lang w:val="en-US" w:eastAsia="zh-CN"/>
              </w:rPr>
              <w:t>审批文件名称及文号：</w:t>
            </w:r>
            <w:r>
              <w:rPr>
                <w:rFonts w:hint="default"/>
                <w:lang w:eastAsia="zh-CN"/>
              </w:rPr>
              <w:t>《</w:t>
            </w:r>
            <w:r>
              <w:rPr>
                <w:rFonts w:hint="default"/>
                <w:lang w:val="en-US" w:eastAsia="zh-CN"/>
              </w:rPr>
              <w:t>关于对</w:t>
            </w:r>
            <w:r>
              <w:rPr>
                <w:rFonts w:hint="eastAsia"/>
                <w:lang w:eastAsia="zh-CN"/>
              </w:rPr>
              <w:t>〈</w:t>
            </w:r>
            <w:r>
              <w:rPr>
                <w:rFonts w:hint="default"/>
                <w:lang w:val="en-US" w:eastAsia="zh-CN"/>
              </w:rPr>
              <w:t>库尔勒上库高新技术产业开发区国土空间专项规划（2024-2035年）</w:t>
            </w:r>
            <w:r>
              <w:rPr>
                <w:rFonts w:hint="eastAsia"/>
                <w:lang w:eastAsia="zh-CN"/>
              </w:rPr>
              <w:t>〉</w:t>
            </w:r>
            <w:r>
              <w:rPr>
                <w:rFonts w:hint="default"/>
                <w:lang w:val="en-US" w:eastAsia="zh-CN"/>
              </w:rPr>
              <w:t>的批复</w:t>
            </w:r>
            <w:r>
              <w:rPr>
                <w:rFonts w:hint="default"/>
                <w:lang w:eastAsia="zh-CN"/>
              </w:rPr>
              <w:t>》（</w:t>
            </w:r>
            <w:r>
              <w:rPr>
                <w:rFonts w:hint="default"/>
                <w:lang w:val="en-US" w:eastAsia="zh-CN"/>
              </w:rPr>
              <w:t>巴政函〔2024〕228号</w:t>
            </w:r>
            <w:r>
              <w:rPr>
                <w:rFonts w:hint="default"/>
                <w:lang w:eastAsia="zh-CN"/>
              </w:rPr>
              <w:t>）</w:t>
            </w:r>
            <w:r>
              <w:rPr>
                <w:rFonts w:hint="eastAsia"/>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75" w:hRule="atLeast"/>
          <w:jc w:val="center"/>
        </w:trPr>
        <w:tc>
          <w:tcPr>
            <w:tcW w:w="1648" w:type="dxa"/>
            <w:noWrap w:val="0"/>
            <w:vAlign w:val="center"/>
          </w:tcPr>
          <w:p>
            <w:pPr>
              <w:adjustRightInd w:val="0"/>
              <w:snapToGrid w:val="0"/>
              <w:jc w:val="center"/>
              <w:rPr>
                <w:rFonts w:ascii="宋体" w:hAnsi="宋体" w:cs="宋体"/>
                <w:szCs w:val="21"/>
              </w:rPr>
            </w:pPr>
            <w:r>
              <w:rPr>
                <w:rFonts w:hint="eastAsia" w:ascii="宋体" w:hAnsi="宋体" w:cs="宋体"/>
                <w:szCs w:val="21"/>
              </w:rPr>
              <w:t>规划环境影响</w:t>
            </w:r>
          </w:p>
          <w:p>
            <w:pPr>
              <w:adjustRightInd w:val="0"/>
              <w:snapToGrid w:val="0"/>
              <w:jc w:val="center"/>
              <w:rPr>
                <w:rFonts w:hint="eastAsia" w:ascii="宋体" w:hAnsi="宋体" w:cs="宋体"/>
                <w:kern w:val="0"/>
                <w:szCs w:val="21"/>
              </w:rPr>
            </w:pPr>
            <w:r>
              <w:rPr>
                <w:rFonts w:hint="eastAsia" w:ascii="宋体" w:hAnsi="宋体" w:cs="宋体"/>
                <w:szCs w:val="21"/>
              </w:rPr>
              <w:t>评价情况</w:t>
            </w:r>
          </w:p>
        </w:tc>
        <w:tc>
          <w:tcPr>
            <w:tcW w:w="7225" w:type="dxa"/>
            <w:gridSpan w:val="3"/>
            <w:noWrap w:val="0"/>
            <w:vAlign w:val="center"/>
          </w:tcPr>
          <w:p>
            <w:pPr>
              <w:pStyle w:val="34"/>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规划环评文件名称：《库尔勒上库高新技术产业开发区扩区规划（2022-2035年）环境影响报告书》；</w:t>
            </w:r>
          </w:p>
          <w:p>
            <w:pPr>
              <w:pStyle w:val="34"/>
              <w:bidi w:val="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审查机关：新疆维吾尔自治区生态环境厅；</w:t>
            </w:r>
          </w:p>
          <w:p>
            <w:pPr>
              <w:pStyle w:val="34"/>
              <w:bidi w:val="0"/>
              <w:jc w:val="left"/>
              <w:rPr>
                <w:rFonts w:hint="eastAsia"/>
                <w:lang w:eastAsia="zh-CN"/>
              </w:rPr>
            </w:pPr>
            <w:r>
              <w:rPr>
                <w:rFonts w:hint="eastAsia" w:ascii="Times New Roman" w:hAnsi="Times New Roman" w:eastAsia="宋体" w:cs="Times New Roman"/>
                <w:lang w:val="en-US" w:eastAsia="zh-CN"/>
              </w:rPr>
              <w:t>审查文件名称及文号：《关于</w:t>
            </w:r>
            <w:r>
              <w:rPr>
                <w:rFonts w:hint="eastAsia" w:ascii="宋体" w:hAnsi="宋体" w:eastAsia="宋体" w:cs="宋体"/>
                <w:lang w:val="en-US" w:eastAsia="zh-CN"/>
              </w:rPr>
              <w:t>〈</w:t>
            </w:r>
            <w:r>
              <w:rPr>
                <w:rFonts w:hint="eastAsia" w:ascii="Times New Roman" w:hAnsi="Times New Roman" w:eastAsia="宋体" w:cs="Times New Roman"/>
                <w:lang w:val="en-US" w:eastAsia="zh-CN"/>
              </w:rPr>
              <w:t>库尔勒上库高新技术产业开发区扩区规划（2022-2035年）环境影响报告书〉的审查意见》（新环审〔2023〕103号）。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48" w:type="dxa"/>
            <w:noWrap w:val="0"/>
            <w:vAlign w:val="center"/>
          </w:tcPr>
          <w:p>
            <w:pPr>
              <w:pStyle w:val="34"/>
              <w:bidi w:val="0"/>
              <w:rPr>
                <w:rFonts w:ascii="宋体" w:hAnsi="宋体" w:cs="宋体"/>
                <w:kern w:val="0"/>
                <w:szCs w:val="21"/>
              </w:rPr>
            </w:pPr>
            <w:r>
              <w:rPr>
                <w:rFonts w:hint="eastAsia"/>
              </w:rPr>
              <w:t>规划及规划环境影响评价符合性分析</w:t>
            </w:r>
          </w:p>
        </w:tc>
        <w:tc>
          <w:tcPr>
            <w:tcW w:w="7225" w:type="dxa"/>
            <w:gridSpan w:val="3"/>
            <w:noWrap w:val="0"/>
            <w:vAlign w:val="center"/>
          </w:tcPr>
          <w:p>
            <w:pPr>
              <w:pStyle w:val="3"/>
              <w:numPr>
                <w:ilvl w:val="0"/>
                <w:numId w:val="0"/>
              </w:numPr>
              <w:bidi w:val="0"/>
              <w:ind w:leftChars="0"/>
              <w:rPr>
                <w:rFonts w:hint="default"/>
                <w:lang w:val="en-US" w:eastAsia="zh-CN"/>
              </w:rPr>
            </w:pPr>
            <w:r>
              <w:rPr>
                <w:rFonts w:hint="eastAsia"/>
                <w:lang w:val="en-US" w:eastAsia="zh-CN"/>
              </w:rPr>
              <w:t>1.</w:t>
            </w:r>
            <w:r>
              <w:rPr>
                <w:rFonts w:hint="default"/>
                <w:lang w:val="en-US" w:eastAsia="zh-CN"/>
              </w:rPr>
              <w:t>与《库尔勒上库高新技术产业开发区国土空间专项规划（2024</w:t>
            </w:r>
            <w:r>
              <w:rPr>
                <w:rFonts w:hint="eastAsia"/>
                <w:lang w:val="en-US" w:eastAsia="zh-CN"/>
              </w:rPr>
              <w:t>-</w:t>
            </w:r>
            <w:r>
              <w:rPr>
                <w:rFonts w:hint="default"/>
                <w:lang w:val="en-US" w:eastAsia="zh-CN"/>
              </w:rPr>
              <w:t>2035年）》</w:t>
            </w:r>
            <w:r>
              <w:rPr>
                <w:rFonts w:hint="eastAsia"/>
                <w:lang w:val="en-US" w:eastAsia="zh-CN"/>
              </w:rPr>
              <w:t>符合</w:t>
            </w:r>
            <w:r>
              <w:rPr>
                <w:rFonts w:hint="default"/>
                <w:lang w:val="en-US" w:eastAsia="zh-CN"/>
              </w:rPr>
              <w:t>性分析</w:t>
            </w:r>
          </w:p>
          <w:p>
            <w:pPr>
              <w:pStyle w:val="3"/>
              <w:bidi w:val="0"/>
              <w:rPr>
                <w:rFonts w:hint="default" w:ascii="Times New Roman" w:hAnsi="Times New Roman" w:eastAsia="宋体" w:cs="Times New Roman"/>
                <w:b w:val="0"/>
                <w:bCs w:val="0"/>
                <w:color w:val="auto"/>
                <w:kern w:val="0"/>
                <w:sz w:val="24"/>
                <w:szCs w:val="20"/>
                <w:lang w:val="en-US" w:eastAsia="zh-CN" w:bidi="ar-SA"/>
              </w:rPr>
            </w:pPr>
            <w:r>
              <w:rPr>
                <w:rFonts w:hint="eastAsia" w:ascii="Times New Roman" w:hAnsi="Times New Roman" w:eastAsia="宋体" w:cs="Times New Roman"/>
                <w:b w:val="0"/>
                <w:bCs w:val="0"/>
                <w:color w:val="auto"/>
                <w:kern w:val="0"/>
                <w:sz w:val="24"/>
                <w:szCs w:val="20"/>
                <w:lang w:val="en-US" w:eastAsia="zh-CN" w:bidi="ar-SA"/>
              </w:rPr>
              <w:t>（1）园区概况</w:t>
            </w:r>
          </w:p>
          <w:p>
            <w:pPr>
              <w:pStyle w:val="8"/>
              <w:bidi w:val="0"/>
              <w:rPr>
                <w:rFonts w:hint="eastAsia"/>
                <w:lang w:val="en-US" w:eastAsia="zh-CN"/>
              </w:rPr>
            </w:pPr>
            <w:r>
              <w:rPr>
                <w:rFonts w:hint="eastAsia"/>
                <w:lang w:val="en-US" w:eastAsia="zh-CN"/>
              </w:rPr>
              <w:t>根据《库尔勒上库高新技术产业开发区国土空间专项规划（</w:t>
            </w:r>
            <w:r>
              <w:rPr>
                <w:rFonts w:hint="default"/>
                <w:lang w:val="en-US" w:eastAsia="zh-CN"/>
              </w:rPr>
              <w:t>2024</w:t>
            </w:r>
            <w:r>
              <w:rPr>
                <w:rFonts w:hint="eastAsia"/>
                <w:lang w:val="en-US" w:eastAsia="zh-CN"/>
              </w:rPr>
              <w:t>—</w:t>
            </w:r>
            <w:r>
              <w:rPr>
                <w:rFonts w:hint="default"/>
                <w:lang w:val="en-US" w:eastAsia="zh-CN"/>
              </w:rPr>
              <w:t>2035</w:t>
            </w:r>
            <w:r>
              <w:rPr>
                <w:rFonts w:hint="eastAsia"/>
                <w:lang w:val="en-US" w:eastAsia="zh-CN"/>
              </w:rPr>
              <w:t>年）》，规划将库尔勒上库高新技术产业开发区形成“一园两区”的总体空间布局，一园为库尔勒上库高新技术产业开发区，两区为上库综合产业园区与石油石化产业园区。</w:t>
            </w:r>
          </w:p>
          <w:p>
            <w:pPr>
              <w:pStyle w:val="8"/>
              <w:bidi w:val="0"/>
            </w:pPr>
            <w:r>
              <w:rPr>
                <w:rFonts w:hint="eastAsia"/>
                <w:lang w:val="en-US" w:eastAsia="zh-CN"/>
              </w:rPr>
              <w:t>本项目位于上库综合产业园区。</w:t>
            </w:r>
          </w:p>
          <w:p>
            <w:pPr>
              <w:pStyle w:val="3"/>
              <w:bidi w:val="0"/>
              <w:rPr>
                <w:rFonts w:hint="eastAsia" w:ascii="Times New Roman" w:hAnsi="Times New Roman" w:eastAsia="宋体" w:cs="Times New Roman"/>
                <w:b w:val="0"/>
                <w:bCs w:val="0"/>
                <w:color w:val="auto"/>
                <w:kern w:val="0"/>
                <w:sz w:val="24"/>
                <w:szCs w:val="20"/>
                <w:lang w:val="en-US" w:eastAsia="zh-CN" w:bidi="ar-SA"/>
              </w:rPr>
            </w:pPr>
            <w:r>
              <w:rPr>
                <w:rFonts w:hint="eastAsia" w:ascii="Times New Roman" w:hAnsi="Times New Roman" w:eastAsia="宋体" w:cs="Times New Roman"/>
                <w:b w:val="0"/>
                <w:bCs w:val="0"/>
                <w:color w:val="auto"/>
                <w:kern w:val="0"/>
                <w:sz w:val="24"/>
                <w:szCs w:val="20"/>
                <w:lang w:val="en-US" w:eastAsia="zh-CN" w:bidi="ar-SA"/>
              </w:rPr>
              <w:t>（2）上库综合产业园国土空间总体格局和产业空间布局</w:t>
            </w:r>
          </w:p>
          <w:p>
            <w:pPr>
              <w:pStyle w:val="8"/>
              <w:bidi w:val="0"/>
              <w:rPr>
                <w:rFonts w:hint="eastAsia"/>
                <w:lang w:val="en-US" w:eastAsia="zh-CN"/>
              </w:rPr>
            </w:pPr>
            <w:r>
              <w:rPr>
                <w:rFonts w:hint="eastAsia"/>
                <w:lang w:val="en-US" w:eastAsia="zh-CN"/>
              </w:rPr>
              <w:t>上库综合产业园形成“一心四轴四片区”的空间结构，石油石化产业园形成“一心两轴三带”的空间结构。</w:t>
            </w:r>
          </w:p>
          <w:p>
            <w:pPr>
              <w:pStyle w:val="8"/>
              <w:bidi w:val="0"/>
              <w:rPr>
                <w:rFonts w:hint="eastAsia"/>
                <w:lang w:val="en-US" w:eastAsia="zh-CN"/>
              </w:rPr>
            </w:pPr>
            <w:r>
              <w:rPr>
                <w:rFonts w:hint="eastAsia"/>
                <w:lang w:val="en-US" w:eastAsia="zh-CN"/>
              </w:rPr>
              <w:t>一心：以库尔勒上库高新技术产业开发区管委会为核心形成综合服务中心。</w:t>
            </w:r>
          </w:p>
          <w:p>
            <w:pPr>
              <w:pStyle w:val="8"/>
              <w:bidi w:val="0"/>
              <w:rPr>
                <w:rFonts w:hint="eastAsia"/>
                <w:lang w:val="en-US" w:eastAsia="zh-CN"/>
              </w:rPr>
            </w:pPr>
            <w:r>
              <w:rPr>
                <w:rFonts w:hint="eastAsia"/>
                <w:lang w:val="en-US" w:eastAsia="zh-CN"/>
              </w:rPr>
              <w:t>四轴：各类产业区结合园区路网及中央绿化隔离带整体形成“两横两纵”四条发展轴线。分别以光华路及上库大道为依托形成一横一纵的主要轴线，分别以上水路及西域大道为依托形成一横一纵的次要轴线。</w:t>
            </w:r>
          </w:p>
          <w:p>
            <w:pPr>
              <w:pStyle w:val="8"/>
              <w:bidi w:val="0"/>
              <w:rPr>
                <w:rFonts w:hint="eastAsia"/>
                <w:lang w:val="en-US" w:eastAsia="zh-CN"/>
              </w:rPr>
            </w:pPr>
            <w:r>
              <w:rPr>
                <w:rFonts w:hint="eastAsia"/>
                <w:lang w:val="en-US" w:eastAsia="zh-CN"/>
              </w:rPr>
              <w:t>四片区：结合规划用地布局及分类，划分为四个区域，包含工业区、商贸物流区、公用设施区及生活办公区。</w:t>
            </w:r>
          </w:p>
          <w:p>
            <w:pPr>
              <w:pStyle w:val="8"/>
              <w:bidi w:val="0"/>
              <w:rPr>
                <w:rFonts w:hint="eastAsia"/>
                <w:lang w:val="en-US" w:eastAsia="zh-CN"/>
              </w:rPr>
            </w:pPr>
            <w:r>
              <w:rPr>
                <w:rFonts w:hint="eastAsia"/>
                <w:lang w:val="en-US" w:eastAsia="zh-CN"/>
              </w:rPr>
              <w:t>本项目位于上库综合产业园区工业区，属于水泥制品制造，用地性质为工业用地，符合上库综合产业园国土空间总体格局和产业空间布局。</w:t>
            </w:r>
          </w:p>
          <w:p>
            <w:pPr>
              <w:pStyle w:val="3"/>
              <w:bidi w:val="0"/>
              <w:rPr>
                <w:rFonts w:hint="default"/>
                <w:lang w:val="en-US" w:eastAsia="zh-CN"/>
              </w:rPr>
            </w:pPr>
            <w:r>
              <w:rPr>
                <w:rFonts w:hint="eastAsia"/>
                <w:lang w:val="en-US" w:eastAsia="zh-CN"/>
              </w:rPr>
              <w:t>2.与《关于〈库尔勒上库高新技术产业开发区扩区规划（2022-2035年）环境影响报告书〉的审查意见》（新环审〔2023〕103号）的符合性分析</w:t>
            </w:r>
          </w:p>
          <w:p>
            <w:pPr>
              <w:pStyle w:val="38"/>
              <w:bidi w:val="0"/>
              <w:rPr>
                <w:rFonts w:hint="eastAsia"/>
                <w:lang w:val="en-US" w:eastAsia="zh-CN"/>
              </w:rPr>
            </w:pPr>
            <w:r>
              <w:rPr>
                <w:rFonts w:hint="eastAsia"/>
                <w:lang w:val="en-US" w:eastAsia="zh-CN"/>
              </w:rPr>
              <w:t>（1）严守生态保护红线，加强空间管控。进一步优化开发区的空间布局，通过优化开发区产业空间布局、调整土地用途等方式，完善生态保障空间要求。对不符合规划、准入条件和环境保护要求的现有企业，制定计划并实施关、停、并、转，推进区域环境质量改善。</w:t>
            </w:r>
          </w:p>
          <w:p>
            <w:pPr>
              <w:pStyle w:val="38"/>
              <w:bidi w:val="0"/>
              <w:rPr>
                <w:rFonts w:hint="eastAsia"/>
                <w:lang w:val="en-US" w:eastAsia="zh-CN"/>
              </w:rPr>
            </w:pPr>
            <w:r>
              <w:rPr>
                <w:rFonts w:hint="eastAsia"/>
                <w:lang w:val="en-US" w:eastAsia="zh-CN"/>
              </w:rPr>
              <w:t>（2）坚守环境质量底线，严格污染物总量管控。根据规划区域及周边环境质量现状和目标，确定区域污染物排放总量上限。采取有效措施削减污染物的排放量，确保实现区域环境质量改善目标。</w:t>
            </w:r>
          </w:p>
          <w:p>
            <w:pPr>
              <w:pStyle w:val="38"/>
              <w:bidi w:val="0"/>
              <w:rPr>
                <w:rFonts w:hint="eastAsia"/>
                <w:lang w:val="en-US" w:eastAsia="zh-CN"/>
              </w:rPr>
            </w:pPr>
            <w:r>
              <w:rPr>
                <w:rFonts w:hint="eastAsia"/>
                <w:lang w:val="en-US" w:eastAsia="zh-CN"/>
              </w:rPr>
              <w:t>（3）严格入园产业和项目的环境准入。坚持实行入园企业环保准入审核制度，与产业定位不符的项目以及“三高”项目一律不得入开发区。入园建设项目必须符合开发区规划要求并依法开展环境影响评价，严格执行建设项目“三同时”环境管理制度。</w:t>
            </w:r>
          </w:p>
          <w:p>
            <w:pPr>
              <w:pStyle w:val="38"/>
              <w:bidi w:val="0"/>
              <w:rPr>
                <w:rFonts w:hint="eastAsia"/>
                <w:lang w:val="en-US" w:eastAsia="zh-CN"/>
              </w:rPr>
            </w:pPr>
            <w:r>
              <w:rPr>
                <w:rFonts w:hint="eastAsia"/>
                <w:lang w:val="en-US" w:eastAsia="zh-CN"/>
              </w:rPr>
              <w:t>（4）禁止发展高耗水工业，严格控制用水总量、提高用水效率、严守水资源“三条红线”。实施清洁生产，提高资源综合利用水平。引进项目的生产工艺、设备、污染治理技术以及单位产品能耗、物耗、污染物排放和资源利用率均应达到同行业国际国内先进水平。</w:t>
            </w:r>
          </w:p>
          <w:p>
            <w:pPr>
              <w:pStyle w:val="38"/>
              <w:bidi w:val="0"/>
              <w:rPr>
                <w:rFonts w:hint="eastAsia"/>
                <w:lang w:val="en-US" w:eastAsia="zh-CN"/>
              </w:rPr>
            </w:pPr>
            <w:r>
              <w:rPr>
                <w:rFonts w:hint="eastAsia"/>
                <w:lang w:val="en-US" w:eastAsia="zh-CN"/>
              </w:rPr>
              <w:t>本项目属于水泥制品制造，项目运营期废气可达标排放，对区域环境影响很小，环境质量可保持现有水平；设备清洗水回用于产品，切割打孔用水经沉淀收集后，循环利用，不外排；生活污水经化粪池预处理后通过园区污水管网排入铁门关市污水处理厂。通过采取污染防治措施，项目运营期各类污染物均能达到国家排放标准要求，可将对环境质量的影响降到最小，不突破所在区域环境质量底线。综上所述，本项目符合“《关于〈库尔勒上库高新技术产业开发区扩区规划（2022-2035年）环境影响报告书〉的审查意见》（新环审〔2023〕103号）”中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99" w:hRule="atLeast"/>
          <w:jc w:val="center"/>
        </w:trPr>
        <w:tc>
          <w:tcPr>
            <w:tcW w:w="1648" w:type="dxa"/>
            <w:noWrap w:val="0"/>
            <w:vAlign w:val="center"/>
          </w:tcPr>
          <w:p>
            <w:pPr>
              <w:autoSpaceDE w:val="0"/>
              <w:autoSpaceDN w:val="0"/>
              <w:adjustRightInd w:val="0"/>
              <w:snapToGrid w:val="0"/>
              <w:jc w:val="center"/>
              <w:rPr>
                <w:rFonts w:hint="eastAsia" w:ascii="宋体" w:hAnsi="宋体" w:cs="宋体"/>
                <w:kern w:val="0"/>
                <w:szCs w:val="21"/>
              </w:rPr>
            </w:pPr>
            <w:r>
              <w:rPr>
                <w:rFonts w:hint="eastAsia" w:ascii="宋体" w:hAnsi="宋体" w:cs="宋体"/>
                <w:kern w:val="0"/>
                <w:szCs w:val="21"/>
              </w:rPr>
              <w:t>其他符合性分析</w:t>
            </w:r>
          </w:p>
        </w:tc>
        <w:tc>
          <w:tcPr>
            <w:tcW w:w="7225" w:type="dxa"/>
            <w:gridSpan w:val="3"/>
            <w:noWrap w:val="0"/>
            <w:vAlign w:val="center"/>
          </w:tcPr>
          <w:p>
            <w:pPr>
              <w:pStyle w:val="3"/>
              <w:bidi w:val="0"/>
              <w:rPr>
                <w:rFonts w:hint="eastAsia"/>
                <w:lang w:val="en-US" w:eastAsia="zh-CN"/>
              </w:rPr>
            </w:pPr>
            <w:r>
              <w:rPr>
                <w:rFonts w:hint="eastAsia"/>
                <w:lang w:val="en-US" w:eastAsia="zh-CN"/>
              </w:rPr>
              <w:t>1.产业政策符合性</w:t>
            </w:r>
          </w:p>
          <w:p>
            <w:pPr>
              <w:pStyle w:val="8"/>
              <w:bidi w:val="0"/>
              <w:rPr>
                <w:rFonts w:hint="eastAsia"/>
                <w:highlight w:val="green"/>
                <w:lang w:val="en-US" w:eastAsia="zh-CN"/>
              </w:rPr>
            </w:pPr>
            <w:r>
              <w:rPr>
                <w:rFonts w:hint="default"/>
                <w:lang w:val="en-US" w:eastAsia="zh-CN"/>
              </w:rPr>
              <w:t>本项目属于</w:t>
            </w:r>
            <w:r>
              <w:rPr>
                <w:rFonts w:hint="eastAsia"/>
                <w:lang w:val="en-US" w:eastAsia="zh-CN"/>
              </w:rPr>
              <w:t>国民经济代码</w:t>
            </w:r>
            <w:r>
              <w:rPr>
                <w:rFonts w:hint="eastAsia"/>
                <w:highlight w:val="none"/>
                <w:lang w:val="en-US" w:eastAsia="zh-CN"/>
              </w:rPr>
              <w:t>C3021水泥制品制造</w:t>
            </w:r>
            <w:r>
              <w:rPr>
                <w:rFonts w:hint="eastAsia"/>
                <w:lang w:val="en-US" w:eastAsia="zh-CN"/>
              </w:rPr>
              <w:t>，根据《产业结构调整指导目录（2024年本）》，本项目不属于鼓励类、限制类与淘汰类，因此属于允许类，符合国家产业政策。</w:t>
            </w:r>
            <w:r>
              <w:rPr>
                <w:rFonts w:hint="eastAsia"/>
                <w:highlight w:val="none"/>
                <w:lang w:val="en-US" w:eastAsia="zh-CN"/>
              </w:rPr>
              <w:t>2025年7月9日，库尔勒新奥丰保温材料厂取得库尔勒市发展和改革委员会出具的企业投资项目登记备案证，备案证编码：20250220，项目代码：2507-652801-04-05-522178。</w:t>
            </w:r>
          </w:p>
          <w:p>
            <w:pPr>
              <w:pStyle w:val="8"/>
              <w:bidi w:val="0"/>
              <w:rPr>
                <w:rFonts w:hint="default"/>
              </w:rPr>
            </w:pPr>
            <w:r>
              <w:rPr>
                <w:rFonts w:hint="eastAsia"/>
                <w:lang w:val="en-US" w:eastAsia="zh-CN"/>
              </w:rPr>
              <w:t>综上，</w:t>
            </w:r>
            <w:r>
              <w:rPr>
                <w:rFonts w:hint="default"/>
              </w:rPr>
              <w:t>本项目的建设符合国家产业政策要求。</w:t>
            </w:r>
          </w:p>
          <w:p>
            <w:pPr>
              <w:pStyle w:val="3"/>
              <w:bidi w:val="0"/>
              <w:rPr>
                <w:rFonts w:hint="eastAsia"/>
                <w:lang w:val="en-US" w:eastAsia="zh-CN"/>
              </w:rPr>
            </w:pPr>
            <w:r>
              <w:rPr>
                <w:rFonts w:hint="eastAsia"/>
                <w:lang w:val="en-US" w:eastAsia="zh-CN"/>
              </w:rPr>
              <w:t>2.</w:t>
            </w:r>
            <w:r>
              <w:rPr>
                <w:rFonts w:hint="eastAsia"/>
                <w:lang w:eastAsia="zh-CN"/>
              </w:rPr>
              <w:t>“</w:t>
            </w:r>
            <w:r>
              <w:rPr>
                <w:rFonts w:hint="default"/>
                <w:lang w:val="en-US" w:eastAsia="zh-CN"/>
              </w:rPr>
              <w:t>生态环境分区管控</w:t>
            </w:r>
            <w:r>
              <w:rPr>
                <w:rFonts w:hint="eastAsia"/>
                <w:lang w:eastAsia="zh-CN"/>
              </w:rPr>
              <w:t>”</w:t>
            </w:r>
            <w:r>
              <w:rPr>
                <w:rFonts w:hint="default"/>
                <w:lang w:val="en-US" w:eastAsia="zh-CN"/>
              </w:rPr>
              <w:t>要求</w:t>
            </w:r>
            <w:r>
              <w:rPr>
                <w:rFonts w:hint="default"/>
              </w:rPr>
              <w:t>符合性分析</w:t>
            </w:r>
          </w:p>
          <w:p>
            <w:pPr>
              <w:pStyle w:val="3"/>
              <w:bidi w:val="0"/>
              <w:rPr>
                <w:rFonts w:hint="default"/>
                <w:lang w:eastAsia="zh-CN"/>
              </w:rPr>
            </w:pPr>
            <w:r>
              <w:rPr>
                <w:rFonts w:hint="eastAsia"/>
                <w:lang w:val="en-US" w:eastAsia="zh-CN"/>
              </w:rPr>
              <w:t>2.1</w:t>
            </w:r>
            <w:r>
              <w:rPr>
                <w:rFonts w:hint="default"/>
                <w:lang w:val="en-US" w:eastAsia="zh-CN"/>
              </w:rPr>
              <w:t>《关于印发〈新疆维吾尔自治区生态环境分区管控动态更新成果〉的通知》（新环环评发〔2024〕157号）符合性分析</w:t>
            </w:r>
          </w:p>
          <w:p>
            <w:pPr>
              <w:pStyle w:val="8"/>
              <w:bidi w:val="0"/>
              <w:rPr>
                <w:rFonts w:hint="default"/>
                <w:lang w:val="en-US" w:eastAsia="zh-CN"/>
              </w:rPr>
            </w:pPr>
            <w:r>
              <w:rPr>
                <w:rFonts w:hint="default"/>
                <w:lang w:val="en-US" w:eastAsia="zh-CN"/>
              </w:rPr>
              <w:t>项目与《关于印发〈新疆维吾尔自治区生态环境分区管控动态更新成果〉的通知》（新环环评发〔2024〕157号）符合性分析详见下表。</w:t>
            </w:r>
          </w:p>
          <w:p>
            <w:pPr>
              <w:pStyle w:val="36"/>
              <w:bidi w:val="0"/>
              <w:rPr>
                <w:rFonts w:hint="default"/>
                <w:lang w:val="en-US" w:eastAsia="zh-CN"/>
              </w:rPr>
            </w:pPr>
            <w:r>
              <w:rPr>
                <w:rFonts w:hint="default"/>
                <w:lang w:val="en-US" w:eastAsia="zh-CN"/>
              </w:rPr>
              <w:t>表1-</w:t>
            </w:r>
            <w:r>
              <w:rPr>
                <w:rFonts w:hint="eastAsia"/>
                <w:lang w:val="en-US" w:eastAsia="zh-CN"/>
              </w:rPr>
              <w:t>1</w:t>
            </w:r>
            <w:r>
              <w:rPr>
                <w:rFonts w:hint="default"/>
                <w:lang w:val="en-US" w:eastAsia="zh-CN"/>
              </w:rPr>
              <w:t xml:space="preserve">  与《新疆维吾尔自治区生态环境分区管控动态更新成果》符合性分析</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901"/>
              <w:gridCol w:w="2352"/>
              <w:gridCol w:w="2380"/>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65" w:type="pct"/>
                  <w:gridSpan w:val="2"/>
                  <w:noWrap w:val="0"/>
                  <w:vAlign w:val="center"/>
                </w:tcPr>
                <w:p>
                  <w:pPr>
                    <w:pStyle w:val="34"/>
                    <w:bidi w:val="0"/>
                    <w:rPr>
                      <w:rFonts w:hint="eastAsia"/>
                      <w:lang w:val="en-US" w:eastAsia="zh-CN"/>
                    </w:rPr>
                  </w:pPr>
                  <w:r>
                    <w:rPr>
                      <w:rFonts w:hint="eastAsia"/>
                      <w:lang w:val="en-US" w:eastAsia="zh-CN"/>
                    </w:rPr>
                    <w:t>管控要求</w:t>
                  </w:r>
                </w:p>
              </w:tc>
              <w:tc>
                <w:tcPr>
                  <w:tcW w:w="1654" w:type="pct"/>
                  <w:noWrap w:val="0"/>
                  <w:vAlign w:val="center"/>
                </w:tcPr>
                <w:p>
                  <w:pPr>
                    <w:pStyle w:val="34"/>
                    <w:bidi w:val="0"/>
                    <w:rPr>
                      <w:rFonts w:hint="default"/>
                      <w:lang w:val="en-US" w:eastAsia="zh-CN"/>
                    </w:rPr>
                  </w:pPr>
                  <w:r>
                    <w:rPr>
                      <w:rFonts w:hint="eastAsia"/>
                      <w:lang w:val="en-US" w:eastAsia="zh-CN"/>
                    </w:rPr>
                    <w:t>部分环境管理政策有关要求</w:t>
                  </w:r>
                </w:p>
              </w:tc>
              <w:tc>
                <w:tcPr>
                  <w:tcW w:w="1674" w:type="pct"/>
                  <w:noWrap w:val="0"/>
                  <w:vAlign w:val="center"/>
                </w:tcPr>
                <w:p>
                  <w:pPr>
                    <w:pStyle w:val="34"/>
                    <w:bidi w:val="0"/>
                    <w:rPr>
                      <w:rFonts w:hint="default"/>
                      <w:lang w:val="en-US" w:eastAsia="zh-CN"/>
                    </w:rPr>
                  </w:pPr>
                  <w:r>
                    <w:rPr>
                      <w:rFonts w:hint="eastAsia"/>
                      <w:lang w:val="en-US" w:eastAsia="zh-CN"/>
                    </w:rPr>
                    <w:t>本项目情况</w:t>
                  </w:r>
                </w:p>
              </w:tc>
              <w:tc>
                <w:tcPr>
                  <w:tcW w:w="504" w:type="pct"/>
                  <w:noWrap w:val="0"/>
                  <w:vAlign w:val="center"/>
                </w:tcPr>
                <w:p>
                  <w:pPr>
                    <w:pStyle w:val="34"/>
                    <w:bidi w:val="0"/>
                    <w:rPr>
                      <w:rFonts w:hint="default"/>
                      <w:lang w:val="en-US" w:eastAsia="zh-CN"/>
                    </w:rPr>
                  </w:pPr>
                  <w:r>
                    <w:rPr>
                      <w:rFonts w:hint="eastAsia"/>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restart"/>
                  <w:noWrap w:val="0"/>
                  <w:vAlign w:val="center"/>
                </w:tcPr>
                <w:p>
                  <w:pPr>
                    <w:pStyle w:val="34"/>
                    <w:bidi w:val="0"/>
                    <w:rPr>
                      <w:rFonts w:hint="default"/>
                      <w:lang w:val="en-US" w:eastAsia="zh-CN"/>
                    </w:rPr>
                  </w:pPr>
                  <w:r>
                    <w:rPr>
                      <w:rFonts w:hint="default"/>
                      <w:lang w:val="en-US" w:eastAsia="zh-CN"/>
                    </w:rPr>
                    <w:t>A1</w:t>
                  </w:r>
                  <w:r>
                    <w:rPr>
                      <w:rFonts w:hint="eastAsia"/>
                      <w:lang w:val="en-US" w:eastAsia="zh-CN"/>
                    </w:rPr>
                    <w:t>空间布局约束</w:t>
                  </w:r>
                </w:p>
              </w:tc>
              <w:tc>
                <w:tcPr>
                  <w:tcW w:w="634" w:type="pct"/>
                  <w:vMerge w:val="restart"/>
                  <w:noWrap w:val="0"/>
                  <w:vAlign w:val="center"/>
                </w:tcPr>
                <w:p>
                  <w:pPr>
                    <w:pStyle w:val="34"/>
                    <w:bidi w:val="0"/>
                    <w:rPr>
                      <w:rFonts w:hint="default"/>
                      <w:lang w:val="en-US" w:eastAsia="zh-CN"/>
                    </w:rPr>
                  </w:pPr>
                  <w:r>
                    <w:rPr>
                      <w:rFonts w:hint="default"/>
                      <w:lang w:val="en-US" w:eastAsia="zh-CN"/>
                    </w:rPr>
                    <w:t>A1.1禁止开发建设的活动</w:t>
                  </w:r>
                </w:p>
              </w:tc>
              <w:tc>
                <w:tcPr>
                  <w:tcW w:w="1654" w:type="pct"/>
                  <w:noWrap w:val="0"/>
                  <w:vAlign w:val="center"/>
                </w:tcPr>
                <w:p>
                  <w:pPr>
                    <w:pStyle w:val="34"/>
                    <w:bidi w:val="0"/>
                    <w:jc w:val="both"/>
                    <w:rPr>
                      <w:rFonts w:hint="default"/>
                      <w:lang w:val="en-US" w:eastAsia="zh-CN"/>
                    </w:rPr>
                  </w:pPr>
                  <w:r>
                    <w:rPr>
                      <w:rFonts w:hint="default"/>
                      <w:lang w:val="en-US" w:eastAsia="zh-CN"/>
                    </w:rPr>
                    <w:t>〔A1.1-1〕禁止新建、扩建《产业结构调整指导目录</w:t>
                  </w:r>
                  <w:r>
                    <w:rPr>
                      <w:rFonts w:hint="eastAsia"/>
                      <w:lang w:val="en-US" w:eastAsia="zh-CN"/>
                    </w:rPr>
                    <w:t>（</w:t>
                  </w:r>
                  <w:r>
                    <w:rPr>
                      <w:rFonts w:hint="default"/>
                      <w:lang w:val="en-US" w:eastAsia="zh-CN"/>
                    </w:rPr>
                    <w:t>2024年本</w:t>
                  </w:r>
                  <w:r>
                    <w:rPr>
                      <w:rFonts w:hint="eastAsia"/>
                      <w:lang w:val="en-US" w:eastAsia="zh-CN"/>
                    </w:rPr>
                    <w:t>）</w:t>
                  </w:r>
                  <w:r>
                    <w:rPr>
                      <w:rFonts w:hint="default"/>
                      <w:lang w:val="en-US" w:eastAsia="zh-CN"/>
                    </w:rPr>
                    <w:t>》中淘汰类项目。禁止引入《市场准入负面清单</w:t>
                  </w:r>
                  <w:r>
                    <w:rPr>
                      <w:rFonts w:hint="eastAsia"/>
                      <w:lang w:val="en-US" w:eastAsia="zh-CN"/>
                    </w:rPr>
                    <w:t>（</w:t>
                  </w:r>
                  <w:r>
                    <w:rPr>
                      <w:rFonts w:hint="default"/>
                      <w:lang w:val="en-US" w:eastAsia="zh-CN"/>
                    </w:rPr>
                    <w:t>2022年版</w:t>
                  </w:r>
                  <w:r>
                    <w:rPr>
                      <w:rFonts w:hint="eastAsia"/>
                      <w:lang w:val="en-US" w:eastAsia="zh-CN"/>
                    </w:rPr>
                    <w:t>）》</w:t>
                  </w:r>
                  <w:r>
                    <w:rPr>
                      <w:rFonts w:hint="default"/>
                      <w:lang w:val="en-US" w:eastAsia="zh-CN"/>
                    </w:rPr>
                    <w:t>禁止准入类事项。</w:t>
                  </w:r>
                </w:p>
              </w:tc>
              <w:tc>
                <w:tcPr>
                  <w:tcW w:w="1674" w:type="pct"/>
                  <w:noWrap w:val="0"/>
                  <w:vAlign w:val="center"/>
                </w:tcPr>
                <w:p>
                  <w:pPr>
                    <w:pStyle w:val="34"/>
                    <w:bidi w:val="0"/>
                    <w:jc w:val="both"/>
                    <w:rPr>
                      <w:rFonts w:hint="eastAsia"/>
                      <w:lang w:val="en-US" w:eastAsia="zh-CN"/>
                    </w:rPr>
                  </w:pPr>
                  <w:r>
                    <w:rPr>
                      <w:rFonts w:hint="eastAsia"/>
                      <w:lang w:val="en-US" w:eastAsia="zh-CN"/>
                    </w:rPr>
                    <w:t>本项目不属于鼓励类、限制类与淘汰类，因此属于允许类，符合国家产业政策</w:t>
                  </w:r>
                  <w:r>
                    <w:rPr>
                      <w:rFonts w:hint="default"/>
                    </w:rPr>
                    <w:t>；</w:t>
                  </w:r>
                  <w:r>
                    <w:rPr>
                      <w:rFonts w:hint="eastAsia"/>
                      <w:lang w:val="en-US" w:eastAsia="zh-CN"/>
                    </w:rPr>
                    <w:t>不属于</w:t>
                  </w:r>
                  <w:r>
                    <w:rPr>
                      <w:rFonts w:hint="default"/>
                      <w:lang w:val="en-US" w:eastAsia="zh-CN"/>
                    </w:rPr>
                    <w:t>《市场准入负面清单</w:t>
                  </w:r>
                  <w:r>
                    <w:rPr>
                      <w:rFonts w:hint="eastAsia"/>
                      <w:lang w:val="en-US" w:eastAsia="zh-CN"/>
                    </w:rPr>
                    <w:t>（</w:t>
                  </w:r>
                  <w:r>
                    <w:rPr>
                      <w:rFonts w:hint="default"/>
                      <w:lang w:val="en-US" w:eastAsia="zh-CN"/>
                    </w:rPr>
                    <w:t>202</w:t>
                  </w:r>
                  <w:r>
                    <w:rPr>
                      <w:rFonts w:hint="eastAsia"/>
                      <w:lang w:val="en-US" w:eastAsia="zh-CN"/>
                    </w:rPr>
                    <w:t>5</w:t>
                  </w:r>
                  <w:r>
                    <w:rPr>
                      <w:rFonts w:hint="default"/>
                      <w:lang w:val="en-US" w:eastAsia="zh-CN"/>
                    </w:rPr>
                    <w:t>年版</w:t>
                  </w:r>
                  <w:r>
                    <w:rPr>
                      <w:rFonts w:hint="eastAsia"/>
                      <w:lang w:val="en-US" w:eastAsia="zh-CN"/>
                    </w:rPr>
                    <w:t>）》的项目。</w:t>
                  </w:r>
                  <w:r>
                    <w:rPr>
                      <w:rFonts w:hint="default"/>
                    </w:rPr>
                    <w:t>符合</w:t>
                  </w:r>
                  <w:r>
                    <w:rPr>
                      <w:rFonts w:hint="eastAsia"/>
                      <w:lang w:val="en-US" w:eastAsia="zh-CN"/>
                    </w:rPr>
                    <w:t>相关要求</w:t>
                  </w:r>
                  <w:r>
                    <w:rPr>
                      <w:rFonts w:hint="eastAsia"/>
                      <w:lang w:eastAsia="zh-CN"/>
                    </w:rPr>
                    <w:t>。</w:t>
                  </w:r>
                </w:p>
              </w:tc>
              <w:tc>
                <w:tcPr>
                  <w:tcW w:w="504" w:type="pct"/>
                  <w:noWrap w:val="0"/>
                  <w:vAlign w:val="center"/>
                </w:tcPr>
                <w:p>
                  <w:pPr>
                    <w:pStyle w:val="34"/>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vMerge w:val="continue"/>
                  <w:noWrap w:val="0"/>
                  <w:vAlign w:val="center"/>
                </w:tcPr>
                <w:p>
                  <w:pPr>
                    <w:pStyle w:val="34"/>
                    <w:bidi w:val="0"/>
                    <w:rPr>
                      <w:rFonts w:hint="eastAsia"/>
                    </w:rPr>
                  </w:pPr>
                </w:p>
              </w:tc>
              <w:tc>
                <w:tcPr>
                  <w:tcW w:w="634" w:type="pct"/>
                  <w:vMerge w:val="continue"/>
                  <w:noWrap w:val="0"/>
                  <w:vAlign w:val="center"/>
                </w:tcPr>
                <w:p>
                  <w:pPr>
                    <w:pStyle w:val="34"/>
                    <w:bidi w:val="0"/>
                    <w:rPr>
                      <w:rFonts w:hint="default"/>
                      <w:lang w:val="en-US" w:eastAsia="zh-CN"/>
                    </w:rPr>
                  </w:pPr>
                </w:p>
              </w:tc>
              <w:tc>
                <w:tcPr>
                  <w:tcW w:w="1654" w:type="pct"/>
                  <w:noWrap w:val="0"/>
                  <w:vAlign w:val="center"/>
                </w:tcPr>
                <w:p>
                  <w:pPr>
                    <w:pStyle w:val="34"/>
                    <w:bidi w:val="0"/>
                    <w:jc w:val="both"/>
                    <w:rPr>
                      <w:rFonts w:hint="default"/>
                      <w:lang w:val="en-US" w:eastAsia="zh-CN"/>
                    </w:rPr>
                  </w:pPr>
                  <w:r>
                    <w:rPr>
                      <w:rFonts w:hint="default"/>
                      <w:lang w:val="en-US" w:eastAsia="zh-CN"/>
                    </w:rPr>
                    <w:t>〔A1.1-</w:t>
                  </w:r>
                  <w:r>
                    <w:rPr>
                      <w:rFonts w:hint="eastAsia"/>
                      <w:lang w:val="en-US" w:eastAsia="zh-CN"/>
                    </w:rPr>
                    <w:t>6</w:t>
                  </w:r>
                  <w:r>
                    <w:rPr>
                      <w:rFonts w:hint="default"/>
                      <w:lang w:val="en-US" w:eastAsia="zh-CN"/>
                    </w:rPr>
                    <w:t>〕禁止在</w:t>
                  </w:r>
                  <w:r>
                    <w:rPr>
                      <w:rFonts w:hint="eastAsia"/>
                      <w:lang w:val="en-US" w:eastAsia="zh-CN"/>
                    </w:rPr>
                    <w:t>自治区行政区域内引进能（水）耗不符合相关国家标准中准入要求且污染物排放和环境风险防控不符合国家（地方）标准及有关产业准入条件的高污染（排放）、高能（水）耗、高环境风险的工业项目。</w:t>
                  </w:r>
                </w:p>
              </w:tc>
              <w:tc>
                <w:tcPr>
                  <w:tcW w:w="1674" w:type="pct"/>
                  <w:noWrap w:val="0"/>
                  <w:vAlign w:val="center"/>
                </w:tcPr>
                <w:p>
                  <w:pPr>
                    <w:pStyle w:val="34"/>
                    <w:bidi w:val="0"/>
                    <w:jc w:val="both"/>
                    <w:rPr>
                      <w:rFonts w:hint="default"/>
                      <w:lang w:val="en-US" w:eastAsia="zh-CN"/>
                    </w:rPr>
                  </w:pPr>
                  <w:r>
                    <w:rPr>
                      <w:rFonts w:hint="eastAsia"/>
                      <w:lang w:val="en-US" w:eastAsia="zh-CN"/>
                    </w:rPr>
                    <w:t>本项目属于水泥制品制造，不属于高污染（排放）、高能（水）耗、高环境风险的工业项目。</w:t>
                  </w:r>
                </w:p>
              </w:tc>
              <w:tc>
                <w:tcPr>
                  <w:tcW w:w="504" w:type="pct"/>
                  <w:noWrap w:val="0"/>
                  <w:vAlign w:val="center"/>
                </w:tcPr>
                <w:p>
                  <w:pPr>
                    <w:pStyle w:val="34"/>
                    <w:bidi w:val="0"/>
                    <w:rPr>
                      <w:rFonts w:hint="eastAsia"/>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noWrap w:val="0"/>
                  <w:vAlign w:val="center"/>
                </w:tcPr>
                <w:p>
                  <w:pPr>
                    <w:pStyle w:val="34"/>
                    <w:bidi w:val="0"/>
                    <w:rPr>
                      <w:rFonts w:hint="default"/>
                      <w:lang w:val="en-US" w:eastAsia="zh-CN"/>
                    </w:rPr>
                  </w:pPr>
                  <w:r>
                    <w:rPr>
                      <w:rFonts w:hint="default"/>
                      <w:lang w:val="en-US" w:eastAsia="zh-CN"/>
                    </w:rPr>
                    <w:t>A2污染物排放管控</w:t>
                  </w:r>
                </w:p>
              </w:tc>
              <w:tc>
                <w:tcPr>
                  <w:tcW w:w="634" w:type="pct"/>
                  <w:noWrap w:val="0"/>
                  <w:vAlign w:val="center"/>
                </w:tcPr>
                <w:p>
                  <w:pPr>
                    <w:pStyle w:val="34"/>
                    <w:bidi w:val="0"/>
                    <w:rPr>
                      <w:rFonts w:hint="default"/>
                      <w:lang w:val="en-US" w:eastAsia="zh-CN"/>
                    </w:rPr>
                  </w:pPr>
                  <w:r>
                    <w:rPr>
                      <w:rFonts w:hint="default"/>
                      <w:lang w:val="en-US" w:eastAsia="zh-CN"/>
                    </w:rPr>
                    <w:t>A2</w:t>
                  </w:r>
                  <w:r>
                    <w:rPr>
                      <w:rFonts w:hint="eastAsia"/>
                      <w:lang w:val="en-US" w:eastAsia="zh-CN"/>
                    </w:rPr>
                    <w:t>.2污染控制措施要求</w:t>
                  </w:r>
                </w:p>
              </w:tc>
              <w:tc>
                <w:tcPr>
                  <w:tcW w:w="1654" w:type="pct"/>
                  <w:noWrap w:val="0"/>
                  <w:vAlign w:val="center"/>
                </w:tcPr>
                <w:p>
                  <w:pPr>
                    <w:pStyle w:val="34"/>
                    <w:bidi w:val="0"/>
                    <w:jc w:val="both"/>
                    <w:rPr>
                      <w:rFonts w:hint="default"/>
                      <w:lang w:val="en-US" w:eastAsia="zh-CN"/>
                    </w:rPr>
                  </w:pPr>
                  <w:r>
                    <w:rPr>
                      <w:rFonts w:hint="default"/>
                      <w:lang w:val="en-US" w:eastAsia="zh-CN"/>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w:t>
                  </w:r>
                  <w:r>
                    <w:rPr>
                      <w:rFonts w:hint="eastAsia"/>
                      <w:lang w:val="en-US" w:eastAsia="zh-CN"/>
                    </w:rPr>
                    <w:t>（</w:t>
                  </w:r>
                  <w:r>
                    <w:rPr>
                      <w:rFonts w:hint="default"/>
                      <w:lang w:val="en-US" w:eastAsia="zh-CN"/>
                    </w:rPr>
                    <w:t>大宗货物</w:t>
                  </w:r>
                  <w:r>
                    <w:rPr>
                      <w:rFonts w:hint="eastAsia"/>
                      <w:lang w:val="en-US" w:eastAsia="zh-CN"/>
                    </w:rPr>
                    <w:t>“</w:t>
                  </w:r>
                  <w:r>
                    <w:rPr>
                      <w:rFonts w:hint="default"/>
                      <w:lang w:val="en-US" w:eastAsia="zh-CN"/>
                    </w:rPr>
                    <w:t>公转铁</w:t>
                  </w:r>
                  <w:r>
                    <w:rPr>
                      <w:rFonts w:hint="eastAsia"/>
                      <w:lang w:val="en-US" w:eastAsia="zh-CN"/>
                    </w:rPr>
                    <w:t>”</w:t>
                  </w:r>
                  <w:r>
                    <w:rPr>
                      <w:rFonts w:hint="default"/>
                      <w:lang w:val="en-US" w:eastAsia="zh-CN"/>
                    </w:rPr>
                    <w:t>、柴油货车治理、锅炉</w:t>
                  </w:r>
                  <w:r>
                    <w:rPr>
                      <w:rFonts w:hint="eastAsia"/>
                      <w:lang w:val="en-US" w:eastAsia="zh-CN"/>
                    </w:rPr>
                    <w:t>炉窑</w:t>
                  </w:r>
                  <w:r>
                    <w:rPr>
                      <w:rFonts w:hint="default"/>
                      <w:lang w:val="en-US" w:eastAsia="zh-CN"/>
                    </w:rPr>
                    <w:t>综合治理等工程项目。全面推行绿色施工，持续推动城市建成区重污染企业搬迁或关闭退出。</w:t>
                  </w:r>
                </w:p>
              </w:tc>
              <w:tc>
                <w:tcPr>
                  <w:tcW w:w="1674" w:type="pct"/>
                  <w:noWrap w:val="0"/>
                  <w:vAlign w:val="center"/>
                </w:tcPr>
                <w:p>
                  <w:pPr>
                    <w:pStyle w:val="34"/>
                    <w:bidi w:val="0"/>
                    <w:jc w:val="both"/>
                    <w:rPr>
                      <w:rFonts w:hint="eastAsia"/>
                      <w:lang w:val="en-US" w:eastAsia="zh-CN"/>
                    </w:rPr>
                  </w:pPr>
                  <w:r>
                    <w:rPr>
                      <w:rFonts w:hint="eastAsia"/>
                      <w:lang w:val="en-US" w:eastAsia="zh-CN"/>
                    </w:rPr>
                    <w:t>本项目产生的废气经相应的环保设施处理后能够达标排放，对环境空气质量影响较小，不会降低区域环境空气质量。</w:t>
                  </w:r>
                </w:p>
                <w:p>
                  <w:pPr>
                    <w:pStyle w:val="34"/>
                    <w:bidi w:val="0"/>
                    <w:jc w:val="both"/>
                    <w:rPr>
                      <w:rFonts w:hint="eastAsia"/>
                      <w:lang w:val="en-US" w:eastAsia="zh-CN"/>
                    </w:rPr>
                  </w:pPr>
                  <w:r>
                    <w:rPr>
                      <w:rFonts w:hint="eastAsia"/>
                      <w:lang w:val="en-US" w:eastAsia="zh-CN"/>
                    </w:rPr>
                    <w:t>本项目设备清洗水回用于产品，切割打孔用水经沉淀收集后，循环利用，不外排；生活污水经化粪池预处理后通过园区污水管网排入铁门关市污水处理厂，不会影响区域水环境质量。</w:t>
                  </w:r>
                </w:p>
                <w:p>
                  <w:pPr>
                    <w:pStyle w:val="34"/>
                    <w:bidi w:val="0"/>
                    <w:jc w:val="both"/>
                    <w:rPr>
                      <w:rFonts w:hint="default"/>
                      <w:lang w:val="en-US" w:eastAsia="zh-CN"/>
                    </w:rPr>
                  </w:pPr>
                  <w:r>
                    <w:rPr>
                      <w:rFonts w:hint="eastAsia"/>
                      <w:lang w:val="en-US" w:eastAsia="zh-CN"/>
                    </w:rPr>
                    <w:t>生活垃圾</w:t>
                  </w:r>
                  <w:r>
                    <w:rPr>
                      <w:rFonts w:hint="eastAsia"/>
                    </w:rPr>
                    <w:t>分类收集后委托环卫部门及时清运</w:t>
                  </w:r>
                  <w:r>
                    <w:rPr>
                      <w:rFonts w:hint="eastAsia"/>
                      <w:lang w:val="en-US" w:eastAsia="zh-CN"/>
                    </w:rPr>
                    <w:t>，危险废物储存于危险废物暂存间后交由有资质单位处理。</w:t>
                  </w:r>
                  <w:r>
                    <w:rPr>
                      <w:rFonts w:hint="default"/>
                      <w:lang w:val="en-US" w:eastAsia="zh-CN"/>
                    </w:rPr>
                    <w:t>本工程采取的环保措施能确保污染物对环境质量影响</w:t>
                  </w:r>
                  <w:r>
                    <w:rPr>
                      <w:rFonts w:hint="eastAsia"/>
                      <w:lang w:val="en-US" w:eastAsia="zh-CN"/>
                    </w:rPr>
                    <w:t>降到最低</w:t>
                  </w:r>
                  <w:r>
                    <w:rPr>
                      <w:rFonts w:hint="default"/>
                      <w:lang w:val="en-US" w:eastAsia="zh-CN"/>
                    </w:rPr>
                    <w:t>，不突破所在区域环境质量底线</w:t>
                  </w:r>
                  <w:r>
                    <w:rPr>
                      <w:rFonts w:hint="eastAsia"/>
                      <w:lang w:val="en-US" w:eastAsia="zh-CN"/>
                    </w:rPr>
                    <w:t>。</w:t>
                  </w:r>
                </w:p>
              </w:tc>
              <w:tc>
                <w:tcPr>
                  <w:tcW w:w="504" w:type="pct"/>
                  <w:noWrap w:val="0"/>
                  <w:vAlign w:val="center"/>
                </w:tcPr>
                <w:p>
                  <w:pPr>
                    <w:pStyle w:val="34"/>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 w:type="pct"/>
                  <w:noWrap w:val="0"/>
                  <w:vAlign w:val="center"/>
                </w:tcPr>
                <w:p>
                  <w:pPr>
                    <w:pStyle w:val="34"/>
                    <w:bidi w:val="0"/>
                    <w:rPr>
                      <w:rFonts w:hint="default"/>
                      <w:lang w:val="en-US" w:eastAsia="zh-CN"/>
                    </w:rPr>
                  </w:pPr>
                  <w:r>
                    <w:rPr>
                      <w:rFonts w:hint="eastAsia"/>
                      <w:lang w:val="en-US" w:eastAsia="zh-CN"/>
                    </w:rPr>
                    <w:t>A3环境风险防控</w:t>
                  </w:r>
                </w:p>
              </w:tc>
              <w:tc>
                <w:tcPr>
                  <w:tcW w:w="634" w:type="pct"/>
                  <w:noWrap w:val="0"/>
                  <w:vAlign w:val="center"/>
                </w:tcPr>
                <w:p>
                  <w:pPr>
                    <w:pStyle w:val="34"/>
                    <w:bidi w:val="0"/>
                    <w:rPr>
                      <w:rFonts w:hint="default"/>
                      <w:lang w:val="en-US" w:eastAsia="zh-CN"/>
                    </w:rPr>
                  </w:pPr>
                  <w:r>
                    <w:rPr>
                      <w:rFonts w:hint="eastAsia"/>
                      <w:lang w:val="en-US" w:eastAsia="zh-CN"/>
                    </w:rPr>
                    <w:t>A3.2联防联控要求</w:t>
                  </w:r>
                </w:p>
              </w:tc>
              <w:tc>
                <w:tcPr>
                  <w:tcW w:w="1654" w:type="pct"/>
                  <w:noWrap w:val="0"/>
                  <w:vAlign w:val="center"/>
                </w:tcPr>
                <w:p>
                  <w:pPr>
                    <w:pStyle w:val="34"/>
                    <w:bidi w:val="0"/>
                    <w:jc w:val="both"/>
                    <w:rPr>
                      <w:rFonts w:hint="default"/>
                      <w:lang w:val="en-US" w:eastAsia="zh-CN"/>
                    </w:rPr>
                  </w:pPr>
                  <w:r>
                    <w:rPr>
                      <w:rFonts w:hint="default"/>
                      <w:lang w:val="en-US" w:eastAsia="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674" w:type="pct"/>
                  <w:noWrap w:val="0"/>
                  <w:vAlign w:val="center"/>
                </w:tcPr>
                <w:p>
                  <w:pPr>
                    <w:pStyle w:val="34"/>
                    <w:bidi w:val="0"/>
                    <w:jc w:val="both"/>
                    <w:rPr>
                      <w:rFonts w:hint="default"/>
                      <w:lang w:val="en-US" w:eastAsia="zh-CN"/>
                    </w:rPr>
                  </w:pPr>
                  <w:r>
                    <w:rPr>
                      <w:rFonts w:hint="default"/>
                      <w:lang w:val="en-US" w:eastAsia="zh-CN"/>
                    </w:rPr>
                    <w:t>本项目建立环境突发事件应急管理领导机构、完善环境突发应急预案体系、配备完善应急物资等手段来加强环境风险防控</w:t>
                  </w:r>
                  <w:r>
                    <w:rPr>
                      <w:rFonts w:hint="eastAsia"/>
                      <w:lang w:val="en-US" w:eastAsia="zh-CN"/>
                    </w:rPr>
                    <w:t>，</w:t>
                  </w:r>
                  <w:r>
                    <w:rPr>
                      <w:rFonts w:hint="default"/>
                      <w:lang w:val="en-US" w:eastAsia="zh-CN"/>
                    </w:rPr>
                    <w:t>加强应急物资储备及应急物资信息化建设</w:t>
                  </w:r>
                  <w:r>
                    <w:rPr>
                      <w:rFonts w:hint="eastAsia"/>
                      <w:lang w:val="en-US" w:eastAsia="zh-CN"/>
                    </w:rPr>
                    <w:t>，</w:t>
                  </w:r>
                  <w:r>
                    <w:rPr>
                      <w:rFonts w:hint="default"/>
                      <w:lang w:val="en-US" w:eastAsia="zh-CN"/>
                    </w:rPr>
                    <w:t>增强实战能力。</w:t>
                  </w:r>
                </w:p>
              </w:tc>
              <w:tc>
                <w:tcPr>
                  <w:tcW w:w="504" w:type="pct"/>
                  <w:noWrap w:val="0"/>
                  <w:vAlign w:val="center"/>
                </w:tcPr>
                <w:p>
                  <w:pPr>
                    <w:pStyle w:val="34"/>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1" w:type="pct"/>
                  <w:noWrap w:val="0"/>
                  <w:vAlign w:val="center"/>
                </w:tcPr>
                <w:p>
                  <w:pPr>
                    <w:pStyle w:val="34"/>
                    <w:bidi w:val="0"/>
                    <w:rPr>
                      <w:rFonts w:hint="default"/>
                      <w:lang w:val="en-US" w:eastAsia="zh-CN"/>
                    </w:rPr>
                  </w:pPr>
                  <w:r>
                    <w:rPr>
                      <w:rFonts w:hint="eastAsia"/>
                      <w:lang w:val="en-US" w:eastAsia="zh-CN"/>
                    </w:rPr>
                    <w:t>A4资源利用要求</w:t>
                  </w:r>
                </w:p>
              </w:tc>
              <w:tc>
                <w:tcPr>
                  <w:tcW w:w="634" w:type="pct"/>
                  <w:noWrap w:val="0"/>
                  <w:vAlign w:val="center"/>
                </w:tcPr>
                <w:p>
                  <w:pPr>
                    <w:pStyle w:val="34"/>
                    <w:bidi w:val="0"/>
                    <w:rPr>
                      <w:rFonts w:hint="default"/>
                      <w:lang w:val="en-US" w:eastAsia="zh-CN"/>
                    </w:rPr>
                  </w:pPr>
                  <w:r>
                    <w:rPr>
                      <w:rFonts w:hint="eastAsia"/>
                      <w:lang w:val="en-US" w:eastAsia="zh-CN"/>
                    </w:rPr>
                    <w:t>A4.3能源利用</w:t>
                  </w:r>
                </w:p>
              </w:tc>
              <w:tc>
                <w:tcPr>
                  <w:tcW w:w="1654" w:type="pct"/>
                  <w:noWrap w:val="0"/>
                  <w:vAlign w:val="center"/>
                </w:tcPr>
                <w:p>
                  <w:pPr>
                    <w:pStyle w:val="34"/>
                    <w:bidi w:val="0"/>
                    <w:jc w:val="both"/>
                    <w:rPr>
                      <w:rFonts w:hint="default"/>
                      <w:lang w:val="en-US" w:eastAsia="zh-CN"/>
                    </w:rPr>
                  </w:pPr>
                  <w:r>
                    <w:rPr>
                      <w:rFonts w:hint="default"/>
                      <w:lang w:val="en-US" w:eastAsia="zh-CN"/>
                    </w:rPr>
                    <w:t>〔A4.3-</w:t>
                  </w:r>
                  <w:r>
                    <w:rPr>
                      <w:rFonts w:hint="eastAsia"/>
                      <w:lang w:val="en-US" w:eastAsia="zh-CN"/>
                    </w:rPr>
                    <w:t>5</w:t>
                  </w:r>
                  <w:r>
                    <w:rPr>
                      <w:rFonts w:hint="default"/>
                      <w:lang w:val="en-US" w:eastAsia="zh-CN"/>
                    </w:rPr>
                    <w:t>〕</w:t>
                  </w:r>
                  <w:r>
                    <w:rPr>
                      <w:rFonts w:hint="eastAsia"/>
                      <w:lang w:val="en-US" w:eastAsia="zh-CN"/>
                    </w:rPr>
                    <w:t>以碳达峰碳中和工作为引领，着力提高能源资源利用效率。引导重点行业深入实施清洁生产改造，钢铁、建材、石油化工等重点行业以及其他行业重点用能单位持续开展节能降耗。</w:t>
                  </w:r>
                </w:p>
              </w:tc>
              <w:tc>
                <w:tcPr>
                  <w:tcW w:w="1674" w:type="pct"/>
                  <w:noWrap w:val="0"/>
                  <w:vAlign w:val="center"/>
                </w:tcPr>
                <w:p>
                  <w:pPr>
                    <w:pStyle w:val="34"/>
                    <w:bidi w:val="0"/>
                    <w:jc w:val="both"/>
                    <w:rPr>
                      <w:rFonts w:hint="default"/>
                      <w:lang w:val="en-US" w:eastAsia="zh-CN"/>
                    </w:rPr>
                  </w:pPr>
                  <w:r>
                    <w:rPr>
                      <w:rFonts w:hint="eastAsia"/>
                      <w:lang w:val="en-US" w:eastAsia="zh-CN"/>
                    </w:rPr>
                    <w:t>本项目营运期生产过程中废水循环使用和回用于生产，不外排，实现了其资源化利用。</w:t>
                  </w:r>
                </w:p>
              </w:tc>
              <w:tc>
                <w:tcPr>
                  <w:tcW w:w="504" w:type="pct"/>
                  <w:noWrap w:val="0"/>
                  <w:vAlign w:val="center"/>
                </w:tcPr>
                <w:p>
                  <w:pPr>
                    <w:pStyle w:val="34"/>
                    <w:bidi w:val="0"/>
                    <w:rPr>
                      <w:rFonts w:hint="default"/>
                      <w:lang w:val="en-US" w:eastAsia="zh-CN"/>
                    </w:rPr>
                  </w:pPr>
                  <w:r>
                    <w:rPr>
                      <w:rFonts w:hint="eastAsia"/>
                      <w:lang w:val="en-US" w:eastAsia="zh-CN"/>
                    </w:rPr>
                    <w:t>符合</w:t>
                  </w:r>
                </w:p>
              </w:tc>
            </w:tr>
          </w:tbl>
          <w:p>
            <w:pPr>
              <w:pStyle w:val="3"/>
              <w:bidi w:val="0"/>
              <w:rPr>
                <w:rFonts w:hint="default" w:ascii="Times New Roman" w:hAnsi="Times New Roman" w:cs="Times New Roman"/>
                <w:lang w:val="en-US" w:eastAsia="zh-CN"/>
              </w:rPr>
            </w:pPr>
            <w:r>
              <w:rPr>
                <w:rFonts w:hint="eastAsia"/>
                <w:lang w:val="en-US" w:eastAsia="zh-CN"/>
              </w:rPr>
              <w:t>2.2</w:t>
            </w:r>
            <w:r>
              <w:rPr>
                <w:rFonts w:hint="default" w:ascii="Times New Roman" w:hAnsi="Times New Roman" w:cs="Times New Roman"/>
                <w:lang w:val="en-US" w:eastAsia="zh-CN"/>
              </w:rPr>
              <w:t>《新疆维吾尔自治区七大片区“三线一单”生态环境分区管控要求》（2021年版）符合性分析</w:t>
            </w:r>
          </w:p>
          <w:p>
            <w:pPr>
              <w:pStyle w:val="8"/>
              <w:bidi w:val="0"/>
              <w:rPr>
                <w:rFonts w:hint="default" w:ascii="Times New Roman" w:hAnsi="Times New Roman" w:cs="Times New Roman"/>
                <w:lang w:val="en-US" w:eastAsia="zh-CN"/>
              </w:rPr>
            </w:pPr>
            <w:r>
              <w:rPr>
                <w:rFonts w:hint="default" w:ascii="Times New Roman" w:hAnsi="Times New Roman" w:cs="Times New Roman"/>
                <w:lang w:val="en-US" w:eastAsia="zh-CN"/>
              </w:rPr>
              <w:t>根据新疆维吾尔自治区生态环境厅2021年7月发布的《关于印发〈新疆维吾尔自治区七大片区“三线一单”生态环境分区管控要求〉的通知》（新环环评发〔2021〕162号），本项目所在区域属于天山南坡片区，该片区管控要求见下表。</w:t>
            </w:r>
          </w:p>
          <w:p>
            <w:pPr>
              <w:pStyle w:val="49"/>
              <w:bidi w:val="0"/>
              <w:rPr>
                <w:rFonts w:hint="eastAsia"/>
                <w:lang w:val="en-US" w:eastAsia="zh-CN"/>
              </w:rPr>
            </w:pPr>
            <w:r>
              <w:rPr>
                <w:rFonts w:hint="default" w:ascii="Times New Roman" w:hAnsi="Times New Roman" w:cs="Times New Roman"/>
                <w:lang w:val="en-US" w:eastAsia="zh-CN"/>
              </w:rPr>
              <w:t>表1-</w:t>
            </w:r>
            <w:r>
              <w:rPr>
                <w:rFonts w:hint="eastAsia" w:ascii="Times New Roman" w:hAnsi="Times New Roman" w:cs="Times New Roman"/>
                <w:lang w:val="en-US" w:eastAsia="zh-CN"/>
              </w:rPr>
              <w:t>2</w:t>
            </w:r>
            <w:r>
              <w:rPr>
                <w:rFonts w:hint="default" w:ascii="Times New Roman" w:hAnsi="Times New Roman" w:cs="Times New Roman"/>
                <w:lang w:val="en-US" w:eastAsia="zh-CN"/>
              </w:rPr>
              <w:t xml:space="preserve">   《新疆维吾尔自治区七大片区“三线一单”</w:t>
            </w:r>
            <w:r>
              <w:rPr>
                <w:rFonts w:hint="eastAsia"/>
                <w:lang w:val="en-US" w:eastAsia="zh-CN"/>
              </w:rPr>
              <w:t>生态环境分区管控要求》</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3370"/>
              <w:gridCol w:w="2346"/>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restart"/>
                  <w:noWrap w:val="0"/>
                  <w:vAlign w:val="center"/>
                </w:tcPr>
                <w:p>
                  <w:pPr>
                    <w:bidi w:val="0"/>
                    <w:jc w:val="center"/>
                    <w:rPr>
                      <w:rFonts w:hint="default"/>
                      <w:sz w:val="21"/>
                      <w:szCs w:val="21"/>
                      <w:lang w:val="en-US" w:eastAsia="zh-CN"/>
                    </w:rPr>
                  </w:pPr>
                  <w:r>
                    <w:rPr>
                      <w:rFonts w:hint="eastAsia"/>
                      <w:sz w:val="21"/>
                      <w:szCs w:val="21"/>
                      <w:lang w:val="en-US" w:eastAsia="zh-CN"/>
                    </w:rPr>
                    <w:t>天山南坡片区总体管控要求</w:t>
                  </w:r>
                </w:p>
              </w:tc>
              <w:tc>
                <w:tcPr>
                  <w:tcW w:w="2370" w:type="pct"/>
                  <w:noWrap w:val="0"/>
                  <w:vAlign w:val="center"/>
                </w:tcPr>
                <w:p>
                  <w:pPr>
                    <w:bidi w:val="0"/>
                    <w:jc w:val="center"/>
                    <w:rPr>
                      <w:rFonts w:hint="default"/>
                      <w:sz w:val="21"/>
                      <w:szCs w:val="21"/>
                      <w:lang w:val="en-US" w:eastAsia="zh-CN"/>
                    </w:rPr>
                  </w:pPr>
                  <w:r>
                    <w:rPr>
                      <w:rFonts w:hint="eastAsia"/>
                      <w:sz w:val="21"/>
                      <w:szCs w:val="21"/>
                      <w:lang w:val="en-US" w:eastAsia="zh-CN"/>
                    </w:rPr>
                    <w:t>管控要求</w:t>
                  </w:r>
                </w:p>
              </w:tc>
              <w:tc>
                <w:tcPr>
                  <w:tcW w:w="1650" w:type="pct"/>
                  <w:noWrap w:val="0"/>
                  <w:vAlign w:val="center"/>
                </w:tcPr>
                <w:p>
                  <w:pPr>
                    <w:bidi w:val="0"/>
                    <w:jc w:val="center"/>
                    <w:rPr>
                      <w:rFonts w:hint="default"/>
                      <w:sz w:val="21"/>
                      <w:szCs w:val="21"/>
                      <w:lang w:val="en-US" w:eastAsia="zh-CN"/>
                    </w:rPr>
                  </w:pPr>
                  <w:r>
                    <w:rPr>
                      <w:rFonts w:hint="eastAsia"/>
                      <w:sz w:val="21"/>
                      <w:szCs w:val="21"/>
                      <w:lang w:val="en-US" w:eastAsia="zh-CN"/>
                    </w:rPr>
                    <w:t>本项目情况</w:t>
                  </w:r>
                </w:p>
              </w:tc>
              <w:tc>
                <w:tcPr>
                  <w:tcW w:w="460" w:type="pct"/>
                  <w:noWrap w:val="0"/>
                  <w:vAlign w:val="center"/>
                </w:tcPr>
                <w:p>
                  <w:pPr>
                    <w:bidi w:val="0"/>
                    <w:jc w:val="center"/>
                    <w:rPr>
                      <w:rFonts w:hint="default"/>
                      <w:sz w:val="21"/>
                      <w:szCs w:val="21"/>
                      <w:lang w:val="en-US" w:eastAsia="zh-CN"/>
                    </w:rPr>
                  </w:pPr>
                  <w:r>
                    <w:rPr>
                      <w:rFonts w:hint="eastAsia"/>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center"/>
                </w:tcPr>
                <w:p>
                  <w:pPr>
                    <w:bidi w:val="0"/>
                    <w:jc w:val="center"/>
                    <w:rPr>
                      <w:rFonts w:hint="default"/>
                      <w:sz w:val="21"/>
                      <w:szCs w:val="21"/>
                      <w:lang w:val="en-US" w:eastAsia="zh-CN"/>
                    </w:rPr>
                  </w:pPr>
                </w:p>
              </w:tc>
              <w:tc>
                <w:tcPr>
                  <w:tcW w:w="2370" w:type="pct"/>
                  <w:noWrap w:val="0"/>
                  <w:vAlign w:val="center"/>
                </w:tcPr>
                <w:p>
                  <w:pPr>
                    <w:bidi w:val="0"/>
                    <w:jc w:val="both"/>
                    <w:rPr>
                      <w:rFonts w:hint="default"/>
                      <w:sz w:val="21"/>
                      <w:szCs w:val="21"/>
                      <w:lang w:val="en-US" w:eastAsia="zh-CN"/>
                    </w:rPr>
                  </w:pPr>
                  <w:r>
                    <w:rPr>
                      <w:rFonts w:hint="eastAsia"/>
                      <w:sz w:val="21"/>
                      <w:szCs w:val="21"/>
                      <w:lang w:val="en-US" w:eastAsia="zh-CN"/>
                    </w:rPr>
                    <w:t>切实保护托木尔峰和天山南坡中段冰雪水源及生物多样性保护生态功能区内的托木尔峰自然景观、高山冰川、野生动物、森林和草原，合理利用天然草地，稳步推进草原减牧，加强保护区管理，维护自然景观和生物多样性。</w:t>
                  </w:r>
                </w:p>
              </w:tc>
              <w:tc>
                <w:tcPr>
                  <w:tcW w:w="1650" w:type="pct"/>
                  <w:noWrap w:val="0"/>
                  <w:vAlign w:val="center"/>
                </w:tcPr>
                <w:p>
                  <w:pPr>
                    <w:bidi w:val="0"/>
                    <w:jc w:val="both"/>
                    <w:rPr>
                      <w:rFonts w:hint="default"/>
                      <w:sz w:val="21"/>
                      <w:szCs w:val="21"/>
                      <w:lang w:val="en-US" w:eastAsia="zh-CN"/>
                    </w:rPr>
                  </w:pPr>
                  <w:r>
                    <w:rPr>
                      <w:rFonts w:hint="eastAsia"/>
                      <w:sz w:val="21"/>
                      <w:szCs w:val="21"/>
                      <w:lang w:val="en-US" w:eastAsia="zh-CN"/>
                    </w:rPr>
                    <w:t>本项目位于库尔勒上库综合产业园区，用地为工业用地，不涉及高山冰川、森林和草原，项目区内无野生动物。</w:t>
                  </w:r>
                </w:p>
              </w:tc>
              <w:tc>
                <w:tcPr>
                  <w:tcW w:w="460" w:type="pct"/>
                  <w:noWrap w:val="0"/>
                  <w:vAlign w:val="center"/>
                </w:tcPr>
                <w:p>
                  <w:pPr>
                    <w:bidi w:val="0"/>
                    <w:jc w:val="center"/>
                    <w:rPr>
                      <w:rFonts w:hint="default"/>
                      <w:sz w:val="21"/>
                      <w:szCs w:val="21"/>
                      <w:lang w:val="en-US" w:eastAsia="zh-CN"/>
                    </w:rPr>
                  </w:pPr>
                  <w:r>
                    <w:rPr>
                      <w:rFonts w:hint="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center"/>
                </w:tcPr>
                <w:p>
                  <w:pPr>
                    <w:bidi w:val="0"/>
                    <w:jc w:val="center"/>
                    <w:rPr>
                      <w:rFonts w:hint="eastAsia"/>
                      <w:sz w:val="21"/>
                      <w:szCs w:val="21"/>
                      <w:lang w:val="en-US" w:eastAsia="zh-CN"/>
                    </w:rPr>
                  </w:pPr>
                </w:p>
              </w:tc>
              <w:tc>
                <w:tcPr>
                  <w:tcW w:w="2370" w:type="pct"/>
                  <w:noWrap w:val="0"/>
                  <w:vAlign w:val="center"/>
                </w:tcPr>
                <w:p>
                  <w:pPr>
                    <w:bidi w:val="0"/>
                    <w:jc w:val="both"/>
                    <w:rPr>
                      <w:rFonts w:hint="eastAsia"/>
                      <w:sz w:val="21"/>
                      <w:szCs w:val="21"/>
                      <w:lang w:val="en-US" w:eastAsia="zh-CN"/>
                    </w:rPr>
                  </w:pPr>
                  <w:r>
                    <w:rPr>
                      <w:rFonts w:hint="eastAsia"/>
                      <w:sz w:val="21"/>
                      <w:szCs w:val="21"/>
                      <w:lang w:val="en-US" w:eastAsia="zh-CN"/>
                    </w:rPr>
                    <w:t>重点做好塔里木盆地北缘荒漠化防治。加强荒漠植被及河岸荒漠林保护，规范油气勘探开发作业，建立油田和公路扰动区域工程与生物相结合的防风固沙体系，逐步形成生态屏障。推进塔里木河流域用水结构调整，维护塔里木河、博斯腾湖基本生态用水。</w:t>
                  </w:r>
                </w:p>
              </w:tc>
              <w:tc>
                <w:tcPr>
                  <w:tcW w:w="1650" w:type="pct"/>
                  <w:noWrap w:val="0"/>
                  <w:vAlign w:val="center"/>
                </w:tcPr>
                <w:p>
                  <w:pPr>
                    <w:bidi w:val="0"/>
                    <w:jc w:val="both"/>
                    <w:rPr>
                      <w:rFonts w:hint="default"/>
                      <w:sz w:val="21"/>
                      <w:szCs w:val="21"/>
                      <w:lang w:val="en-US" w:eastAsia="zh-CN"/>
                    </w:rPr>
                  </w:pPr>
                  <w:r>
                    <w:rPr>
                      <w:rFonts w:hint="eastAsia"/>
                      <w:sz w:val="21"/>
                      <w:szCs w:val="21"/>
                      <w:lang w:val="en-US" w:eastAsia="zh-CN"/>
                    </w:rPr>
                    <w:t>本项目不涉及油气勘探开发，不涉及塔里木河、博斯腾湖生态用水。</w:t>
                  </w:r>
                </w:p>
              </w:tc>
              <w:tc>
                <w:tcPr>
                  <w:tcW w:w="460" w:type="pct"/>
                  <w:noWrap w:val="0"/>
                  <w:vAlign w:val="center"/>
                </w:tcPr>
                <w:p>
                  <w:pPr>
                    <w:bidi w:val="0"/>
                    <w:jc w:val="center"/>
                    <w:rPr>
                      <w:rFonts w:hint="eastAsia"/>
                      <w:sz w:val="21"/>
                      <w:szCs w:val="21"/>
                      <w:lang w:val="en-US" w:eastAsia="zh-CN"/>
                    </w:rPr>
                  </w:pPr>
                  <w:r>
                    <w:rPr>
                      <w:rFonts w:hint="eastAsia"/>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pct"/>
                  <w:vMerge w:val="continue"/>
                  <w:noWrap w:val="0"/>
                  <w:vAlign w:val="center"/>
                </w:tcPr>
                <w:p>
                  <w:pPr>
                    <w:bidi w:val="0"/>
                    <w:jc w:val="center"/>
                    <w:rPr>
                      <w:rFonts w:hint="eastAsia"/>
                      <w:sz w:val="21"/>
                      <w:szCs w:val="21"/>
                      <w:lang w:val="en-US" w:eastAsia="zh-CN"/>
                    </w:rPr>
                  </w:pPr>
                </w:p>
              </w:tc>
              <w:tc>
                <w:tcPr>
                  <w:tcW w:w="2370" w:type="pct"/>
                  <w:noWrap w:val="0"/>
                  <w:vAlign w:val="center"/>
                </w:tcPr>
                <w:p>
                  <w:pPr>
                    <w:bidi w:val="0"/>
                    <w:jc w:val="both"/>
                    <w:rPr>
                      <w:rFonts w:hint="eastAsia"/>
                      <w:sz w:val="21"/>
                      <w:szCs w:val="21"/>
                      <w:lang w:val="en-US" w:eastAsia="zh-CN"/>
                    </w:rPr>
                  </w:pPr>
                  <w:r>
                    <w:rPr>
                      <w:rFonts w:hint="eastAsia"/>
                      <w:sz w:val="21"/>
                      <w:szCs w:val="21"/>
                      <w:lang w:val="en-US" w:eastAsia="zh-CN"/>
                    </w:rPr>
                    <w:t>加强塔里木河流域水环境风险管控。加大博斯腾湖污染源头达标排放治理和监督力度，实施博斯腾湖综合治理。加强油（气）资源开发区土壤环境污染综合整治。强化涉重金属行业污染防控与工业废物处理处置。</w:t>
                  </w:r>
                </w:p>
              </w:tc>
              <w:tc>
                <w:tcPr>
                  <w:tcW w:w="1650" w:type="pct"/>
                  <w:noWrap w:val="0"/>
                  <w:vAlign w:val="center"/>
                </w:tcPr>
                <w:p>
                  <w:pPr>
                    <w:bidi w:val="0"/>
                    <w:jc w:val="both"/>
                    <w:rPr>
                      <w:rFonts w:hint="default"/>
                      <w:sz w:val="21"/>
                      <w:szCs w:val="21"/>
                      <w:lang w:val="en-US" w:eastAsia="zh-CN"/>
                    </w:rPr>
                  </w:pPr>
                  <w:r>
                    <w:rPr>
                      <w:rFonts w:hint="eastAsia"/>
                      <w:sz w:val="21"/>
                      <w:szCs w:val="21"/>
                      <w:lang w:val="en-US" w:eastAsia="zh-CN"/>
                    </w:rPr>
                    <w:t>本项目生活污水经化粪池预处理后通过园区污水管网排入铁门关市污水处理厂，不涉及塔里木河流域和博斯腾湖，不涉及油（气）资源开发和重金属行业。</w:t>
                  </w:r>
                </w:p>
              </w:tc>
              <w:tc>
                <w:tcPr>
                  <w:tcW w:w="460" w:type="pct"/>
                  <w:noWrap w:val="0"/>
                  <w:vAlign w:val="center"/>
                </w:tcPr>
                <w:p>
                  <w:pPr>
                    <w:bidi w:val="0"/>
                    <w:jc w:val="center"/>
                    <w:rPr>
                      <w:rFonts w:hint="eastAsia"/>
                      <w:sz w:val="21"/>
                      <w:szCs w:val="21"/>
                      <w:lang w:val="en-US" w:eastAsia="zh-CN"/>
                    </w:rPr>
                  </w:pPr>
                  <w:r>
                    <w:rPr>
                      <w:rFonts w:hint="eastAsia"/>
                      <w:sz w:val="21"/>
                      <w:szCs w:val="21"/>
                      <w:lang w:val="en-US" w:eastAsia="zh-CN"/>
                    </w:rPr>
                    <w:t>符合</w:t>
                  </w:r>
                </w:p>
              </w:tc>
            </w:tr>
          </w:tbl>
          <w:p>
            <w:pPr>
              <w:pStyle w:val="3"/>
              <w:bidi w:val="0"/>
              <w:rPr>
                <w:rFonts w:hint="default"/>
                <w:lang w:val="en-US" w:eastAsia="zh-CN"/>
              </w:rPr>
            </w:pPr>
            <w:r>
              <w:rPr>
                <w:rFonts w:hint="eastAsia"/>
                <w:lang w:val="en-US" w:eastAsia="zh-CN"/>
              </w:rPr>
              <w:t>2.3《巴音郭楞蒙古自治州“三线一单”生态环境分区管控动态更新成果（2023年）》符合性分析</w:t>
            </w:r>
          </w:p>
          <w:p>
            <w:pPr>
              <w:pStyle w:val="8"/>
              <w:keepNext w:val="0"/>
              <w:keepLines w:val="0"/>
              <w:pageBreakBefore w:val="0"/>
              <w:widowControl/>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本工程建设地点位于库尔勒市上库综合产业园区</w:t>
            </w:r>
            <w:r>
              <w:rPr>
                <w:rFonts w:hint="eastAsia"/>
                <w:lang w:eastAsia="zh-CN"/>
              </w:rPr>
              <w:t>，</w:t>
            </w:r>
            <w:r>
              <w:rPr>
                <w:rFonts w:hint="eastAsia"/>
                <w:lang w:val="en-US" w:eastAsia="zh-CN"/>
              </w:rPr>
              <w:t>根据《巴音郭楞蒙古自治州“三线一单”生态环境分区管控动态更新成果（2023年）》（巴政办发〔2024〕32号），本工程所在环境管控单元管控要求详见下表。</w:t>
            </w:r>
          </w:p>
          <w:p>
            <w:pPr>
              <w:pStyle w:val="36"/>
              <w:bidi w:val="0"/>
              <w:rPr>
                <w:rFonts w:hint="default"/>
                <w:lang w:val="en-US" w:eastAsia="zh-CN"/>
              </w:rPr>
            </w:pPr>
            <w:r>
              <w:rPr>
                <w:rFonts w:hint="eastAsia"/>
                <w:lang w:val="en-US" w:eastAsia="zh-CN"/>
              </w:rPr>
              <w:t>表1-3    《巴音郭楞蒙古自治州生态环境准入清单》符合性分析</w:t>
            </w:r>
          </w:p>
          <w:tbl>
            <w:tblPr>
              <w:tblStyle w:val="20"/>
              <w:tblW w:w="6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732"/>
              <w:gridCol w:w="2601"/>
              <w:gridCol w:w="2420"/>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gridSpan w:val="2"/>
                  <w:noWrap w:val="0"/>
                  <w:vAlign w:val="center"/>
                </w:tcPr>
                <w:p>
                  <w:pPr>
                    <w:pStyle w:val="34"/>
                    <w:bidi w:val="0"/>
                    <w:rPr>
                      <w:rFonts w:hint="eastAsia"/>
                      <w:lang w:val="en-US" w:eastAsia="zh-CN"/>
                    </w:rPr>
                  </w:pPr>
                  <w:r>
                    <w:rPr>
                      <w:rFonts w:hint="default"/>
                      <w:lang w:val="en-US" w:eastAsia="zh-CN"/>
                    </w:rPr>
                    <w:t>环境管控单元编码</w:t>
                  </w:r>
                </w:p>
              </w:tc>
              <w:tc>
                <w:tcPr>
                  <w:tcW w:w="2619" w:type="dxa"/>
                  <w:noWrap w:val="0"/>
                  <w:vAlign w:val="center"/>
                </w:tcPr>
                <w:p>
                  <w:pPr>
                    <w:pStyle w:val="34"/>
                    <w:bidi w:val="0"/>
                    <w:rPr>
                      <w:rFonts w:hint="eastAsia"/>
                      <w:lang w:val="en-US" w:eastAsia="zh-CN"/>
                    </w:rPr>
                  </w:pPr>
                  <w:r>
                    <w:rPr>
                      <w:rFonts w:hint="default"/>
                      <w:lang w:val="en-US" w:eastAsia="zh-CN"/>
                    </w:rPr>
                    <w:t>ZH65280120013</w:t>
                  </w:r>
                </w:p>
              </w:tc>
              <w:tc>
                <w:tcPr>
                  <w:tcW w:w="2434" w:type="dxa"/>
                  <w:vMerge w:val="restart"/>
                  <w:noWrap w:val="0"/>
                  <w:vAlign w:val="center"/>
                </w:tcPr>
                <w:p>
                  <w:pPr>
                    <w:pStyle w:val="34"/>
                    <w:bidi w:val="0"/>
                    <w:rPr>
                      <w:rFonts w:hint="eastAsia"/>
                      <w:lang w:eastAsia="zh-CN"/>
                    </w:rPr>
                  </w:pPr>
                  <w:r>
                    <w:rPr>
                      <w:rFonts w:hint="eastAsia"/>
                      <w:lang w:val="en-US" w:eastAsia="zh-CN"/>
                    </w:rPr>
                    <w:t>本工程情况</w:t>
                  </w:r>
                </w:p>
              </w:tc>
              <w:tc>
                <w:tcPr>
                  <w:tcW w:w="789" w:type="dxa"/>
                  <w:vMerge w:val="restart"/>
                  <w:noWrap w:val="0"/>
                  <w:vAlign w:val="center"/>
                </w:tcPr>
                <w:p>
                  <w:pPr>
                    <w:pStyle w:val="34"/>
                    <w:bidi w:val="0"/>
                    <w:rPr>
                      <w:rFonts w:hint="default"/>
                      <w:lang w:val="en-US" w:eastAsia="zh-CN"/>
                    </w:rPr>
                  </w:pPr>
                  <w:r>
                    <w:rPr>
                      <w:rFonts w:hint="eastAsia"/>
                      <w:lang w:val="en-US" w:eastAsia="zh-CN"/>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gridSpan w:val="2"/>
                  <w:noWrap w:val="0"/>
                  <w:vAlign w:val="center"/>
                </w:tcPr>
                <w:p>
                  <w:pPr>
                    <w:pStyle w:val="34"/>
                    <w:bidi w:val="0"/>
                    <w:rPr>
                      <w:rFonts w:hint="eastAsia"/>
                      <w:lang w:val="en-US" w:eastAsia="zh-CN"/>
                    </w:rPr>
                  </w:pPr>
                  <w:r>
                    <w:rPr>
                      <w:rFonts w:hint="eastAsia"/>
                      <w:lang w:val="en-US" w:eastAsia="zh-CN"/>
                    </w:rPr>
                    <w:t>环境管控单元名称</w:t>
                  </w:r>
                </w:p>
              </w:tc>
              <w:tc>
                <w:tcPr>
                  <w:tcW w:w="2619" w:type="dxa"/>
                  <w:noWrap w:val="0"/>
                  <w:vAlign w:val="center"/>
                </w:tcPr>
                <w:p>
                  <w:pPr>
                    <w:pStyle w:val="34"/>
                    <w:bidi w:val="0"/>
                    <w:rPr>
                      <w:rFonts w:hint="eastAsia"/>
                      <w:lang w:val="en-US" w:eastAsia="zh-CN"/>
                    </w:rPr>
                  </w:pPr>
                  <w:r>
                    <w:rPr>
                      <w:rFonts w:hint="eastAsia"/>
                      <w:lang w:val="en-US" w:eastAsia="zh-CN"/>
                    </w:rPr>
                    <w:t>库尔勒上库高新技术产业开发区</w:t>
                  </w:r>
                </w:p>
              </w:tc>
              <w:tc>
                <w:tcPr>
                  <w:tcW w:w="2434" w:type="dxa"/>
                  <w:vMerge w:val="continue"/>
                  <w:noWrap w:val="0"/>
                  <w:vAlign w:val="center"/>
                </w:tcPr>
                <w:p>
                  <w:pPr>
                    <w:pStyle w:val="34"/>
                    <w:bidi w:val="0"/>
                    <w:rPr>
                      <w:rFonts w:hint="eastAsia"/>
                      <w:lang w:eastAsia="zh-CN"/>
                    </w:rPr>
                  </w:pPr>
                </w:p>
              </w:tc>
              <w:tc>
                <w:tcPr>
                  <w:tcW w:w="789" w:type="dxa"/>
                  <w:vMerge w:val="continue"/>
                  <w:noWrap w:val="0"/>
                  <w:vAlign w:val="center"/>
                </w:tcPr>
                <w:p>
                  <w:pPr>
                    <w:pStyle w:val="34"/>
                    <w:bidi w:val="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3" w:type="dxa"/>
                  <w:gridSpan w:val="2"/>
                  <w:noWrap w:val="0"/>
                  <w:vAlign w:val="center"/>
                </w:tcPr>
                <w:p>
                  <w:pPr>
                    <w:pStyle w:val="34"/>
                    <w:bidi w:val="0"/>
                    <w:rPr>
                      <w:rFonts w:hint="eastAsia"/>
                      <w:lang w:val="en-US" w:eastAsia="zh-CN"/>
                    </w:rPr>
                  </w:pPr>
                  <w:r>
                    <w:t>环境管控单元类别</w:t>
                  </w:r>
                </w:p>
              </w:tc>
              <w:tc>
                <w:tcPr>
                  <w:tcW w:w="2619" w:type="dxa"/>
                  <w:noWrap w:val="0"/>
                  <w:vAlign w:val="center"/>
                </w:tcPr>
                <w:p>
                  <w:pPr>
                    <w:pStyle w:val="34"/>
                    <w:bidi w:val="0"/>
                    <w:rPr>
                      <w:rFonts w:hint="eastAsia"/>
                      <w:lang w:val="en-US" w:eastAsia="zh-CN"/>
                    </w:rPr>
                  </w:pPr>
                  <w:r>
                    <w:rPr>
                      <w:rFonts w:hint="default"/>
                      <w:lang w:val="en-US" w:eastAsia="zh-CN"/>
                    </w:rPr>
                    <w:t>重点管控单元</w:t>
                  </w:r>
                </w:p>
              </w:tc>
              <w:tc>
                <w:tcPr>
                  <w:tcW w:w="2434" w:type="dxa"/>
                  <w:vMerge w:val="continue"/>
                  <w:noWrap w:val="0"/>
                  <w:vAlign w:val="center"/>
                </w:tcPr>
                <w:p>
                  <w:pPr>
                    <w:pStyle w:val="34"/>
                    <w:bidi w:val="0"/>
                    <w:rPr>
                      <w:rFonts w:hint="eastAsia"/>
                      <w:lang w:eastAsia="zh-CN"/>
                    </w:rPr>
                  </w:pPr>
                </w:p>
              </w:tc>
              <w:tc>
                <w:tcPr>
                  <w:tcW w:w="789" w:type="dxa"/>
                  <w:vMerge w:val="continue"/>
                  <w:noWrap w:val="0"/>
                  <w:vAlign w:val="center"/>
                </w:tcPr>
                <w:p>
                  <w:pPr>
                    <w:pStyle w:val="34"/>
                    <w:bidi w:val="0"/>
                    <w:rPr>
                      <w:rFonts w:hint="eastAsia"/>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restart"/>
                  <w:noWrap w:val="0"/>
                  <w:vAlign w:val="center"/>
                </w:tcPr>
                <w:p>
                  <w:pPr>
                    <w:pStyle w:val="34"/>
                    <w:bidi w:val="0"/>
                  </w:pPr>
                  <w:r>
                    <w:rPr>
                      <w:rFonts w:hint="eastAsia"/>
                      <w:lang w:val="en-US" w:eastAsia="zh-CN"/>
                    </w:rPr>
                    <w:t>管控要求</w:t>
                  </w:r>
                </w:p>
              </w:tc>
              <w:tc>
                <w:tcPr>
                  <w:tcW w:w="735" w:type="dxa"/>
                  <w:noWrap w:val="0"/>
                  <w:vAlign w:val="center"/>
                </w:tcPr>
                <w:p>
                  <w:pPr>
                    <w:pStyle w:val="34"/>
                    <w:bidi w:val="0"/>
                    <w:rPr>
                      <w:rFonts w:hint="eastAsia"/>
                      <w:lang w:val="en-US" w:eastAsia="zh-CN"/>
                    </w:rPr>
                  </w:pPr>
                  <w:r>
                    <w:rPr>
                      <w:rFonts w:hint="default"/>
                      <w:lang w:val="en-US" w:eastAsia="zh-CN"/>
                    </w:rPr>
                    <w:t>空间布局约束</w:t>
                  </w:r>
                </w:p>
              </w:tc>
              <w:tc>
                <w:tcPr>
                  <w:tcW w:w="2619" w:type="dxa"/>
                  <w:noWrap w:val="0"/>
                  <w:vAlign w:val="center"/>
                </w:tcPr>
                <w:p>
                  <w:pPr>
                    <w:pStyle w:val="34"/>
                    <w:bidi w:val="0"/>
                    <w:jc w:val="both"/>
                    <w:rPr>
                      <w:rFonts w:hint="default"/>
                      <w:lang w:val="en-US" w:eastAsia="zh-CN"/>
                    </w:rPr>
                  </w:pPr>
                  <w:r>
                    <w:rPr>
                      <w:rFonts w:hint="eastAsia"/>
                      <w:lang w:val="en-US" w:eastAsia="zh-CN"/>
                    </w:rPr>
                    <w:t>1.加大落后产能淘汰力度。对不符合国家产业政策、污染严重且经治理仍无法达标的工业企业实施关停并转；积极推动节能环保、信息技术、高端装备制造、新能源、新材料和生物科技等战略性新兴产业在工业园区内发展。</w:t>
                  </w:r>
                </w:p>
              </w:tc>
              <w:tc>
                <w:tcPr>
                  <w:tcW w:w="2434" w:type="dxa"/>
                  <w:noWrap w:val="0"/>
                  <w:vAlign w:val="center"/>
                </w:tcPr>
                <w:p>
                  <w:pPr>
                    <w:pStyle w:val="34"/>
                    <w:bidi w:val="0"/>
                    <w:jc w:val="both"/>
                    <w:rPr>
                      <w:rFonts w:hint="eastAsia"/>
                      <w:lang w:eastAsia="zh-CN"/>
                    </w:rPr>
                  </w:pPr>
                  <w:r>
                    <w:rPr>
                      <w:rFonts w:hint="default"/>
                      <w:lang w:val="en-US" w:eastAsia="zh-CN"/>
                    </w:rPr>
                    <w:t>本工程</w:t>
                  </w:r>
                  <w:r>
                    <w:rPr>
                      <w:rFonts w:hint="eastAsia"/>
                      <w:lang w:val="en-US" w:eastAsia="zh-CN"/>
                    </w:rPr>
                    <w:t>不</w:t>
                  </w:r>
                  <w:r>
                    <w:rPr>
                      <w:rFonts w:hint="default"/>
                      <w:lang w:val="en-US" w:eastAsia="zh-CN"/>
                    </w:rPr>
                    <w:t>属</w:t>
                  </w:r>
                  <w:r>
                    <w:rPr>
                      <w:rFonts w:hint="eastAsia"/>
                      <w:lang w:val="en-US" w:eastAsia="zh-CN"/>
                    </w:rPr>
                    <w:t>于</w:t>
                  </w:r>
                  <w:r>
                    <w:rPr>
                      <w:rFonts w:hint="default"/>
                      <w:lang w:val="en-US" w:eastAsia="zh-CN"/>
                    </w:rPr>
                    <w:t>《产业结构调整指导目录</w:t>
                  </w:r>
                  <w:r>
                    <w:rPr>
                      <w:rFonts w:hint="eastAsia"/>
                      <w:lang w:val="en-US" w:eastAsia="zh-CN"/>
                    </w:rPr>
                    <w:t>（2024年本）</w:t>
                  </w:r>
                  <w:r>
                    <w:rPr>
                      <w:rFonts w:hint="default"/>
                      <w:lang w:val="en-US" w:eastAsia="zh-CN"/>
                    </w:rPr>
                    <w:t>》</w:t>
                  </w:r>
                  <w:r>
                    <w:rPr>
                      <w:rFonts w:hint="eastAsia"/>
                      <w:lang w:val="en-US" w:eastAsia="zh-CN"/>
                    </w:rPr>
                    <w:t>中</w:t>
                  </w:r>
                  <w:r>
                    <w:rPr>
                      <w:rFonts w:hint="default"/>
                      <w:lang w:val="en-US" w:eastAsia="zh-CN"/>
                    </w:rPr>
                    <w:t>鼓励类、限制类与淘汰类</w:t>
                  </w:r>
                  <w:r>
                    <w:rPr>
                      <w:rFonts w:hint="eastAsia"/>
                      <w:lang w:val="en-US" w:eastAsia="zh-CN"/>
                    </w:rPr>
                    <w:t>，为允许类；不属于市场准入负面清单中禁止类项目；不属于高耗水、高污染、高耗能项目，本项目不使用落后工艺和设备。</w:t>
                  </w:r>
                </w:p>
              </w:tc>
              <w:tc>
                <w:tcPr>
                  <w:tcW w:w="789" w:type="dxa"/>
                  <w:noWrap w:val="0"/>
                  <w:vAlign w:val="center"/>
                </w:tcPr>
                <w:p>
                  <w:pPr>
                    <w:pStyle w:val="34"/>
                    <w:bidi w:val="0"/>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noWrap w:val="0"/>
                  <w:vAlign w:val="center"/>
                </w:tcPr>
                <w:p>
                  <w:pPr>
                    <w:pStyle w:val="34"/>
                    <w:bidi w:val="0"/>
                    <w:rPr>
                      <w:rFonts w:hint="eastAsia"/>
                      <w:lang w:val="en-US" w:eastAsia="zh-CN"/>
                    </w:rPr>
                  </w:pPr>
                </w:p>
              </w:tc>
              <w:tc>
                <w:tcPr>
                  <w:tcW w:w="735" w:type="dxa"/>
                  <w:noWrap w:val="0"/>
                  <w:vAlign w:val="center"/>
                </w:tcPr>
                <w:p>
                  <w:pPr>
                    <w:pStyle w:val="34"/>
                    <w:bidi w:val="0"/>
                    <w:rPr>
                      <w:rFonts w:hint="default"/>
                      <w:lang w:val="en-US" w:eastAsia="zh-CN"/>
                    </w:rPr>
                  </w:pPr>
                  <w:r>
                    <w:rPr>
                      <w:rFonts w:hint="default"/>
                      <w:lang w:val="en-US" w:eastAsia="zh-CN"/>
                    </w:rPr>
                    <w:t>污染物排放管控</w:t>
                  </w:r>
                </w:p>
              </w:tc>
              <w:tc>
                <w:tcPr>
                  <w:tcW w:w="2619" w:type="dxa"/>
                  <w:noWrap w:val="0"/>
                  <w:vAlign w:val="center"/>
                </w:tcPr>
                <w:p>
                  <w:pPr>
                    <w:pStyle w:val="34"/>
                    <w:bidi w:val="0"/>
                    <w:jc w:val="both"/>
                    <w:rPr>
                      <w:rFonts w:hint="eastAsia"/>
                      <w:lang w:val="en-US" w:eastAsia="zh-CN"/>
                    </w:rPr>
                  </w:pPr>
                  <w:r>
                    <w:rPr>
                      <w:rFonts w:hint="eastAsia"/>
                      <w:lang w:val="en-US" w:eastAsia="zh-CN"/>
                    </w:rPr>
                    <w:t>1.上库高新技术产业开发区的火电、钢铁、水泥、石化行业和燃煤锅炉实施大气污染物特别排放限值。</w:t>
                  </w:r>
                </w:p>
                <w:p>
                  <w:pPr>
                    <w:pStyle w:val="34"/>
                    <w:bidi w:val="0"/>
                    <w:jc w:val="both"/>
                    <w:rPr>
                      <w:rFonts w:hint="eastAsia"/>
                      <w:lang w:val="en-US" w:eastAsia="zh-CN"/>
                    </w:rPr>
                  </w:pPr>
                  <w:r>
                    <w:rPr>
                      <w:rFonts w:hint="eastAsia"/>
                      <w:lang w:val="en-US" w:eastAsia="zh-CN"/>
                    </w:rPr>
                    <w:t>2.园区地下水质量不恶化。3.园区内土壤环境质量满足《土壤环境质量建设用地污染风险管控标准》(GB36600-2018)标准中质量底线要求。</w:t>
                  </w:r>
                </w:p>
                <w:p>
                  <w:pPr>
                    <w:pStyle w:val="34"/>
                    <w:bidi w:val="0"/>
                    <w:jc w:val="both"/>
                    <w:rPr>
                      <w:rFonts w:hint="default"/>
                      <w:lang w:val="en-US" w:eastAsia="zh-CN"/>
                    </w:rPr>
                  </w:pPr>
                  <w:r>
                    <w:rPr>
                      <w:rFonts w:hint="eastAsia"/>
                      <w:lang w:val="en-US" w:eastAsia="zh-CN"/>
                    </w:rPr>
                    <w:t>4.园区内企业污水预处理达到污水处理厂纳管要求后进入污水处理厂处理。</w:t>
                  </w:r>
                </w:p>
              </w:tc>
              <w:tc>
                <w:tcPr>
                  <w:tcW w:w="2434" w:type="dxa"/>
                  <w:noWrap w:val="0"/>
                  <w:vAlign w:val="center"/>
                </w:tcPr>
                <w:p>
                  <w:pPr>
                    <w:pStyle w:val="34"/>
                    <w:bidi w:val="0"/>
                    <w:jc w:val="both"/>
                    <w:rPr>
                      <w:rFonts w:hint="default"/>
                      <w:lang w:val="en-US" w:eastAsia="zh-CN"/>
                    </w:rPr>
                  </w:pPr>
                  <w:r>
                    <w:t>本项目废气排放执行大气污染物控制特别排放</w:t>
                  </w:r>
                  <w:r>
                    <w:rPr>
                      <w:rFonts w:hint="eastAsia"/>
                      <w:lang w:val="en-US" w:eastAsia="zh-CN"/>
                    </w:rPr>
                    <w:t>限值</w:t>
                  </w:r>
                  <w:r>
                    <w:t>，经环境影响分析，废气排放可以满足特别排放限值要求。本项目的建设严格按照地下水污染防控分区防控原则，对项目各功能区采取有效污染渗漏防控措施，对地下水及土壤环境影响较小，不会降低区域水环境质量。</w:t>
                  </w:r>
                  <w:r>
                    <w:rPr>
                      <w:rFonts w:hint="eastAsia"/>
                      <w:lang w:val="en-US" w:eastAsia="zh-CN"/>
                    </w:rPr>
                    <w:t>本项目</w:t>
                  </w:r>
                  <w:r>
                    <w:rPr>
                      <w:rFonts w:hint="eastAsia"/>
                    </w:rPr>
                    <w:t>生活污水经化粪池处理后排入园区污水管网，最终由铁门关市污水处理厂处理</w:t>
                  </w:r>
                  <w:r>
                    <w:rPr>
                      <w:rFonts w:hint="eastAsia"/>
                      <w:lang w:eastAsia="zh-CN"/>
                    </w:rPr>
                    <w:t>，</w:t>
                  </w:r>
                  <w:r>
                    <w:rPr>
                      <w:rFonts w:hint="eastAsia"/>
                      <w:lang w:val="en-US" w:eastAsia="zh-CN"/>
                    </w:rPr>
                    <w:t>不外排</w:t>
                  </w:r>
                  <w:r>
                    <w:rPr>
                      <w:rFonts w:hint="eastAsia"/>
                    </w:rPr>
                    <w:t>。</w:t>
                  </w:r>
                </w:p>
              </w:tc>
              <w:tc>
                <w:tcPr>
                  <w:tcW w:w="789" w:type="dxa"/>
                  <w:noWrap w:val="0"/>
                  <w:vAlign w:val="center"/>
                </w:tcPr>
                <w:p>
                  <w:pPr>
                    <w:pStyle w:val="34"/>
                    <w:bidi w:val="0"/>
                    <w:rPr>
                      <w:rFonts w:hint="eastAsia"/>
                      <w:lang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noWrap w:val="0"/>
                  <w:vAlign w:val="center"/>
                </w:tcPr>
                <w:p>
                  <w:pPr>
                    <w:pStyle w:val="34"/>
                    <w:bidi w:val="0"/>
                    <w:rPr>
                      <w:rFonts w:hint="eastAsia"/>
                      <w:lang w:val="en-US" w:eastAsia="zh-CN"/>
                    </w:rPr>
                  </w:pPr>
                </w:p>
              </w:tc>
              <w:tc>
                <w:tcPr>
                  <w:tcW w:w="735" w:type="dxa"/>
                  <w:noWrap w:val="0"/>
                  <w:vAlign w:val="center"/>
                </w:tcPr>
                <w:p>
                  <w:pPr>
                    <w:pStyle w:val="34"/>
                    <w:bidi w:val="0"/>
                    <w:rPr>
                      <w:rFonts w:hint="default"/>
                      <w:lang w:val="en-US" w:eastAsia="zh-CN"/>
                    </w:rPr>
                  </w:pPr>
                  <w:r>
                    <w:rPr>
                      <w:rFonts w:hint="default"/>
                      <w:lang w:val="en-US" w:eastAsia="zh-CN"/>
                    </w:rPr>
                    <w:t>环境风险防控</w:t>
                  </w:r>
                </w:p>
              </w:tc>
              <w:tc>
                <w:tcPr>
                  <w:tcW w:w="2619" w:type="dxa"/>
                  <w:noWrap w:val="0"/>
                  <w:vAlign w:val="center"/>
                </w:tcPr>
                <w:p>
                  <w:pPr>
                    <w:pStyle w:val="34"/>
                    <w:bidi w:val="0"/>
                    <w:jc w:val="both"/>
                    <w:rPr>
                      <w:rFonts w:hint="default"/>
                      <w:lang w:val="en-US" w:eastAsia="zh-CN"/>
                    </w:rPr>
                  </w:pPr>
                  <w:r>
                    <w:rPr>
                      <w:rFonts w:hint="default"/>
                      <w:lang w:val="en-US" w:eastAsia="zh-CN"/>
                    </w:rPr>
                    <w:t>1.根据不同企业的生产特点，在规划居民住宅时要考虑卫生防护距离，项目卫生防护距离内不得规划、建设居民区、学校、医院等环境敏感目标，对于已存在的环境敏感目标要采取合理措施加以保护。</w:t>
                  </w:r>
                </w:p>
                <w:p>
                  <w:pPr>
                    <w:pStyle w:val="34"/>
                    <w:bidi w:val="0"/>
                    <w:jc w:val="both"/>
                    <w:rPr>
                      <w:rFonts w:hint="default"/>
                      <w:lang w:val="en-US" w:eastAsia="zh-CN"/>
                    </w:rPr>
                  </w:pPr>
                  <w:r>
                    <w:rPr>
                      <w:rFonts w:hint="default"/>
                      <w:lang w:val="en-US" w:eastAsia="zh-CN"/>
                    </w:rPr>
                    <w:t>2.建立区域大气污染预警应急机制。加强重点控制区域极端不利气象条件下大气污染预警体系和区域大气环境质量预报系统建设，建立区域重污染事件应急预案，构建区域联动一体的应急响应体系。</w:t>
                  </w:r>
                </w:p>
              </w:tc>
              <w:tc>
                <w:tcPr>
                  <w:tcW w:w="2434" w:type="dxa"/>
                  <w:noWrap w:val="0"/>
                  <w:vAlign w:val="center"/>
                </w:tcPr>
                <w:p>
                  <w:pPr>
                    <w:pStyle w:val="34"/>
                    <w:bidi w:val="0"/>
                    <w:jc w:val="both"/>
                    <w:rPr>
                      <w:rFonts w:hint="default"/>
                      <w:lang w:val="en-US" w:eastAsia="zh-CN"/>
                    </w:rPr>
                  </w:pPr>
                  <w:r>
                    <w:rPr>
                      <w:rFonts w:hint="eastAsia"/>
                      <w:lang w:val="en-US" w:eastAsia="zh-CN"/>
                    </w:rPr>
                    <w:t>本工程建设地点位于库尔勒上库综合产业园区，项目周边无环境敏感保护目标。</w:t>
                  </w:r>
                  <w:r>
                    <w:t>本环评已要求建设单位建立大气污染预警应急机制</w:t>
                  </w:r>
                  <w:r>
                    <w:rPr>
                      <w:rFonts w:hint="eastAsia"/>
                      <w:lang w:val="en-US" w:eastAsia="zh-CN"/>
                    </w:rPr>
                    <w:t>。</w:t>
                  </w:r>
                </w:p>
              </w:tc>
              <w:tc>
                <w:tcPr>
                  <w:tcW w:w="789" w:type="dxa"/>
                  <w:noWrap w:val="0"/>
                  <w:vAlign w:val="center"/>
                </w:tcPr>
                <w:p>
                  <w:pPr>
                    <w:pStyle w:val="34"/>
                    <w:bidi w:val="0"/>
                    <w:rPr>
                      <w:rFonts w:hint="eastAsia"/>
                      <w:lang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8" w:type="dxa"/>
                  <w:vMerge w:val="continue"/>
                  <w:noWrap w:val="0"/>
                  <w:vAlign w:val="center"/>
                </w:tcPr>
                <w:p>
                  <w:pPr>
                    <w:pStyle w:val="34"/>
                    <w:bidi w:val="0"/>
                    <w:rPr>
                      <w:rFonts w:hint="eastAsia"/>
                      <w:lang w:val="en-US" w:eastAsia="zh-CN"/>
                    </w:rPr>
                  </w:pPr>
                </w:p>
              </w:tc>
              <w:tc>
                <w:tcPr>
                  <w:tcW w:w="735" w:type="dxa"/>
                  <w:noWrap w:val="0"/>
                  <w:vAlign w:val="center"/>
                </w:tcPr>
                <w:p>
                  <w:pPr>
                    <w:pStyle w:val="34"/>
                    <w:bidi w:val="0"/>
                    <w:rPr>
                      <w:rFonts w:hint="default"/>
                      <w:lang w:val="en-US" w:eastAsia="zh-CN"/>
                    </w:rPr>
                  </w:pPr>
                  <w:r>
                    <w:rPr>
                      <w:rFonts w:hint="default"/>
                      <w:lang w:val="en-US" w:eastAsia="zh-CN"/>
                    </w:rPr>
                    <w:t>资源利用效率</w:t>
                  </w:r>
                </w:p>
              </w:tc>
              <w:tc>
                <w:tcPr>
                  <w:tcW w:w="2619" w:type="dxa"/>
                  <w:noWrap w:val="0"/>
                  <w:vAlign w:val="center"/>
                </w:tcPr>
                <w:p>
                  <w:pPr>
                    <w:pStyle w:val="34"/>
                    <w:bidi w:val="0"/>
                    <w:jc w:val="both"/>
                    <w:rPr>
                      <w:rFonts w:hint="default"/>
                      <w:lang w:val="en-US" w:eastAsia="zh-CN"/>
                    </w:rPr>
                  </w:pPr>
                  <w:r>
                    <w:rPr>
                      <w:rFonts w:hint="eastAsia"/>
                      <w:lang w:val="en-US" w:eastAsia="zh-CN"/>
                    </w:rPr>
                    <w:t>1</w:t>
                  </w:r>
                  <w:r>
                    <w:rPr>
                      <w:rFonts w:hint="default"/>
                      <w:lang w:val="en-US" w:eastAsia="zh-CN"/>
                    </w:rPr>
                    <w:t>.提高水重复利用率，促进污水再生回用。严格控制企业用水定额，对排水系统首先实现清污分流，按质回收利用，符合用水要求的清水可直接回用于生产，其余废水则达标处理后经管网进入园区污水处理厂。</w:t>
                  </w:r>
                </w:p>
              </w:tc>
              <w:tc>
                <w:tcPr>
                  <w:tcW w:w="2434" w:type="dxa"/>
                  <w:noWrap w:val="0"/>
                  <w:vAlign w:val="center"/>
                </w:tcPr>
                <w:p>
                  <w:pPr>
                    <w:pStyle w:val="34"/>
                    <w:bidi w:val="0"/>
                    <w:jc w:val="both"/>
                    <w:rPr>
                      <w:rFonts w:hint="default"/>
                      <w:lang w:val="en-US" w:eastAsia="zh-CN"/>
                    </w:rPr>
                  </w:pPr>
                  <w:r>
                    <w:rPr>
                      <w:rFonts w:hint="eastAsia"/>
                      <w:lang w:val="en-US" w:eastAsia="zh-CN"/>
                    </w:rPr>
                    <w:t>本项目生活污水经化粪池处理后排入园区污水管网，最终由铁门关市污水处理厂处理，不外排。</w:t>
                  </w:r>
                </w:p>
              </w:tc>
              <w:tc>
                <w:tcPr>
                  <w:tcW w:w="789" w:type="dxa"/>
                  <w:noWrap w:val="0"/>
                  <w:vAlign w:val="center"/>
                </w:tcPr>
                <w:p>
                  <w:pPr>
                    <w:pStyle w:val="34"/>
                    <w:bidi w:val="0"/>
                    <w:rPr>
                      <w:rFonts w:hint="eastAsia"/>
                      <w:lang w:eastAsia="zh-CN"/>
                    </w:rPr>
                  </w:pPr>
                  <w:r>
                    <w:rPr>
                      <w:rFonts w:hint="eastAsia"/>
                      <w:lang w:val="en-US" w:eastAsia="zh-CN"/>
                    </w:rPr>
                    <w:t>符合</w:t>
                  </w:r>
                </w:p>
              </w:tc>
            </w:tr>
          </w:tbl>
          <w:p>
            <w:pPr>
              <w:pStyle w:val="3"/>
              <w:bidi w:val="0"/>
              <w:rPr>
                <w:rFonts w:hint="default"/>
                <w:lang w:val="en-US" w:eastAsia="zh-CN"/>
              </w:rPr>
            </w:pPr>
            <w:r>
              <w:rPr>
                <w:rFonts w:hint="eastAsia"/>
                <w:lang w:val="en-US" w:eastAsia="zh-CN"/>
              </w:rPr>
              <w:t>3.《巴音郭楞蒙古自治州生态环境“十四五”规划》符合性分析</w:t>
            </w:r>
          </w:p>
          <w:p>
            <w:pPr>
              <w:pStyle w:val="8"/>
              <w:bidi w:val="0"/>
              <w:rPr>
                <w:rFonts w:hint="eastAsia"/>
                <w:lang w:val="en-US" w:eastAsia="zh-CN"/>
              </w:rPr>
            </w:pPr>
            <w:r>
              <w:rPr>
                <w:rFonts w:hint="eastAsia"/>
                <w:lang w:val="en-US" w:eastAsia="zh-CN"/>
              </w:rPr>
              <w:t>本项目与《巴音郭楞蒙古自治州生态环境“十四五”规划》符合性分析详见下表。</w:t>
            </w:r>
          </w:p>
          <w:p>
            <w:pPr>
              <w:pStyle w:val="36"/>
              <w:bidi w:val="0"/>
              <w:rPr>
                <w:rFonts w:hint="default"/>
                <w:lang w:val="en-US" w:eastAsia="zh-CN"/>
              </w:rPr>
            </w:pPr>
            <w:r>
              <w:rPr>
                <w:rFonts w:hint="eastAsia"/>
                <w:lang w:val="en-US" w:eastAsia="zh-CN"/>
              </w:rPr>
              <w:t>表1-4    《巴音郭楞蒙古自治州生态环境“十四五”规划》符合性分析</w:t>
            </w:r>
          </w:p>
          <w:tbl>
            <w:tblPr>
              <w:tblStyle w:val="20"/>
              <w:tblW w:w="70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3"/>
              <w:gridCol w:w="277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3" w:type="dxa"/>
                  <w:noWrap w:val="0"/>
                  <w:vAlign w:val="center"/>
                </w:tcPr>
                <w:p>
                  <w:pPr>
                    <w:pStyle w:val="34"/>
                    <w:bidi w:val="0"/>
                    <w:rPr>
                      <w:rFonts w:hint="default"/>
                      <w:lang w:val="en-US" w:eastAsia="zh-CN"/>
                    </w:rPr>
                  </w:pPr>
                  <w:r>
                    <w:rPr>
                      <w:rFonts w:hint="default"/>
                      <w:lang w:val="en-US" w:eastAsia="zh-CN"/>
                    </w:rPr>
                    <w:t>规划</w:t>
                  </w:r>
                  <w:r>
                    <w:rPr>
                      <w:rFonts w:hint="eastAsia"/>
                      <w:lang w:val="en-US" w:eastAsia="zh-CN"/>
                    </w:rPr>
                    <w:t>要求</w:t>
                  </w:r>
                </w:p>
              </w:tc>
              <w:tc>
                <w:tcPr>
                  <w:tcW w:w="2770" w:type="dxa"/>
                  <w:noWrap w:val="0"/>
                  <w:vAlign w:val="center"/>
                </w:tcPr>
                <w:p>
                  <w:pPr>
                    <w:pStyle w:val="34"/>
                    <w:bidi w:val="0"/>
                    <w:rPr>
                      <w:rFonts w:hint="default"/>
                      <w:lang w:val="en-US" w:eastAsia="zh-CN"/>
                    </w:rPr>
                  </w:pPr>
                  <w:r>
                    <w:rPr>
                      <w:rFonts w:hint="eastAsia"/>
                      <w:lang w:val="en-US" w:eastAsia="zh-CN"/>
                    </w:rPr>
                    <w:t>本项目情况</w:t>
                  </w:r>
                </w:p>
              </w:tc>
              <w:tc>
                <w:tcPr>
                  <w:tcW w:w="715" w:type="dxa"/>
                  <w:noWrap w:val="0"/>
                  <w:vAlign w:val="center"/>
                </w:tcPr>
                <w:p>
                  <w:pPr>
                    <w:pStyle w:val="34"/>
                    <w:bidi w:val="0"/>
                    <w:rPr>
                      <w:rFonts w:hint="default"/>
                      <w:lang w:val="en-US" w:eastAsia="zh-CN"/>
                    </w:rPr>
                  </w:pPr>
                  <w:r>
                    <w:rPr>
                      <w:rFonts w:hint="eastAsia"/>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3553" w:type="dxa"/>
                  <w:noWrap w:val="0"/>
                  <w:vAlign w:val="center"/>
                </w:tcPr>
                <w:p>
                  <w:pPr>
                    <w:pStyle w:val="34"/>
                    <w:bidi w:val="0"/>
                    <w:jc w:val="both"/>
                    <w:rPr>
                      <w:rFonts w:hint="default"/>
                      <w:lang w:val="en-US" w:eastAsia="zh-CN"/>
                    </w:rPr>
                  </w:pPr>
                  <w:r>
                    <w:rPr>
                      <w:rFonts w:hint="default"/>
                      <w:lang w:val="en-US" w:eastAsia="zh-CN"/>
                    </w:rPr>
                    <w:t>强化大气污染分区控制和分类管理，加强污染源解析，实行差异化控制要求，制定有针对性的污染防治措施。库尔勒等大气复合型污染区域，重点针对不同时段PM</w:t>
                  </w:r>
                  <w:r>
                    <w:rPr>
                      <w:rFonts w:hint="default"/>
                      <w:vertAlign w:val="subscript"/>
                      <w:lang w:val="en-US" w:eastAsia="zh-CN"/>
                    </w:rPr>
                    <w:t>10</w:t>
                  </w:r>
                  <w:r>
                    <w:rPr>
                      <w:rFonts w:hint="default"/>
                      <w:lang w:val="en-US" w:eastAsia="zh-CN"/>
                    </w:rPr>
                    <w:t>、PM</w:t>
                  </w:r>
                  <w:r>
                    <w:rPr>
                      <w:rFonts w:hint="default"/>
                      <w:vertAlign w:val="subscript"/>
                      <w:lang w:val="en-US" w:eastAsia="zh-CN"/>
                    </w:rPr>
                    <w:t>2.5</w:t>
                  </w:r>
                  <w:r>
                    <w:rPr>
                      <w:rFonts w:hint="default"/>
                      <w:lang w:val="en-US" w:eastAsia="zh-CN"/>
                    </w:rPr>
                    <w:t>、O</w:t>
                  </w:r>
                  <w:r>
                    <w:rPr>
                      <w:rFonts w:hint="default"/>
                      <w:vertAlign w:val="subscript"/>
                      <w:lang w:val="en-US" w:eastAsia="zh-CN"/>
                    </w:rPr>
                    <w:t>3</w:t>
                  </w:r>
                  <w:r>
                    <w:rPr>
                      <w:rFonts w:hint="default"/>
                      <w:lang w:val="en-US" w:eastAsia="zh-CN"/>
                    </w:rPr>
                    <w:t>等突出问题，加强采暖季燃煤污染控制以及机动车、VOCs（挥发性有机物）污染防治；库尉轮地区及且若区域沙尘污染严重区，重点做好防风固沙、生态环境保护修复等工作，同时持续加强传统煤烟型、扬尘污染的控制，实现空气质量持续改善</w:t>
                  </w:r>
                  <w:r>
                    <w:rPr>
                      <w:rFonts w:hint="eastAsia"/>
                      <w:lang w:val="en-US" w:eastAsia="zh-CN"/>
                    </w:rPr>
                    <w:t>。</w:t>
                  </w:r>
                </w:p>
              </w:tc>
              <w:tc>
                <w:tcPr>
                  <w:tcW w:w="2770" w:type="dxa"/>
                  <w:noWrap w:val="0"/>
                  <w:vAlign w:val="center"/>
                </w:tcPr>
                <w:p>
                  <w:pPr>
                    <w:pStyle w:val="34"/>
                    <w:bidi w:val="0"/>
                    <w:jc w:val="both"/>
                    <w:rPr>
                      <w:rFonts w:hint="default"/>
                      <w:lang w:val="en-US" w:eastAsia="zh-CN"/>
                    </w:rPr>
                  </w:pPr>
                  <w:r>
                    <w:rPr>
                      <w:rFonts w:hint="default"/>
                      <w:lang w:val="en-US" w:eastAsia="zh-CN"/>
                    </w:rPr>
                    <w:t>本项目产生的废气经相应的环保设施处理后能够达标排放，对环境空气质量影响较小，不会降低区域环境空气质量。</w:t>
                  </w:r>
                </w:p>
              </w:tc>
              <w:tc>
                <w:tcPr>
                  <w:tcW w:w="715" w:type="dxa"/>
                  <w:noWrap w:val="0"/>
                  <w:vAlign w:val="center"/>
                </w:tcPr>
                <w:p>
                  <w:pPr>
                    <w:pStyle w:val="34"/>
                    <w:bidi w:val="0"/>
                    <w:jc w:val="both"/>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3" w:type="dxa"/>
                  <w:noWrap w:val="0"/>
                  <w:vAlign w:val="center"/>
                </w:tcPr>
                <w:p>
                  <w:pPr>
                    <w:pStyle w:val="34"/>
                    <w:bidi w:val="0"/>
                    <w:jc w:val="both"/>
                    <w:rPr>
                      <w:rFonts w:hint="default"/>
                      <w:lang w:val="en-US" w:eastAsia="zh-CN"/>
                    </w:rPr>
                  </w:pPr>
                  <w:r>
                    <w:rPr>
                      <w:rFonts w:hint="default"/>
                      <w:lang w:val="en-US" w:eastAsia="zh-CN"/>
                    </w:rPr>
                    <w:t>加强环境噪声污染防控。加强噪声污染源监管，继续强化和深入推进交通运输、建筑施工、社会生活、工业企业、机场周边噪声污染防治，推进工业企业噪声纳入排污许可管理。优化重点</w:t>
                  </w:r>
                  <w:r>
                    <w:rPr>
                      <w:rFonts w:hint="eastAsia"/>
                      <w:lang w:val="en-US" w:eastAsia="zh-CN"/>
                    </w:rPr>
                    <w:t>区域</w:t>
                  </w:r>
                  <w:r>
                    <w:rPr>
                      <w:rFonts w:hint="default"/>
                      <w:lang w:val="en-US" w:eastAsia="zh-CN"/>
                    </w:rPr>
                    <w:t>声环境质量监测点位，加强城市环境、道路交通、功能区噪声例行监测与评价，推动库尔勒市功能区声环境质量自动监测，强化声环境功能区管理，适时调整完善声环境功能区</w:t>
                  </w:r>
                  <w:r>
                    <w:rPr>
                      <w:rFonts w:hint="eastAsia"/>
                      <w:lang w:val="en-US" w:eastAsia="zh-CN"/>
                    </w:rPr>
                    <w:t>。</w:t>
                  </w:r>
                </w:p>
              </w:tc>
              <w:tc>
                <w:tcPr>
                  <w:tcW w:w="2770" w:type="dxa"/>
                  <w:noWrap w:val="0"/>
                  <w:vAlign w:val="center"/>
                </w:tcPr>
                <w:p>
                  <w:pPr>
                    <w:pStyle w:val="34"/>
                    <w:bidi w:val="0"/>
                    <w:jc w:val="both"/>
                    <w:rPr>
                      <w:rFonts w:hint="default"/>
                      <w:lang w:val="en-US" w:eastAsia="zh-CN"/>
                    </w:rPr>
                  </w:pPr>
                  <w:r>
                    <w:rPr>
                      <w:rFonts w:hint="eastAsia"/>
                      <w:lang w:val="en-US" w:eastAsia="zh-CN"/>
                    </w:rPr>
                    <w:t>本项目噪声主要是机械、运输设备噪声。采用低噪声设备、合理布置设备位置，基础减震等措施，噪声可以达标排放；项目建设完成后，建设单位将按照排污许可管理办法，在排污行为发生之前，完成排污许可申报。</w:t>
                  </w:r>
                </w:p>
              </w:tc>
              <w:tc>
                <w:tcPr>
                  <w:tcW w:w="715" w:type="dxa"/>
                  <w:noWrap w:val="0"/>
                  <w:vAlign w:val="center"/>
                </w:tcPr>
                <w:p>
                  <w:pPr>
                    <w:pStyle w:val="34"/>
                    <w:bidi w:val="0"/>
                    <w:jc w:val="both"/>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3" w:type="dxa"/>
                  <w:noWrap w:val="0"/>
                  <w:vAlign w:val="center"/>
                </w:tcPr>
                <w:p>
                  <w:pPr>
                    <w:pStyle w:val="34"/>
                    <w:bidi w:val="0"/>
                    <w:jc w:val="both"/>
                    <w:rPr>
                      <w:rFonts w:hint="default"/>
                      <w:lang w:val="en-US" w:eastAsia="zh-CN"/>
                    </w:rPr>
                  </w:pPr>
                  <w:r>
                    <w:rPr>
                      <w:rFonts w:hint="default"/>
                      <w:lang w:val="en-US" w:eastAsia="zh-CN"/>
                    </w:rPr>
                    <w:t>加强固体废物处置。加强固体废物源头减量和资源化利用，最大限度减少填埋量。持续开展固体废物非法转移和倾倒排查整治，推动开展塑料行业专项清理，持续推进废塑料加工利用行业整治，加强废塑料回收、利用、处置等环节的环境监管，降低污染风险。加强工业固体废物堆存场所环境整治。持续推进工业固体废物综合利用和环境整治，不断提高大宗工业固体废物资源化利用水平</w:t>
                  </w:r>
                  <w:r>
                    <w:rPr>
                      <w:rFonts w:hint="eastAsia"/>
                      <w:lang w:val="en-US" w:eastAsia="zh-CN"/>
                    </w:rPr>
                    <w:t>。</w:t>
                  </w:r>
                </w:p>
              </w:tc>
              <w:tc>
                <w:tcPr>
                  <w:tcW w:w="2770" w:type="dxa"/>
                  <w:noWrap w:val="0"/>
                  <w:vAlign w:val="center"/>
                </w:tcPr>
                <w:p>
                  <w:pPr>
                    <w:pStyle w:val="34"/>
                    <w:bidi w:val="0"/>
                    <w:jc w:val="both"/>
                    <w:rPr>
                      <w:rFonts w:hint="default"/>
                      <w:lang w:val="en-US" w:eastAsia="zh-CN"/>
                    </w:rPr>
                  </w:pPr>
                  <w:r>
                    <w:rPr>
                      <w:rFonts w:hint="eastAsia"/>
                      <w:lang w:val="en-US" w:eastAsia="zh-CN"/>
                    </w:rPr>
                    <w:t>生活垃圾</w:t>
                  </w:r>
                  <w:r>
                    <w:rPr>
                      <w:rFonts w:hint="eastAsia"/>
                    </w:rPr>
                    <w:t>分类收集后委托环卫部门及时清运</w:t>
                  </w:r>
                  <w:r>
                    <w:rPr>
                      <w:rFonts w:hint="eastAsia"/>
                      <w:lang w:val="en-US" w:eastAsia="zh-CN"/>
                    </w:rPr>
                    <w:t>；</w:t>
                  </w:r>
                  <w:r>
                    <w:rPr>
                      <w:rFonts w:hint="eastAsia"/>
                    </w:rPr>
                    <w:t>边角料及不合格产品收集储存</w:t>
                  </w:r>
                  <w:r>
                    <w:rPr>
                      <w:rFonts w:hint="eastAsia"/>
                      <w:lang w:val="en-US" w:eastAsia="zh-CN"/>
                    </w:rPr>
                    <w:t>后</w:t>
                  </w:r>
                  <w:r>
                    <w:rPr>
                      <w:rFonts w:hint="eastAsia"/>
                    </w:rPr>
                    <w:t>交由物资回收单位回收处理</w:t>
                  </w:r>
                  <w:r>
                    <w:rPr>
                      <w:rFonts w:hint="eastAsia"/>
                      <w:lang w:val="en-US" w:eastAsia="zh-CN"/>
                    </w:rPr>
                    <w:t>；危险废物暂存于危废暂存间，定期交由有资质的单位进行处理。</w:t>
                  </w:r>
                </w:p>
              </w:tc>
              <w:tc>
                <w:tcPr>
                  <w:tcW w:w="715" w:type="dxa"/>
                  <w:noWrap w:val="0"/>
                  <w:vAlign w:val="center"/>
                </w:tcPr>
                <w:p>
                  <w:pPr>
                    <w:pStyle w:val="34"/>
                    <w:bidi w:val="0"/>
                    <w:jc w:val="both"/>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3" w:type="dxa"/>
                  <w:noWrap w:val="0"/>
                  <w:vAlign w:val="center"/>
                </w:tcPr>
                <w:p>
                  <w:pPr>
                    <w:pStyle w:val="34"/>
                    <w:bidi w:val="0"/>
                    <w:jc w:val="both"/>
                    <w:rPr>
                      <w:rFonts w:hint="default"/>
                      <w:lang w:val="en-US" w:eastAsia="zh-CN"/>
                    </w:rPr>
                  </w:pPr>
                  <w:r>
                    <w:rPr>
                      <w:rFonts w:hint="default"/>
                      <w:lang w:val="en-US" w:eastAsia="zh-CN"/>
                    </w:rPr>
                    <w:t>严格落实突发环境事件应急预案制度，提升涉危险废物突发环境事件应急处置水平</w:t>
                  </w:r>
                  <w:r>
                    <w:rPr>
                      <w:rFonts w:hint="eastAsia"/>
                      <w:lang w:val="en-US" w:eastAsia="zh-CN"/>
                    </w:rPr>
                    <w:t>。</w:t>
                  </w:r>
                </w:p>
              </w:tc>
              <w:tc>
                <w:tcPr>
                  <w:tcW w:w="2770" w:type="dxa"/>
                  <w:noWrap w:val="0"/>
                  <w:vAlign w:val="center"/>
                </w:tcPr>
                <w:p>
                  <w:pPr>
                    <w:pStyle w:val="34"/>
                    <w:bidi w:val="0"/>
                    <w:jc w:val="both"/>
                    <w:rPr>
                      <w:rFonts w:hint="default"/>
                      <w:lang w:val="en-US" w:eastAsia="zh-CN"/>
                    </w:rPr>
                  </w:pPr>
                  <w:r>
                    <w:rPr>
                      <w:rFonts w:hint="default"/>
                      <w:lang w:val="en-US" w:eastAsia="zh-CN"/>
                    </w:rPr>
                    <w:t>本</w:t>
                  </w:r>
                  <w:r>
                    <w:rPr>
                      <w:rFonts w:hint="eastAsia"/>
                      <w:lang w:val="en-US" w:eastAsia="zh-CN"/>
                    </w:rPr>
                    <w:t>环评</w:t>
                  </w:r>
                  <w:r>
                    <w:rPr>
                      <w:rFonts w:hint="default"/>
                      <w:lang w:val="en-US" w:eastAsia="zh-CN"/>
                    </w:rPr>
                    <w:t>要求建设单位编制突发环境事件应急预案，并上报生态环境</w:t>
                  </w:r>
                  <w:r>
                    <w:rPr>
                      <w:rFonts w:hint="eastAsia"/>
                      <w:lang w:val="en-US" w:eastAsia="zh-CN"/>
                    </w:rPr>
                    <w:t>主管部门进行</w:t>
                  </w:r>
                  <w:r>
                    <w:rPr>
                      <w:rFonts w:hint="default"/>
                      <w:lang w:val="en-US" w:eastAsia="zh-CN"/>
                    </w:rPr>
                    <w:t>备案，同时配备必要的应急措施和物资，并定期组织应急演练</w:t>
                  </w:r>
                  <w:r>
                    <w:rPr>
                      <w:rFonts w:hint="eastAsia"/>
                      <w:lang w:val="en-US" w:eastAsia="zh-CN"/>
                    </w:rPr>
                    <w:t>。</w:t>
                  </w:r>
                </w:p>
              </w:tc>
              <w:tc>
                <w:tcPr>
                  <w:tcW w:w="715" w:type="dxa"/>
                  <w:noWrap w:val="0"/>
                  <w:vAlign w:val="center"/>
                </w:tcPr>
                <w:p>
                  <w:pPr>
                    <w:pStyle w:val="34"/>
                    <w:bidi w:val="0"/>
                    <w:jc w:val="both"/>
                    <w:rPr>
                      <w:rFonts w:hint="default"/>
                      <w:lang w:val="en-US" w:eastAsia="zh-CN"/>
                    </w:rPr>
                  </w:pPr>
                  <w:r>
                    <w:rPr>
                      <w:rFonts w:hint="eastAsia"/>
                      <w:lang w:val="en-US" w:eastAsia="zh-CN"/>
                    </w:rPr>
                    <w:t>符合</w:t>
                  </w:r>
                </w:p>
              </w:tc>
            </w:tr>
          </w:tbl>
          <w:p>
            <w:pPr>
              <w:pStyle w:val="3"/>
              <w:bidi w:val="0"/>
              <w:rPr>
                <w:rFonts w:hint="eastAsia"/>
                <w:lang w:val="en-US" w:eastAsia="zh-CN"/>
              </w:rPr>
            </w:pPr>
            <w:r>
              <w:rPr>
                <w:rFonts w:hint="eastAsia"/>
                <w:lang w:val="en-US" w:eastAsia="zh-CN"/>
              </w:rPr>
              <w:t>4.环境管理政策分析</w:t>
            </w:r>
          </w:p>
          <w:p>
            <w:pPr>
              <w:pStyle w:val="8"/>
              <w:bidi w:val="0"/>
              <w:rPr>
                <w:rFonts w:hint="eastAsia"/>
                <w:lang w:val="en-US" w:eastAsia="zh-CN"/>
              </w:rPr>
            </w:pPr>
            <w:r>
              <w:rPr>
                <w:rFonts w:hint="eastAsia"/>
                <w:lang w:val="en-US" w:eastAsia="zh-CN"/>
              </w:rPr>
              <w:t>本项目环境管理政策分析见下表。</w:t>
            </w:r>
          </w:p>
          <w:p>
            <w:pPr>
              <w:pStyle w:val="36"/>
              <w:bidi w:val="0"/>
              <w:rPr>
                <w:rFonts w:hint="default"/>
                <w:highlight w:val="none"/>
                <w:lang w:val="en-US" w:eastAsia="zh-CN"/>
              </w:rPr>
            </w:pPr>
            <w:r>
              <w:rPr>
                <w:rFonts w:hint="eastAsia"/>
                <w:highlight w:val="none"/>
                <w:lang w:val="en-US" w:eastAsia="zh-CN"/>
              </w:rPr>
              <w:t>表1-5    环境管理政策符合性分析</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1"/>
              <w:gridCol w:w="2388"/>
              <w:gridCol w:w="2424"/>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eastAsia"/>
                      <w:highlight w:val="none"/>
                      <w:lang w:val="en-US" w:eastAsia="zh-CN"/>
                    </w:rPr>
                  </w:pPr>
                  <w:r>
                    <w:rPr>
                      <w:rFonts w:hint="eastAsia"/>
                      <w:highlight w:val="none"/>
                      <w:lang w:val="en-US" w:eastAsia="zh-CN"/>
                    </w:rPr>
                    <w:t>文件</w:t>
                  </w:r>
                </w:p>
              </w:tc>
              <w:tc>
                <w:tcPr>
                  <w:tcW w:w="168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highlight w:val="none"/>
                    </w:rPr>
                  </w:pPr>
                  <w:r>
                    <w:rPr>
                      <w:rFonts w:hint="default"/>
                      <w:highlight w:val="none"/>
                    </w:rPr>
                    <w:t>环境管理政策要求</w:t>
                  </w:r>
                </w:p>
              </w:tc>
              <w:tc>
                <w:tcPr>
                  <w:tcW w:w="1705"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eastAsia"/>
                      <w:highlight w:val="none"/>
                      <w:lang w:val="en-US" w:eastAsia="zh-CN"/>
                    </w:rPr>
                    <w:t>本项目情况</w:t>
                  </w:r>
                </w:p>
              </w:tc>
              <w:tc>
                <w:tcPr>
                  <w:tcW w:w="473"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highlight w:val="none"/>
                      <w:lang w:val="en-US" w:eastAsia="zh-CN"/>
                    </w:rPr>
                  </w:pPr>
                  <w:r>
                    <w:rPr>
                      <w:rFonts w:hint="eastAsia"/>
                      <w:highlight w:val="none"/>
                      <w:lang w:val="en-US" w:eastAsia="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w:t>
                  </w:r>
                  <w:r>
                    <w:rPr>
                      <w:rFonts w:hint="eastAsia"/>
                      <w:lang w:eastAsia="zh-CN"/>
                    </w:rPr>
                    <w:t>中华人民共和国</w:t>
                  </w:r>
                  <w:r>
                    <w:rPr>
                      <w:rFonts w:hint="eastAsia"/>
                    </w:rPr>
                    <w:t>大气污染防治法》</w:t>
                  </w:r>
                  <w:r>
                    <w:rPr>
                      <w:rFonts w:hint="eastAsia"/>
                      <w:lang w:eastAsia="zh-CN"/>
                    </w:rPr>
                    <w:t>（</w:t>
                  </w:r>
                  <w:r>
                    <w:rPr>
                      <w:rFonts w:hint="eastAsia"/>
                      <w:lang w:val="en-US" w:eastAsia="zh-CN"/>
                    </w:rPr>
                    <w:t>2018-11-13</w:t>
                  </w:r>
                  <w:r>
                    <w:rPr>
                      <w:rFonts w:hint="eastAsia"/>
                      <w:lang w:eastAsia="zh-CN"/>
                    </w:rPr>
                    <w:t>）</w:t>
                  </w:r>
                </w:p>
              </w:tc>
              <w:tc>
                <w:tcPr>
                  <w:tcW w:w="1680"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eastAsia"/>
                      <w:lang w:eastAsia="zh-CN"/>
                    </w:rPr>
                  </w:pPr>
                  <w:r>
                    <w:rPr>
                      <w:rFonts w:hint="eastAsia"/>
                    </w:rPr>
                    <w:t>第七条：企业事业单位和其他生产经营者，应当采取有效措施，防止、减少大气污染，对所造成的损害依法承担责任</w:t>
                  </w:r>
                  <w:r>
                    <w:rPr>
                      <w:rFonts w:hint="eastAsia"/>
                      <w:lang w:eastAsia="zh-CN"/>
                    </w:rPr>
                    <w:t>。</w:t>
                  </w:r>
                </w:p>
              </w:tc>
              <w:tc>
                <w:tcPr>
                  <w:tcW w:w="1705"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eastAsia"/>
                      <w:lang w:eastAsia="zh-CN"/>
                    </w:rPr>
                  </w:pPr>
                  <w:r>
                    <w:rPr>
                      <w:rFonts w:hint="default"/>
                    </w:rPr>
                    <w:t>本项目生产过程中产生的颗粒物经袋式除尘器处理后经15m高排气筒进行达标排放</w:t>
                  </w:r>
                  <w:r>
                    <w:rPr>
                      <w:rFonts w:hint="eastAsia"/>
                      <w:lang w:eastAsia="zh-CN"/>
                    </w:rPr>
                    <w:t>。</w:t>
                  </w:r>
                </w:p>
              </w:tc>
              <w:tc>
                <w:tcPr>
                  <w:tcW w:w="473"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《中华人民共和国噪声污染防治法》</w:t>
                  </w:r>
                  <w:r>
                    <w:rPr>
                      <w:rFonts w:hint="eastAsia"/>
                      <w:lang w:eastAsia="zh-CN"/>
                    </w:rPr>
                    <w:t>（</w:t>
                  </w:r>
                  <w:r>
                    <w:rPr>
                      <w:rFonts w:hint="eastAsia"/>
                      <w:lang w:val="en-US" w:eastAsia="zh-CN"/>
                    </w:rPr>
                    <w:t>2021-12-25</w:t>
                  </w:r>
                  <w:r>
                    <w:rPr>
                      <w:rFonts w:hint="eastAsia"/>
                      <w:lang w:eastAsia="zh-CN"/>
                    </w:rPr>
                    <w:t>）</w:t>
                  </w:r>
                </w:p>
              </w:tc>
              <w:tc>
                <w:tcPr>
                  <w:tcW w:w="1680"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default"/>
                    </w:rPr>
                    <w:t>第三十六条</w:t>
                  </w:r>
                  <w:r>
                    <w:rPr>
                      <w:rFonts w:hint="eastAsia"/>
                      <w:lang w:eastAsia="zh-CN"/>
                    </w:rPr>
                    <w:t>：</w:t>
                  </w:r>
                  <w:r>
                    <w:rPr>
                      <w:rFonts w:hint="default"/>
                    </w:rPr>
                    <w:t>排放工业噪声的企业事业单位和其他生产经营者，应当采取有效措施，减少振动、降低噪声，依法取得排污许可证或者填报排污登记表。</w:t>
                  </w:r>
                </w:p>
              </w:tc>
              <w:tc>
                <w:tcPr>
                  <w:tcW w:w="1705"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default"/>
                    </w:rPr>
                    <w:t>对各类主要噪声源采用低噪声源设备、并采取减振、隔声等措施</w:t>
                  </w:r>
                  <w:r>
                    <w:rPr>
                      <w:rFonts w:hint="eastAsia"/>
                      <w:lang w:eastAsia="zh-CN"/>
                    </w:rPr>
                    <w:t>，</w:t>
                  </w:r>
                  <w:r>
                    <w:rPr>
                      <w:rFonts w:hint="eastAsia"/>
                      <w:lang w:val="en-US" w:eastAsia="zh-CN"/>
                    </w:rPr>
                    <w:t>可正常使用，符合相关标准。企业在生产前完成排污许可证的申请。</w:t>
                  </w:r>
                </w:p>
              </w:tc>
              <w:tc>
                <w:tcPr>
                  <w:tcW w:w="473"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《中华人民共和国固体废物污染环境防治法》</w:t>
                  </w:r>
                  <w:r>
                    <w:rPr>
                      <w:rFonts w:hint="eastAsia"/>
                      <w:lang w:eastAsia="zh-CN"/>
                    </w:rPr>
                    <w:t>（</w:t>
                  </w:r>
                  <w:r>
                    <w:rPr>
                      <w:rFonts w:hint="eastAsia"/>
                      <w:lang w:val="en-US" w:eastAsia="zh-CN"/>
                    </w:rPr>
                    <w:t>2020-04-30</w:t>
                  </w:r>
                  <w:r>
                    <w:rPr>
                      <w:rFonts w:hint="eastAsia"/>
                      <w:lang w:eastAsia="zh-CN"/>
                    </w:rPr>
                    <w:t>）</w:t>
                  </w:r>
                </w:p>
              </w:tc>
              <w:tc>
                <w:tcPr>
                  <w:tcW w:w="1680"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eastAsia"/>
                    </w:rPr>
                    <w:t>第十九条：收集、贮存、运输、利用、处置固体废物的单位和其他生产经营者，应当加强对相关设施、设备和场所的管理和维护，保证其正常运行和使用。</w:t>
                  </w:r>
                </w:p>
              </w:tc>
              <w:tc>
                <w:tcPr>
                  <w:tcW w:w="1705"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本</w:t>
                  </w:r>
                  <w:r>
                    <w:rPr>
                      <w:rFonts w:hint="eastAsia"/>
                      <w:highlight w:val="none"/>
                      <w:lang w:val="en-US" w:eastAsia="zh-CN"/>
                    </w:rPr>
                    <w:t>项目</w:t>
                  </w:r>
                  <w:r>
                    <w:rPr>
                      <w:rFonts w:hint="eastAsia"/>
                      <w:highlight w:val="none"/>
                    </w:rPr>
                    <w:t>除尘器收集的粉尘</w:t>
                  </w:r>
                  <w:r>
                    <w:rPr>
                      <w:rFonts w:hint="eastAsia"/>
                      <w:highlight w:val="none"/>
                      <w:lang w:val="en-US" w:eastAsia="zh-CN"/>
                    </w:rPr>
                    <w:t>回用于生产，边角料及不合格产品拉运至一般固废处置场所</w:t>
                  </w:r>
                  <w:r>
                    <w:rPr>
                      <w:rFonts w:hint="eastAsia"/>
                      <w:highlight w:val="none"/>
                      <w:lang w:eastAsia="zh-CN"/>
                    </w:rPr>
                    <w:t>；</w:t>
                  </w:r>
                  <w:r>
                    <w:rPr>
                      <w:rFonts w:hint="eastAsia"/>
                      <w:highlight w:val="none"/>
                      <w:lang w:val="en-US" w:eastAsia="zh-CN"/>
                    </w:rPr>
                    <w:t>危</w:t>
                  </w:r>
                  <w:r>
                    <w:rPr>
                      <w:rFonts w:hint="eastAsia"/>
                      <w:lang w:val="en-US" w:eastAsia="zh-CN"/>
                    </w:rPr>
                    <w:t>险废物暂存于危险废物暂存间后定期委托有资质的单位进行处理；生活垃圾</w:t>
                  </w:r>
                  <w:r>
                    <w:rPr>
                      <w:rFonts w:hint="eastAsia"/>
                    </w:rPr>
                    <w:t>分类收集后委托环卫部门及时清运</w:t>
                  </w:r>
                  <w:r>
                    <w:rPr>
                      <w:rFonts w:hint="eastAsia"/>
                      <w:lang w:eastAsia="zh-CN"/>
                    </w:rPr>
                    <w:t>。</w:t>
                  </w:r>
                </w:p>
              </w:tc>
              <w:tc>
                <w:tcPr>
                  <w:tcW w:w="473"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《中华人民共和国水污染防治法》</w:t>
                  </w:r>
                  <w:r>
                    <w:rPr>
                      <w:rFonts w:hint="eastAsia"/>
                      <w:lang w:eastAsia="zh-CN"/>
                    </w:rPr>
                    <w:t>（</w:t>
                  </w:r>
                  <w:r>
                    <w:rPr>
                      <w:rFonts w:hint="eastAsia"/>
                      <w:lang w:val="en-US" w:eastAsia="zh-CN"/>
                    </w:rPr>
                    <w:t>2018-01-01</w:t>
                  </w:r>
                  <w:r>
                    <w:rPr>
                      <w:rFonts w:hint="eastAsia"/>
                      <w:lang w:eastAsia="zh-CN"/>
                    </w:rPr>
                    <w:t>）</w:t>
                  </w:r>
                </w:p>
              </w:tc>
              <w:tc>
                <w:tcPr>
                  <w:tcW w:w="1680"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eastAsia"/>
                    </w:rPr>
                    <w:t>第五十条</w:t>
                  </w:r>
                  <w:r>
                    <w:rPr>
                      <w:rFonts w:hint="eastAsia"/>
                      <w:lang w:eastAsia="zh-CN"/>
                    </w:rPr>
                    <w:t>：</w:t>
                  </w:r>
                  <w:r>
                    <w:rPr>
                      <w:rFonts w:hint="eastAsia"/>
                    </w:rPr>
                    <w:t>向城镇污水集中处理设施排放水污染物，应当符合国家或者地方规定的水污染物排放标准。</w:t>
                  </w:r>
                </w:p>
              </w:tc>
              <w:tc>
                <w:tcPr>
                  <w:tcW w:w="1705"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lang w:val="en-US" w:eastAsia="zh-CN"/>
                    </w:rPr>
                    <w:t>本项目生产废水循环使用或者回用于生产，不外排；生活污水经化粪池预处理后通过园区污水管网排入铁门关市污水处理厂。</w:t>
                  </w:r>
                </w:p>
              </w:tc>
              <w:tc>
                <w:tcPr>
                  <w:tcW w:w="473"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《新疆维吾尔自治区2025年</w:t>
                  </w:r>
                </w:p>
                <w:p>
                  <w:pPr>
                    <w:pStyle w:val="34"/>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rPr>
                    <w:t>空气质量持续改善行动实施方案》</w:t>
                  </w:r>
                </w:p>
              </w:tc>
              <w:tc>
                <w:tcPr>
                  <w:tcW w:w="1680"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eastAsia"/>
                      <w:lang w:eastAsia="zh-CN"/>
                    </w:rPr>
                  </w:pPr>
                  <w:r>
                    <w:rPr>
                      <w:rFonts w:hint="eastAsia"/>
                      <w:lang w:eastAsia="zh-CN"/>
                    </w:rPr>
                    <w:t>（一）坚决遏制高耗能、高排放、低水平项目盲目上马。（</w:t>
                  </w:r>
                  <w:r>
                    <w:rPr>
                      <w:rFonts w:hint="eastAsia"/>
                      <w:lang w:val="en-US" w:eastAsia="zh-CN"/>
                    </w:rPr>
                    <w:t>二</w:t>
                  </w:r>
                  <w:r>
                    <w:rPr>
                      <w:rFonts w:hint="eastAsia"/>
                      <w:lang w:eastAsia="zh-CN"/>
                    </w:rPr>
                    <w:t>）持续开展重点行业污染深度治理。高质量推进钢铁、水泥、焦化等行业超低排放改造，到2025年底，全区钢铁行业80%的产能完成超低排放改造，联防联控区水泥、焦化行业基本完成超低排放改造。</w:t>
                  </w:r>
                </w:p>
              </w:tc>
              <w:tc>
                <w:tcPr>
                  <w:tcW w:w="1705"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lang w:val="en-US"/>
                    </w:rPr>
                  </w:pPr>
                  <w:r>
                    <w:rPr>
                      <w:rFonts w:hint="eastAsia"/>
                      <w:lang w:val="en-US" w:eastAsia="zh-CN"/>
                    </w:rPr>
                    <w:t>本项目为水泥制品制造，不属于高耗能、高排放、低水平项目。</w:t>
                  </w:r>
                </w:p>
              </w:tc>
              <w:tc>
                <w:tcPr>
                  <w:tcW w:w="473"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eastAsia"/>
                      <w:lang w:eastAsia="zh-CN"/>
                    </w:rPr>
                  </w:pPr>
                  <w:r>
                    <w:rPr>
                      <w:rFonts w:hint="eastAsia"/>
                    </w:rPr>
                    <w:t>《巴音郭楞蒙古自治州大气污染防治</w:t>
                  </w:r>
                  <w:r>
                    <w:rPr>
                      <w:rFonts w:hint="eastAsia"/>
                      <w:lang w:val="en-US" w:eastAsia="zh-CN"/>
                    </w:rPr>
                    <w:t>办</w:t>
                  </w:r>
                  <w:r>
                    <w:rPr>
                      <w:rFonts w:hint="eastAsia"/>
                    </w:rPr>
                    <w:t>法》</w:t>
                  </w:r>
                  <w:r>
                    <w:rPr>
                      <w:rFonts w:hint="eastAsia"/>
                      <w:lang w:eastAsia="zh-CN"/>
                    </w:rPr>
                    <w:t>（</w:t>
                  </w:r>
                  <w:r>
                    <w:rPr>
                      <w:rFonts w:hint="eastAsia"/>
                      <w:lang w:val="en-US" w:eastAsia="zh-CN"/>
                    </w:rPr>
                    <w:t>2019年10月1日起施行</w:t>
                  </w:r>
                  <w:r>
                    <w:rPr>
                      <w:rFonts w:hint="eastAsia"/>
                      <w:lang w:eastAsia="zh-CN"/>
                    </w:rPr>
                    <w:t>）</w:t>
                  </w:r>
                </w:p>
              </w:tc>
              <w:tc>
                <w:tcPr>
                  <w:tcW w:w="1680"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eastAsia"/>
                    </w:rPr>
                    <w:t>第十八条</w:t>
                  </w:r>
                  <w:r>
                    <w:rPr>
                      <w:rFonts w:hint="eastAsia"/>
                      <w:lang w:eastAsia="zh-CN"/>
                    </w:rPr>
                    <w:t>：</w:t>
                  </w:r>
                  <w:r>
                    <w:rPr>
                      <w:rFonts w:hint="eastAsia"/>
                    </w:rPr>
                    <w:t>堆放易产生扬尘污染物料的堆场以及预拌混凝土和预拌砂浆等生产企业应当符合下列要求：</w:t>
                  </w:r>
                </w:p>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eastAsia"/>
                      <w:lang w:eastAsia="zh-CN"/>
                    </w:rPr>
                    <w:t>（</w:t>
                  </w:r>
                  <w:r>
                    <w:rPr>
                      <w:rFonts w:hint="default"/>
                    </w:rPr>
                    <w:t>一</w:t>
                  </w:r>
                  <w:r>
                    <w:rPr>
                      <w:rFonts w:hint="eastAsia"/>
                      <w:lang w:eastAsia="zh-CN"/>
                    </w:rPr>
                    <w:t>）</w:t>
                  </w:r>
                  <w:r>
                    <w:rPr>
                      <w:rFonts w:hint="default"/>
                    </w:rPr>
                    <w:t>采用围挡或者其他封闭仓储设施</w:t>
                  </w:r>
                  <w:r>
                    <w:rPr>
                      <w:rFonts w:hint="eastAsia"/>
                    </w:rPr>
                    <w:t>，</w:t>
                  </w:r>
                  <w:r>
                    <w:rPr>
                      <w:rFonts w:hint="default"/>
                    </w:rPr>
                    <w:t>配备喷淋或者其他抑尘设备</w:t>
                  </w:r>
                  <w:r>
                    <w:rPr>
                      <w:rFonts w:hint="eastAsia"/>
                    </w:rPr>
                    <w:t>；</w:t>
                  </w:r>
                  <w:r>
                    <w:rPr>
                      <w:rFonts w:hint="eastAsia"/>
                      <w:lang w:eastAsia="zh-CN"/>
                    </w:rPr>
                    <w:t>（</w:t>
                  </w:r>
                  <w:r>
                    <w:rPr>
                      <w:rFonts w:hint="default"/>
                    </w:rPr>
                    <w:t>二</w:t>
                  </w:r>
                  <w:r>
                    <w:rPr>
                      <w:rFonts w:hint="eastAsia"/>
                      <w:lang w:eastAsia="zh-CN"/>
                    </w:rPr>
                    <w:t>）</w:t>
                  </w:r>
                  <w:r>
                    <w:rPr>
                      <w:rFonts w:hint="default"/>
                    </w:rPr>
                    <w:t>生产用原料需要频繁装卸作业的</w:t>
                  </w:r>
                  <w:r>
                    <w:rPr>
                      <w:rFonts w:hint="eastAsia"/>
                    </w:rPr>
                    <w:t>，</w:t>
                  </w:r>
                  <w:r>
                    <w:rPr>
                      <w:rFonts w:hint="default"/>
                    </w:rPr>
                    <w:t>在密闭车间进行</w:t>
                  </w:r>
                  <w:r>
                    <w:rPr>
                      <w:rFonts w:hint="eastAsia"/>
                    </w:rPr>
                    <w:t>，</w:t>
                  </w:r>
                  <w:r>
                    <w:rPr>
                      <w:rFonts w:hint="default"/>
                    </w:rPr>
                    <w:t>堆场露天装卸作业的</w:t>
                  </w:r>
                  <w:r>
                    <w:rPr>
                      <w:rFonts w:hint="eastAsia"/>
                    </w:rPr>
                    <w:t>，</w:t>
                  </w:r>
                  <w:r>
                    <w:rPr>
                      <w:rFonts w:hint="default"/>
                    </w:rPr>
                    <w:t>采取洒水等抑尘措施</w:t>
                  </w:r>
                  <w:r>
                    <w:rPr>
                      <w:rFonts w:hint="eastAsia"/>
                    </w:rPr>
                    <w:t>；</w:t>
                  </w:r>
                  <w:r>
                    <w:rPr>
                      <w:rFonts w:hint="eastAsia"/>
                      <w:lang w:eastAsia="zh-CN"/>
                    </w:rPr>
                    <w:t>（</w:t>
                  </w:r>
                  <w:r>
                    <w:rPr>
                      <w:rFonts w:hint="default"/>
                    </w:rPr>
                    <w:t>三</w:t>
                  </w:r>
                  <w:r>
                    <w:rPr>
                      <w:rFonts w:hint="eastAsia"/>
                      <w:lang w:eastAsia="zh-CN"/>
                    </w:rPr>
                    <w:t>）</w:t>
                  </w:r>
                  <w:r>
                    <w:rPr>
                      <w:rFonts w:hint="default"/>
                    </w:rPr>
                    <w:t>采用密闭输送设备作业的</w:t>
                  </w:r>
                  <w:r>
                    <w:rPr>
                      <w:rFonts w:hint="eastAsia"/>
                    </w:rPr>
                    <w:t>，</w:t>
                  </w:r>
                  <w:r>
                    <w:rPr>
                      <w:rFonts w:hint="default"/>
                    </w:rPr>
                    <w:t>在装料､卸料处配备吸尘</w:t>
                  </w:r>
                  <w:r>
                    <w:rPr>
                      <w:rFonts w:hint="eastAsia"/>
                    </w:rPr>
                    <w:t>、</w:t>
                  </w:r>
                  <w:r>
                    <w:rPr>
                      <w:rFonts w:hint="default"/>
                    </w:rPr>
                    <w:t>喷淋等防尘设施</w:t>
                  </w:r>
                  <w:r>
                    <w:rPr>
                      <w:rFonts w:hint="eastAsia"/>
                    </w:rPr>
                    <w:t>，</w:t>
                  </w:r>
                  <w:r>
                    <w:rPr>
                      <w:rFonts w:hint="default"/>
                    </w:rPr>
                    <w:t>并保持防尘设施的正常使用。</w:t>
                  </w:r>
                </w:p>
              </w:tc>
              <w:tc>
                <w:tcPr>
                  <w:tcW w:w="1705"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rPr>
                    <w:t>本项目</w:t>
                  </w:r>
                  <w:r>
                    <w:rPr>
                      <w:rFonts w:hint="default"/>
                    </w:rPr>
                    <w:t>原料堆放在封闭式物料仓库</w:t>
                  </w:r>
                  <w:r>
                    <w:rPr>
                      <w:rFonts w:hint="eastAsia"/>
                    </w:rPr>
                    <w:t>内，输送带为密闭式</w:t>
                  </w:r>
                  <w:r>
                    <w:rPr>
                      <w:rFonts w:hint="eastAsia"/>
                      <w:lang w:eastAsia="zh-CN"/>
                    </w:rPr>
                    <w:t>，本项目生产过程中产生的颗粒物经袋式除尘器处理后经15m高排气筒进行达标排放。</w:t>
                  </w:r>
                  <w:r>
                    <w:rPr>
                      <w:rFonts w:hint="eastAsia"/>
                      <w:lang w:val="en-US" w:eastAsia="zh-CN"/>
                    </w:rPr>
                    <w:t>本项目产生的无组织颗粒物通过加强厂房密闭和洒水抑尘的措施降低无组织颗粒物的排放。</w:t>
                  </w:r>
                </w:p>
              </w:tc>
              <w:tc>
                <w:tcPr>
                  <w:tcW w:w="473"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eastAsia"/>
                    </w:rPr>
                  </w:pPr>
                  <w:r>
                    <w:rPr>
                      <w:rFonts w:hint="default"/>
                      <w:lang w:val="en-US" w:eastAsia="zh-CN"/>
                    </w:rPr>
                    <w:t>《自治州大气污染防治三年攻坚行动方案</w:t>
                  </w:r>
                  <w:r>
                    <w:rPr>
                      <w:rFonts w:hint="eastAsia"/>
                      <w:lang w:val="en-US" w:eastAsia="zh-CN"/>
                    </w:rPr>
                    <w:t>》（2023-2025年）</w:t>
                  </w:r>
                </w:p>
              </w:tc>
              <w:tc>
                <w:tcPr>
                  <w:tcW w:w="1680"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lang w:val="en-US" w:eastAsia="zh-CN"/>
                    </w:rPr>
                  </w:pPr>
                  <w:r>
                    <w:rPr>
                      <w:rFonts w:hint="eastAsia"/>
                      <w:lang w:val="en-US" w:eastAsia="zh-CN"/>
                    </w:rPr>
                    <w:t>严格项目准入关。坚决遏制高耗能、高排放、低水平项目盲目发展，严把高耗能高排放项目准入关口，依法依规淘汰落后产能和化解过剩产能。严禁新增水泥熟料、平板玻璃等产能。</w:t>
                  </w:r>
                </w:p>
              </w:tc>
              <w:tc>
                <w:tcPr>
                  <w:tcW w:w="1705"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default"/>
                      <w:lang w:val="en-US" w:eastAsia="zh-CN"/>
                    </w:rPr>
                    <w:t>本工程不属于《产业结构调整指导目录（2024年本）》中鼓励类、限制类与淘汰类，为允许类</w:t>
                  </w:r>
                  <w:r>
                    <w:rPr>
                      <w:rFonts w:hint="eastAsia"/>
                      <w:lang w:val="en-US" w:eastAsia="zh-CN"/>
                    </w:rPr>
                    <w:t>；不属于高耗水、高污染、高耗能项目。</w:t>
                  </w:r>
                </w:p>
              </w:tc>
              <w:tc>
                <w:tcPr>
                  <w:tcW w:w="473"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0"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rPr>
                  </w:pPr>
                  <w:r>
                    <w:rPr>
                      <w:rFonts w:hint="eastAsia"/>
                      <w:lang w:val="en-US" w:eastAsia="zh-CN"/>
                    </w:rPr>
                    <w:t>《国务院关于印发空气质量持续改善行动计划的通知》（国发</w:t>
                  </w:r>
                  <w:r>
                    <w:rPr>
                      <w:rFonts w:hint="default"/>
                      <w:lang w:val="en-US" w:eastAsia="zh-CN"/>
                    </w:rPr>
                    <w:t>〔2023〕24</w:t>
                  </w:r>
                  <w:r>
                    <w:rPr>
                      <w:rFonts w:hint="eastAsia"/>
                      <w:lang w:val="en-US" w:eastAsia="zh-CN"/>
                    </w:rPr>
                    <w:t>号）</w:t>
                  </w:r>
                </w:p>
              </w:tc>
              <w:tc>
                <w:tcPr>
                  <w:tcW w:w="1680"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default"/>
                    </w:rPr>
                    <w:t>（四）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涉及产能置换的项目，被置换产能及其配套设施关停后，新建项目方可投产。</w:t>
                  </w:r>
                </w:p>
              </w:tc>
              <w:tc>
                <w:tcPr>
                  <w:tcW w:w="1705" w:type="pct"/>
                  <w:noWrap w:val="0"/>
                  <w:vAlign w:val="center"/>
                </w:tcPr>
                <w:p>
                  <w:pPr>
                    <w:pStyle w:val="34"/>
                    <w:keepNext w:val="0"/>
                    <w:keepLines w:val="0"/>
                    <w:pageBreakBefore w:val="0"/>
                    <w:widowControl w:val="0"/>
                    <w:kinsoku/>
                    <w:wordWrap/>
                    <w:overflowPunct/>
                    <w:topLinePunct w:val="0"/>
                    <w:autoSpaceDE/>
                    <w:autoSpaceDN/>
                    <w:bidi w:val="0"/>
                    <w:adjustRightInd/>
                    <w:snapToGrid/>
                    <w:jc w:val="both"/>
                    <w:textAlignment w:val="auto"/>
                    <w:rPr>
                      <w:rFonts w:hint="default"/>
                    </w:rPr>
                  </w:pPr>
                  <w:r>
                    <w:rPr>
                      <w:rFonts w:hint="default"/>
                    </w:rPr>
                    <w:t>本项目</w:t>
                  </w:r>
                  <w:r>
                    <w:rPr>
                      <w:rFonts w:hint="eastAsia"/>
                      <w:lang w:val="en-US" w:eastAsia="zh-CN"/>
                    </w:rPr>
                    <w:t>为水泥制品制造，不属于高耗能、高排放、低水平项目</w:t>
                  </w:r>
                  <w:r>
                    <w:rPr>
                      <w:rFonts w:hint="default"/>
                    </w:rPr>
                    <w:t>。</w:t>
                  </w:r>
                </w:p>
              </w:tc>
              <w:tc>
                <w:tcPr>
                  <w:tcW w:w="473" w:type="pct"/>
                  <w:noWrap w:val="0"/>
                  <w:vAlign w:val="center"/>
                </w:tcPr>
                <w:p>
                  <w:pPr>
                    <w:pStyle w:val="34"/>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符合</w:t>
                  </w:r>
                </w:p>
              </w:tc>
            </w:tr>
          </w:tbl>
          <w:p>
            <w:pPr>
              <w:pStyle w:val="8"/>
              <w:bidi w:val="0"/>
              <w:ind w:left="0" w:leftChars="0" w:firstLine="0" w:firstLineChars="0"/>
              <w:rPr>
                <w:rFonts w:hint="default"/>
              </w:rPr>
            </w:pPr>
          </w:p>
        </w:tc>
      </w:tr>
    </w:tbl>
    <w:p>
      <w:pPr>
        <w:spacing w:line="360" w:lineRule="auto"/>
        <w:outlineLvl w:val="0"/>
        <w:rPr>
          <w:rFonts w:eastAsia="黑体"/>
          <w:sz w:val="30"/>
        </w:rPr>
        <w:sectPr>
          <w:headerReference r:id="rId3" w:type="default"/>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24" w:hRule="atLeast"/>
          <w:jc w:val="center"/>
        </w:trPr>
        <w:tc>
          <w:tcPr>
            <w:tcW w:w="823" w:type="dxa"/>
            <w:noWrap w:val="0"/>
            <w:vAlign w:val="center"/>
          </w:tcPr>
          <w:p>
            <w:pPr>
              <w:pStyle w:val="16"/>
              <w:keepLines w:val="0"/>
              <w:pageBreakBefore w:val="0"/>
              <w:kinsoku/>
              <w:wordWrap/>
              <w:topLinePunct w:val="0"/>
              <w:autoSpaceDE/>
              <w:autoSpaceDN/>
              <w:bidi w:val="0"/>
              <w:adjustRightInd w:val="0"/>
              <w:snapToGrid w:val="0"/>
              <w:spacing w:before="0" w:beforeAutospacing="0" w:after="0" w:afterAutospacing="0"/>
              <w:jc w:val="center"/>
              <w:textAlignment w:val="auto"/>
              <w:rPr>
                <w:rFonts w:cs="宋体"/>
                <w:sz w:val="21"/>
                <w:szCs w:val="21"/>
              </w:rPr>
            </w:pPr>
            <w:r>
              <w:rPr>
                <w:rFonts w:hint="eastAsia" w:cs="宋体"/>
                <w:sz w:val="21"/>
                <w:szCs w:val="21"/>
              </w:rPr>
              <w:t>建设内容</w:t>
            </w:r>
          </w:p>
        </w:tc>
        <w:tc>
          <w:tcPr>
            <w:tcW w:w="8161" w:type="dxa"/>
            <w:noWrap w:val="0"/>
            <w:vAlign w:val="top"/>
          </w:tcPr>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1.项目背景</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随着我国建筑行业的蓬勃发展与节能减排要求的不断提高，传统外墙保温技术逐渐暴露出空鼓、开裂、易脱落及火灾隐患等弊端，且难以与建筑同寿命，严重制约建筑节能推进。在此背景下，复合保温外模板应运而生。它集模板与保温功能于一体，可有效解决传统保温体系的质量与安全问题，满足建筑节能标准。库尔勒新奥丰保温材料厂</w:t>
            </w:r>
            <w:r>
              <w:rPr>
                <w:rFonts w:hint="default"/>
                <w:lang w:val="en-US" w:eastAsia="zh-CN"/>
              </w:rPr>
              <w:t>成立于20</w:t>
            </w:r>
            <w:r>
              <w:rPr>
                <w:rFonts w:hint="eastAsia"/>
                <w:lang w:val="en-US" w:eastAsia="zh-CN"/>
              </w:rPr>
              <w:t>19年11月27日，法定代表人为闫伟东，统一社会信用代码为92652801MA7AB1FH6U。</w:t>
            </w:r>
            <w:r>
              <w:rPr>
                <w:rFonts w:hint="eastAsia"/>
                <w:highlight w:val="none"/>
                <w:lang w:val="en-US" w:eastAsia="zh-CN"/>
              </w:rPr>
              <w:t>库尔勒新奥丰保温材料厂于2025年4月租赁库尔勒鲲鹏管道防腐工程有限公司院内一栋1500m</w:t>
            </w:r>
            <w:r>
              <w:rPr>
                <w:rFonts w:hint="eastAsia"/>
                <w:highlight w:val="none"/>
                <w:vertAlign w:val="superscript"/>
                <w:lang w:val="en-US" w:eastAsia="zh-CN"/>
              </w:rPr>
              <w:t>2</w:t>
            </w:r>
            <w:r>
              <w:rPr>
                <w:rFonts w:hint="eastAsia"/>
                <w:highlight w:val="none"/>
                <w:vertAlign w:val="baseline"/>
                <w:lang w:val="en-US" w:eastAsia="zh-CN"/>
              </w:rPr>
              <w:t>闲置</w:t>
            </w:r>
            <w:r>
              <w:rPr>
                <w:rFonts w:hint="eastAsia"/>
                <w:highlight w:val="none"/>
                <w:lang w:val="en-US" w:eastAsia="zh-CN"/>
              </w:rPr>
              <w:t>厂房，</w:t>
            </w:r>
            <w:r>
              <w:rPr>
                <w:rFonts w:hint="eastAsia"/>
                <w:lang w:val="en-US" w:eastAsia="zh-CN"/>
              </w:rPr>
              <w:t>建设一条年加工60万平方米复合保温外模板生产线。</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2.编制依据</w:t>
            </w:r>
          </w:p>
          <w:p>
            <w:pPr>
              <w:pStyle w:val="8"/>
              <w:keepLines w:val="0"/>
              <w:pageBreakBefore w:val="0"/>
              <w:kinsoku/>
              <w:wordWrap/>
              <w:topLinePunct w:val="0"/>
              <w:autoSpaceDE/>
              <w:autoSpaceDN/>
              <w:bidi w:val="0"/>
              <w:spacing w:beforeAutospacing="0" w:afterAutospacing="0"/>
              <w:textAlignment w:val="auto"/>
              <w:rPr>
                <w:rFonts w:hint="default"/>
              </w:rPr>
            </w:pPr>
            <w:r>
              <w:rPr>
                <w:rFonts w:hint="eastAsia"/>
              </w:rPr>
              <w:t>按照《中华人民共和国环境保护法</w:t>
            </w:r>
            <w:r>
              <w:rPr>
                <w:rFonts w:hint="eastAsia"/>
                <w:lang w:eastAsia="zh-CN"/>
              </w:rPr>
              <w:t>》《</w:t>
            </w:r>
            <w:r>
              <w:rPr>
                <w:rFonts w:hint="eastAsia"/>
              </w:rPr>
              <w:t>建设项目环境保护管理条例》和《建设项目环境影响评价分类管理名录》等有关</w:t>
            </w:r>
            <w:r>
              <w:rPr>
                <w:rFonts w:hint="eastAsia"/>
                <w:lang w:eastAsia="zh-CN"/>
              </w:rPr>
              <w:t>法律法规</w:t>
            </w:r>
            <w:r>
              <w:rPr>
                <w:rFonts w:hint="eastAsia"/>
              </w:rPr>
              <w:t>规定，项目属《名录》所列</w:t>
            </w:r>
            <w:r>
              <w:rPr>
                <w:rFonts w:hint="eastAsia"/>
                <w:lang w:eastAsia="zh-CN"/>
              </w:rPr>
              <w:t>“</w:t>
            </w:r>
            <w:r>
              <w:rPr>
                <w:rFonts w:hint="eastAsia"/>
                <w:lang w:val="en-US" w:eastAsia="zh-CN"/>
              </w:rPr>
              <w:t>二十七、非金属矿物制品业 30-石膏、水泥制品及类似制品制造302-水泥制品制造”</w:t>
            </w:r>
            <w:r>
              <w:rPr>
                <w:rFonts w:hint="eastAsia"/>
              </w:rPr>
              <w:t>，应编制环境影响报告表</w:t>
            </w:r>
            <w:r>
              <w:rPr>
                <w:rFonts w:hint="default"/>
              </w:rPr>
              <w:t>。</w:t>
            </w:r>
            <w:r>
              <w:rPr>
                <w:rFonts w:hint="eastAsia"/>
              </w:rPr>
              <w:t>受建设单位委托，新疆领畅环保科技有限公司承担了本项目的环境影响评价工作。接受委托后，环评单位在现场踏勘和资料收集的基础上，编制完成了</w:t>
            </w:r>
            <w:r>
              <w:rPr>
                <w:rFonts w:hint="eastAsia"/>
                <w:highlight w:val="none"/>
              </w:rPr>
              <w:t>《</w:t>
            </w:r>
            <w:r>
              <w:rPr>
                <w:rFonts w:hint="eastAsia"/>
                <w:highlight w:val="none"/>
                <w:lang w:val="en-US" w:eastAsia="zh-CN"/>
              </w:rPr>
              <w:t>库尔勒新奥丰保温材料厂年产60万m</w:t>
            </w:r>
            <w:r>
              <w:rPr>
                <w:rFonts w:hint="eastAsia"/>
                <w:highlight w:val="none"/>
                <w:vertAlign w:val="superscript"/>
                <w:lang w:val="en-US" w:eastAsia="zh-CN"/>
              </w:rPr>
              <w:t>2</w:t>
            </w:r>
            <w:r>
              <w:rPr>
                <w:rFonts w:hint="eastAsia"/>
                <w:highlight w:val="none"/>
                <w:lang w:val="en-US" w:eastAsia="zh-CN"/>
              </w:rPr>
              <w:t>复合保温外模板项目</w:t>
            </w:r>
            <w:r>
              <w:rPr>
                <w:rFonts w:hint="eastAsia"/>
                <w:highlight w:val="none"/>
              </w:rPr>
              <w:t>环境影响报告表》</w:t>
            </w:r>
            <w:r>
              <w:rPr>
                <w:rFonts w:hint="eastAsia"/>
              </w:rPr>
              <w:t>，审批后作为</w:t>
            </w:r>
            <w:r>
              <w:rPr>
                <w:rFonts w:hint="eastAsia"/>
                <w:lang w:val="en-US" w:eastAsia="zh-CN"/>
              </w:rPr>
              <w:t>生态环境主管部门</w:t>
            </w:r>
            <w:r>
              <w:rPr>
                <w:rFonts w:hint="eastAsia"/>
              </w:rPr>
              <w:t>和该企业进行环境管理的依据。</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3.项目位置</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本项目位于新疆维吾尔自治区巴音郭楞蒙古自治州库尔勒上库综合产业园区永安路18号，中心地理坐标为</w:t>
            </w:r>
            <w:r>
              <w:rPr>
                <w:rFonts w:hint="default"/>
                <w:lang w:val="en-US" w:eastAsia="zh-CN"/>
              </w:rPr>
              <w:t>E85°54′34.583″，N41°50′52.039″</w:t>
            </w:r>
            <w:r>
              <w:rPr>
                <w:rFonts w:hint="eastAsia"/>
                <w:lang w:val="en-US" w:eastAsia="zh-CN"/>
              </w:rPr>
              <w:t>。地理位置见</w:t>
            </w:r>
            <w:r>
              <w:rPr>
                <w:rFonts w:hint="eastAsia"/>
                <w:highlight w:val="none"/>
                <w:lang w:val="en-US" w:eastAsia="zh-CN"/>
              </w:rPr>
              <w:t>附图</w:t>
            </w:r>
            <w:r>
              <w:rPr>
                <w:rFonts w:hint="eastAsia"/>
                <w:lang w:val="en-US" w:eastAsia="zh-CN"/>
              </w:rPr>
              <w:t>。</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项目区西侧为空地，东侧为新疆疆小味食品有限公司和库尔勒沁知园生物科技有限公司，南侧为新疆桩浩金属制品制造有限公司，北侧为新疆银瑞通塑业有限公司；周边环境关系见</w:t>
            </w:r>
            <w:r>
              <w:rPr>
                <w:rFonts w:hint="eastAsia"/>
                <w:highlight w:val="none"/>
                <w:lang w:val="en-US" w:eastAsia="zh-CN"/>
              </w:rPr>
              <w:t>附图</w:t>
            </w:r>
            <w:r>
              <w:rPr>
                <w:rFonts w:hint="eastAsia"/>
                <w:lang w:val="en-US" w:eastAsia="zh-CN"/>
              </w:rPr>
              <w:t>。</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4.建设内容与规模</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本项目租赁库尔勒鲲鹏管道防腐工程有限公司院内一栋1500m</w:t>
            </w:r>
            <w:r>
              <w:rPr>
                <w:rFonts w:hint="eastAsia"/>
                <w:vertAlign w:val="superscript"/>
                <w:lang w:val="en-US" w:eastAsia="zh-CN"/>
              </w:rPr>
              <w:t>2</w:t>
            </w:r>
            <w:r>
              <w:rPr>
                <w:rFonts w:hint="eastAsia"/>
                <w:lang w:val="en-US" w:eastAsia="zh-CN"/>
              </w:rPr>
              <w:t>厂房，建设一条年加工60万平方米复合保温外模板生产线。工程组成见表2-1。</w:t>
            </w:r>
          </w:p>
          <w:p>
            <w:pPr>
              <w:pStyle w:val="36"/>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表2-1    项目组成一览表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99"/>
              <w:gridCol w:w="433"/>
              <w:gridCol w:w="1116"/>
              <w:gridCol w:w="1014"/>
              <w:gridCol w:w="3338"/>
              <w:gridCol w:w="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009"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工程内容</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项目组成</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2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主体工程</w:t>
                  </w: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1</w:t>
                  </w:r>
                  <w:r>
                    <w:rPr>
                      <w:rFonts w:hint="default"/>
                      <w:highlight w:val="none"/>
                      <w:lang w:val="en-US" w:eastAsia="zh-CN"/>
                    </w:rPr>
                    <w:t>#厂房</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占地1500m</w:t>
                  </w:r>
                  <w:r>
                    <w:rPr>
                      <w:rFonts w:hint="eastAsia"/>
                      <w:highlight w:val="none"/>
                      <w:vertAlign w:val="superscript"/>
                      <w:lang w:val="en-US" w:eastAsia="zh-CN"/>
                    </w:rPr>
                    <w:t>2</w:t>
                  </w:r>
                  <w:r>
                    <w:rPr>
                      <w:rFonts w:hint="eastAsia"/>
                      <w:highlight w:val="none"/>
                      <w:lang w:val="en-US" w:eastAsia="zh-CN"/>
                    </w:rPr>
                    <w:t>，内设一条年加工60万平方米复合保温外模板生产线</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22"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储运工程</w:t>
                  </w: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原料区</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保温板、耐碱玻纤网格布、砂子等原材料储存于1#厂房内，占地面积约300m</w:t>
                  </w:r>
                  <w:r>
                    <w:rPr>
                      <w:rFonts w:hint="eastAsia"/>
                      <w:highlight w:val="none"/>
                      <w:vertAlign w:val="superscript"/>
                      <w:lang w:val="en-US" w:eastAsia="zh-CN"/>
                    </w:rPr>
                    <w:t>2</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jc w:val="center"/>
                    <w:textAlignment w:val="auto"/>
                    <w:rPr>
                      <w:rFonts w:hint="default"/>
                      <w:highlight w:val="none"/>
                      <w:lang w:val="en-US" w:eastAsia="zh-CN"/>
                    </w:rPr>
                  </w:pPr>
                  <w:r>
                    <w:rPr>
                      <w:rFonts w:hint="eastAsia"/>
                      <w:highlight w:val="none"/>
                      <w:lang w:val="en-US" w:eastAsia="zh-CN"/>
                    </w:rPr>
                    <w:t>水泥筒仓</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100t水泥筒仓2个</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422"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依托工程</w:t>
                  </w: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highlight w:val="none"/>
                    </w:rPr>
                    <w:t>办公生活</w:t>
                  </w:r>
                  <w:r>
                    <w:rPr>
                      <w:rFonts w:hint="eastAsia"/>
                      <w:highlight w:val="none"/>
                      <w:lang w:val="en-US" w:eastAsia="zh-CN"/>
                    </w:rPr>
                    <w:t>区</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利用库尔勒鲲鹏管道防腐工程有限公司</w:t>
                  </w:r>
                  <w:r>
                    <w:rPr>
                      <w:rFonts w:hint="eastAsia"/>
                      <w:highlight w:val="none"/>
                    </w:rPr>
                    <w:t>办公楼</w:t>
                  </w:r>
                  <w:r>
                    <w:rPr>
                      <w:rFonts w:hint="eastAsia"/>
                      <w:highlight w:val="none"/>
                      <w:lang w:val="en-US" w:eastAsia="zh-CN"/>
                    </w:rPr>
                    <w:t>2</w:t>
                  </w:r>
                  <w:r>
                    <w:rPr>
                      <w:rFonts w:hint="eastAsia"/>
                      <w:highlight w:val="none"/>
                    </w:rPr>
                    <w:t>层作为员工宿舍和食堂</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highlight w:val="none"/>
                      <w:lang w:val="en-US" w:eastAsia="zh-CN"/>
                    </w:rPr>
                    <w:t>化粪池</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rPr>
                  </w:pPr>
                  <w:r>
                    <w:rPr>
                      <w:rFonts w:hint="eastAsia"/>
                      <w:highlight w:val="none"/>
                      <w:lang w:val="en-US" w:eastAsia="zh-CN"/>
                    </w:rPr>
                    <w:t>防渗化粪池容积为10m</w:t>
                  </w:r>
                  <w:r>
                    <w:rPr>
                      <w:rFonts w:hint="eastAsia"/>
                      <w:highlight w:val="none"/>
                      <w:vertAlign w:val="superscript"/>
                      <w:lang w:val="en-US" w:eastAsia="zh-CN"/>
                    </w:rPr>
                    <w:t>3</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42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辅助工程</w:t>
                  </w: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沉淀池</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default" w:eastAsia="宋体"/>
                      <w:highlight w:val="none"/>
                      <w:lang w:val="en-US" w:eastAsia="zh-CN"/>
                    </w:rPr>
                  </w:pPr>
                  <w:r>
                    <w:rPr>
                      <w:rFonts w:hint="default" w:eastAsia="宋体"/>
                      <w:highlight w:val="none"/>
                      <w:lang w:val="en-US" w:eastAsia="zh-CN"/>
                    </w:rPr>
                    <w:t>容积为3m</w:t>
                  </w:r>
                  <w:r>
                    <w:rPr>
                      <w:rFonts w:hint="eastAsia"/>
                      <w:highlight w:val="none"/>
                      <w:vertAlign w:val="superscript"/>
                      <w:lang w:val="en-US" w:eastAsia="zh-CN"/>
                    </w:rPr>
                    <w:t>3</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highlight w:val="none"/>
                    </w:rPr>
                    <w:t>公用工程</w:t>
                  </w: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供水</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园区供水</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rPr>
                  </w:pP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排水</w:t>
                  </w:r>
                </w:p>
              </w:tc>
              <w:tc>
                <w:tcPr>
                  <w:tcW w:w="3446" w:type="pct"/>
                  <w:gridSpan w:val="3"/>
                  <w:noWrap w:val="0"/>
                  <w:vAlign w:val="center"/>
                </w:tcPr>
                <w:p>
                  <w:pPr>
                    <w:keepLines w:val="0"/>
                    <w:pageBreakBefore w:val="0"/>
                    <w:kinsoku/>
                    <w:wordWrap/>
                    <w:topLinePunct w:val="0"/>
                    <w:autoSpaceDE/>
                    <w:autoSpaceDN/>
                    <w:bidi w:val="0"/>
                    <w:spacing w:beforeAutospacing="0" w:afterAutospacing="0"/>
                    <w:jc w:val="center"/>
                    <w:textAlignment w:val="auto"/>
                    <w:rPr>
                      <w:rFonts w:hint="default"/>
                      <w:highlight w:val="none"/>
                      <w:lang w:val="en-US" w:eastAsia="zh-CN"/>
                    </w:rPr>
                  </w:pPr>
                  <w:r>
                    <w:rPr>
                      <w:rFonts w:hint="eastAsia"/>
                      <w:highlight w:val="none"/>
                      <w:lang w:val="en-US" w:eastAsia="zh-CN"/>
                    </w:rPr>
                    <w:t>生活污水经化粪池预处理后通过园区污水管网排入铁门关市污水处理厂</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highlight w:val="none"/>
                    </w:rPr>
                    <w:t>供电</w:t>
                  </w:r>
                </w:p>
              </w:tc>
              <w:tc>
                <w:tcPr>
                  <w:tcW w:w="3446" w:type="pct"/>
                  <w:gridSpan w:val="3"/>
                  <w:noWrap w:val="0"/>
                  <w:vAlign w:val="center"/>
                </w:tcPr>
                <w:p>
                  <w:pPr>
                    <w:keepLines w:val="0"/>
                    <w:pageBreakBefore w:val="0"/>
                    <w:kinsoku/>
                    <w:wordWrap/>
                    <w:topLinePunct w:val="0"/>
                    <w:autoSpaceDE/>
                    <w:autoSpaceDN/>
                    <w:bidi w:val="0"/>
                    <w:spacing w:beforeAutospacing="0" w:afterAutospacing="0"/>
                    <w:jc w:val="center"/>
                    <w:textAlignment w:val="auto"/>
                    <w:rPr>
                      <w:rFonts w:hint="default"/>
                      <w:highlight w:val="none"/>
                      <w:lang w:val="en-US" w:eastAsia="zh-CN"/>
                    </w:rPr>
                  </w:pPr>
                  <w:r>
                    <w:rPr>
                      <w:rFonts w:hint="eastAsia"/>
                      <w:highlight w:val="none"/>
                      <w:lang w:val="en-US" w:eastAsia="zh-CN"/>
                    </w:rPr>
                    <w:t>园区供电</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587"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highlight w:val="none"/>
                    </w:rPr>
                    <w:t>供暖</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default" w:eastAsia="宋体"/>
                      <w:highlight w:val="none"/>
                      <w:lang w:val="en-US" w:eastAsia="zh-CN"/>
                    </w:rPr>
                  </w:pPr>
                  <w:r>
                    <w:rPr>
                      <w:rFonts w:hint="eastAsia"/>
                      <w:highlight w:val="none"/>
                      <w:lang w:val="en-US" w:eastAsia="zh-CN"/>
                    </w:rPr>
                    <w:t>采用电供暖</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2"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环保工程</w:t>
                  </w:r>
                </w:p>
              </w:tc>
              <w:tc>
                <w:tcPr>
                  <w:tcW w:w="314"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施工期</w:t>
                  </w:r>
                </w:p>
              </w:tc>
              <w:tc>
                <w:tcPr>
                  <w:tcW w:w="27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highlight w:val="none"/>
                    </w:rPr>
                    <w:t>废气</w:t>
                  </w:r>
                </w:p>
              </w:tc>
              <w:tc>
                <w:tcPr>
                  <w:tcW w:w="70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扬尘</w:t>
                  </w:r>
                </w:p>
              </w:tc>
              <w:tc>
                <w:tcPr>
                  <w:tcW w:w="2743"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定期对路面和施工场区洒水、材料运输中要采取遮盖措施。</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314"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27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highlight w:val="none"/>
                    </w:rPr>
                    <w:t>废水</w:t>
                  </w:r>
                </w:p>
              </w:tc>
              <w:tc>
                <w:tcPr>
                  <w:tcW w:w="70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施工废水</w:t>
                  </w:r>
                </w:p>
              </w:tc>
              <w:tc>
                <w:tcPr>
                  <w:tcW w:w="2743"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设置临时沉淀池，经过沉淀池沉淀后，用于洒水抑尘。</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314"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27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highlight w:val="none"/>
                    </w:rPr>
                    <w:t>固废</w:t>
                  </w:r>
                </w:p>
              </w:tc>
              <w:tc>
                <w:tcPr>
                  <w:tcW w:w="70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建筑垃圾</w:t>
                  </w:r>
                </w:p>
              </w:tc>
              <w:tc>
                <w:tcPr>
                  <w:tcW w:w="2743"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收集后堆放于指定地点，由施工方统一清运至当地建筑垃圾填埋场统一处理。</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314"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27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highlight w:val="none"/>
                    </w:rPr>
                    <w:t>噪声</w:t>
                  </w:r>
                </w:p>
              </w:tc>
              <w:tc>
                <w:tcPr>
                  <w:tcW w:w="70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施工机械和运输噪声</w:t>
                  </w:r>
                </w:p>
              </w:tc>
              <w:tc>
                <w:tcPr>
                  <w:tcW w:w="2743"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采用低噪声设备、定期进行维修和养护。</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4"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运营期</w:t>
                  </w:r>
                </w:p>
              </w:tc>
              <w:tc>
                <w:tcPr>
                  <w:tcW w:w="272"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highlight w:val="none"/>
                    </w:rPr>
                    <w:t>废气</w:t>
                  </w:r>
                </w:p>
              </w:tc>
              <w:tc>
                <w:tcPr>
                  <w:tcW w:w="703"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有组织粉尘</w:t>
                  </w:r>
                </w:p>
              </w:tc>
              <w:tc>
                <w:tcPr>
                  <w:tcW w:w="63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default"/>
                      <w:highlight w:val="none"/>
                      <w:lang w:val="en-US" w:eastAsia="zh-CN"/>
                    </w:rPr>
                    <w:t>投料</w:t>
                  </w:r>
                  <w:r>
                    <w:rPr>
                      <w:rFonts w:hint="eastAsia"/>
                      <w:highlight w:val="none"/>
                      <w:lang w:val="en-US" w:eastAsia="zh-CN"/>
                    </w:rPr>
                    <w:t>和</w:t>
                  </w:r>
                  <w:r>
                    <w:rPr>
                      <w:rFonts w:hint="default"/>
                      <w:highlight w:val="none"/>
                      <w:lang w:val="en-US" w:eastAsia="zh-CN"/>
                    </w:rPr>
                    <w:t>干混搅拌粉尘</w:t>
                  </w:r>
                </w:p>
              </w:tc>
              <w:tc>
                <w:tcPr>
                  <w:tcW w:w="2104"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投料和干混搅拌产生的废气经集气罩收集后由1台布袋除尘器处理</w:t>
                  </w:r>
                  <w:r>
                    <w:rPr>
                      <w:rFonts w:hint="default"/>
                      <w:highlight w:val="none"/>
                      <w:lang w:val="en-US" w:eastAsia="zh-CN"/>
                    </w:rPr>
                    <w:t>后通过1根15m高DA001排气筒排出</w:t>
                  </w:r>
                  <w:r>
                    <w:rPr>
                      <w:rFonts w:hint="eastAsia"/>
                      <w:highlight w:val="none"/>
                      <w:lang w:val="en-US" w:eastAsia="zh-CN"/>
                    </w:rPr>
                    <w:t>。</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314"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27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703"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63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水泥筒仓粉尘</w:t>
                  </w:r>
                </w:p>
              </w:tc>
              <w:tc>
                <w:tcPr>
                  <w:tcW w:w="2104"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水泥</w:t>
                  </w:r>
                  <w:r>
                    <w:rPr>
                      <w:rFonts w:hint="default"/>
                      <w:highlight w:val="none"/>
                      <w:lang w:val="en-US" w:eastAsia="zh-CN"/>
                    </w:rPr>
                    <w:t>入料仓时产生的粉尘经仓顶滤筒式过滤器处理后无组织排放</w:t>
                  </w:r>
                  <w:r>
                    <w:rPr>
                      <w:rFonts w:hint="eastAsia"/>
                      <w:highlight w:val="none"/>
                      <w:lang w:val="en-US" w:eastAsia="zh-CN"/>
                    </w:rPr>
                    <w:t>。</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314"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27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70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无组织粉尘</w:t>
                  </w:r>
                </w:p>
              </w:tc>
              <w:tc>
                <w:tcPr>
                  <w:tcW w:w="2743"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采用密闭管道绞龙输送，生产过程均位于封闭车间内。</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314"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27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p>
              </w:tc>
              <w:tc>
                <w:tcPr>
                  <w:tcW w:w="70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油烟废气</w:t>
                  </w:r>
                </w:p>
              </w:tc>
              <w:tc>
                <w:tcPr>
                  <w:tcW w:w="2743"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default"/>
                      <w:highlight w:val="none"/>
                      <w:lang w:val="en-US" w:eastAsia="zh-CN"/>
                    </w:rPr>
                    <w:t>食堂油烟经1台抽油烟机处理后</w:t>
                  </w:r>
                  <w:r>
                    <w:rPr>
                      <w:rFonts w:hint="eastAsia"/>
                      <w:highlight w:val="none"/>
                      <w:lang w:val="en-US" w:eastAsia="zh-CN"/>
                    </w:rPr>
                    <w:t>经</w:t>
                  </w:r>
                  <w:r>
                    <w:rPr>
                      <w:rFonts w:hint="default"/>
                      <w:highlight w:val="none"/>
                      <w:lang w:val="en-US" w:eastAsia="zh-CN"/>
                    </w:rPr>
                    <w:t>楼顶</w:t>
                  </w:r>
                  <w:r>
                    <w:rPr>
                      <w:rFonts w:hint="eastAsia"/>
                      <w:highlight w:val="none"/>
                      <w:lang w:val="en-US" w:eastAsia="zh-CN"/>
                    </w:rPr>
                    <w:t>烟囱</w:t>
                  </w:r>
                  <w:r>
                    <w:rPr>
                      <w:rFonts w:hint="default"/>
                      <w:highlight w:val="none"/>
                      <w:lang w:val="en-US" w:eastAsia="zh-CN"/>
                    </w:rPr>
                    <w:t>排放</w:t>
                  </w:r>
                  <w:r>
                    <w:rPr>
                      <w:rFonts w:hint="eastAsia"/>
                      <w:highlight w:val="none"/>
                      <w:lang w:val="en-US" w:eastAsia="zh-CN"/>
                    </w:rPr>
                    <w:t>。</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4"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27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highlight w:val="none"/>
                    </w:rPr>
                    <w:t>废水</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rPr>
                    <w:t>生活污水经化粪池预处理后</w:t>
                  </w:r>
                  <w:r>
                    <w:rPr>
                      <w:rFonts w:hint="eastAsia"/>
                      <w:highlight w:val="none"/>
                      <w:lang w:val="en-US" w:eastAsia="zh-CN"/>
                    </w:rPr>
                    <w:t>通过园区污水管网排入铁门关市污水处理厂。</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314"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27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highlight w:val="none"/>
                    </w:rPr>
                    <w:t>固废</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highlight w:val="none"/>
                    </w:rPr>
                    <w:t>生活垃圾分类收集，定期清运；</w:t>
                  </w:r>
                  <w:r>
                    <w:rPr>
                      <w:rFonts w:hint="eastAsia"/>
                      <w:highlight w:val="none"/>
                    </w:rPr>
                    <w:t>除尘器收集的粉尘回用于生产，边角料及不合格产品收集储存</w:t>
                  </w:r>
                  <w:r>
                    <w:rPr>
                      <w:rFonts w:hint="eastAsia"/>
                      <w:highlight w:val="none"/>
                      <w:lang w:val="en-US" w:eastAsia="zh-CN"/>
                    </w:rPr>
                    <w:t>后</w:t>
                  </w:r>
                  <w:r>
                    <w:rPr>
                      <w:rFonts w:hint="eastAsia"/>
                      <w:highlight w:val="none"/>
                    </w:rPr>
                    <w:t>交由物资回收单位回收处理</w:t>
                  </w:r>
                  <w:r>
                    <w:rPr>
                      <w:rFonts w:hint="eastAsia"/>
                      <w:highlight w:val="none"/>
                      <w:lang w:eastAsia="zh-CN"/>
                    </w:rPr>
                    <w:t>；</w:t>
                  </w:r>
                  <w:r>
                    <w:rPr>
                      <w:rFonts w:hint="eastAsia"/>
                      <w:highlight w:val="none"/>
                      <w:lang w:val="en-US" w:eastAsia="zh-CN"/>
                    </w:rPr>
                    <w:t>废润滑油、废润滑油桶等危险废物贮存于危废贮存间内，定期交由有资质的单位进行处理。</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22"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14"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p>
              </w:tc>
              <w:tc>
                <w:tcPr>
                  <w:tcW w:w="27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highlight w:val="none"/>
                    </w:rPr>
                    <w:t>噪声</w:t>
                  </w:r>
                </w:p>
              </w:tc>
              <w:tc>
                <w:tcPr>
                  <w:tcW w:w="3446"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highlight w:val="none"/>
                    </w:rPr>
                    <w:t>基础减震，定期维护</w:t>
                  </w:r>
                  <w:r>
                    <w:rPr>
                      <w:rFonts w:hint="eastAsia"/>
                      <w:highlight w:val="none"/>
                    </w:rPr>
                    <w:t>，封闭生产</w:t>
                  </w:r>
                  <w:r>
                    <w:rPr>
                      <w:rFonts w:hint="eastAsia"/>
                      <w:highlight w:val="none"/>
                      <w:lang w:eastAsia="zh-CN"/>
                    </w:rPr>
                    <w:t>。</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09" w:type="pct"/>
                  <w:gridSpan w:val="3"/>
                  <w:noWrap w:val="0"/>
                  <w:vAlign w:val="center"/>
                </w:tcPr>
                <w:p>
                  <w:pPr>
                    <w:pStyle w:val="40"/>
                    <w:keepNext w:val="0"/>
                    <w:keepLines w:val="0"/>
                    <w:suppressLineNumbers w:val="0"/>
                    <w:bidi w:val="0"/>
                    <w:spacing w:before="0" w:beforeAutospacing="0" w:after="0" w:afterAutospacing="0"/>
                    <w:ind w:left="0" w:leftChars="0" w:right="0" w:rightChars="0"/>
                    <w:rPr>
                      <w:highlight w:val="none"/>
                    </w:rPr>
                  </w:pPr>
                  <w:r>
                    <w:rPr>
                      <w:rFonts w:hint="eastAsia" w:cs="Times New Roman"/>
                      <w:highlight w:val="none"/>
                      <w:lang w:val="en-US" w:eastAsia="zh-CN"/>
                    </w:rPr>
                    <w:t>环境风险防范工程</w:t>
                  </w:r>
                </w:p>
              </w:tc>
              <w:tc>
                <w:tcPr>
                  <w:tcW w:w="3446" w:type="pct"/>
                  <w:gridSpan w:val="3"/>
                  <w:noWrap w:val="0"/>
                  <w:vAlign w:val="center"/>
                </w:tcPr>
                <w:p>
                  <w:pPr>
                    <w:pStyle w:val="40"/>
                    <w:keepNext w:val="0"/>
                    <w:keepLines w:val="0"/>
                    <w:suppressLineNumbers w:val="0"/>
                    <w:bidi w:val="0"/>
                    <w:spacing w:before="0" w:beforeAutospacing="0" w:after="0" w:afterAutospacing="0"/>
                    <w:ind w:left="0" w:leftChars="0" w:right="0" w:rightChars="0"/>
                    <w:rPr>
                      <w:highlight w:val="none"/>
                    </w:rPr>
                  </w:pPr>
                  <w:r>
                    <w:rPr>
                      <w:rFonts w:hint="eastAsia"/>
                      <w:highlight w:val="none"/>
                      <w:lang w:val="en-US" w:eastAsia="zh-CN"/>
                    </w:rPr>
                    <w:t>按照《危险废物贮存污染控制标准》（GB18597—2023）标准建设面积为10m</w:t>
                  </w:r>
                  <w:r>
                    <w:rPr>
                      <w:rFonts w:hint="eastAsia"/>
                      <w:highlight w:val="none"/>
                      <w:vertAlign w:val="superscript"/>
                      <w:lang w:val="en-US" w:eastAsia="zh-CN"/>
                    </w:rPr>
                    <w:t>2</w:t>
                  </w:r>
                  <w:r>
                    <w:rPr>
                      <w:rFonts w:hint="eastAsia"/>
                      <w:highlight w:val="none"/>
                      <w:lang w:val="en-US" w:eastAsia="zh-CN"/>
                    </w:rPr>
                    <w:t>危险废物贮存间。</w:t>
                  </w:r>
                </w:p>
              </w:tc>
              <w:tc>
                <w:tcPr>
                  <w:tcW w:w="543"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highlight w:val="none"/>
                      <w:lang w:val="en-US" w:eastAsia="zh-CN"/>
                    </w:rPr>
                    <w:t>新建</w:t>
                  </w:r>
                </w:p>
              </w:tc>
            </w:tr>
          </w:tbl>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5.产品方案</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本项目建设一条年加工60万平方米复合保温外模板生产线，生产复合保温外模板。产品情况详见表2-2</w:t>
            </w:r>
            <w:r>
              <w:t>。</w:t>
            </w:r>
          </w:p>
          <w:p>
            <w:pPr>
              <w:pStyle w:val="36"/>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表</w:t>
            </w:r>
            <w:r>
              <w:rPr>
                <w:rFonts w:hint="default"/>
                <w:lang w:val="en-US" w:eastAsia="zh-CN"/>
              </w:rPr>
              <w:t>2-2</w:t>
            </w:r>
            <w:r>
              <w:rPr>
                <w:rFonts w:hint="eastAsia"/>
                <w:lang w:val="en-US" w:eastAsia="zh-CN"/>
              </w:rPr>
              <w:t xml:space="preserve">    项目产品方案一览表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788"/>
              <w:gridCol w:w="1687"/>
              <w:gridCol w:w="1788"/>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2" w:type="dxa"/>
                  <w:noWrap w:val="0"/>
                  <w:vAlign w:val="center"/>
                </w:tcPr>
                <w:p>
                  <w:pPr>
                    <w:keepLines w:val="0"/>
                    <w:pageBreakBefore w:val="0"/>
                    <w:kinsoku/>
                    <w:wordWrap/>
                    <w:topLinePunct w:val="0"/>
                    <w:autoSpaceDE/>
                    <w:autoSpaceDN/>
                    <w:bidi w:val="0"/>
                    <w:adjustRightInd w:val="0"/>
                    <w:snapToGrid w:val="0"/>
                    <w:spacing w:beforeAutospacing="0" w:afterAutospacing="0" w:line="240" w:lineRule="auto"/>
                    <w:jc w:val="center"/>
                    <w:textAlignment w:val="auto"/>
                    <w:rPr>
                      <w:rFonts w:hint="default" w:eastAsia="宋体"/>
                      <w:lang w:val="en-US" w:eastAsia="zh-CN"/>
                    </w:rPr>
                  </w:pPr>
                  <w:r>
                    <w:rPr>
                      <w:color w:val="000000"/>
                      <w:kern w:val="0"/>
                      <w:sz w:val="21"/>
                      <w:szCs w:val="21"/>
                    </w:rPr>
                    <w:t>序号</w:t>
                  </w:r>
                </w:p>
              </w:tc>
              <w:tc>
                <w:tcPr>
                  <w:tcW w:w="1788" w:type="dxa"/>
                  <w:noWrap w:val="0"/>
                  <w:vAlign w:val="center"/>
                </w:tcPr>
                <w:p>
                  <w:pPr>
                    <w:keepLines w:val="0"/>
                    <w:pageBreakBefore w:val="0"/>
                    <w:kinsoku/>
                    <w:wordWrap/>
                    <w:topLinePunct w:val="0"/>
                    <w:autoSpaceDE/>
                    <w:autoSpaceDN/>
                    <w:bidi w:val="0"/>
                    <w:adjustRightInd w:val="0"/>
                    <w:snapToGrid w:val="0"/>
                    <w:spacing w:beforeAutospacing="0" w:afterAutospacing="0" w:line="240" w:lineRule="auto"/>
                    <w:jc w:val="center"/>
                    <w:textAlignment w:val="auto"/>
                    <w:rPr>
                      <w:rFonts w:hint="default"/>
                      <w:lang w:val="en-US" w:eastAsia="zh-CN"/>
                    </w:rPr>
                  </w:pPr>
                  <w:r>
                    <w:rPr>
                      <w:color w:val="000000"/>
                      <w:kern w:val="0"/>
                      <w:sz w:val="21"/>
                      <w:szCs w:val="21"/>
                    </w:rPr>
                    <w:t>名称</w:t>
                  </w:r>
                </w:p>
              </w:tc>
              <w:tc>
                <w:tcPr>
                  <w:tcW w:w="1687" w:type="dxa"/>
                  <w:noWrap w:val="0"/>
                  <w:vAlign w:val="center"/>
                </w:tcPr>
                <w:p>
                  <w:pPr>
                    <w:keepLines w:val="0"/>
                    <w:pageBreakBefore w:val="0"/>
                    <w:kinsoku/>
                    <w:wordWrap/>
                    <w:topLinePunct w:val="0"/>
                    <w:autoSpaceDE/>
                    <w:autoSpaceDN/>
                    <w:bidi w:val="0"/>
                    <w:adjustRightInd w:val="0"/>
                    <w:snapToGrid w:val="0"/>
                    <w:spacing w:beforeAutospacing="0" w:afterAutospacing="0" w:line="240" w:lineRule="auto"/>
                    <w:jc w:val="center"/>
                    <w:textAlignment w:val="auto"/>
                    <w:rPr>
                      <w:rFonts w:hint="default"/>
                      <w:lang w:val="en-US" w:eastAsia="zh-CN"/>
                    </w:rPr>
                  </w:pPr>
                  <w:r>
                    <w:rPr>
                      <w:color w:val="000000"/>
                      <w:kern w:val="0"/>
                      <w:sz w:val="21"/>
                      <w:szCs w:val="21"/>
                    </w:rPr>
                    <w:t>设计产量</w:t>
                  </w:r>
                </w:p>
              </w:tc>
              <w:tc>
                <w:tcPr>
                  <w:tcW w:w="1788" w:type="dxa"/>
                  <w:noWrap w:val="0"/>
                  <w:vAlign w:val="center"/>
                </w:tcPr>
                <w:p>
                  <w:pPr>
                    <w:keepLines w:val="0"/>
                    <w:pageBreakBefore w:val="0"/>
                    <w:kinsoku/>
                    <w:wordWrap/>
                    <w:topLinePunct w:val="0"/>
                    <w:autoSpaceDE/>
                    <w:autoSpaceDN/>
                    <w:bidi w:val="0"/>
                    <w:adjustRightInd w:val="0"/>
                    <w:snapToGrid w:val="0"/>
                    <w:spacing w:beforeAutospacing="0" w:afterAutospacing="0" w:line="240" w:lineRule="auto"/>
                    <w:jc w:val="center"/>
                    <w:textAlignment w:val="auto"/>
                    <w:rPr>
                      <w:rFonts w:hint="default"/>
                      <w:lang w:val="en-US" w:eastAsia="zh-CN"/>
                    </w:rPr>
                  </w:pPr>
                  <w:r>
                    <w:rPr>
                      <w:color w:val="000000"/>
                      <w:kern w:val="0"/>
                      <w:sz w:val="21"/>
                      <w:szCs w:val="21"/>
                    </w:rPr>
                    <w:t>单位</w:t>
                  </w:r>
                </w:p>
              </w:tc>
              <w:tc>
                <w:tcPr>
                  <w:tcW w:w="1937" w:type="dxa"/>
                  <w:noWrap w:val="0"/>
                  <w:vAlign w:val="center"/>
                </w:tcPr>
                <w:p>
                  <w:pPr>
                    <w:pStyle w:val="34"/>
                    <w:keepNext w:val="0"/>
                    <w:keepLines w:val="0"/>
                    <w:pageBreakBefore w:val="0"/>
                    <w:suppressLineNumbers w:val="0"/>
                    <w:kinsoku/>
                    <w:wordWrap/>
                    <w:topLinePunct w:val="0"/>
                    <w:autoSpaceDE/>
                    <w:autoSpaceDN/>
                    <w:bidi w:val="0"/>
                    <w:spacing w:before="0" w:beforeAutospacing="0" w:after="0" w:afterAutospacing="0"/>
                    <w:ind w:left="0" w:right="0"/>
                    <w:textAlignment w:val="auto"/>
                    <w:rPr>
                      <w:rFonts w:hint="default"/>
                      <w:lang w:val="en-US" w:eastAsia="zh-CN"/>
                    </w:rPr>
                  </w:pPr>
                  <w:r>
                    <w:rPr>
                      <w:rFonts w:hint="default"/>
                    </w:rPr>
                    <w:t>年运行</w:t>
                  </w:r>
                  <w:r>
                    <w:rPr>
                      <w:rFonts w:hint="eastAsia"/>
                      <w:lang w:eastAsia="zh-CN"/>
                    </w:rPr>
                    <w:t>天数、</w:t>
                  </w:r>
                  <w:r>
                    <w:rPr>
                      <w:rFonts w:hint="default"/>
                    </w:rPr>
                    <w:t>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2" w:type="dxa"/>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1</w:t>
                  </w:r>
                </w:p>
              </w:tc>
              <w:tc>
                <w:tcPr>
                  <w:tcW w:w="1788" w:type="dxa"/>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default"/>
                      <w:lang w:val="en-US" w:eastAsia="zh-CN"/>
                    </w:rPr>
                    <w:t>复合保温外模板</w:t>
                  </w:r>
                </w:p>
              </w:tc>
              <w:tc>
                <w:tcPr>
                  <w:tcW w:w="1687" w:type="dxa"/>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default"/>
                      <w:lang w:val="en-US" w:eastAsia="zh-CN"/>
                    </w:rPr>
                  </w:pPr>
                  <w:r>
                    <w:rPr>
                      <w:rFonts w:hint="eastAsia"/>
                      <w:lang w:val="en-US" w:eastAsia="zh-CN"/>
                    </w:rPr>
                    <w:t>60</w:t>
                  </w:r>
                </w:p>
              </w:tc>
              <w:tc>
                <w:tcPr>
                  <w:tcW w:w="1788" w:type="dxa"/>
                  <w:noWrap w:val="0"/>
                  <w:vAlign w:val="center"/>
                </w:tcPr>
                <w:p>
                  <w:pPr>
                    <w:pStyle w:val="3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textAlignment w:val="auto"/>
                    <w:rPr>
                      <w:rFonts w:hint="eastAsia"/>
                      <w:lang w:val="en-US" w:eastAsia="zh-CN"/>
                    </w:rPr>
                  </w:pPr>
                  <w:r>
                    <w:rPr>
                      <w:rFonts w:hint="eastAsia"/>
                      <w:lang w:val="en-US" w:eastAsia="zh-CN"/>
                    </w:rPr>
                    <w:t>万m</w:t>
                  </w:r>
                  <w:r>
                    <w:rPr>
                      <w:rFonts w:hint="eastAsia"/>
                      <w:vertAlign w:val="superscript"/>
                      <w:lang w:val="en-US" w:eastAsia="zh-CN"/>
                    </w:rPr>
                    <w:t>2</w:t>
                  </w:r>
                  <w:r>
                    <w:rPr>
                      <w:rFonts w:hint="eastAsia"/>
                      <w:lang w:val="en-US" w:eastAsia="zh-CN"/>
                    </w:rPr>
                    <w:t>/a</w:t>
                  </w:r>
                </w:p>
              </w:tc>
              <w:tc>
                <w:tcPr>
                  <w:tcW w:w="1937" w:type="dxa"/>
                  <w:noWrap w:val="0"/>
                  <w:vAlign w:val="center"/>
                </w:tcPr>
                <w:p>
                  <w:pPr>
                    <w:pStyle w:val="34"/>
                    <w:keepNext w:val="0"/>
                    <w:keepLines w:val="0"/>
                    <w:pageBreakBefore w:val="0"/>
                    <w:suppressLineNumbers w:val="0"/>
                    <w:kinsoku/>
                    <w:wordWrap/>
                    <w:topLinePunct w:val="0"/>
                    <w:autoSpaceDE/>
                    <w:autoSpaceDN/>
                    <w:bidi w:val="0"/>
                    <w:spacing w:before="0" w:beforeAutospacing="0" w:after="0" w:afterAutospacing="0"/>
                    <w:ind w:left="0" w:right="0"/>
                    <w:textAlignment w:val="auto"/>
                    <w:rPr>
                      <w:rFonts w:hint="default" w:eastAsia="宋体"/>
                      <w:lang w:val="en-US" w:eastAsia="zh-CN"/>
                    </w:rPr>
                  </w:pPr>
                  <w:r>
                    <w:rPr>
                      <w:rFonts w:hint="eastAsia"/>
                      <w:lang w:val="en-US" w:eastAsia="zh-CN"/>
                    </w:rPr>
                    <w:t>300天，2400小时</w:t>
                  </w:r>
                </w:p>
              </w:tc>
            </w:tr>
          </w:tbl>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6.主要设备</w:t>
            </w:r>
          </w:p>
          <w:p>
            <w:pPr>
              <w:pStyle w:val="8"/>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rPr>
              <w:t>本项目主要</w:t>
            </w:r>
            <w:r>
              <w:rPr>
                <w:rFonts w:hint="eastAsia"/>
                <w:lang w:eastAsia="zh-CN"/>
              </w:rPr>
              <w:t>生产</w:t>
            </w:r>
            <w:r>
              <w:rPr>
                <w:rFonts w:hint="eastAsia"/>
                <w:lang w:val="en-US" w:eastAsia="zh-CN"/>
              </w:rPr>
              <w:t>设</w:t>
            </w:r>
            <w:r>
              <w:rPr>
                <w:rFonts w:hint="eastAsia"/>
                <w:highlight w:val="none"/>
                <w:lang w:val="en-US" w:eastAsia="zh-CN"/>
              </w:rPr>
              <w:t>备见下表2-3。</w:t>
            </w:r>
          </w:p>
          <w:p>
            <w:pPr>
              <w:pStyle w:val="36"/>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eastAsia="zh-CN"/>
              </w:rPr>
              <w:t>表</w:t>
            </w:r>
            <w:r>
              <w:rPr>
                <w:rFonts w:hint="eastAsia"/>
                <w:highlight w:val="none"/>
                <w:lang w:val="en-US" w:eastAsia="zh-CN"/>
              </w:rPr>
              <w:t>2-3    项目主要生产设备一览表</w:t>
            </w:r>
          </w:p>
          <w:tbl>
            <w:tblPr>
              <w:tblStyle w:val="20"/>
              <w:tblW w:w="10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712"/>
              <w:gridCol w:w="1797"/>
              <w:gridCol w:w="1012"/>
              <w:gridCol w:w="975"/>
              <w:gridCol w:w="1734"/>
              <w:gridCol w:w="2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Height w:val="307" w:hRule="atLeast"/>
              </w:trPr>
              <w:tc>
                <w:tcPr>
                  <w:tcW w:w="645"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序号</w:t>
                  </w:r>
                </w:p>
              </w:tc>
              <w:tc>
                <w:tcPr>
                  <w:tcW w:w="1712"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设备</w:t>
                  </w:r>
                  <w:r>
                    <w:rPr>
                      <w:rFonts w:hint="eastAsia"/>
                      <w:highlight w:val="none"/>
                    </w:rPr>
                    <w:t>名称</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eastAsia="宋体"/>
                      <w:highlight w:val="none"/>
                      <w:lang w:val="en-US" w:eastAsia="zh-CN"/>
                    </w:rPr>
                  </w:pPr>
                  <w:r>
                    <w:rPr>
                      <w:rFonts w:hint="eastAsia"/>
                      <w:highlight w:val="none"/>
                      <w:lang w:val="en-US" w:eastAsia="zh-CN"/>
                    </w:rPr>
                    <w:t>设备型号/规格</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highlight w:val="none"/>
                      <w:lang w:val="en-US" w:eastAsia="zh-CN" w:bidi="ar-SA"/>
                    </w:rPr>
                  </w:pPr>
                  <w:r>
                    <w:rPr>
                      <w:rFonts w:hint="eastAsia"/>
                      <w:highlight w:val="none"/>
                    </w:rPr>
                    <w:t>数量</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highlight w:val="none"/>
                      <w:lang w:val="en-US" w:eastAsia="zh-CN" w:bidi="ar-SA"/>
                    </w:rPr>
                  </w:pPr>
                  <w:r>
                    <w:rPr>
                      <w:rFonts w:hint="eastAsia"/>
                      <w:highlight w:val="none"/>
                    </w:rPr>
                    <w:t>单位</w:t>
                  </w:r>
                </w:p>
              </w:tc>
              <w:tc>
                <w:tcPr>
                  <w:tcW w:w="1734"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w:t>
                  </w:r>
                </w:p>
              </w:tc>
              <w:tc>
                <w:tcPr>
                  <w:tcW w:w="1712"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水泥筒仓</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容量：100t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2</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座</w:t>
                  </w:r>
                </w:p>
              </w:tc>
              <w:tc>
                <w:tcPr>
                  <w:tcW w:w="1734" w:type="dxa"/>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原料储存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w:t>
                  </w:r>
                </w:p>
              </w:tc>
              <w:tc>
                <w:tcPr>
                  <w:tcW w:w="1712"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吨袋</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容量：1.5t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若干</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个</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3</w:t>
                  </w:r>
                </w:p>
              </w:tc>
              <w:tc>
                <w:tcPr>
                  <w:tcW w:w="1712" w:type="dxa"/>
                  <w:shd w:val="clear" w:color="auto" w:fill="auto"/>
                  <w:noWrap w:val="0"/>
                  <w:vAlign w:val="bottom"/>
                </w:tcPr>
                <w:p>
                  <w:pPr>
                    <w:widowControl/>
                    <w:spacing w:line="240" w:lineRule="auto"/>
                    <w:ind w:firstLine="0" w:firstLineChars="0"/>
                    <w:jc w:val="center"/>
                    <w:rPr>
                      <w:rFonts w:hint="eastAsia" w:ascii="Times New Roman" w:hAnsi="Times New Roman" w:eastAsia="宋体" w:cs="Times New Roman"/>
                      <w:kern w:val="2"/>
                      <w:sz w:val="21"/>
                      <w:szCs w:val="24"/>
                      <w:lang w:val="en-US" w:eastAsia="zh-CN" w:bidi="ar-SA"/>
                    </w:rPr>
                  </w:pPr>
                  <w:r>
                    <w:rPr>
                      <w:color w:val="auto"/>
                      <w:kern w:val="0"/>
                      <w:sz w:val="21"/>
                      <w:szCs w:val="21"/>
                    </w:rPr>
                    <w:t>成品砂浆储罐</w:t>
                  </w:r>
                </w:p>
              </w:tc>
              <w:tc>
                <w:tcPr>
                  <w:tcW w:w="1797" w:type="dxa"/>
                  <w:shd w:val="clear" w:color="auto" w:fill="auto"/>
                  <w:noWrap w:val="0"/>
                  <w:vAlign w:val="bottom"/>
                </w:tcPr>
                <w:p>
                  <w:pPr>
                    <w:widowControl/>
                    <w:spacing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90</w:t>
                  </w:r>
                  <w:r>
                    <w:rPr>
                      <w:rFonts w:hint="eastAsia"/>
                      <w:color w:val="auto"/>
                      <w:kern w:val="0"/>
                      <w:sz w:val="21"/>
                      <w:szCs w:val="21"/>
                    </w:rPr>
                    <w:t>m</w:t>
                  </w:r>
                  <w:r>
                    <w:rPr>
                      <w:rFonts w:hint="eastAsia"/>
                      <w:color w:val="auto"/>
                      <w:kern w:val="0"/>
                      <w:sz w:val="21"/>
                      <w:szCs w:val="21"/>
                      <w:vertAlign w:val="superscript"/>
                    </w:rPr>
                    <w:t>3</w:t>
                  </w:r>
                </w:p>
              </w:tc>
              <w:tc>
                <w:tcPr>
                  <w:tcW w:w="1012" w:type="dxa"/>
                  <w:shd w:val="clear" w:color="auto" w:fill="auto"/>
                  <w:noWrap w:val="0"/>
                  <w:vAlign w:val="bottom"/>
                </w:tcPr>
                <w:p>
                  <w:pPr>
                    <w:widowControl/>
                    <w:spacing w:line="240" w:lineRule="auto"/>
                    <w:ind w:firstLine="0" w:firstLineChars="0"/>
                    <w:jc w:val="center"/>
                    <w:rPr>
                      <w:rFonts w:hint="eastAsia" w:ascii="Times New Roman" w:hAnsi="Times New Roman" w:eastAsia="宋体" w:cs="Times New Roman"/>
                      <w:kern w:val="2"/>
                      <w:sz w:val="21"/>
                      <w:szCs w:val="24"/>
                      <w:lang w:val="en-US" w:eastAsia="zh-CN" w:bidi="ar-SA"/>
                    </w:rPr>
                  </w:pPr>
                  <w:r>
                    <w:rPr>
                      <w:rFonts w:hint="eastAsia" w:eastAsia="宋体"/>
                      <w:color w:val="auto"/>
                      <w:kern w:val="0"/>
                      <w:sz w:val="21"/>
                      <w:szCs w:val="21"/>
                      <w:lang w:val="en-US" w:eastAsia="zh-CN"/>
                    </w:rPr>
                    <w:t>1</w:t>
                  </w:r>
                </w:p>
              </w:tc>
              <w:tc>
                <w:tcPr>
                  <w:tcW w:w="975" w:type="dxa"/>
                  <w:shd w:val="clear" w:color="auto" w:fill="auto"/>
                  <w:noWrap w:val="0"/>
                  <w:vAlign w:val="bottom"/>
                </w:tcPr>
                <w:p>
                  <w:pPr>
                    <w:widowControl/>
                    <w:spacing w:line="240" w:lineRule="auto"/>
                    <w:ind w:firstLine="0" w:firstLineChars="0"/>
                    <w:jc w:val="center"/>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个</w:t>
                  </w:r>
                </w:p>
              </w:tc>
              <w:tc>
                <w:tcPr>
                  <w:tcW w:w="1734"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成品砂浆储存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Height w:val="90" w:hRule="atLeast"/>
              </w:trPr>
              <w:tc>
                <w:tcPr>
                  <w:tcW w:w="645"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4</w:t>
                  </w:r>
                </w:p>
              </w:tc>
              <w:tc>
                <w:tcPr>
                  <w:tcW w:w="1712"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预混搅拌罐</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个</w:t>
                  </w:r>
                </w:p>
              </w:tc>
              <w:tc>
                <w:tcPr>
                  <w:tcW w:w="1734" w:type="dxa"/>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搅拌系统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5</w:t>
                  </w:r>
                </w:p>
              </w:tc>
              <w:tc>
                <w:tcPr>
                  <w:tcW w:w="1712"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rPr>
                  </w:pPr>
                  <w:r>
                    <w:rPr>
                      <w:rFonts w:hint="default"/>
                      <w:lang w:val="en-US" w:eastAsia="zh-CN"/>
                    </w:rPr>
                    <w:t>搅拌机</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转速：28R/min</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台</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6</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斗式</w:t>
                  </w:r>
                  <w:r>
                    <w:rPr>
                      <w:rFonts w:hint="default"/>
                      <w:lang w:val="en-US" w:eastAsia="zh-CN"/>
                    </w:rPr>
                    <w:t>提升机</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TD160-8.5</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台</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7</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全自动</w:t>
                  </w:r>
                  <w:r>
                    <w:rPr>
                      <w:rFonts w:hint="eastAsia"/>
                      <w:lang w:val="en-US" w:eastAsia="zh-CN"/>
                    </w:rPr>
                    <w:t>计量秤</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8</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斗式</w:t>
                  </w:r>
                  <w:r>
                    <w:rPr>
                      <w:rFonts w:hint="default"/>
                      <w:lang w:val="en-US" w:eastAsia="zh-CN"/>
                    </w:rPr>
                    <w:t>提升机</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TD160-8.5</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布料布网系统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9</w:t>
                  </w:r>
                </w:p>
              </w:tc>
              <w:tc>
                <w:tcPr>
                  <w:tcW w:w="1712" w:type="dxa"/>
                  <w:shd w:val="clear" w:color="auto" w:fill="auto"/>
                  <w:noWrap w:val="0"/>
                  <w:vAlign w:val="center"/>
                </w:tcPr>
                <w:p>
                  <w:pPr>
                    <w:ind w:firstLine="6" w:firstLineChars="0"/>
                    <w:jc w:val="center"/>
                    <w:rPr>
                      <w:rFonts w:hint="eastAsia"/>
                      <w:lang w:val="en-US" w:eastAsia="zh-CN"/>
                    </w:rPr>
                  </w:pPr>
                  <w:r>
                    <w:rPr>
                      <w:snapToGrid w:val="0"/>
                      <w:color w:val="000000"/>
                      <w:szCs w:val="21"/>
                      <w:highlight w:val="none"/>
                    </w:rPr>
                    <w:t>刮平装置</w:t>
                  </w:r>
                </w:p>
              </w:tc>
              <w:tc>
                <w:tcPr>
                  <w:tcW w:w="1797" w:type="dxa"/>
                  <w:shd w:val="clear" w:color="auto" w:fill="auto"/>
                  <w:noWrap w:val="0"/>
                  <w:vAlign w:val="top"/>
                </w:tcPr>
                <w:p>
                  <w:pPr>
                    <w:ind w:firstLine="6" w:firstLineChars="0"/>
                    <w:jc w:val="center"/>
                    <w:rPr>
                      <w:rFonts w:hint="default"/>
                      <w:lang w:val="en-US" w:eastAsia="zh-CN"/>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snapToGrid w:val="0"/>
                      <w:color w:val="000000"/>
                      <w:szCs w:val="21"/>
                      <w:highlight w:val="none"/>
                    </w:rPr>
                    <w:t>套</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10</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全自动</w:t>
                  </w:r>
                  <w:r>
                    <w:rPr>
                      <w:rFonts w:hint="eastAsia"/>
                      <w:lang w:val="en-US" w:eastAsia="zh-CN"/>
                    </w:rPr>
                    <w:t>计量秤</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continue"/>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11</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绞龙</w:t>
                  </w:r>
                  <w:r>
                    <w:rPr>
                      <w:rFonts w:hint="default"/>
                      <w:lang w:val="en-US"/>
                    </w:rPr>
                    <w:t>输送机</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Φ219×6.5m</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2</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continue"/>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p>
              </w:tc>
              <w:tc>
                <w:tcPr>
                  <w:tcW w:w="2587"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12</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整形机</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成品锯切系统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13</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全自动变轨拆垛机</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最大负载能力：130kg</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2</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14</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打孔机</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15</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切割机</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16</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lang w:val="en-US" w:eastAsia="zh-CN"/>
                    </w:rPr>
                    <w:t>全自动抓板机</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2</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17</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叉车</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2</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default"/>
                      <w:lang w:val="en-US" w:eastAsia="zh-CN"/>
                    </w:rPr>
                    <w:t>台</w:t>
                  </w:r>
                </w:p>
              </w:tc>
              <w:tc>
                <w:tcPr>
                  <w:tcW w:w="1734" w:type="dxa"/>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18</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业务用车</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1</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default"/>
                      <w:lang w:val="en-US" w:eastAsia="zh-CN"/>
                    </w:rPr>
                    <w:t>台</w:t>
                  </w:r>
                </w:p>
              </w:tc>
              <w:tc>
                <w:tcPr>
                  <w:tcW w:w="1734"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587" w:type="dxa"/>
              </w:trPr>
              <w:tc>
                <w:tcPr>
                  <w:tcW w:w="64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19</w:t>
                  </w:r>
                </w:p>
              </w:tc>
              <w:tc>
                <w:tcPr>
                  <w:tcW w:w="17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周转架</w:t>
                  </w:r>
                </w:p>
              </w:tc>
              <w:tc>
                <w:tcPr>
                  <w:tcW w:w="1797"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w:t>
                  </w:r>
                </w:p>
              </w:tc>
              <w:tc>
                <w:tcPr>
                  <w:tcW w:w="1012"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800</w:t>
                  </w:r>
                </w:p>
              </w:tc>
              <w:tc>
                <w:tcPr>
                  <w:tcW w:w="975" w:type="dxa"/>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 w:val="21"/>
                      <w:szCs w:val="21"/>
                      <w:lang w:val="en-US" w:eastAsia="zh-CN" w:bidi="ar-SA"/>
                    </w:rPr>
                  </w:pPr>
                  <w:r>
                    <w:rPr>
                      <w:rFonts w:hint="eastAsia"/>
                      <w:lang w:val="en-US" w:eastAsia="zh-CN"/>
                    </w:rPr>
                    <w:t>个</w:t>
                  </w:r>
                </w:p>
              </w:tc>
              <w:tc>
                <w:tcPr>
                  <w:tcW w:w="1734"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w:t>
                  </w:r>
                </w:p>
              </w:tc>
            </w:tr>
          </w:tbl>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7.主要原辅材料</w:t>
            </w:r>
          </w:p>
          <w:p>
            <w:pPr>
              <w:pStyle w:val="8"/>
              <w:keepLines w:val="0"/>
              <w:pageBreakBefore w:val="0"/>
              <w:kinsoku/>
              <w:wordWrap/>
              <w:topLinePunct w:val="0"/>
              <w:autoSpaceDE/>
              <w:autoSpaceDN/>
              <w:bidi w:val="0"/>
              <w:spacing w:beforeAutospacing="0" w:afterAutospacing="0"/>
              <w:textAlignment w:val="auto"/>
              <w:rPr>
                <w:rFonts w:hint="eastAsia" w:cs="Times New Roman"/>
                <w:lang w:val="en-US" w:eastAsia="zh-CN"/>
              </w:rPr>
            </w:pPr>
            <w:r>
              <w:rPr>
                <w:rFonts w:hint="eastAsia"/>
              </w:rPr>
              <w:t>本项目所需主要原辅材料消耗及来源见下表</w:t>
            </w:r>
            <w:r>
              <w:rPr>
                <w:rFonts w:hint="eastAsia"/>
                <w:lang w:val="en-US" w:eastAsia="zh-CN"/>
              </w:rPr>
              <w:t>2-4。</w:t>
            </w:r>
          </w:p>
          <w:p>
            <w:pPr>
              <w:pStyle w:val="36"/>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表2-4    项目主要原辅材料、能源消耗和来源一览表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75"/>
              <w:gridCol w:w="1130"/>
              <w:gridCol w:w="1169"/>
              <w:gridCol w:w="1395"/>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序号</w:t>
                  </w:r>
                </w:p>
              </w:tc>
              <w:tc>
                <w:tcPr>
                  <w:tcW w:w="92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名称</w:t>
                  </w:r>
                </w:p>
              </w:tc>
              <w:tc>
                <w:tcPr>
                  <w:tcW w:w="71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单位</w:t>
                  </w:r>
                </w:p>
              </w:tc>
              <w:tc>
                <w:tcPr>
                  <w:tcW w:w="73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年耗量</w:t>
                  </w:r>
                </w:p>
              </w:tc>
              <w:tc>
                <w:tcPr>
                  <w:tcW w:w="87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来源</w:t>
                  </w:r>
                </w:p>
              </w:tc>
              <w:tc>
                <w:tcPr>
                  <w:tcW w:w="126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75"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1</w:t>
                  </w:r>
                </w:p>
              </w:tc>
              <w:tc>
                <w:tcPr>
                  <w:tcW w:w="92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水泥</w:t>
                  </w:r>
                </w:p>
              </w:tc>
              <w:tc>
                <w:tcPr>
                  <w:tcW w:w="71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t/a</w:t>
                  </w:r>
                </w:p>
              </w:tc>
              <w:tc>
                <w:tcPr>
                  <w:tcW w:w="73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4200</w:t>
                  </w:r>
                </w:p>
              </w:tc>
              <w:tc>
                <w:tcPr>
                  <w:tcW w:w="87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26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封闭式筒仓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475"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w:t>
                  </w:r>
                </w:p>
              </w:tc>
              <w:tc>
                <w:tcPr>
                  <w:tcW w:w="92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砂子</w:t>
                  </w:r>
                </w:p>
              </w:tc>
              <w:tc>
                <w:tcPr>
                  <w:tcW w:w="71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lang w:val="en-US" w:eastAsia="zh-CN"/>
                    </w:rPr>
                    <w:t>t/a</w:t>
                  </w:r>
                </w:p>
              </w:tc>
              <w:tc>
                <w:tcPr>
                  <w:tcW w:w="73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10500</w:t>
                  </w:r>
                </w:p>
              </w:tc>
              <w:tc>
                <w:tcPr>
                  <w:tcW w:w="87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26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rPr>
                  </w:pPr>
                  <w:r>
                    <w:rPr>
                      <w:rFonts w:hint="eastAsia"/>
                      <w:lang w:val="en-US" w:eastAsia="zh-CN"/>
                    </w:rPr>
                    <w:t>吨袋储存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w:t>
                  </w:r>
                </w:p>
              </w:tc>
              <w:tc>
                <w:tcPr>
                  <w:tcW w:w="92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匀质改性防火保温板</w:t>
                  </w:r>
                </w:p>
              </w:tc>
              <w:tc>
                <w:tcPr>
                  <w:tcW w:w="71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万m</w:t>
                  </w:r>
                  <w:r>
                    <w:rPr>
                      <w:rFonts w:hint="eastAsia"/>
                      <w:vertAlign w:val="superscript"/>
                      <w:lang w:val="en-US" w:eastAsia="zh-CN"/>
                    </w:rPr>
                    <w:t>2</w:t>
                  </w:r>
                  <w:r>
                    <w:rPr>
                      <w:rFonts w:hint="eastAsia"/>
                      <w:lang w:val="en-US" w:eastAsia="zh-CN"/>
                    </w:rPr>
                    <w:t>/a</w:t>
                  </w:r>
                </w:p>
              </w:tc>
              <w:tc>
                <w:tcPr>
                  <w:tcW w:w="73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60</w:t>
                  </w:r>
                </w:p>
              </w:tc>
              <w:tc>
                <w:tcPr>
                  <w:tcW w:w="87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26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购买成品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val="en-US" w:eastAsia="zh-CN"/>
                    </w:rPr>
                    <w:t>4</w:t>
                  </w:r>
                </w:p>
              </w:tc>
              <w:tc>
                <w:tcPr>
                  <w:tcW w:w="92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胶粉</w:t>
                  </w:r>
                </w:p>
              </w:tc>
              <w:tc>
                <w:tcPr>
                  <w:tcW w:w="71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lang w:val="en-US" w:eastAsia="zh-CN"/>
                    </w:rPr>
                    <w:t>t/a</w:t>
                  </w:r>
                </w:p>
              </w:tc>
              <w:tc>
                <w:tcPr>
                  <w:tcW w:w="73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105</w:t>
                  </w:r>
                </w:p>
              </w:tc>
              <w:tc>
                <w:tcPr>
                  <w:tcW w:w="87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26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val="en-US" w:eastAsia="zh-CN"/>
                    </w:rPr>
                    <w:t>5</w:t>
                  </w:r>
                </w:p>
              </w:tc>
              <w:tc>
                <w:tcPr>
                  <w:tcW w:w="92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纤维素</w:t>
                  </w:r>
                </w:p>
              </w:tc>
              <w:tc>
                <w:tcPr>
                  <w:tcW w:w="71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lang w:val="en-US" w:eastAsia="zh-CN"/>
                    </w:rPr>
                    <w:t>t/a</w:t>
                  </w:r>
                </w:p>
              </w:tc>
              <w:tc>
                <w:tcPr>
                  <w:tcW w:w="73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6.3</w:t>
                  </w:r>
                </w:p>
              </w:tc>
              <w:tc>
                <w:tcPr>
                  <w:tcW w:w="87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外购</w:t>
                  </w:r>
                </w:p>
              </w:tc>
              <w:tc>
                <w:tcPr>
                  <w:tcW w:w="126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val="en-US" w:eastAsia="zh-CN"/>
                    </w:rPr>
                    <w:t>6</w:t>
                  </w:r>
                </w:p>
              </w:tc>
              <w:tc>
                <w:tcPr>
                  <w:tcW w:w="92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耐碱玻纤网格布</w:t>
                  </w:r>
                </w:p>
              </w:tc>
              <w:tc>
                <w:tcPr>
                  <w:tcW w:w="71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万m</w:t>
                  </w:r>
                  <w:r>
                    <w:rPr>
                      <w:rFonts w:hint="eastAsia"/>
                      <w:vertAlign w:val="superscript"/>
                      <w:lang w:val="en-US" w:eastAsia="zh-CN"/>
                    </w:rPr>
                    <w:t>2</w:t>
                  </w:r>
                  <w:r>
                    <w:rPr>
                      <w:rFonts w:hint="default"/>
                      <w:lang w:val="en-US" w:eastAsia="zh-CN"/>
                    </w:rPr>
                    <w:t>/a</w:t>
                  </w:r>
                </w:p>
              </w:tc>
              <w:tc>
                <w:tcPr>
                  <w:tcW w:w="73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120</w:t>
                  </w:r>
                </w:p>
              </w:tc>
              <w:tc>
                <w:tcPr>
                  <w:tcW w:w="87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rPr>
                    <w:t>外购</w:t>
                  </w:r>
                </w:p>
              </w:tc>
              <w:tc>
                <w:tcPr>
                  <w:tcW w:w="126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w:t>
                  </w:r>
                </w:p>
              </w:tc>
              <w:tc>
                <w:tcPr>
                  <w:tcW w:w="92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lang w:val="en-US" w:eastAsia="zh-CN"/>
                    </w:rPr>
                  </w:pPr>
                  <w:r>
                    <w:rPr>
                      <w:rFonts w:hint="eastAsia"/>
                      <w:lang w:val="en-US" w:eastAsia="zh-CN"/>
                    </w:rPr>
                    <w:t>全厂用</w:t>
                  </w:r>
                  <w:r>
                    <w:t>电</w:t>
                  </w:r>
                  <w:r>
                    <w:rPr>
                      <w:rFonts w:hint="eastAsia"/>
                      <w:lang w:val="en-US" w:eastAsia="zh-CN"/>
                    </w:rPr>
                    <w:t>量</w:t>
                  </w:r>
                </w:p>
              </w:tc>
              <w:tc>
                <w:tcPr>
                  <w:tcW w:w="71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万</w:t>
                  </w:r>
                  <w:r>
                    <w:rPr>
                      <w:rFonts w:hint="eastAsia"/>
                    </w:rPr>
                    <w:t>kWh/年</w:t>
                  </w:r>
                </w:p>
              </w:tc>
              <w:tc>
                <w:tcPr>
                  <w:tcW w:w="73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40</w:t>
                  </w:r>
                </w:p>
              </w:tc>
              <w:tc>
                <w:tcPr>
                  <w:tcW w:w="87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园区供电</w:t>
                  </w:r>
                </w:p>
              </w:tc>
              <w:tc>
                <w:tcPr>
                  <w:tcW w:w="126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5"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8</w:t>
                  </w:r>
                </w:p>
              </w:tc>
              <w:tc>
                <w:tcPr>
                  <w:tcW w:w="92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全厂用水量</w:t>
                  </w:r>
                </w:p>
              </w:tc>
              <w:tc>
                <w:tcPr>
                  <w:tcW w:w="71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m</w:t>
                  </w:r>
                  <w:r>
                    <w:rPr>
                      <w:rFonts w:hint="eastAsia"/>
                      <w:highlight w:val="none"/>
                      <w:vertAlign w:val="superscript"/>
                      <w:lang w:val="en-US" w:eastAsia="zh-CN"/>
                    </w:rPr>
                    <w:t>3</w:t>
                  </w:r>
                  <w:r>
                    <w:rPr>
                      <w:rFonts w:hint="eastAsia"/>
                      <w:highlight w:val="none"/>
                      <w:lang w:val="en-US" w:eastAsia="zh-CN"/>
                    </w:rPr>
                    <w:t>/a</w:t>
                  </w:r>
                </w:p>
              </w:tc>
              <w:tc>
                <w:tcPr>
                  <w:tcW w:w="73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1716</w:t>
                  </w:r>
                </w:p>
              </w:tc>
              <w:tc>
                <w:tcPr>
                  <w:tcW w:w="879"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val="en-US" w:eastAsia="zh-CN"/>
                    </w:rPr>
                    <w:t>园区供水</w:t>
                  </w:r>
                </w:p>
              </w:tc>
              <w:tc>
                <w:tcPr>
                  <w:tcW w:w="126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w:t>
                  </w:r>
                </w:p>
              </w:tc>
            </w:tr>
          </w:tbl>
          <w:p>
            <w:pPr>
              <w:pStyle w:val="42"/>
              <w:keepNext w:val="0"/>
              <w:keepLines w:val="0"/>
              <w:suppressLineNumbers w:val="0"/>
              <w:bidi w:val="0"/>
              <w:spacing w:before="0" w:beforeAutospacing="0" w:after="0" w:afterAutospacing="0"/>
              <w:ind w:right="0"/>
              <w:rPr>
                <w:rFonts w:hint="eastAsia"/>
                <w:lang w:val="en-US" w:eastAsia="zh-CN"/>
              </w:rPr>
            </w:pPr>
            <w:r>
              <w:rPr>
                <w:rFonts w:hint="eastAsia"/>
                <w:lang w:val="en-US" w:eastAsia="zh-CN"/>
              </w:rPr>
              <w:t>本项目物料平衡表详见下表。</w:t>
            </w:r>
          </w:p>
          <w:p>
            <w:pPr>
              <w:pStyle w:val="50"/>
              <w:bidi w:val="0"/>
              <w:rPr>
                <w:rFonts w:hint="eastAsia"/>
                <w:lang w:val="en-US" w:eastAsia="zh-CN"/>
              </w:rPr>
            </w:pPr>
            <w:r>
              <w:rPr>
                <w:rFonts w:hint="eastAsia"/>
                <w:lang w:val="en-US" w:eastAsia="zh-CN"/>
              </w:rPr>
              <w:t>表2-5    物料平衡表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2020"/>
              <w:gridCol w:w="2111"/>
              <w:gridCol w:w="1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0" w:type="pct"/>
                  <w:gridSpan w:val="2"/>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投入</w:t>
                  </w:r>
                </w:p>
              </w:tc>
              <w:tc>
                <w:tcPr>
                  <w:tcW w:w="2349" w:type="pct"/>
                  <w:gridSpan w:val="2"/>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名称</w:t>
                  </w:r>
                </w:p>
              </w:tc>
              <w:tc>
                <w:tcPr>
                  <w:tcW w:w="1273"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年消耗量</w:t>
                  </w:r>
                </w:p>
              </w:tc>
              <w:tc>
                <w:tcPr>
                  <w:tcW w:w="1330"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名称</w:t>
                  </w:r>
                </w:p>
              </w:tc>
              <w:tc>
                <w:tcPr>
                  <w:tcW w:w="1018"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水泥</w:t>
                  </w:r>
                </w:p>
              </w:tc>
              <w:tc>
                <w:tcPr>
                  <w:tcW w:w="1273"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4200t/a</w:t>
                  </w:r>
                </w:p>
              </w:tc>
              <w:tc>
                <w:tcPr>
                  <w:tcW w:w="1330" w:type="pct"/>
                  <w:vMerge w:val="restar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复合保温外模板</w:t>
                  </w:r>
                </w:p>
              </w:tc>
              <w:tc>
                <w:tcPr>
                  <w:tcW w:w="1018" w:type="pct"/>
                  <w:vMerge w:val="restart"/>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lang w:val="en-US" w:eastAsia="zh-CN"/>
                    </w:rPr>
                  </w:pPr>
                  <w:r>
                    <w:rPr>
                      <w:rFonts w:hint="eastAsia"/>
                      <w:lang w:val="en-US" w:eastAsia="zh-CN"/>
                    </w:rPr>
                    <w:t>60万平方米</w:t>
                  </w:r>
                  <w:r>
                    <w:rPr>
                      <w:rFonts w:hint="eastAsia"/>
                      <w:lang w:eastAsia="zh-CN"/>
                    </w:rPr>
                    <w:t>（</w:t>
                  </w:r>
                  <w:r>
                    <w:rPr>
                      <w:rFonts w:hint="eastAsia"/>
                      <w:lang w:val="en-US" w:eastAsia="zh-CN"/>
                    </w:rPr>
                    <w:t>19585.56t/a</w:t>
                  </w:r>
                  <w:r>
                    <w:rPr>
                      <w:rFonts w:hint="eastAsia"/>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rPr>
                    <w:t>砂子</w:t>
                  </w:r>
                </w:p>
              </w:tc>
              <w:tc>
                <w:tcPr>
                  <w:tcW w:w="1273"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10500t/a</w:t>
                  </w:r>
                </w:p>
              </w:tc>
              <w:tc>
                <w:tcPr>
                  <w:tcW w:w="1330" w:type="pct"/>
                  <w:vMerge w:val="continue"/>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p>
              </w:tc>
              <w:tc>
                <w:tcPr>
                  <w:tcW w:w="1018" w:type="pct"/>
                  <w:vMerge w:val="continue"/>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7"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匀质改性防火保温板</w:t>
                  </w:r>
                </w:p>
              </w:tc>
              <w:tc>
                <w:tcPr>
                  <w:tcW w:w="1273"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60万m</w:t>
                  </w:r>
                  <w:r>
                    <w:rPr>
                      <w:rFonts w:hint="eastAsia"/>
                      <w:vertAlign w:val="superscript"/>
                      <w:lang w:val="en-US" w:eastAsia="zh-CN"/>
                    </w:rPr>
                    <w:t>2</w:t>
                  </w:r>
                  <w:r>
                    <w:rPr>
                      <w:rFonts w:hint="eastAsia"/>
                      <w:lang w:val="en-US" w:eastAsia="zh-CN"/>
                    </w:rPr>
                    <w:t>/a（3060t/a）</w:t>
                  </w:r>
                </w:p>
              </w:tc>
              <w:tc>
                <w:tcPr>
                  <w:tcW w:w="1330" w:type="pct"/>
                  <w:vMerge w:val="continue"/>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p>
              </w:tc>
              <w:tc>
                <w:tcPr>
                  <w:tcW w:w="1018" w:type="pct"/>
                  <w:vMerge w:val="continue"/>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胶粉</w:t>
                  </w:r>
                </w:p>
              </w:tc>
              <w:tc>
                <w:tcPr>
                  <w:tcW w:w="1273"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105t/a</w:t>
                  </w:r>
                </w:p>
              </w:tc>
              <w:tc>
                <w:tcPr>
                  <w:tcW w:w="1330" w:type="pct"/>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废气</w:t>
                  </w:r>
                </w:p>
              </w:tc>
              <w:tc>
                <w:tcPr>
                  <w:tcW w:w="1018" w:type="pct"/>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2.54t/a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纤维素</w:t>
                  </w:r>
                </w:p>
              </w:tc>
              <w:tc>
                <w:tcPr>
                  <w:tcW w:w="1273"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6.3t/a</w:t>
                  </w:r>
                </w:p>
              </w:tc>
              <w:tc>
                <w:tcPr>
                  <w:tcW w:w="1330" w:type="pct"/>
                  <w:vMerge w:val="restart"/>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沉淀池沉渣</w:t>
                  </w:r>
                </w:p>
              </w:tc>
              <w:tc>
                <w:tcPr>
                  <w:tcW w:w="1018" w:type="pct"/>
                  <w:vMerge w:val="restart"/>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耐碱玻纤网格布</w:t>
                  </w:r>
                </w:p>
              </w:tc>
              <w:tc>
                <w:tcPr>
                  <w:tcW w:w="1273"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120万m</w:t>
                  </w:r>
                  <w:r>
                    <w:rPr>
                      <w:rFonts w:hint="eastAsia"/>
                      <w:vertAlign w:val="superscript"/>
                      <w:lang w:val="en-US" w:eastAsia="zh-CN"/>
                    </w:rPr>
                    <w:t>2</w:t>
                  </w:r>
                  <w:r>
                    <w:rPr>
                      <w:rFonts w:hint="eastAsia"/>
                      <w:lang w:val="en-US" w:eastAsia="zh-CN"/>
                    </w:rPr>
                    <w:t>/a（192t/a）</w:t>
                  </w:r>
                </w:p>
              </w:tc>
              <w:tc>
                <w:tcPr>
                  <w:tcW w:w="1330" w:type="pct"/>
                  <w:vMerge w:val="continue"/>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p>
              </w:tc>
              <w:tc>
                <w:tcPr>
                  <w:tcW w:w="1018" w:type="pct"/>
                  <w:vMerge w:val="continue"/>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pct"/>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green"/>
                      <w:lang w:val="en-US" w:eastAsia="zh-CN"/>
                    </w:rPr>
                  </w:pPr>
                  <w:r>
                    <w:rPr>
                      <w:rFonts w:hint="eastAsia"/>
                      <w:highlight w:val="none"/>
                      <w:lang w:val="en-US" w:eastAsia="zh-CN"/>
                    </w:rPr>
                    <w:t>砂浆配制水</w:t>
                  </w:r>
                </w:p>
              </w:tc>
              <w:tc>
                <w:tcPr>
                  <w:tcW w:w="1273" w:type="pct"/>
                  <w:vAlign w:val="center"/>
                </w:tcPr>
                <w:p>
                  <w:pPr>
                    <w:pStyle w:val="34"/>
                    <w:keepLines w:val="0"/>
                    <w:pageBreakBefore w:val="0"/>
                    <w:kinsoku/>
                    <w:wordWrap/>
                    <w:topLinePunct w:val="0"/>
                    <w:autoSpaceDE/>
                    <w:autoSpaceDN/>
                    <w:bidi w:val="0"/>
                    <w:spacing w:beforeAutospacing="0" w:afterAutospacing="0"/>
                    <w:textAlignment w:val="auto"/>
                    <w:rPr>
                      <w:rFonts w:hint="default"/>
                      <w:highlight w:val="green"/>
                      <w:lang w:val="en-US" w:eastAsia="zh-CN"/>
                    </w:rPr>
                  </w:pPr>
                  <w:r>
                    <w:rPr>
                      <w:rFonts w:hint="eastAsia"/>
                      <w:lang w:val="en-US" w:eastAsia="zh-CN"/>
                    </w:rPr>
                    <w:t>1530t</w:t>
                  </w:r>
                  <w:r>
                    <w:rPr>
                      <w:rFonts w:hint="default"/>
                      <w:lang w:val="en-US" w:eastAsia="zh-CN"/>
                    </w:rPr>
                    <w:t>/a</w:t>
                  </w:r>
                </w:p>
              </w:tc>
              <w:tc>
                <w:tcPr>
                  <w:tcW w:w="1330" w:type="pct"/>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边角料及不合格产品</w:t>
                  </w:r>
                </w:p>
              </w:tc>
              <w:tc>
                <w:tcPr>
                  <w:tcW w:w="1018" w:type="pct"/>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 w:val="21"/>
                      <w:szCs w:val="21"/>
                      <w:lang w:val="en-US" w:eastAsia="zh-CN" w:bidi="ar-SA"/>
                    </w:rPr>
                  </w:pPr>
                  <w:r>
                    <w:rPr>
                      <w:rFonts w:hint="eastAsia"/>
                      <w:lang w:val="en-US" w:eastAsia="zh-CN"/>
                    </w:rPr>
                    <w:t>5t/a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pct"/>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合计</w:t>
                  </w:r>
                </w:p>
              </w:tc>
              <w:tc>
                <w:tcPr>
                  <w:tcW w:w="1273" w:type="pct"/>
                  <w:vAlign w:val="center"/>
                </w:tcPr>
                <w:p>
                  <w:pPr>
                    <w:pStyle w:val="34"/>
                    <w:keepLines w:val="0"/>
                    <w:pageBreakBefore w:val="0"/>
                    <w:kinsoku/>
                    <w:wordWrap/>
                    <w:topLinePunct w:val="0"/>
                    <w:autoSpaceDE/>
                    <w:autoSpaceDN/>
                    <w:bidi w:val="0"/>
                    <w:spacing w:beforeAutospacing="0" w:afterAutospacing="0"/>
                    <w:textAlignment w:val="auto"/>
                    <w:rPr>
                      <w:rFonts w:hint="default"/>
                      <w:highlight w:val="green"/>
                      <w:lang w:val="en-US" w:eastAsia="zh-CN"/>
                    </w:rPr>
                  </w:pPr>
                  <w:r>
                    <w:rPr>
                      <w:rFonts w:hint="eastAsia"/>
                      <w:highlight w:val="none"/>
                      <w:lang w:val="en-US" w:eastAsia="zh-CN"/>
                    </w:rPr>
                    <w:t>19593.3t/a</w:t>
                  </w:r>
                </w:p>
              </w:tc>
              <w:tc>
                <w:tcPr>
                  <w:tcW w:w="1330" w:type="pct"/>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合计</w:t>
                  </w:r>
                </w:p>
              </w:tc>
              <w:tc>
                <w:tcPr>
                  <w:tcW w:w="1018" w:type="pct"/>
                  <w:shd w:val="clear" w:color="auto" w:fill="auto"/>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19593.3t/a</w:t>
                  </w:r>
                </w:p>
              </w:tc>
            </w:tr>
          </w:tbl>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本项目原辅材料理化性质详见下表。</w:t>
            </w:r>
          </w:p>
          <w:p>
            <w:pPr>
              <w:pStyle w:val="36"/>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表2-6    原辅料理化性质一览表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900"/>
              <w:gridCol w:w="6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序号</w:t>
                  </w:r>
                </w:p>
              </w:tc>
              <w:tc>
                <w:tcPr>
                  <w:tcW w:w="567"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名称</w:t>
                  </w:r>
                </w:p>
              </w:tc>
              <w:tc>
                <w:tcPr>
                  <w:tcW w:w="40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w:t>
                  </w:r>
                </w:p>
              </w:tc>
              <w:tc>
                <w:tcPr>
                  <w:tcW w:w="567"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水泥</w:t>
                  </w:r>
                </w:p>
              </w:tc>
              <w:tc>
                <w:tcPr>
                  <w:tcW w:w="4010" w:type="pct"/>
                  <w:noWrap w:val="0"/>
                  <w:vAlign w:val="center"/>
                </w:tcPr>
                <w:p>
                  <w:pPr>
                    <w:pStyle w:val="34"/>
                    <w:keepLines w:val="0"/>
                    <w:pageBreakBefore w:val="0"/>
                    <w:kinsoku/>
                    <w:wordWrap/>
                    <w:topLinePunct w:val="0"/>
                    <w:autoSpaceDE/>
                    <w:autoSpaceDN/>
                    <w:bidi w:val="0"/>
                    <w:spacing w:beforeAutospacing="0" w:afterAutospacing="0"/>
                    <w:jc w:val="both"/>
                    <w:textAlignment w:val="auto"/>
                    <w:rPr>
                      <w:rFonts w:hint="eastAsia"/>
                      <w:lang w:eastAsia="zh-CN"/>
                    </w:rPr>
                  </w:pPr>
                  <w:r>
                    <w:rPr>
                      <w:rFonts w:hint="eastAsia"/>
                    </w:rPr>
                    <w:t>水泥品种是以水泥的性能为依据划分的。我国常用的水泥都是硅酸盐系列水泥，主要是通过调整硅酸盐水泥熟料，合理掺入不同品种、不同数量的混合材料而划分的。硅酸盐水泥熟料中主要矿物有硅酸三钙、硅酸二钙、铝酸三钙和铁铝酸四钙四种。水泥的性质主要由熟料的矿物组成和矿物结构、混合材料的质量和数量、石膏掺量、粉磨细度等决定的。所以不同生产厂和不同生产方式的水泥，其性质是不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w:t>
                  </w:r>
                </w:p>
              </w:tc>
              <w:tc>
                <w:tcPr>
                  <w:tcW w:w="567" w:type="pct"/>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匀质改性防火保温板</w:t>
                  </w:r>
                </w:p>
              </w:tc>
              <w:tc>
                <w:tcPr>
                  <w:tcW w:w="4010" w:type="pct"/>
                  <w:shd w:val="clear" w:color="auto" w:fill="auto"/>
                  <w:noWrap w:val="0"/>
                  <w:vAlign w:val="center"/>
                </w:tcPr>
                <w:p>
                  <w:pPr>
                    <w:pStyle w:val="34"/>
                    <w:keepLines w:val="0"/>
                    <w:pageBreakBefore w:val="0"/>
                    <w:kinsoku/>
                    <w:wordWrap/>
                    <w:topLinePunct w:val="0"/>
                    <w:autoSpaceDE/>
                    <w:autoSpaceDN/>
                    <w:bidi w:val="0"/>
                    <w:spacing w:beforeAutospacing="0" w:afterAutospacing="0"/>
                    <w:jc w:val="both"/>
                    <w:textAlignment w:val="auto"/>
                    <w:rPr>
                      <w:rFonts w:hint="eastAsia"/>
                      <w:lang w:val="en-US" w:eastAsia="zh-CN"/>
                    </w:rPr>
                  </w:pPr>
                  <w:r>
                    <w:rPr>
                      <w:rFonts w:hint="eastAsia"/>
                      <w:lang w:val="en-US" w:eastAsia="zh-CN"/>
                    </w:rPr>
                    <w:t>原材料为可发性聚苯乙烯树脂，为白色珠状颗粒，相对密度1.05。热导率低，吸水率小。耐冲击振动、隔热、隔音、防潮、减振。介电性能优良。溶于丙酮、醋酸乙酯、苯、甲苯、二氯乙烷、氯仿、不溶于乙醇、正己烷、环己烷、溶剂汽油等。可发性聚苯乙烯树脂是聚苯乙烯（PS）的硬质蜂窝状泡沫物，有良好隔热性和振动吸收作用，高压缩强度，很轻重量和抗湿性，可发性聚苯乙烯树脂制得的制品具有防震、抗冲击、保湿隔热功能，是一种普通常用包装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w:t>
                  </w:r>
                </w:p>
              </w:tc>
              <w:tc>
                <w:tcPr>
                  <w:tcW w:w="567" w:type="pct"/>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胶粉</w:t>
                  </w:r>
                </w:p>
              </w:tc>
              <w:tc>
                <w:tcPr>
                  <w:tcW w:w="4010" w:type="pct"/>
                  <w:shd w:val="clear" w:color="auto" w:fill="auto"/>
                  <w:noWrap w:val="0"/>
                  <w:vAlign w:val="center"/>
                </w:tcPr>
                <w:p>
                  <w:pPr>
                    <w:pStyle w:val="34"/>
                    <w:keepLines w:val="0"/>
                    <w:pageBreakBefore w:val="0"/>
                    <w:kinsoku/>
                    <w:wordWrap/>
                    <w:topLinePunct w:val="0"/>
                    <w:autoSpaceDE/>
                    <w:autoSpaceDN/>
                    <w:bidi w:val="0"/>
                    <w:spacing w:beforeAutospacing="0" w:afterAutospacing="0"/>
                    <w:jc w:val="both"/>
                    <w:textAlignment w:val="auto"/>
                    <w:rPr>
                      <w:rFonts w:hint="default"/>
                      <w:lang w:val="en-US" w:eastAsia="zh-CN"/>
                    </w:rPr>
                  </w:pPr>
                  <w:r>
                    <w:rPr>
                      <w:rFonts w:hint="eastAsia"/>
                      <w:lang w:val="zh-CN"/>
                    </w:rPr>
                    <w:t>胶粉为高分子聚合物粉末，用于增强砂浆粘性，主要成分为聚乙烯醇或可再分散乳胶粉，外观为白色粉末，溶于水。胶粉为可再分散乳胶粉，主要成分为乙烯-醋酸乙烯共聚物（EVA），外观为白色粉末，溶于水，用于增强砂浆粘结性</w:t>
                  </w:r>
                  <w:r>
                    <w:rPr>
                      <w:rFonts w:hint="eastAsia"/>
                      <w:lang w:val="en-US" w:eastAsia="zh-CN"/>
                    </w:rPr>
                    <w:t>.</w:t>
                  </w:r>
                  <w:r>
                    <w:rPr>
                      <w:rFonts w:hint="eastAsia"/>
                      <w:lang w:val="zh-CN"/>
                    </w:rPr>
                    <w:t>其分子量为1万—10万，含18种氨基酸，水分和无机盐含量在16%以下，</w:t>
                  </w:r>
                  <w:r>
                    <w:rPr>
                      <w:rFonts w:hint="eastAsia"/>
                      <w:lang w:val="en-US" w:eastAsia="zh-CN"/>
                    </w:rPr>
                    <w:t>蛋白质含量在</w:t>
                  </w:r>
                  <w:r>
                    <w:rPr>
                      <w:rFonts w:hint="eastAsia"/>
                      <w:lang w:val="zh-CN"/>
                    </w:rPr>
                    <w:t>82%以上，是一种理想的蛋白源。产品被广泛应用于感光材料、医药、家具、包装、造纸、纺织、印染、印刷、陶瓷、日化、食品、涂料、冶金等行业的各种产品中，并在其中主要起增稠、稳定、凝聚、调和、上光、上浆、粘合、固水等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4</w:t>
                  </w:r>
                </w:p>
              </w:tc>
              <w:tc>
                <w:tcPr>
                  <w:tcW w:w="567" w:type="pct"/>
                  <w:shd w:val="clear" w:color="auto" w:fill="auto"/>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纤维素</w:t>
                  </w:r>
                </w:p>
              </w:tc>
              <w:tc>
                <w:tcPr>
                  <w:tcW w:w="4010" w:type="pct"/>
                  <w:shd w:val="clear" w:color="auto" w:fill="auto"/>
                  <w:noWrap w:val="0"/>
                  <w:vAlign w:val="center"/>
                </w:tcPr>
                <w:p>
                  <w:pPr>
                    <w:pStyle w:val="34"/>
                    <w:keepLines w:val="0"/>
                    <w:pageBreakBefore w:val="0"/>
                    <w:kinsoku/>
                    <w:wordWrap/>
                    <w:topLinePunct w:val="0"/>
                    <w:autoSpaceDE/>
                    <w:autoSpaceDN/>
                    <w:bidi w:val="0"/>
                    <w:spacing w:beforeAutospacing="0" w:afterAutospacing="0"/>
                    <w:jc w:val="both"/>
                    <w:textAlignment w:val="auto"/>
                    <w:rPr>
                      <w:rFonts w:hint="eastAsia"/>
                      <w:lang w:val="en-US" w:eastAsia="zh-CN"/>
                    </w:rPr>
                  </w:pPr>
                  <w:r>
                    <w:rPr>
                      <w:rFonts w:hint="eastAsia"/>
                      <w:lang w:val="zh-CN"/>
                    </w:rPr>
                    <w:t>是一</w:t>
                  </w:r>
                  <w:r>
                    <w:rPr>
                      <w:rFonts w:hint="eastAsia"/>
                    </w:rPr>
                    <w:t>种</w:t>
                  </w:r>
                  <w:r>
                    <w:rPr>
                      <w:rFonts w:hint="eastAsia"/>
                      <w:lang w:val="zh-CN"/>
                    </w:rPr>
                    <w:t>有机化合物，其化学通式为(C</w:t>
                  </w:r>
                  <w:r>
                    <w:rPr>
                      <w:rFonts w:hint="eastAsia"/>
                      <w:vertAlign w:val="subscript"/>
                      <w:lang w:val="zh-CN"/>
                    </w:rPr>
                    <w:t>6</w:t>
                  </w:r>
                  <w:r>
                    <w:rPr>
                      <w:rFonts w:hint="eastAsia"/>
                      <w:lang w:val="zh-CN"/>
                    </w:rPr>
                    <w:t>H</w:t>
                  </w:r>
                  <w:r>
                    <w:rPr>
                      <w:rFonts w:hint="eastAsia"/>
                      <w:vertAlign w:val="subscript"/>
                      <w:lang w:val="zh-CN"/>
                    </w:rPr>
                    <w:t>10</w:t>
                  </w:r>
                  <w:r>
                    <w:rPr>
                      <w:rFonts w:hint="eastAsia"/>
                      <w:lang w:val="zh-CN"/>
                    </w:rPr>
                    <w:t>O</w:t>
                  </w:r>
                  <w:r>
                    <w:rPr>
                      <w:rFonts w:hint="eastAsia"/>
                      <w:vertAlign w:val="subscript"/>
                      <w:lang w:val="zh-CN"/>
                    </w:rPr>
                    <w:t>5</w:t>
                  </w:r>
                  <w:r>
                    <w:rPr>
                      <w:rFonts w:hint="eastAsia"/>
                      <w:lang w:val="zh-CN"/>
                    </w:rPr>
                    <w:t>)</w:t>
                  </w:r>
                  <w:r>
                    <w:rPr>
                      <w:rFonts w:hint="eastAsia"/>
                      <w:vertAlign w:val="subscript"/>
                      <w:lang w:val="zh-CN"/>
                    </w:rPr>
                    <w:t>n</w:t>
                  </w:r>
                  <w:r>
                    <w:rPr>
                      <w:rFonts w:hint="eastAsia"/>
                      <w:lang w:val="zh-CN"/>
                    </w:rPr>
                    <w:t>，无味、无臭、不溶于水、稀酸、稀碱和有机溶剂，但在加热的条件下会被酸水解，主要的生物学功能是构成植物的支持组织。</w:t>
                  </w:r>
                </w:p>
              </w:tc>
            </w:tr>
          </w:tbl>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8.劳动定员及工作制度</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劳动定员：本项目新增劳动定员6人，均在厂区内食宿。</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生产制度：年工作300天，每天一班工作制，每班运行8h，年运行时数为2400小时。</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9.厂区平面布置</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项目占地面积为1500m</w:t>
            </w:r>
            <w:r>
              <w:rPr>
                <w:rFonts w:hint="eastAsia"/>
                <w:vertAlign w:val="superscript"/>
                <w:lang w:val="en-US" w:eastAsia="zh-CN"/>
              </w:rPr>
              <w:t>2</w:t>
            </w:r>
            <w:r>
              <w:rPr>
                <w:rFonts w:hint="eastAsia"/>
                <w:lang w:val="en-US" w:eastAsia="zh-CN"/>
              </w:rPr>
              <w:t>，生产区位于厂区的南侧，办公生活区位于厂区的西北侧。</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本项目分区明确，总平面布置较好地满足了工艺流程的顺畅性，车间布置紧凑，运输流畅，方便生产；在采取有效的治理措施后，生产废气和设备运转噪声对办公生活区的影响较小</w:t>
            </w:r>
            <w:r>
              <w:rPr>
                <w:rFonts w:hint="eastAsia"/>
                <w:lang w:eastAsia="zh-CN"/>
              </w:rPr>
              <w:t>。</w:t>
            </w:r>
            <w:r>
              <w:rPr>
                <w:rFonts w:hint="eastAsia"/>
                <w:lang w:val="en-US" w:eastAsia="zh-CN"/>
              </w:rPr>
              <w:t>厂区平面布置图见</w:t>
            </w:r>
            <w:r>
              <w:rPr>
                <w:rFonts w:hint="eastAsia"/>
                <w:highlight w:val="none"/>
                <w:lang w:val="en-US" w:eastAsia="zh-CN"/>
              </w:rPr>
              <w:t>附图</w:t>
            </w:r>
            <w:r>
              <w:rPr>
                <w:rFonts w:hint="eastAsia"/>
                <w:lang w:val="en-US" w:eastAsia="zh-CN"/>
              </w:rPr>
              <w:t>。</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10.公用工程</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10.1给排水工程</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（1）给水</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本项目用水主要为员工生活用水和生产用水，供水</w:t>
            </w:r>
            <w:r>
              <w:rPr>
                <w:rFonts w:hint="default"/>
                <w:lang w:val="en-US" w:eastAsia="zh-CN"/>
              </w:rPr>
              <w:t>由</w:t>
            </w:r>
            <w:r>
              <w:rPr>
                <w:rFonts w:hint="eastAsia"/>
                <w:lang w:val="en-US" w:eastAsia="zh-CN"/>
              </w:rPr>
              <w:t>园区供水管网提供。</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生活用水：</w:t>
            </w:r>
            <w:r>
              <w:rPr>
                <w:rFonts w:hint="default"/>
                <w:lang w:val="en-US" w:eastAsia="zh-CN"/>
              </w:rPr>
              <w:t>项目运营期</w:t>
            </w:r>
            <w:r>
              <w:rPr>
                <w:rFonts w:hint="default"/>
                <w:highlight w:val="none"/>
                <w:lang w:val="en-US" w:eastAsia="zh-CN"/>
              </w:rPr>
              <w:t>劳动定员</w:t>
            </w:r>
            <w:r>
              <w:rPr>
                <w:rFonts w:hint="eastAsia"/>
                <w:highlight w:val="none"/>
                <w:lang w:val="en-US" w:eastAsia="zh-CN"/>
              </w:rPr>
              <w:t>6</w:t>
            </w:r>
            <w:r>
              <w:rPr>
                <w:rFonts w:hint="default"/>
                <w:highlight w:val="none"/>
                <w:lang w:val="en-US" w:eastAsia="zh-CN"/>
              </w:rPr>
              <w:t>人</w:t>
            </w:r>
            <w:r>
              <w:rPr>
                <w:rFonts w:hint="default"/>
                <w:lang w:val="en-US" w:eastAsia="zh-CN"/>
              </w:rPr>
              <w:t>，年工作</w:t>
            </w:r>
            <w:r>
              <w:rPr>
                <w:rFonts w:hint="eastAsia"/>
                <w:lang w:val="en-US" w:eastAsia="zh-CN"/>
              </w:rPr>
              <w:t>300</w:t>
            </w:r>
            <w:r>
              <w:rPr>
                <w:rFonts w:hint="default"/>
                <w:lang w:val="en-US" w:eastAsia="zh-CN"/>
              </w:rPr>
              <w:t>d</w:t>
            </w:r>
            <w:r>
              <w:rPr>
                <w:rFonts w:hint="eastAsia"/>
                <w:lang w:val="en-US" w:eastAsia="zh-CN"/>
              </w:rPr>
              <w:t>，根据《新疆维吾尔自治区生活用水定额》，生活用水定额取70L/人·d计，则职工生活用水量为0.42m</w:t>
            </w:r>
            <w:r>
              <w:rPr>
                <w:rFonts w:hint="eastAsia"/>
                <w:vertAlign w:val="superscript"/>
                <w:lang w:val="en-US" w:eastAsia="zh-CN"/>
              </w:rPr>
              <w:t>3</w:t>
            </w:r>
            <w:r>
              <w:rPr>
                <w:rFonts w:hint="eastAsia"/>
                <w:lang w:val="en-US" w:eastAsia="zh-CN"/>
              </w:rPr>
              <w:t>/d（126m</w:t>
            </w:r>
            <w:r>
              <w:rPr>
                <w:rFonts w:hint="eastAsia"/>
                <w:vertAlign w:val="superscript"/>
                <w:lang w:val="en-US" w:eastAsia="zh-CN"/>
              </w:rPr>
              <w:t>3</w:t>
            </w:r>
            <w:r>
              <w:rPr>
                <w:rFonts w:hint="eastAsia"/>
                <w:lang w:val="en-US" w:eastAsia="zh-CN"/>
              </w:rPr>
              <w:t>/a）。</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生产用水：①砂浆搅拌用水：本项目生产过程中砂浆需要加水进行搅拌，本项目砂浆搅拌用水量为5m</w:t>
            </w:r>
            <w:r>
              <w:rPr>
                <w:rFonts w:hint="eastAsia"/>
                <w:vertAlign w:val="superscript"/>
                <w:lang w:val="en-US" w:eastAsia="zh-CN"/>
              </w:rPr>
              <w:t>3</w:t>
            </w:r>
            <w:r>
              <w:rPr>
                <w:rFonts w:hint="eastAsia"/>
                <w:lang w:val="en-US" w:eastAsia="zh-CN"/>
              </w:rPr>
              <w:t>/d（1500m</w:t>
            </w:r>
            <w:r>
              <w:rPr>
                <w:rFonts w:hint="eastAsia"/>
                <w:vertAlign w:val="superscript"/>
                <w:lang w:val="en-US" w:eastAsia="zh-CN"/>
              </w:rPr>
              <w:t>3</w:t>
            </w:r>
            <w:r>
              <w:rPr>
                <w:rFonts w:hint="eastAsia"/>
                <w:lang w:val="en-US" w:eastAsia="zh-CN"/>
              </w:rPr>
              <w:t>/a）。②砂浆搅拌设备清洗用水：砂浆搅拌设备在停止生产后，为利于下次生产，搅拌机需要清洗干净，根据业主提供资料，本项目砂浆搅拌设备每班结束后清洗，清洗用水量约为0.1m³/次，则抗裂砂浆搅拌设备清洗用水量为30m</w:t>
            </w:r>
            <w:r>
              <w:rPr>
                <w:rFonts w:hint="eastAsia"/>
                <w:vertAlign w:val="superscript"/>
                <w:lang w:val="en-US" w:eastAsia="zh-CN"/>
              </w:rPr>
              <w:t>3</w:t>
            </w:r>
            <w:r>
              <w:rPr>
                <w:rFonts w:hint="eastAsia"/>
                <w:lang w:val="en-US" w:eastAsia="zh-CN"/>
              </w:rPr>
              <w:t>/a。③湿式切割打孔用水：本项目保温板生产加工自然养护完成后，需要按照客户需求进行切割，打孔。采用湿式切割及打孔法，可以避免粉尘的产生。根据类比同类型项目可知，湿式切割及打孔用水量约为0.5m</w:t>
            </w:r>
            <w:r>
              <w:rPr>
                <w:rFonts w:hint="eastAsia"/>
                <w:vertAlign w:val="superscript"/>
                <w:lang w:val="en-US" w:eastAsia="zh-CN"/>
              </w:rPr>
              <w:t>3</w:t>
            </w:r>
            <w:r>
              <w:rPr>
                <w:rFonts w:hint="eastAsia"/>
                <w:lang w:val="en-US" w:eastAsia="zh-CN"/>
              </w:rPr>
              <w:t>/d，则湿式切割及打孔用水量为150m</w:t>
            </w:r>
            <w:r>
              <w:rPr>
                <w:rFonts w:hint="eastAsia"/>
                <w:vertAlign w:val="superscript"/>
                <w:lang w:val="en-US" w:eastAsia="zh-CN"/>
              </w:rPr>
              <w:t>3</w:t>
            </w:r>
            <w:r>
              <w:rPr>
                <w:rFonts w:hint="eastAsia"/>
                <w:lang w:val="en-US" w:eastAsia="zh-CN"/>
              </w:rPr>
              <w:t>/a。湿式切割及打孔用水经沉淀后循环使用，补水量以总用水量的40%计，补水量为0.2m</w:t>
            </w:r>
            <w:r>
              <w:rPr>
                <w:rFonts w:hint="eastAsia"/>
                <w:vertAlign w:val="superscript"/>
                <w:lang w:val="en-US" w:eastAsia="zh-CN"/>
              </w:rPr>
              <w:t>3</w:t>
            </w:r>
            <w:r>
              <w:rPr>
                <w:rFonts w:hint="eastAsia"/>
                <w:lang w:val="en-US" w:eastAsia="zh-CN"/>
              </w:rPr>
              <w:t>/d（60m</w:t>
            </w:r>
            <w:r>
              <w:rPr>
                <w:rFonts w:hint="eastAsia"/>
                <w:vertAlign w:val="superscript"/>
                <w:lang w:val="en-US" w:eastAsia="zh-CN"/>
              </w:rPr>
              <w:t>3</w:t>
            </w:r>
            <w:r>
              <w:rPr>
                <w:rFonts w:hint="eastAsia"/>
                <w:lang w:val="en-US" w:eastAsia="zh-CN"/>
              </w:rPr>
              <w:t>/a）。</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（2）排水</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生活污水：生活污水产污系数按0.8计，则废水排放量为0.336m</w:t>
            </w:r>
            <w:r>
              <w:rPr>
                <w:rFonts w:hint="eastAsia"/>
                <w:vertAlign w:val="superscript"/>
                <w:lang w:val="en-US" w:eastAsia="zh-CN"/>
              </w:rPr>
              <w:t>3</w:t>
            </w:r>
            <w:r>
              <w:rPr>
                <w:rFonts w:hint="eastAsia"/>
                <w:lang w:val="en-US" w:eastAsia="zh-CN"/>
              </w:rPr>
              <w:t>/d（100.8m</w:t>
            </w:r>
            <w:r>
              <w:rPr>
                <w:rFonts w:hint="eastAsia"/>
                <w:vertAlign w:val="superscript"/>
                <w:lang w:val="en-US" w:eastAsia="zh-CN"/>
              </w:rPr>
              <w:t>3</w:t>
            </w:r>
            <w:r>
              <w:rPr>
                <w:rFonts w:hint="eastAsia"/>
                <w:lang w:val="en-US" w:eastAsia="zh-CN"/>
              </w:rPr>
              <w:t>/a）。本项目生活污水经化粪池预处理后通过园区污水管网排入铁门关市污水处理厂。</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生产废水：砂浆搅拌用水，全部进入产品，不外排。砂浆搅拌设备清洗水回用于产品，不外排。湿式切割打孔用水补水量以总用水量的40%计，为60m</w:t>
            </w:r>
            <w:r>
              <w:rPr>
                <w:rFonts w:hint="eastAsia"/>
                <w:vertAlign w:val="superscript"/>
                <w:lang w:val="en-US" w:eastAsia="zh-CN"/>
              </w:rPr>
              <w:t>3</w:t>
            </w:r>
            <w:r>
              <w:rPr>
                <w:rFonts w:hint="eastAsia"/>
                <w:lang w:val="en-US" w:eastAsia="zh-CN"/>
              </w:rPr>
              <w:t>/a。切割打孔用水经沉淀收集后，循环利用，不外排。</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本项目水平衡图见图2-1。</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ind w:left="0" w:leftChars="0" w:firstLine="0" w:firstLineChars="0"/>
              <w:textAlignment w:val="auto"/>
              <w:rPr>
                <w:rFonts w:hint="default"/>
                <w:lang w:val="en-US" w:eastAsia="zh-CN"/>
              </w:rPr>
            </w:pPr>
          </w:p>
          <w:p>
            <w:pPr>
              <w:keepNext w:val="0"/>
              <w:keepLines w:val="0"/>
              <w:pageBreakBefore w:val="0"/>
              <w:suppressLineNumbers w:val="0"/>
              <w:kinsoku/>
              <w:wordWrap/>
              <w:topLinePunct w:val="0"/>
              <w:autoSpaceDE/>
              <w:autoSpaceDN/>
              <w:bidi w:val="0"/>
              <w:spacing w:before="0" w:beforeAutospacing="0" w:after="0" w:afterAutospacing="0"/>
              <w:ind w:left="0" w:right="0"/>
              <w:jc w:val="center"/>
              <w:textAlignment w:val="auto"/>
              <w:rPr>
                <w:rFonts w:hint="eastAsia" w:cs="Times New Roman"/>
                <w:lang w:val="en-US" w:eastAsia="zh-CN"/>
              </w:rPr>
            </w:pPr>
            <w:r>
              <w:rPr>
                <w:rStyle w:val="37"/>
                <w:rFonts w:hint="eastAsia"/>
                <w:lang w:val="en-US" w:eastAsia="zh-CN"/>
              </w:rPr>
              <w:drawing>
                <wp:inline distT="0" distB="0" distL="114300" distR="114300">
                  <wp:extent cx="5041265" cy="3355975"/>
                  <wp:effectExtent l="0" t="0" r="0" b="0"/>
                  <wp:docPr id="12" name="ECB019B1-382A-4266-B25C-5B523AA43C14-1" descr="C:/Users/Administrator/AppData/Local/Temp/wps.tUOxn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1" descr="C:/Users/Administrator/AppData/Local/Temp/wps.tUOxnhwps"/>
                          <pic:cNvPicPr>
                            <a:picLocks noChangeAspect="1"/>
                          </pic:cNvPicPr>
                        </pic:nvPicPr>
                        <pic:blipFill>
                          <a:blip r:embed="rId13"/>
                          <a:stretch>
                            <a:fillRect/>
                          </a:stretch>
                        </pic:blipFill>
                        <pic:spPr>
                          <a:xfrm>
                            <a:off x="0" y="0"/>
                            <a:ext cx="5041265" cy="3355975"/>
                          </a:xfrm>
                          <a:prstGeom prst="rect">
                            <a:avLst/>
                          </a:prstGeom>
                        </pic:spPr>
                      </pic:pic>
                    </a:graphicData>
                  </a:graphic>
                </wp:inline>
              </w:drawing>
            </w:r>
            <w:r>
              <w:rPr>
                <w:rStyle w:val="37"/>
                <w:rFonts w:hint="eastAsia"/>
                <w:lang w:val="en-US" w:eastAsia="zh-CN"/>
              </w:rPr>
              <w:t>图2-1    项目水平衡图     m</w:t>
            </w:r>
            <w:r>
              <w:rPr>
                <w:rStyle w:val="37"/>
                <w:rFonts w:hint="eastAsia"/>
                <w:vertAlign w:val="superscript"/>
                <w:lang w:val="en-US" w:eastAsia="zh-CN"/>
              </w:rPr>
              <w:t>3</w:t>
            </w:r>
            <w:r>
              <w:rPr>
                <w:rStyle w:val="37"/>
                <w:rFonts w:hint="eastAsia"/>
                <w:lang w:val="en-US" w:eastAsia="zh-CN"/>
              </w:rPr>
              <w:t>/a</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11.项目环保投资估算</w:t>
            </w:r>
          </w:p>
          <w:p>
            <w:pPr>
              <w:pStyle w:val="8"/>
              <w:keepLines w:val="0"/>
              <w:pageBreakBefore w:val="0"/>
              <w:kinsoku/>
              <w:wordWrap/>
              <w:topLinePunct w:val="0"/>
              <w:autoSpaceDE/>
              <w:autoSpaceDN/>
              <w:bidi w:val="0"/>
              <w:spacing w:beforeAutospacing="0" w:afterAutospacing="0"/>
              <w:textAlignment w:val="auto"/>
            </w:pPr>
            <w:r>
              <w:t>本项目</w:t>
            </w:r>
            <w:r>
              <w:rPr>
                <w:highlight w:val="none"/>
              </w:rPr>
              <w:t>总</w:t>
            </w:r>
            <w:r>
              <w:rPr>
                <w:rFonts w:hint="eastAsia"/>
                <w:highlight w:val="none"/>
              </w:rPr>
              <w:t>投资</w:t>
            </w:r>
            <w:r>
              <w:rPr>
                <w:rFonts w:hint="eastAsia"/>
                <w:highlight w:val="none"/>
                <w:lang w:val="en-US" w:eastAsia="zh-CN"/>
              </w:rPr>
              <w:t>180</w:t>
            </w:r>
            <w:r>
              <w:rPr>
                <w:highlight w:val="none"/>
              </w:rPr>
              <w:t>万元，其中环保投资</w:t>
            </w:r>
            <w:r>
              <w:rPr>
                <w:rFonts w:hint="eastAsia"/>
                <w:highlight w:val="none"/>
                <w:lang w:val="en-US" w:eastAsia="zh-CN"/>
              </w:rPr>
              <w:t>32</w:t>
            </w:r>
            <w:r>
              <w:rPr>
                <w:rFonts w:hint="eastAsia"/>
                <w:highlight w:val="none"/>
              </w:rPr>
              <w:t>万元</w:t>
            </w:r>
            <w:r>
              <w:rPr>
                <w:highlight w:val="none"/>
              </w:rPr>
              <w:t>，占投资的</w:t>
            </w:r>
            <w:r>
              <w:rPr>
                <w:rFonts w:hint="eastAsia"/>
                <w:highlight w:val="none"/>
                <w:lang w:val="en-US" w:eastAsia="zh-CN"/>
              </w:rPr>
              <w:t>18</w:t>
            </w:r>
            <w:r>
              <w:rPr>
                <w:rFonts w:hint="eastAsia"/>
                <w:highlight w:val="none"/>
              </w:rPr>
              <w:t>%</w:t>
            </w:r>
            <w:r>
              <w:t>，具体情况</w:t>
            </w:r>
            <w:r>
              <w:rPr>
                <w:rFonts w:hint="eastAsia"/>
                <w:lang w:eastAsia="zh-CN"/>
              </w:rPr>
              <w:t>见</w:t>
            </w:r>
            <w:r>
              <w:rPr>
                <w:rFonts w:hint="eastAsia"/>
                <w:lang w:val="en-US" w:eastAsia="zh-CN"/>
              </w:rPr>
              <w:t>下</w:t>
            </w:r>
            <w:r>
              <w:rPr>
                <w:rFonts w:hint="eastAsia"/>
                <w:lang w:eastAsia="zh-CN"/>
              </w:rPr>
              <w:t>表</w:t>
            </w:r>
            <w:r>
              <w:t>。</w:t>
            </w:r>
          </w:p>
          <w:p>
            <w:pPr>
              <w:pStyle w:val="36"/>
              <w:keepLines w:val="0"/>
              <w:pageBreakBefore w:val="0"/>
              <w:kinsoku/>
              <w:wordWrap/>
              <w:topLinePunct w:val="0"/>
              <w:autoSpaceDE/>
              <w:autoSpaceDN/>
              <w:bidi w:val="0"/>
              <w:spacing w:beforeAutospacing="0" w:afterAutospacing="0"/>
              <w:textAlignment w:val="auto"/>
              <w:rPr>
                <w:rFonts w:hint="default"/>
              </w:rPr>
            </w:pPr>
            <w:r>
              <w:rPr>
                <w:rFonts w:hint="eastAsia"/>
                <w:lang w:val="en-US" w:eastAsia="zh-CN"/>
              </w:rPr>
              <w:t xml:space="preserve">表2-7    </w:t>
            </w:r>
            <w:r>
              <w:rPr>
                <w:rFonts w:hint="default"/>
              </w:rPr>
              <w:t>环保设施（措施）及投资估算一览表</w:t>
            </w:r>
          </w:p>
          <w:tbl>
            <w:tblPr>
              <w:tblStyle w:val="20"/>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524"/>
              <w:gridCol w:w="1062"/>
              <w:gridCol w:w="496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56"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时段</w:t>
                  </w:r>
                </w:p>
              </w:tc>
              <w:tc>
                <w:tcPr>
                  <w:tcW w:w="1000"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rPr>
                  </w:pPr>
                  <w:r>
                    <w:rPr>
                      <w:rFonts w:hint="eastAsia"/>
                      <w:highlight w:val="none"/>
                      <w:lang w:val="en-US" w:eastAsia="zh-CN"/>
                    </w:rPr>
                    <w:t>项目</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环保措施</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投资</w:t>
                  </w:r>
                </w:p>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6"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施工期</w:t>
                  </w:r>
                </w:p>
              </w:tc>
              <w:tc>
                <w:tcPr>
                  <w:tcW w:w="1000"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default"/>
                      <w:highlight w:val="none"/>
                      <w:lang w:val="en-US" w:eastAsia="zh-CN"/>
                    </w:rPr>
                    <w:t>废气治理</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定期对路面和施工场区洒水、材料运输中要采取遮盖措施</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56"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000"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highlight w:val="none"/>
                    </w:rPr>
                    <w:t>废水</w:t>
                  </w:r>
                  <w:r>
                    <w:rPr>
                      <w:rFonts w:hint="eastAsia"/>
                      <w:highlight w:val="none"/>
                      <w:lang w:val="en-US" w:eastAsia="zh-CN"/>
                    </w:rPr>
                    <w:t>治理</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rFonts w:hint="eastAsia"/>
                      <w:highlight w:val="none"/>
                      <w:lang w:val="en-US" w:eastAsia="zh-CN"/>
                    </w:rPr>
                    <w:t>设置临时沉淀池，经过沉淀池沉淀后，用于洒水抑尘</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256"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000"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default"/>
                      <w:highlight w:val="none"/>
                      <w:lang w:val="en-US" w:eastAsia="zh-CN"/>
                    </w:rPr>
                    <w:t>固废治理</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eastAsia"/>
                      <w:highlight w:val="none"/>
                      <w:lang w:val="en-US" w:eastAsia="zh-CN"/>
                    </w:rPr>
                    <w:t>建筑垃圾收集后堆放于指定地点，由施工方统一清运至当地建筑垃圾填埋场统一处理</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56"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000"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rFonts w:hint="default"/>
                      <w:highlight w:val="none"/>
                      <w:lang w:val="en-US" w:eastAsia="zh-CN"/>
                    </w:rPr>
                    <w:t>噪声治理</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rFonts w:hint="default"/>
                      <w:highlight w:val="none"/>
                      <w:lang w:val="en-US" w:eastAsia="zh-CN"/>
                    </w:rPr>
                    <w:t>采用低噪声设备、定期进行维修和养护</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256"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运营期</w:t>
                  </w:r>
                </w:p>
              </w:tc>
              <w:tc>
                <w:tcPr>
                  <w:tcW w:w="330" w:type="pct"/>
                  <w:vMerge w:val="restar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废气治理</w:t>
                  </w:r>
                </w:p>
              </w:tc>
              <w:tc>
                <w:tcPr>
                  <w:tcW w:w="67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颗粒物</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default"/>
                      <w:highlight w:val="none"/>
                      <w:lang w:val="en-US" w:eastAsia="zh-CN"/>
                    </w:rPr>
                    <w:t>物料入料仓时产生的粉尘经仓顶滤筒式过滤器处理后无组织排放</w:t>
                  </w:r>
                  <w:r>
                    <w:rPr>
                      <w:rFonts w:hint="eastAsia"/>
                      <w:highlight w:val="none"/>
                      <w:lang w:val="en-US" w:eastAsia="zh-CN"/>
                    </w:rPr>
                    <w:t>；投料、</w:t>
                  </w:r>
                  <w:r>
                    <w:rPr>
                      <w:rFonts w:hint="default"/>
                      <w:highlight w:val="none"/>
                      <w:lang w:val="en-US" w:eastAsia="zh-CN"/>
                    </w:rPr>
                    <w:t>搅拌</w:t>
                  </w:r>
                  <w:r>
                    <w:rPr>
                      <w:rFonts w:hint="eastAsia"/>
                      <w:highlight w:val="none"/>
                      <w:lang w:val="en-US" w:eastAsia="zh-CN"/>
                    </w:rPr>
                    <w:t>时</w:t>
                  </w:r>
                  <w:r>
                    <w:rPr>
                      <w:rFonts w:hint="default"/>
                      <w:highlight w:val="none"/>
                      <w:lang w:val="en-US" w:eastAsia="zh-CN"/>
                    </w:rPr>
                    <w:t>产生的粉尘经布袋除尘器除尘后通过1根15m高DA001排气筒排出</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56"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330"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67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食堂油烟</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default"/>
                      <w:highlight w:val="none"/>
                      <w:lang w:val="en-US" w:eastAsia="zh-CN"/>
                    </w:rPr>
                    <w:t>食堂油烟经1台抽油烟机处理后</w:t>
                  </w:r>
                  <w:r>
                    <w:rPr>
                      <w:rFonts w:hint="eastAsia"/>
                      <w:highlight w:val="none"/>
                      <w:lang w:val="en-US" w:eastAsia="zh-CN"/>
                    </w:rPr>
                    <w:t>经</w:t>
                  </w:r>
                  <w:r>
                    <w:rPr>
                      <w:rFonts w:hint="default"/>
                      <w:highlight w:val="none"/>
                      <w:lang w:val="en-US" w:eastAsia="zh-CN"/>
                    </w:rPr>
                    <w:t>楼顶排放</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56"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000"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highlight w:val="none"/>
                    </w:rPr>
                    <w:t>废水</w:t>
                  </w:r>
                  <w:r>
                    <w:rPr>
                      <w:rFonts w:hint="eastAsia"/>
                      <w:highlight w:val="none"/>
                      <w:lang w:val="en-US" w:eastAsia="zh-CN"/>
                    </w:rPr>
                    <w:t>治理</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rFonts w:hint="eastAsia"/>
                      <w:highlight w:val="none"/>
                      <w:lang w:val="en-US" w:eastAsia="zh-CN"/>
                    </w:rPr>
                    <w:t>切割打孔用水经沉淀收集后，循环利用，不外排</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56"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000"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固废</w:t>
                  </w:r>
                  <w:r>
                    <w:rPr>
                      <w:rFonts w:hint="eastAsia"/>
                      <w:highlight w:val="none"/>
                      <w:lang w:val="en-US" w:eastAsia="zh-CN"/>
                    </w:rPr>
                    <w:t>治理</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highlight w:val="none"/>
                      <w:lang w:val="en-US" w:eastAsia="zh-CN"/>
                    </w:rPr>
                  </w:pPr>
                  <w:r>
                    <w:rPr>
                      <w:highlight w:val="none"/>
                    </w:rPr>
                    <w:t>生活垃圾分类收集，定期清运；</w:t>
                  </w:r>
                  <w:r>
                    <w:rPr>
                      <w:rFonts w:hint="eastAsia"/>
                      <w:highlight w:val="none"/>
                    </w:rPr>
                    <w:t>除尘器收集的粉尘回用于生产，边角料及不合格产品</w:t>
                  </w:r>
                  <w:r>
                    <w:rPr>
                      <w:rFonts w:hint="eastAsia"/>
                      <w:highlight w:val="none"/>
                      <w:lang w:val="en-US" w:eastAsia="zh-CN"/>
                    </w:rPr>
                    <w:t>拉运至一般固废处置场所</w:t>
                  </w:r>
                  <w:r>
                    <w:rPr>
                      <w:rFonts w:hint="eastAsia"/>
                      <w:highlight w:val="none"/>
                      <w:lang w:eastAsia="zh-CN"/>
                    </w:rPr>
                    <w:t>；</w:t>
                  </w:r>
                  <w:r>
                    <w:rPr>
                      <w:rFonts w:hint="eastAsia"/>
                      <w:highlight w:val="none"/>
                      <w:lang w:val="en-US" w:eastAsia="zh-CN"/>
                    </w:rPr>
                    <w:t>废润滑油、废润滑油桶等危险废物贮存于危废贮存间内，定期交由有资质的单位进行处理</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256" w:type="pct"/>
                  <w:vMerge w:val="continue"/>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p>
              </w:tc>
              <w:tc>
                <w:tcPr>
                  <w:tcW w:w="1000" w:type="pct"/>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噪声</w:t>
                  </w:r>
                  <w:r>
                    <w:rPr>
                      <w:rFonts w:hint="eastAsia"/>
                      <w:highlight w:val="none"/>
                      <w:lang w:val="en-US" w:eastAsia="zh-CN"/>
                    </w:rPr>
                    <w:t>治理</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highlight w:val="none"/>
                    </w:rPr>
                    <w:t>基础减震，定期维护</w:t>
                  </w:r>
                  <w:r>
                    <w:rPr>
                      <w:rFonts w:hint="eastAsia"/>
                      <w:highlight w:val="none"/>
                    </w:rPr>
                    <w:t>，封闭生产</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257" w:type="pct"/>
                  <w:gridSpan w:val="3"/>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rFonts w:hint="eastAsia"/>
                      <w:highlight w:val="none"/>
                      <w:lang w:val="en-US" w:eastAsia="zh-CN"/>
                    </w:rPr>
                    <w:t>环境风险防范工程</w:t>
                  </w:r>
                </w:p>
              </w:tc>
              <w:tc>
                <w:tcPr>
                  <w:tcW w:w="3132" w:type="pct"/>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rFonts w:hint="eastAsia"/>
                      <w:highlight w:val="none"/>
                      <w:lang w:val="en-US" w:eastAsia="zh-CN"/>
                    </w:rPr>
                    <w:t>建设面积为10m</w:t>
                  </w:r>
                  <w:r>
                    <w:rPr>
                      <w:rFonts w:hint="eastAsia"/>
                      <w:highlight w:val="none"/>
                      <w:vertAlign w:val="superscript"/>
                      <w:lang w:val="en-US" w:eastAsia="zh-CN"/>
                    </w:rPr>
                    <w:t>2</w:t>
                  </w:r>
                  <w:r>
                    <w:rPr>
                      <w:rFonts w:hint="eastAsia"/>
                      <w:highlight w:val="none"/>
                      <w:lang w:val="en-US" w:eastAsia="zh-CN"/>
                    </w:rPr>
                    <w:t>危险废物贮存间</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4389" w:type="pct"/>
                  <w:gridSpan w:val="4"/>
                  <w:noWrap w:val="0"/>
                  <w:vAlign w:val="center"/>
                </w:tcPr>
                <w:p>
                  <w:pPr>
                    <w:pStyle w:val="34"/>
                    <w:keepLines w:val="0"/>
                    <w:pageBreakBefore w:val="0"/>
                    <w:kinsoku/>
                    <w:wordWrap/>
                    <w:topLinePunct w:val="0"/>
                    <w:autoSpaceDE/>
                    <w:autoSpaceDN/>
                    <w:bidi w:val="0"/>
                    <w:spacing w:beforeAutospacing="0" w:afterAutospacing="0"/>
                    <w:textAlignment w:val="auto"/>
                    <w:rPr>
                      <w:highlight w:val="none"/>
                    </w:rPr>
                  </w:pPr>
                  <w:r>
                    <w:rPr>
                      <w:rFonts w:hint="eastAsia"/>
                      <w:highlight w:val="none"/>
                      <w:lang w:val="en-US" w:eastAsia="zh-CN"/>
                    </w:rPr>
                    <w:t>合计</w:t>
                  </w:r>
                </w:p>
              </w:tc>
              <w:tc>
                <w:tcPr>
                  <w:tcW w:w="610" w:type="pct"/>
                  <w:noWrap w:val="0"/>
                  <w:vAlign w:val="center"/>
                </w:tcPr>
                <w:p>
                  <w:pPr>
                    <w:pStyle w:val="34"/>
                    <w:keepLines w:val="0"/>
                    <w:pageBreakBefore w:val="0"/>
                    <w:kinsoku/>
                    <w:wordWrap/>
                    <w:topLinePunct w:val="0"/>
                    <w:autoSpaceDE/>
                    <w:autoSpaceDN/>
                    <w:bidi w:val="0"/>
                    <w:spacing w:beforeAutospacing="0" w:afterAutospacing="0"/>
                    <w:textAlignment w:val="auto"/>
                    <w:rPr>
                      <w:rFonts w:hint="default"/>
                      <w:highlight w:val="none"/>
                      <w:lang w:val="en-US" w:eastAsia="zh-CN"/>
                    </w:rPr>
                  </w:pPr>
                  <w:r>
                    <w:rPr>
                      <w:rFonts w:hint="eastAsia"/>
                      <w:highlight w:val="none"/>
                      <w:lang w:val="en-US" w:eastAsia="zh-CN"/>
                    </w:rPr>
                    <w:t>32</w:t>
                  </w:r>
                </w:p>
              </w:tc>
            </w:tr>
          </w:tbl>
          <w:p>
            <w:pPr>
              <w:pStyle w:val="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54" w:hRule="atLeast"/>
          <w:jc w:val="center"/>
        </w:trPr>
        <w:tc>
          <w:tcPr>
            <w:tcW w:w="823" w:type="dxa"/>
            <w:noWrap w:val="0"/>
            <w:vAlign w:val="center"/>
          </w:tcPr>
          <w:p>
            <w:pPr>
              <w:pStyle w:val="16"/>
              <w:keepLines w:val="0"/>
              <w:pageBreakBefore w:val="0"/>
              <w:kinsoku/>
              <w:wordWrap/>
              <w:topLinePunct w:val="0"/>
              <w:autoSpaceDE/>
              <w:autoSpaceDN/>
              <w:bidi w:val="0"/>
              <w:adjustRightInd w:val="0"/>
              <w:snapToGrid w:val="0"/>
              <w:spacing w:before="0" w:beforeAutospacing="0" w:after="0" w:afterAutospacing="0"/>
              <w:jc w:val="center"/>
              <w:textAlignment w:val="auto"/>
              <w:rPr>
                <w:rFonts w:cs="宋体"/>
                <w:sz w:val="21"/>
                <w:szCs w:val="21"/>
              </w:rPr>
            </w:pPr>
            <w:r>
              <w:rPr>
                <w:rFonts w:hint="eastAsia" w:cs="宋体"/>
                <w:sz w:val="21"/>
                <w:szCs w:val="21"/>
              </w:rPr>
              <w:t>工艺流程和产排污环节</w:t>
            </w:r>
          </w:p>
        </w:tc>
        <w:tc>
          <w:tcPr>
            <w:tcW w:w="8161" w:type="dxa"/>
            <w:noWrap w:val="0"/>
            <w:vAlign w:val="top"/>
          </w:tcPr>
          <w:p>
            <w:pPr>
              <w:pStyle w:val="3"/>
              <w:keepLines w:val="0"/>
              <w:pageBreakBefore w:val="0"/>
              <w:kinsoku/>
              <w:wordWrap/>
              <w:topLinePunct w:val="0"/>
              <w:autoSpaceDE/>
              <w:autoSpaceDN/>
              <w:bidi w:val="0"/>
              <w:spacing w:beforeAutospacing="0" w:afterAutospacing="0"/>
              <w:textAlignment w:val="auto"/>
            </w:pPr>
            <w:r>
              <w:rPr>
                <w:rFonts w:hint="eastAsia"/>
                <w:lang w:val="en-US" w:eastAsia="zh-CN"/>
              </w:rPr>
              <w:t>1.</w:t>
            </w:r>
            <w:r>
              <w:t>施工期工艺流程和产排污环节：</w:t>
            </w:r>
          </w:p>
          <w:p>
            <w:pPr>
              <w:pStyle w:val="8"/>
              <w:keepLines w:val="0"/>
              <w:pageBreakBefore w:val="0"/>
              <w:kinsoku/>
              <w:wordWrap/>
              <w:topLinePunct w:val="0"/>
              <w:autoSpaceDE/>
              <w:autoSpaceDN/>
              <w:bidi w:val="0"/>
              <w:spacing w:beforeAutospacing="0" w:afterAutospacing="0"/>
              <w:textAlignment w:val="auto"/>
              <w:rPr>
                <w:highlight w:val="none"/>
              </w:rPr>
            </w:pPr>
            <w:r>
              <w:rPr>
                <w:rFonts w:hint="eastAsia" w:eastAsia="宋体"/>
                <w:b/>
                <w:bCs/>
                <w:color w:val="000000"/>
                <w:kern w:val="0"/>
                <w:highlight w:val="none"/>
                <w:lang w:val="en-US" w:eastAsia="zh-CN"/>
              </w:rPr>
              <w:drawing>
                <wp:anchor distT="0" distB="0" distL="114300" distR="114300" simplePos="0" relativeHeight="251660288" behindDoc="1" locked="0" layoutInCell="1" allowOverlap="1">
                  <wp:simplePos x="0" y="0"/>
                  <wp:positionH relativeFrom="column">
                    <wp:posOffset>-68580</wp:posOffset>
                  </wp:positionH>
                  <wp:positionV relativeFrom="paragraph">
                    <wp:posOffset>685165</wp:posOffset>
                  </wp:positionV>
                  <wp:extent cx="5197475" cy="1555115"/>
                  <wp:effectExtent l="0" t="0" r="3175" b="6985"/>
                  <wp:wrapTight wrapText="bothSides">
                    <wp:wrapPolygon>
                      <wp:start x="0" y="0"/>
                      <wp:lineTo x="0" y="21432"/>
                      <wp:lineTo x="21534" y="21432"/>
                      <wp:lineTo x="21534" y="0"/>
                      <wp:lineTo x="0" y="0"/>
                    </wp:wrapPolygon>
                  </wp:wrapTight>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5197475" cy="1555115"/>
                          </a:xfrm>
                          <a:prstGeom prst="rect">
                            <a:avLst/>
                          </a:prstGeom>
                          <a:noFill/>
                          <a:ln>
                            <a:noFill/>
                          </a:ln>
                        </pic:spPr>
                      </pic:pic>
                    </a:graphicData>
                  </a:graphic>
                </wp:anchor>
              </w:drawing>
            </w:r>
            <w:r>
              <w:rPr>
                <w:rFonts w:hint="eastAsia"/>
                <w:highlight w:val="none"/>
              </w:rPr>
              <w:t>因本项目租赁现有厂房及办公楼，施工期</w:t>
            </w:r>
            <w:r>
              <w:rPr>
                <w:rFonts w:hint="eastAsia"/>
                <w:highlight w:val="none"/>
                <w:lang w:val="en-US" w:eastAsia="zh-CN"/>
              </w:rPr>
              <w:t>主要</w:t>
            </w:r>
            <w:r>
              <w:rPr>
                <w:highlight w:val="none"/>
              </w:rPr>
              <w:t>为</w:t>
            </w:r>
            <w:r>
              <w:rPr>
                <w:rFonts w:hint="eastAsia"/>
                <w:highlight w:val="none"/>
                <w:lang w:val="en-US" w:eastAsia="zh-CN"/>
              </w:rPr>
              <w:t>沉淀池和危险废物贮存间开挖建设、</w:t>
            </w:r>
            <w:r>
              <w:rPr>
                <w:highlight w:val="none"/>
              </w:rPr>
              <w:t>购置安装仪器设备，施工</w:t>
            </w:r>
            <w:r>
              <w:rPr>
                <w:rFonts w:hint="eastAsia"/>
                <w:highlight w:val="none"/>
              </w:rPr>
              <w:t>期</w:t>
            </w:r>
            <w:r>
              <w:rPr>
                <w:highlight w:val="none"/>
              </w:rPr>
              <w:t>工艺流程及产污环节图：</w:t>
            </w:r>
          </w:p>
          <w:p>
            <w:pPr>
              <w:pStyle w:val="36"/>
              <w:keepLines w:val="0"/>
              <w:pageBreakBefore w:val="0"/>
              <w:kinsoku/>
              <w:wordWrap/>
              <w:topLinePunct w:val="0"/>
              <w:autoSpaceDE/>
              <w:autoSpaceDN/>
              <w:bidi w:val="0"/>
              <w:spacing w:beforeAutospacing="0" w:afterAutospacing="0"/>
              <w:textAlignment w:val="auto"/>
              <w:rPr>
                <w:highlight w:val="none"/>
              </w:rPr>
            </w:pPr>
            <w:r>
              <w:rPr>
                <w:highlight w:val="none"/>
              </w:rPr>
              <w:t>图</w:t>
            </w:r>
            <w:r>
              <w:rPr>
                <w:rFonts w:hint="eastAsia"/>
                <w:highlight w:val="none"/>
              </w:rPr>
              <w:t>2</w:t>
            </w:r>
            <w:r>
              <w:rPr>
                <w:rFonts w:hint="eastAsia"/>
                <w:highlight w:val="none"/>
                <w:lang w:val="en-US" w:eastAsia="zh-CN"/>
              </w:rPr>
              <w:t>-2</w:t>
            </w:r>
            <w:r>
              <w:rPr>
                <w:rFonts w:hint="eastAsia"/>
                <w:highlight w:val="none"/>
              </w:rPr>
              <w:t xml:space="preserve"> </w:t>
            </w:r>
            <w:r>
              <w:rPr>
                <w:highlight w:val="none"/>
              </w:rPr>
              <w:t xml:space="preserve">  </w:t>
            </w:r>
            <w:r>
              <w:rPr>
                <w:rFonts w:hint="eastAsia"/>
                <w:highlight w:val="none"/>
                <w:lang w:val="en-US" w:eastAsia="zh-CN"/>
              </w:rPr>
              <w:t xml:space="preserve"> </w:t>
            </w:r>
            <w:r>
              <w:rPr>
                <w:highlight w:val="none"/>
              </w:rPr>
              <w:t>施工工艺</w:t>
            </w:r>
            <w:r>
              <w:rPr>
                <w:rFonts w:hint="eastAsia"/>
                <w:highlight w:val="none"/>
              </w:rPr>
              <w:t>流程</w:t>
            </w:r>
            <w:r>
              <w:rPr>
                <w:highlight w:val="none"/>
              </w:rPr>
              <w:t>及产污环节图</w:t>
            </w:r>
          </w:p>
          <w:p>
            <w:pPr>
              <w:pStyle w:val="8"/>
              <w:keepLines w:val="0"/>
              <w:pageBreakBefore w:val="0"/>
              <w:kinsoku/>
              <w:wordWrap/>
              <w:topLinePunct w:val="0"/>
              <w:autoSpaceDE/>
              <w:autoSpaceDN/>
              <w:bidi w:val="0"/>
              <w:spacing w:beforeAutospacing="0" w:afterAutospacing="0"/>
              <w:textAlignment w:val="auto"/>
              <w:rPr>
                <w:rFonts w:hint="eastAsia"/>
                <w:highlight w:val="none"/>
              </w:rPr>
            </w:pPr>
            <w:r>
              <w:rPr>
                <w:rFonts w:hint="eastAsia"/>
                <w:highlight w:val="none"/>
              </w:rPr>
              <w:t>施工流程简述：</w:t>
            </w:r>
          </w:p>
          <w:p>
            <w:pPr>
              <w:pStyle w:val="8"/>
              <w:keepLines w:val="0"/>
              <w:pageBreakBefore w:val="0"/>
              <w:kinsoku/>
              <w:wordWrap/>
              <w:topLinePunct w:val="0"/>
              <w:autoSpaceDE/>
              <w:autoSpaceDN/>
              <w:bidi w:val="0"/>
              <w:spacing w:beforeAutospacing="0" w:afterAutospacing="0"/>
              <w:textAlignment w:val="auto"/>
            </w:pPr>
            <w:r>
              <w:rPr>
                <w:rFonts w:hint="eastAsia"/>
                <w:highlight w:val="none"/>
                <w:lang w:val="en-US" w:eastAsia="zh-CN"/>
              </w:rPr>
              <w:t>项目主要进行沉淀池和危险废物贮存间开挖建设。土建工程完工后</w:t>
            </w:r>
            <w:r>
              <w:rPr>
                <w:rFonts w:hint="eastAsia"/>
                <w:highlight w:val="none"/>
              </w:rPr>
              <w:t>将购置的设备仪器运至厂房内，设备仪器进厂后，按照合理的布局对设备进行</w:t>
            </w:r>
            <w:r>
              <w:rPr>
                <w:rFonts w:hint="eastAsia"/>
                <w:highlight w:val="none"/>
                <w:lang w:eastAsia="zh-CN"/>
              </w:rPr>
              <w:t>安装</w:t>
            </w:r>
            <w:r>
              <w:rPr>
                <w:rFonts w:hint="eastAsia"/>
                <w:highlight w:val="none"/>
              </w:rPr>
              <w:t>并调试，调试正常后即可投入正常生产。</w:t>
            </w:r>
            <w:r>
              <w:rPr>
                <w:rFonts w:hint="eastAsia"/>
                <w:highlight w:val="none"/>
                <w:lang w:val="en-US" w:eastAsia="zh-CN"/>
              </w:rPr>
              <w:t>该过程会产生废气、噪声和固废。</w:t>
            </w:r>
          </w:p>
          <w:p>
            <w:pPr>
              <w:pStyle w:val="3"/>
              <w:bidi w:val="0"/>
              <w:rPr>
                <w:rFonts w:hint="eastAsia"/>
                <w:lang w:val="en-US" w:eastAsia="zh-CN"/>
              </w:rPr>
            </w:pPr>
            <w:r>
              <w:rPr>
                <w:rFonts w:hint="eastAsia"/>
                <w:lang w:val="en-US" w:eastAsia="zh-CN"/>
              </w:rPr>
              <w:t>2.运营期工艺流程和产排污环节：</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keepLines w:val="0"/>
              <w:pageBreakBefore w:val="0"/>
              <w:widowControl w:val="0"/>
              <w:numPr>
                <w:ilvl w:val="0"/>
                <w:numId w:val="0"/>
              </w:numPr>
              <w:kinsoku/>
              <w:wordWrap/>
              <w:topLinePunct w:val="0"/>
              <w:autoSpaceDE/>
              <w:autoSpaceDN/>
              <w:bidi w:val="0"/>
              <w:spacing w:beforeAutospacing="0" w:afterAutospacing="0"/>
              <w:jc w:val="both"/>
              <w:textAlignment w:val="auto"/>
              <w:rPr>
                <w:rFonts w:hint="eastAsia"/>
                <w:lang w:val="en-US" w:eastAsia="zh-CN"/>
              </w:rPr>
            </w:pPr>
            <w:r>
              <w:rPr>
                <w:rFonts w:hint="eastAsia"/>
                <w:lang w:val="en-US" w:eastAsia="zh-CN"/>
              </w:rPr>
              <w:drawing>
                <wp:inline distT="0" distB="0" distL="114300" distR="114300">
                  <wp:extent cx="5172075" cy="3540760"/>
                  <wp:effectExtent l="0" t="0" r="0" b="0"/>
                  <wp:docPr id="3"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wps"/>
                          <pic:cNvPicPr>
                            <a:picLocks noChangeAspect="1"/>
                          </pic:cNvPicPr>
                        </pic:nvPicPr>
                        <pic:blipFill>
                          <a:blip r:embed="rId15"/>
                          <a:stretch>
                            <a:fillRect/>
                          </a:stretch>
                        </pic:blipFill>
                        <pic:spPr>
                          <a:xfrm>
                            <a:off x="0" y="0"/>
                            <a:ext cx="5172075" cy="3540760"/>
                          </a:xfrm>
                          <a:prstGeom prst="rect">
                            <a:avLst/>
                          </a:prstGeom>
                        </pic:spPr>
                      </pic:pic>
                    </a:graphicData>
                  </a:graphic>
                </wp:inline>
              </w:drawing>
            </w:r>
          </w:p>
          <w:p>
            <w:pPr>
              <w:pStyle w:val="36"/>
              <w:keepLines w:val="0"/>
              <w:pageBreakBefore w:val="0"/>
              <w:kinsoku/>
              <w:wordWrap/>
              <w:topLinePunct w:val="0"/>
              <w:autoSpaceDE/>
              <w:autoSpaceDN/>
              <w:bidi w:val="0"/>
              <w:spacing w:beforeAutospacing="0" w:afterAutospacing="0"/>
              <w:textAlignment w:val="auto"/>
              <w:rPr>
                <w:rFonts w:hint="default"/>
                <w:lang w:val="en-US"/>
              </w:rPr>
            </w:pPr>
            <w:r>
              <w:rPr>
                <w:rFonts w:hint="eastAsia"/>
                <w:lang w:val="en-US" w:eastAsia="zh-CN"/>
              </w:rPr>
              <w:t>图2-3    复合保温外模板工艺流程及产污环节图</w:t>
            </w:r>
          </w:p>
          <w:p>
            <w:pPr>
              <w:pStyle w:val="3"/>
              <w:keepLines w:val="0"/>
              <w:pageBreakBefore w:val="0"/>
              <w:kinsoku/>
              <w:wordWrap/>
              <w:topLinePunct w:val="0"/>
              <w:autoSpaceDE/>
              <w:autoSpaceDN/>
              <w:bidi w:val="0"/>
              <w:spacing w:beforeAutospacing="0" w:afterAutospacing="0"/>
              <w:textAlignment w:val="auto"/>
            </w:pPr>
            <w:r>
              <w:t>工艺流程</w:t>
            </w:r>
            <w:r>
              <w:rPr>
                <w:rFonts w:hint="eastAsia"/>
                <w:lang w:val="en-US" w:eastAsia="zh-CN"/>
              </w:rPr>
              <w:t>简述</w:t>
            </w:r>
            <w:r>
              <w:t>：</w:t>
            </w:r>
          </w:p>
          <w:p>
            <w:pPr>
              <w:pStyle w:val="8"/>
              <w:keepLines w:val="0"/>
              <w:pageBreakBefore w:val="0"/>
              <w:kinsoku/>
              <w:wordWrap/>
              <w:topLinePunct w:val="0"/>
              <w:autoSpaceDE/>
              <w:autoSpaceDN/>
              <w:bidi w:val="0"/>
              <w:spacing w:beforeAutospacing="0" w:afterAutospacing="0"/>
              <w:textAlignment w:val="auto"/>
              <w:rPr>
                <w:rFonts w:hint="default" w:ascii="宋体" w:hAnsi="宋体" w:cs="宋体"/>
                <w:bCs/>
                <w:szCs w:val="21"/>
                <w:lang w:val="en-US" w:eastAsia="zh-CN"/>
              </w:rPr>
            </w:pPr>
            <w:r>
              <w:rPr>
                <w:rFonts w:hint="eastAsia" w:ascii="宋体" w:hAnsi="宋体" w:cs="宋体"/>
                <w:bCs/>
                <w:szCs w:val="21"/>
                <w:lang w:val="en-US" w:eastAsia="zh-CN"/>
              </w:rPr>
              <w:t>原料进仓：水泥由密闭罐车拉运至厂区后通过密闭管道输送至水泥筒仓，砂子使用吨袋包装，通过叉车直接倒入</w:t>
            </w:r>
            <w:r>
              <w:rPr>
                <w:rFonts w:hint="eastAsia" w:ascii="宋体" w:hAnsi="宋体" w:cs="宋体"/>
                <w:bCs/>
                <w:szCs w:val="21"/>
                <w:highlight w:val="none"/>
                <w:lang w:val="en-US" w:eastAsia="zh-CN"/>
              </w:rPr>
              <w:t>料斗</w:t>
            </w:r>
            <w:r>
              <w:rPr>
                <w:rFonts w:hint="eastAsia" w:ascii="宋体" w:hAnsi="宋体" w:cs="宋体"/>
                <w:bCs/>
                <w:szCs w:val="21"/>
                <w:lang w:val="en-US" w:eastAsia="zh-CN"/>
              </w:rPr>
              <w:t>，避免露天堆放，进料时会产生粉尘。</w:t>
            </w:r>
          </w:p>
          <w:p>
            <w:pPr>
              <w:pStyle w:val="8"/>
              <w:keepLines w:val="0"/>
              <w:pageBreakBefore w:val="0"/>
              <w:kinsoku/>
              <w:wordWrap/>
              <w:topLinePunct w:val="0"/>
              <w:autoSpaceDE/>
              <w:autoSpaceDN/>
              <w:bidi w:val="0"/>
              <w:spacing w:beforeAutospacing="0" w:afterAutospacing="0"/>
              <w:textAlignment w:val="auto"/>
              <w:rPr>
                <w:rFonts w:hint="default" w:ascii="宋体" w:hAnsi="宋体" w:cs="宋体"/>
                <w:bCs/>
                <w:szCs w:val="21"/>
                <w:lang w:val="en-US" w:eastAsia="zh-CN"/>
              </w:rPr>
            </w:pPr>
            <w:r>
              <w:rPr>
                <w:rFonts w:hint="default" w:ascii="宋体" w:hAnsi="宋体" w:eastAsia="宋体" w:cs="宋体"/>
                <w:bCs/>
                <w:szCs w:val="21"/>
                <w:lang w:val="en-US" w:eastAsia="zh-CN"/>
              </w:rPr>
              <w:t>称重备料</w:t>
            </w:r>
            <w:r>
              <w:rPr>
                <w:rFonts w:hint="eastAsia" w:ascii="宋体" w:hAnsi="宋体" w:cs="宋体"/>
                <w:bCs/>
                <w:szCs w:val="21"/>
                <w:lang w:val="en-US" w:eastAsia="zh-CN"/>
              </w:rPr>
              <w:t>：根据生产砂浆原料配比的要求，水泥、砂子通过</w:t>
            </w:r>
            <w:r>
              <w:rPr>
                <w:rFonts w:hint="eastAsia" w:ascii="宋体" w:hAnsi="宋体" w:cs="宋体"/>
                <w:bCs/>
                <w:szCs w:val="21"/>
                <w:highlight w:val="none"/>
                <w:lang w:val="en-US" w:eastAsia="zh-CN"/>
              </w:rPr>
              <w:t>绞龙输送机</w:t>
            </w:r>
            <w:r>
              <w:rPr>
                <w:rFonts w:hint="eastAsia" w:ascii="宋体" w:hAnsi="宋体" w:cs="宋体"/>
                <w:bCs/>
                <w:szCs w:val="21"/>
                <w:lang w:val="en-US" w:eastAsia="zh-CN"/>
              </w:rPr>
              <w:t>由密闭的管道输送至</w:t>
            </w:r>
            <w:r>
              <w:rPr>
                <w:rFonts w:hint="default" w:ascii="宋体" w:hAnsi="宋体" w:eastAsia="宋体" w:cs="宋体"/>
                <w:bCs/>
                <w:szCs w:val="21"/>
                <w:lang w:val="en-US" w:eastAsia="zh-CN"/>
              </w:rPr>
              <w:t>自动计量系统</w:t>
            </w:r>
            <w:r>
              <w:rPr>
                <w:rFonts w:hint="eastAsia" w:ascii="宋体" w:hAnsi="宋体" w:cs="宋体"/>
                <w:bCs/>
                <w:szCs w:val="21"/>
                <w:lang w:val="en-US" w:eastAsia="zh-CN"/>
              </w:rPr>
              <w:t>，然后通过传感器的数据反馈，实现原料计量、备料。</w:t>
            </w:r>
          </w:p>
          <w:p>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highlight w:val="none"/>
                <w:lang w:val="en-US" w:eastAsia="zh-CN"/>
              </w:rPr>
            </w:pPr>
            <w:r>
              <w:rPr>
                <w:rFonts w:hint="eastAsia" w:ascii="宋体" w:hAnsi="宋体" w:cs="宋体"/>
                <w:bCs/>
                <w:szCs w:val="21"/>
                <w:lang w:val="en-US" w:eastAsia="zh-CN"/>
              </w:rPr>
              <w:t>预混</w:t>
            </w:r>
            <w:r>
              <w:rPr>
                <w:rFonts w:hint="default" w:ascii="宋体" w:hAnsi="宋体" w:eastAsia="宋体" w:cs="宋体"/>
                <w:bCs/>
                <w:szCs w:val="21"/>
                <w:lang w:val="en-US" w:eastAsia="zh-CN"/>
              </w:rPr>
              <w:t>搅拌</w:t>
            </w:r>
            <w:r>
              <w:rPr>
                <w:rFonts w:hint="eastAsia" w:ascii="宋体" w:hAnsi="宋体" w:cs="宋体"/>
                <w:bCs/>
                <w:szCs w:val="21"/>
                <w:lang w:val="en-US" w:eastAsia="zh-CN"/>
              </w:rPr>
              <w:t>：水泥、砂子通过绞龙输送机由密闭的管道输送至预混搅拌罐中进行预混搅拌</w:t>
            </w:r>
            <w:r>
              <w:rPr>
                <w:rFonts w:hint="default" w:ascii="宋体" w:hAnsi="宋体" w:eastAsia="宋体" w:cs="宋体"/>
                <w:bCs/>
                <w:szCs w:val="21"/>
                <w:highlight w:val="none"/>
                <w:lang w:val="en-US" w:eastAsia="zh-CN"/>
              </w:rPr>
              <w:t>，预混好的</w:t>
            </w:r>
            <w:r>
              <w:rPr>
                <w:rFonts w:hint="eastAsia" w:ascii="宋体" w:hAnsi="宋体" w:cs="宋体"/>
                <w:bCs/>
                <w:szCs w:val="21"/>
                <w:highlight w:val="none"/>
                <w:lang w:val="en-US" w:eastAsia="zh-CN"/>
              </w:rPr>
              <w:t>成品</w:t>
            </w:r>
            <w:r>
              <w:rPr>
                <w:rFonts w:hint="default" w:ascii="宋体" w:hAnsi="宋体" w:eastAsia="宋体" w:cs="宋体"/>
                <w:bCs/>
                <w:szCs w:val="21"/>
                <w:highlight w:val="none"/>
                <w:lang w:val="en-US" w:eastAsia="zh-CN"/>
              </w:rPr>
              <w:t>砂浆</w:t>
            </w:r>
            <w:r>
              <w:rPr>
                <w:rFonts w:hint="eastAsia" w:ascii="宋体" w:hAnsi="宋体" w:cs="宋体"/>
                <w:bCs/>
                <w:szCs w:val="21"/>
                <w:highlight w:val="none"/>
                <w:lang w:val="en-US" w:eastAsia="zh-CN"/>
              </w:rPr>
              <w:t>输送</w:t>
            </w:r>
            <w:r>
              <w:rPr>
                <w:rFonts w:hint="default" w:ascii="宋体" w:hAnsi="宋体" w:eastAsia="宋体" w:cs="宋体"/>
                <w:bCs/>
                <w:szCs w:val="21"/>
                <w:highlight w:val="none"/>
                <w:lang w:val="en-US" w:eastAsia="zh-CN"/>
              </w:rPr>
              <w:t>至储料罐中储存</w:t>
            </w:r>
            <w:r>
              <w:rPr>
                <w:rFonts w:hint="eastAsia" w:ascii="宋体" w:hAnsi="宋体" w:cs="宋体"/>
                <w:bCs/>
                <w:szCs w:val="21"/>
                <w:highlight w:val="none"/>
                <w:lang w:val="en-US" w:eastAsia="zh-CN"/>
              </w:rPr>
              <w:t>。搅拌过程会产生粉尘和噪声。</w:t>
            </w:r>
          </w:p>
          <w:p>
            <w:pPr>
              <w:pStyle w:val="8"/>
              <w:keepLines w:val="0"/>
              <w:pageBreakBefore w:val="0"/>
              <w:kinsoku/>
              <w:wordWrap/>
              <w:topLinePunct w:val="0"/>
              <w:autoSpaceDE/>
              <w:autoSpaceDN/>
              <w:bidi w:val="0"/>
              <w:spacing w:beforeAutospacing="0" w:afterAutospacing="0"/>
              <w:textAlignment w:val="auto"/>
              <w:rPr>
                <w:rFonts w:hint="default" w:ascii="宋体" w:hAnsi="宋体" w:eastAsia="宋体" w:cs="宋体"/>
                <w:bCs/>
                <w:szCs w:val="21"/>
                <w:lang w:val="en-US" w:eastAsia="zh-CN"/>
              </w:rPr>
            </w:pPr>
            <w:r>
              <w:rPr>
                <w:rFonts w:hint="eastAsia" w:ascii="宋体" w:hAnsi="宋体" w:cs="宋体"/>
                <w:bCs/>
                <w:szCs w:val="21"/>
                <w:highlight w:val="none"/>
                <w:lang w:val="en-US" w:eastAsia="zh-CN"/>
              </w:rPr>
              <w:t>加水搅拌：成品砂浆通过绞龙输送机密闭输送至搅拌机，按比例加水搅拌，形成湿料砂浆</w:t>
            </w:r>
            <w:r>
              <w:rPr>
                <w:rFonts w:hint="default" w:ascii="宋体" w:hAnsi="宋体" w:eastAsia="宋体" w:cs="宋体"/>
                <w:bCs/>
                <w:szCs w:val="21"/>
                <w:highlight w:val="none"/>
                <w:lang w:val="en-US" w:eastAsia="zh-CN"/>
              </w:rPr>
              <w:t>。搅拌过程会产生</w:t>
            </w:r>
            <w:r>
              <w:rPr>
                <w:rFonts w:hint="eastAsia" w:ascii="宋体" w:hAnsi="宋体" w:cs="宋体"/>
                <w:bCs/>
                <w:szCs w:val="21"/>
                <w:highlight w:val="none"/>
                <w:lang w:val="en-US" w:eastAsia="zh-CN"/>
              </w:rPr>
              <w:t>极少量的</w:t>
            </w:r>
            <w:r>
              <w:rPr>
                <w:rFonts w:hint="default" w:ascii="宋体" w:hAnsi="宋体" w:eastAsia="宋体" w:cs="宋体"/>
                <w:bCs/>
                <w:szCs w:val="21"/>
                <w:highlight w:val="none"/>
                <w:lang w:val="en-US" w:eastAsia="zh-CN"/>
              </w:rPr>
              <w:t>粉尘和噪声。</w:t>
            </w:r>
          </w:p>
          <w:p>
            <w:pPr>
              <w:pStyle w:val="8"/>
              <w:keepLines w:val="0"/>
              <w:pageBreakBefore w:val="0"/>
              <w:kinsoku/>
              <w:wordWrap/>
              <w:topLinePunct w:val="0"/>
              <w:autoSpaceDE/>
              <w:autoSpaceDN/>
              <w:bidi w:val="0"/>
              <w:spacing w:beforeAutospacing="0" w:afterAutospacing="0"/>
              <w:textAlignment w:val="auto"/>
              <w:rPr>
                <w:rFonts w:hint="default" w:ascii="宋体" w:hAnsi="宋体" w:eastAsia="宋体" w:cs="宋体"/>
                <w:bCs/>
                <w:szCs w:val="21"/>
                <w:lang w:val="en-US" w:eastAsia="zh-CN"/>
              </w:rPr>
            </w:pPr>
            <w:r>
              <w:rPr>
                <w:rFonts w:hint="default" w:ascii="宋体" w:hAnsi="宋体" w:eastAsia="宋体" w:cs="宋体"/>
                <w:bCs/>
                <w:szCs w:val="21"/>
                <w:lang w:val="en-US" w:eastAsia="zh-CN"/>
              </w:rPr>
              <w:t>保温板A</w:t>
            </w:r>
            <w:r>
              <w:rPr>
                <w:rFonts w:hint="eastAsia" w:ascii="宋体" w:hAnsi="宋体" w:cs="宋体"/>
                <w:bCs/>
                <w:szCs w:val="21"/>
                <w:lang w:val="en-US" w:eastAsia="zh-CN"/>
              </w:rPr>
              <w:t>B</w:t>
            </w:r>
            <w:r>
              <w:rPr>
                <w:rFonts w:hint="default" w:ascii="宋体" w:hAnsi="宋体" w:eastAsia="宋体" w:cs="宋体"/>
                <w:bCs/>
                <w:szCs w:val="21"/>
                <w:lang w:val="en-US" w:eastAsia="zh-CN"/>
              </w:rPr>
              <w:t>面处理</w:t>
            </w:r>
            <w:r>
              <w:rPr>
                <w:rFonts w:hint="eastAsia" w:ascii="宋体" w:hAnsi="宋体" w:cs="宋体"/>
                <w:bCs/>
                <w:szCs w:val="21"/>
                <w:lang w:val="en-US" w:eastAsia="zh-CN"/>
              </w:rPr>
              <w:t>：</w:t>
            </w:r>
            <w:r>
              <w:rPr>
                <w:rFonts w:hint="default" w:ascii="宋体" w:hAnsi="宋体" w:eastAsia="宋体" w:cs="宋体"/>
                <w:bCs/>
                <w:szCs w:val="21"/>
                <w:lang w:val="en-US" w:eastAsia="zh-CN"/>
              </w:rPr>
              <w:t>在保温板A面</w:t>
            </w:r>
            <w:r>
              <w:rPr>
                <w:rFonts w:hint="eastAsia" w:ascii="宋体" w:hAnsi="宋体" w:cs="宋体"/>
                <w:bCs/>
                <w:szCs w:val="21"/>
                <w:lang w:val="en-US" w:eastAsia="zh-CN"/>
              </w:rPr>
              <w:t>铺设</w:t>
            </w:r>
            <w:r>
              <w:rPr>
                <w:rFonts w:hint="default" w:ascii="宋体" w:hAnsi="宋体" w:eastAsia="宋体" w:cs="宋体"/>
                <w:bCs/>
                <w:szCs w:val="21"/>
                <w:lang w:val="en-US" w:eastAsia="zh-CN"/>
              </w:rPr>
              <w:t>耐碱玻纤网格布，增强抗裂性</w:t>
            </w:r>
            <w:r>
              <w:rPr>
                <w:rFonts w:hint="eastAsia" w:ascii="宋体" w:hAnsi="宋体" w:cs="宋体"/>
                <w:bCs/>
                <w:szCs w:val="21"/>
                <w:lang w:val="en-US" w:eastAsia="zh-CN"/>
              </w:rPr>
              <w:t>；</w:t>
            </w:r>
            <w:r>
              <w:rPr>
                <w:rFonts w:hint="default" w:ascii="宋体" w:hAnsi="宋体" w:eastAsia="宋体" w:cs="宋体"/>
                <w:bCs/>
                <w:szCs w:val="21"/>
                <w:lang w:val="en-US" w:eastAsia="zh-CN"/>
              </w:rPr>
              <w:t>将</w:t>
            </w:r>
            <w:r>
              <w:rPr>
                <w:rFonts w:hint="eastAsia" w:ascii="宋体" w:hAnsi="宋体" w:cs="宋体"/>
                <w:bCs/>
                <w:szCs w:val="21"/>
                <w:lang w:val="en-US" w:eastAsia="zh-CN"/>
              </w:rPr>
              <w:t>湿料</w:t>
            </w:r>
            <w:r>
              <w:rPr>
                <w:rFonts w:hint="default" w:ascii="宋体" w:hAnsi="宋体" w:eastAsia="宋体" w:cs="宋体"/>
                <w:bCs/>
                <w:szCs w:val="21"/>
                <w:lang w:val="en-US" w:eastAsia="zh-CN"/>
              </w:rPr>
              <w:t>砂浆均匀刮涂在A面</w:t>
            </w:r>
            <w:r>
              <w:rPr>
                <w:rFonts w:hint="eastAsia" w:ascii="宋体" w:hAnsi="宋体" w:cs="宋体"/>
                <w:bCs/>
                <w:szCs w:val="21"/>
                <w:lang w:val="en-US" w:eastAsia="zh-CN"/>
              </w:rPr>
              <w:t>后</w:t>
            </w:r>
            <w:r>
              <w:rPr>
                <w:rFonts w:hint="default" w:ascii="宋体" w:hAnsi="宋体" w:eastAsia="宋体" w:cs="宋体"/>
                <w:bCs/>
                <w:szCs w:val="21"/>
                <w:lang w:val="en-US" w:eastAsia="zh-CN"/>
              </w:rPr>
              <w:t>按保温板长度切割对应网格布，确保边缘平整。将完成单面加工的半成品板材进行自然晾干养护，自然养护后的半成品，翻转180度，</w:t>
            </w:r>
            <w:r>
              <w:rPr>
                <w:rFonts w:hint="eastAsia" w:ascii="宋体" w:hAnsi="宋体" w:cs="宋体"/>
                <w:bCs/>
                <w:szCs w:val="21"/>
                <w:lang w:val="en-US" w:eastAsia="zh-CN"/>
              </w:rPr>
              <w:t>按照相同流程</w:t>
            </w:r>
            <w:r>
              <w:rPr>
                <w:rFonts w:hint="default" w:ascii="宋体" w:hAnsi="宋体" w:eastAsia="宋体" w:cs="宋体"/>
                <w:bCs/>
                <w:szCs w:val="21"/>
                <w:lang w:val="en-US" w:eastAsia="zh-CN"/>
              </w:rPr>
              <w:t>加工保温板B面</w:t>
            </w:r>
            <w:r>
              <w:rPr>
                <w:rFonts w:hint="eastAsia" w:ascii="宋体" w:hAnsi="宋体" w:cs="宋体"/>
                <w:bCs/>
                <w:szCs w:val="21"/>
                <w:lang w:val="en-US" w:eastAsia="zh-CN"/>
              </w:rPr>
              <w:t>。网格布裁剪过程会产生噪声和网格布边角料。</w:t>
            </w:r>
          </w:p>
          <w:p>
            <w:pPr>
              <w:pStyle w:val="8"/>
              <w:keepLines w:val="0"/>
              <w:pageBreakBefore w:val="0"/>
              <w:kinsoku/>
              <w:wordWrap/>
              <w:topLinePunct w:val="0"/>
              <w:autoSpaceDE/>
              <w:autoSpaceDN/>
              <w:bidi w:val="0"/>
              <w:spacing w:beforeAutospacing="0" w:afterAutospacing="0"/>
              <w:textAlignment w:val="auto"/>
              <w:rPr>
                <w:rFonts w:hint="eastAsia" w:ascii="宋体" w:hAnsi="宋体" w:cs="宋体"/>
                <w:bCs/>
                <w:szCs w:val="21"/>
                <w:lang w:val="en-US" w:eastAsia="zh-CN"/>
              </w:rPr>
            </w:pPr>
            <w:r>
              <w:rPr>
                <w:rFonts w:hint="default" w:ascii="宋体" w:hAnsi="宋体" w:eastAsia="宋体" w:cs="宋体"/>
                <w:bCs/>
                <w:szCs w:val="21"/>
                <w:lang w:val="en-US" w:eastAsia="zh-CN"/>
              </w:rPr>
              <w:t>成品切割打孔</w:t>
            </w:r>
            <w:r>
              <w:rPr>
                <w:rFonts w:hint="eastAsia" w:ascii="宋体" w:hAnsi="宋体" w:cs="宋体"/>
                <w:bCs/>
                <w:szCs w:val="21"/>
                <w:lang w:val="en-US" w:eastAsia="zh-CN"/>
              </w:rPr>
              <w:t>：</w:t>
            </w:r>
            <w:r>
              <w:rPr>
                <w:rFonts w:hint="default" w:ascii="宋体" w:hAnsi="宋体" w:eastAsia="宋体" w:cs="宋体"/>
                <w:bCs/>
                <w:szCs w:val="21"/>
                <w:lang w:val="en-US" w:eastAsia="zh-CN"/>
              </w:rPr>
              <w:t>自然晾干养护后摆放在码垛机上，之后进行湿式切割打孔，采用水刀切割打孔</w:t>
            </w:r>
            <w:r>
              <w:rPr>
                <w:rFonts w:hint="eastAsia" w:ascii="宋体" w:hAnsi="宋体" w:cs="宋体"/>
                <w:bCs/>
                <w:szCs w:val="21"/>
                <w:lang w:val="en-US" w:eastAsia="zh-CN"/>
              </w:rPr>
              <w:t>。切割打孔时会产生噪声、废水和边角料。</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产排污环节分析：</w:t>
            </w:r>
          </w:p>
          <w:p>
            <w:pPr>
              <w:pStyle w:val="8"/>
              <w:keepLines w:val="0"/>
              <w:pageBreakBefore w:val="0"/>
              <w:kinsoku/>
              <w:wordWrap/>
              <w:topLinePunct w:val="0"/>
              <w:autoSpaceDE/>
              <w:autoSpaceDN/>
              <w:bidi w:val="0"/>
              <w:spacing w:beforeAutospacing="0" w:afterAutospacing="0"/>
              <w:textAlignment w:val="auto"/>
              <w:rPr>
                <w:rFonts w:hint="default" w:ascii="Times New Roman" w:hAnsi="Times New Roman" w:eastAsia="宋体" w:cs="Times New Roman"/>
                <w:kern w:val="2"/>
                <w:szCs w:val="24"/>
                <w:lang w:val="en-US" w:eastAsia="zh-CN" w:bidi="ar-SA"/>
              </w:rPr>
            </w:pPr>
            <w:r>
              <w:rPr>
                <w:rFonts w:hint="default"/>
                <w:lang w:val="en-US" w:eastAsia="zh-CN"/>
              </w:rPr>
              <w:t>本项目生产中会产生相应类别的污染物，公辅设施也会产生相应污染物，主要为厂区职工生活污水</w:t>
            </w:r>
            <w:r>
              <w:rPr>
                <w:rFonts w:hint="eastAsia"/>
                <w:lang w:val="en-US" w:eastAsia="zh-CN"/>
              </w:rPr>
              <w:t>和</w:t>
            </w:r>
            <w:r>
              <w:rPr>
                <w:rFonts w:hint="default"/>
                <w:lang w:val="en-US" w:eastAsia="zh-CN"/>
              </w:rPr>
              <w:t>厂区生活垃圾。本项目产污环节汇总</w:t>
            </w:r>
            <w:r>
              <w:rPr>
                <w:rFonts w:hint="eastAsia"/>
                <w:lang w:val="en-US" w:eastAsia="zh-CN"/>
              </w:rPr>
              <w:t>详</w:t>
            </w:r>
            <w:r>
              <w:rPr>
                <w:rFonts w:hint="default"/>
                <w:lang w:val="en-US" w:eastAsia="zh-CN"/>
              </w:rPr>
              <w:t>见</w:t>
            </w:r>
            <w:r>
              <w:rPr>
                <w:rFonts w:hint="eastAsia"/>
                <w:lang w:val="en-US" w:eastAsia="zh-CN"/>
              </w:rPr>
              <w:t>下</w:t>
            </w:r>
            <w:r>
              <w:rPr>
                <w:rFonts w:hint="default"/>
                <w:lang w:val="en-US" w:eastAsia="zh-CN"/>
              </w:rPr>
              <w:t>表。</w:t>
            </w:r>
          </w:p>
          <w:p>
            <w:pPr>
              <w:pStyle w:val="36"/>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表2-8    项目运营期主要污染工序一览表</w:t>
            </w:r>
          </w:p>
          <w:tbl>
            <w:tblPr>
              <w:tblStyle w:val="20"/>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968"/>
              <w:gridCol w:w="1575"/>
              <w:gridCol w:w="2295"/>
              <w:gridCol w:w="30"/>
              <w:gridCol w:w="2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lang w:val="en-US" w:eastAsia="zh-CN"/>
                    </w:rPr>
                  </w:pPr>
                  <w:r>
                    <w:rPr>
                      <w:rFonts w:hint="default" w:ascii="Times New Roman" w:hAnsi="Times New Roman" w:eastAsia="宋体" w:cs="Times New Roman"/>
                      <w:sz w:val="21"/>
                      <w:szCs w:val="21"/>
                    </w:rPr>
                    <w:t>污染类别</w:t>
                  </w:r>
                </w:p>
              </w:tc>
              <w:tc>
                <w:tcPr>
                  <w:tcW w:w="1575"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lang w:val="en-US" w:eastAsia="zh-CN"/>
                    </w:rPr>
                  </w:pPr>
                  <w:r>
                    <w:rPr>
                      <w:rFonts w:hint="default" w:ascii="Times New Roman" w:hAnsi="Times New Roman" w:eastAsia="宋体" w:cs="Times New Roman"/>
                      <w:sz w:val="21"/>
                      <w:szCs w:val="21"/>
                    </w:rPr>
                    <w:t>来源</w:t>
                  </w:r>
                </w:p>
              </w:tc>
              <w:tc>
                <w:tcPr>
                  <w:tcW w:w="2295" w:type="dxa"/>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主要污染因子</w:t>
                  </w:r>
                </w:p>
              </w:tc>
              <w:tc>
                <w:tcPr>
                  <w:tcW w:w="2694" w:type="dxa"/>
                  <w:gridSpan w:val="2"/>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gridSpan w:val="2"/>
                  <w:vMerge w:val="restar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废气</w:t>
                  </w:r>
                </w:p>
              </w:tc>
              <w:tc>
                <w:tcPr>
                  <w:tcW w:w="1575" w:type="dxa"/>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水泥筒仓产生的粉尘</w:t>
                  </w:r>
                </w:p>
              </w:tc>
              <w:tc>
                <w:tcPr>
                  <w:tcW w:w="2295" w:type="dxa"/>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颗粒物</w:t>
                  </w:r>
                </w:p>
              </w:tc>
              <w:tc>
                <w:tcPr>
                  <w:tcW w:w="2694" w:type="dxa"/>
                  <w:gridSpan w:val="2"/>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仓顶滤筒式过滤器处理后无组织排放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gridSpan w:val="2"/>
                  <w:vMerge w:val="continue"/>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575" w:type="dxa"/>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投料、干混搅拌产生的粉尘</w:t>
                  </w:r>
                </w:p>
              </w:tc>
              <w:tc>
                <w:tcPr>
                  <w:tcW w:w="2295" w:type="dxa"/>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颗粒物</w:t>
                  </w:r>
                </w:p>
              </w:tc>
              <w:tc>
                <w:tcPr>
                  <w:tcW w:w="2694" w:type="dxa"/>
                  <w:gridSpan w:val="2"/>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布袋除尘器+15m排气筒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536" w:type="dxa"/>
                  <w:gridSpan w:val="2"/>
                  <w:vMerge w:val="restar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废水</w:t>
                  </w:r>
                </w:p>
              </w:tc>
              <w:tc>
                <w:tcPr>
                  <w:tcW w:w="1575" w:type="dxa"/>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生活废水</w:t>
                  </w:r>
                </w:p>
              </w:tc>
              <w:tc>
                <w:tcPr>
                  <w:tcW w:w="2295" w:type="dxa"/>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pH、</w:t>
                  </w:r>
                  <w:r>
                    <w:rPr>
                      <w:rFonts w:hint="default"/>
                      <w:lang w:val="en-US" w:eastAsia="zh-CN"/>
                    </w:rPr>
                    <w:t>COD</w:t>
                  </w:r>
                  <w:r>
                    <w:rPr>
                      <w:rFonts w:hint="eastAsia"/>
                      <w:lang w:val="en-US" w:eastAsia="zh-CN"/>
                    </w:rPr>
                    <w:t>、</w:t>
                  </w:r>
                  <w:r>
                    <w:rPr>
                      <w:rFonts w:hint="default"/>
                      <w:lang w:val="en-US" w:eastAsia="zh-CN"/>
                    </w:rPr>
                    <w:t>BOD</w:t>
                  </w:r>
                  <w:r>
                    <w:rPr>
                      <w:rFonts w:hint="default"/>
                      <w:vertAlign w:val="subscript"/>
                      <w:lang w:val="en-US" w:eastAsia="zh-CN"/>
                    </w:rPr>
                    <w:t>5</w:t>
                  </w:r>
                  <w:r>
                    <w:rPr>
                      <w:rFonts w:hint="eastAsia"/>
                      <w:lang w:val="en-US" w:eastAsia="zh-CN"/>
                    </w:rPr>
                    <w:t>、</w:t>
                  </w:r>
                  <w:r>
                    <w:rPr>
                      <w:rFonts w:hint="default"/>
                      <w:lang w:val="en-US" w:eastAsia="zh-CN"/>
                    </w:rPr>
                    <w:t>SS</w:t>
                  </w:r>
                  <w:r>
                    <w:rPr>
                      <w:rFonts w:hint="eastAsia"/>
                      <w:lang w:val="en-US" w:eastAsia="zh-CN"/>
                    </w:rPr>
                    <w:t>、</w:t>
                  </w:r>
                  <w:r>
                    <w:rPr>
                      <w:rFonts w:hint="default"/>
                      <w:lang w:val="en-US" w:eastAsia="zh-CN"/>
                    </w:rPr>
                    <w:t>氨氮</w:t>
                  </w:r>
                  <w:r>
                    <w:rPr>
                      <w:rFonts w:hint="eastAsia"/>
                      <w:lang w:val="en-US" w:eastAsia="zh-CN"/>
                    </w:rPr>
                    <w:t>、动植物油</w:t>
                  </w:r>
                </w:p>
              </w:tc>
              <w:tc>
                <w:tcPr>
                  <w:tcW w:w="2694" w:type="dxa"/>
                  <w:gridSpan w:val="2"/>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化粪池处理后排入污水管网，最终进入铁门关污水处理厂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536" w:type="dxa"/>
                  <w:gridSpan w:val="2"/>
                  <w:vMerge w:val="continue"/>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575" w:type="dxa"/>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生产废水</w:t>
                  </w:r>
                </w:p>
              </w:tc>
              <w:tc>
                <w:tcPr>
                  <w:tcW w:w="4989" w:type="dxa"/>
                  <w:gridSpan w:val="3"/>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设备清洗水回用于产品</w:t>
                  </w:r>
                  <w:r>
                    <w:rPr>
                      <w:rFonts w:hint="eastAsia"/>
                      <w:lang w:val="en-US" w:eastAsia="zh-CN"/>
                    </w:rPr>
                    <w:t>；</w:t>
                  </w:r>
                  <w:r>
                    <w:rPr>
                      <w:rFonts w:hint="default"/>
                      <w:lang w:val="en-US" w:eastAsia="zh-CN"/>
                    </w:rPr>
                    <w:t>切割打孔用水经沉淀收集后，循环利用，不外排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536" w:type="dxa"/>
                  <w:gridSpan w:val="2"/>
                  <w:vAlign w:val="center"/>
                </w:tcPr>
                <w:p>
                  <w:pPr>
                    <w:keepLines w:val="0"/>
                    <w:pageBreakBefore w:val="0"/>
                    <w:kinsoku/>
                    <w:wordWrap/>
                    <w:topLinePunct w:val="0"/>
                    <w:autoSpaceDE/>
                    <w:autoSpaceDN/>
                    <w:bidi w:val="0"/>
                    <w:spacing w:beforeAutospacing="0" w:afterAutospacing="0"/>
                    <w:jc w:val="center"/>
                    <w:textAlignment w:val="auto"/>
                    <w:rPr>
                      <w:rFonts w:hint="eastAsia"/>
                      <w:lang w:val="en-US" w:eastAsia="zh-CN"/>
                    </w:rPr>
                  </w:pPr>
                  <w:r>
                    <w:rPr>
                      <w:rFonts w:hint="eastAsia"/>
                      <w:highlight w:val="none"/>
                      <w:lang w:val="en-US" w:eastAsia="zh-CN"/>
                    </w:rPr>
                    <w:t>噪声</w:t>
                  </w:r>
                </w:p>
              </w:tc>
              <w:tc>
                <w:tcPr>
                  <w:tcW w:w="1575" w:type="dxa"/>
                  <w:vAlign w:val="center"/>
                </w:tcPr>
                <w:p>
                  <w:pPr>
                    <w:keepLines w:val="0"/>
                    <w:pageBreakBefore w:val="0"/>
                    <w:kinsoku/>
                    <w:wordWrap/>
                    <w:topLinePunct w:val="0"/>
                    <w:autoSpaceDE/>
                    <w:autoSpaceDN/>
                    <w:bidi w:val="0"/>
                    <w:spacing w:beforeAutospacing="0" w:afterAutospacing="0"/>
                    <w:jc w:val="center"/>
                    <w:textAlignment w:val="auto"/>
                    <w:rPr>
                      <w:rFonts w:hint="eastAsia"/>
                      <w:lang w:val="en-US" w:eastAsia="zh-CN"/>
                    </w:rPr>
                  </w:pPr>
                  <w:r>
                    <w:rPr>
                      <w:rFonts w:hint="eastAsia"/>
                      <w:highlight w:val="none"/>
                      <w:lang w:val="en-US" w:eastAsia="zh-CN"/>
                    </w:rPr>
                    <w:t>生产设备及运输车辆</w:t>
                  </w:r>
                </w:p>
              </w:tc>
              <w:tc>
                <w:tcPr>
                  <w:tcW w:w="2325" w:type="dxa"/>
                  <w:gridSpan w:val="2"/>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噪声</w:t>
                  </w:r>
                </w:p>
              </w:tc>
              <w:tc>
                <w:tcPr>
                  <w:tcW w:w="2664" w:type="dxa"/>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采取隔声、减震等措施</w:t>
                  </w:r>
                  <w:r>
                    <w:rPr>
                      <w:rFonts w:hint="eastAsia"/>
                      <w:lang w:val="en-US" w:eastAsia="zh-CN"/>
                    </w:rPr>
                    <w:t>，定期对设备进行保养，封闭生产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568" w:type="dxa"/>
                  <w:vMerge w:val="restar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固体废物</w:t>
                  </w:r>
                </w:p>
              </w:tc>
              <w:tc>
                <w:tcPr>
                  <w:tcW w:w="968" w:type="dxa"/>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一般工业固废</w:t>
                  </w:r>
                </w:p>
              </w:tc>
              <w:tc>
                <w:tcPr>
                  <w:tcW w:w="6564" w:type="dxa"/>
                  <w:gridSpan w:val="4"/>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除尘器收集的粉尘</w:t>
                  </w:r>
                  <w:r>
                    <w:rPr>
                      <w:rFonts w:hint="eastAsia"/>
                      <w:lang w:val="en-US" w:eastAsia="zh-CN"/>
                    </w:rPr>
                    <w:t>和沉淀池沉渣</w:t>
                  </w:r>
                  <w:r>
                    <w:rPr>
                      <w:rFonts w:hint="default"/>
                      <w:lang w:val="en-US" w:eastAsia="zh-CN"/>
                    </w:rPr>
                    <w:t>回用于生产</w:t>
                  </w:r>
                  <w:r>
                    <w:rPr>
                      <w:rFonts w:hint="eastAsia"/>
                      <w:lang w:val="en-US" w:eastAsia="zh-CN"/>
                    </w:rPr>
                    <w:t>；</w:t>
                  </w:r>
                  <w:r>
                    <w:rPr>
                      <w:rFonts w:hint="default"/>
                      <w:lang w:val="en-US" w:eastAsia="zh-CN"/>
                    </w:rPr>
                    <w:t>边角料及不合格产品拉运至一般固废处置场所</w:t>
                  </w:r>
                  <w:r>
                    <w:rPr>
                      <w:rFonts w:hint="eastAsia"/>
                      <w:lang w:val="en-US" w:eastAsia="zh-CN"/>
                    </w:rPr>
                    <w:t>；废润滑油、废润滑油桶等危险废物贮存于危废贮存间内，定期交由有资质的单位进行处理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8" w:type="dxa"/>
                  <w:vMerge w:val="continue"/>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p>
              </w:tc>
              <w:tc>
                <w:tcPr>
                  <w:tcW w:w="968" w:type="dxa"/>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生活垃圾</w:t>
                  </w:r>
                </w:p>
              </w:tc>
              <w:tc>
                <w:tcPr>
                  <w:tcW w:w="1575" w:type="dxa"/>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办公生活</w:t>
                  </w:r>
                </w:p>
              </w:tc>
              <w:tc>
                <w:tcPr>
                  <w:tcW w:w="2295" w:type="dxa"/>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生活垃圾</w:t>
                  </w:r>
                </w:p>
              </w:tc>
              <w:tc>
                <w:tcPr>
                  <w:tcW w:w="2694" w:type="dxa"/>
                  <w:gridSpan w:val="2"/>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交环卫部门处理</w:t>
                  </w:r>
                </w:p>
              </w:tc>
            </w:tr>
          </w:tbl>
          <w:p>
            <w:pPr>
              <w:pStyle w:val="8"/>
              <w:keepLines w:val="0"/>
              <w:pageBreakBefore w:val="0"/>
              <w:kinsoku/>
              <w:wordWrap/>
              <w:topLinePunct w:val="0"/>
              <w:autoSpaceDE/>
              <w:autoSpaceDN/>
              <w:bidi w:val="0"/>
              <w:spacing w:beforeAutospacing="0" w:afterAutospacing="0"/>
              <w:textAlignment w:val="auto"/>
              <w:rPr>
                <w:rFonts w:hint="default" w:ascii="宋体" w:hAnsi="宋体" w:cs="宋体"/>
                <w:bCs/>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43" w:hRule="atLeast"/>
          <w:jc w:val="center"/>
        </w:trPr>
        <w:tc>
          <w:tcPr>
            <w:tcW w:w="823" w:type="dxa"/>
            <w:noWrap w:val="0"/>
            <w:vAlign w:val="center"/>
          </w:tcPr>
          <w:p>
            <w:pPr>
              <w:pStyle w:val="16"/>
              <w:keepLines w:val="0"/>
              <w:pageBreakBefore w:val="0"/>
              <w:kinsoku/>
              <w:wordWrap/>
              <w:topLinePunct w:val="0"/>
              <w:autoSpaceDE/>
              <w:autoSpaceDN/>
              <w:bidi w:val="0"/>
              <w:adjustRightInd w:val="0"/>
              <w:snapToGrid w:val="0"/>
              <w:spacing w:before="0" w:beforeAutospacing="0" w:after="0" w:afterAutospacing="0"/>
              <w:jc w:val="center"/>
              <w:textAlignment w:val="auto"/>
              <w:rPr>
                <w:rFonts w:cs="宋体"/>
                <w:sz w:val="21"/>
                <w:szCs w:val="21"/>
              </w:rPr>
            </w:pPr>
            <w:r>
              <w:rPr>
                <w:rFonts w:hint="eastAsia" w:cs="宋体"/>
                <w:bCs/>
                <w:kern w:val="2"/>
                <w:sz w:val="21"/>
                <w:szCs w:val="21"/>
              </w:rPr>
              <w:t>与项目有关的原有环境污染问题</w:t>
            </w:r>
          </w:p>
        </w:tc>
        <w:tc>
          <w:tcPr>
            <w:tcW w:w="8161" w:type="dxa"/>
            <w:noWrap w:val="0"/>
            <w:vAlign w:val="center"/>
          </w:tcPr>
          <w:p>
            <w:pPr>
              <w:pStyle w:val="8"/>
              <w:keepLines w:val="0"/>
              <w:pageBreakBefore w:val="0"/>
              <w:kinsoku/>
              <w:wordWrap/>
              <w:topLinePunct w:val="0"/>
              <w:autoSpaceDE/>
              <w:autoSpaceDN/>
              <w:bidi w:val="0"/>
              <w:spacing w:beforeAutospacing="0" w:afterAutospacing="0"/>
              <w:jc w:val="center"/>
              <w:textAlignment w:val="auto"/>
              <w:rPr>
                <w:rFonts w:hint="eastAsia" w:ascii="宋体" w:hAnsi="宋体" w:eastAsia="宋体"/>
                <w:bCs/>
                <w:szCs w:val="21"/>
                <w:lang w:val="en-US" w:eastAsia="zh-CN"/>
              </w:rPr>
            </w:pPr>
            <w:r>
              <w:rPr>
                <w:rFonts w:hint="eastAsia"/>
                <w:lang w:val="en-US" w:eastAsia="zh-CN"/>
              </w:rPr>
              <w:t>本项目为新建项目，不存在与本项目有关的原有环境污染问题。</w:t>
            </w:r>
          </w:p>
        </w:tc>
      </w:tr>
    </w:tbl>
    <w:p>
      <w:pPr>
        <w:pStyle w:val="16"/>
        <w:keepLines w:val="0"/>
        <w:pageBreakBefore w:val="0"/>
        <w:kinsoku/>
        <w:wordWrap/>
        <w:topLinePunct w:val="0"/>
        <w:autoSpaceDE/>
        <w:autoSpaceDN/>
        <w:bidi w:val="0"/>
        <w:spacing w:beforeAutospacing="0" w:afterAutospacing="0"/>
        <w:jc w:val="center"/>
        <w:textAlignment w:val="auto"/>
        <w:rPr>
          <w:rFonts w:ascii="黑体" w:hAnsi="黑体" w:eastAsia="黑体"/>
          <w:snapToGrid w:val="0"/>
          <w:sz w:val="36"/>
          <w:szCs w:val="36"/>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keepLines w:val="0"/>
        <w:pageBreakBefore w:val="0"/>
        <w:kinsoku/>
        <w:wordWrap/>
        <w:topLinePunct w:val="0"/>
        <w:autoSpaceDE/>
        <w:autoSpaceDN/>
        <w:bidi w:val="0"/>
        <w:spacing w:beforeAutospacing="0" w:afterAutospacing="0"/>
        <w:jc w:val="center"/>
        <w:textAlignment w:val="auto"/>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2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20" w:hRule="atLeast"/>
          <w:jc w:val="center"/>
        </w:trPr>
        <w:tc>
          <w:tcPr>
            <w:tcW w:w="800" w:type="dxa"/>
            <w:noWrap w:val="0"/>
            <w:vAlign w:val="center"/>
          </w:tcPr>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区域</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环境</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质量</w:t>
            </w:r>
          </w:p>
          <w:p>
            <w:pPr>
              <w:keepLines w:val="0"/>
              <w:pageBreakBefore w:val="0"/>
              <w:kinsoku/>
              <w:wordWrap/>
              <w:topLinePunct w:val="0"/>
              <w:autoSpaceDE/>
              <w:autoSpaceDN/>
              <w:bidi w:val="0"/>
              <w:adjustRightInd w:val="0"/>
              <w:snapToGrid w:val="0"/>
              <w:spacing w:beforeAutospacing="0" w:afterAutospacing="0"/>
              <w:jc w:val="center"/>
              <w:textAlignment w:val="auto"/>
              <w:rPr>
                <w:rFonts w:ascii="宋体" w:hAnsi="宋体" w:cs="宋体"/>
                <w:kern w:val="0"/>
                <w:szCs w:val="21"/>
              </w:rPr>
            </w:pPr>
            <w:r>
              <w:rPr>
                <w:rFonts w:hint="eastAsia" w:ascii="宋体" w:hAnsi="宋体" w:cs="宋体"/>
                <w:kern w:val="0"/>
                <w:szCs w:val="21"/>
              </w:rPr>
              <w:t>现状</w:t>
            </w:r>
          </w:p>
        </w:tc>
        <w:tc>
          <w:tcPr>
            <w:tcW w:w="8190" w:type="dxa"/>
            <w:noWrap w:val="0"/>
            <w:vAlign w:val="top"/>
          </w:tcPr>
          <w:p>
            <w:pPr>
              <w:pStyle w:val="3"/>
              <w:keepLines w:val="0"/>
              <w:pageBreakBefore w:val="0"/>
              <w:kinsoku/>
              <w:wordWrap/>
              <w:topLinePunct w:val="0"/>
              <w:autoSpaceDE/>
              <w:autoSpaceDN/>
              <w:bidi w:val="0"/>
              <w:spacing w:beforeAutospacing="0" w:afterAutospacing="0"/>
              <w:jc w:val="both"/>
              <w:textAlignment w:val="auto"/>
              <w:rPr>
                <w:rFonts w:hint="default"/>
                <w:lang w:val="en-US" w:eastAsia="zh-CN"/>
              </w:rPr>
            </w:pPr>
            <w:r>
              <w:rPr>
                <w:rFonts w:hint="eastAsia"/>
                <w:lang w:val="en-US" w:eastAsia="zh-CN"/>
              </w:rPr>
              <w:t>1.环境空气现状调查与评价</w:t>
            </w:r>
          </w:p>
          <w:p>
            <w:pPr>
              <w:pStyle w:val="3"/>
              <w:keepLines w:val="0"/>
              <w:pageBreakBefore w:val="0"/>
              <w:kinsoku/>
              <w:wordWrap/>
              <w:topLinePunct w:val="0"/>
              <w:autoSpaceDE/>
              <w:autoSpaceDN/>
              <w:bidi w:val="0"/>
              <w:spacing w:beforeAutospacing="0" w:afterAutospacing="0"/>
              <w:jc w:val="both"/>
              <w:textAlignment w:val="auto"/>
              <w:rPr>
                <w:rFonts w:hint="default"/>
                <w:lang w:val="en-US" w:eastAsia="zh-CN"/>
              </w:rPr>
            </w:pPr>
            <w:r>
              <w:rPr>
                <w:rFonts w:hint="eastAsia"/>
                <w:lang w:val="en-US" w:eastAsia="zh-CN"/>
              </w:rPr>
              <w:t>1.1基本污染物空气环境质量现状</w:t>
            </w:r>
          </w:p>
          <w:p>
            <w:pPr>
              <w:pStyle w:val="8"/>
              <w:keepLines w:val="0"/>
              <w:pageBreakBefore w:val="0"/>
              <w:kinsoku/>
              <w:wordWrap/>
              <w:topLinePunct w:val="0"/>
              <w:autoSpaceDE/>
              <w:autoSpaceDN/>
              <w:bidi w:val="0"/>
              <w:spacing w:beforeAutospacing="0" w:afterAutospacing="0"/>
              <w:textAlignment w:val="auto"/>
              <w:rPr>
                <w:rFonts w:hint="eastAsia"/>
              </w:rPr>
            </w:pPr>
            <w:r>
              <w:rPr>
                <w:rFonts w:hint="eastAsia"/>
              </w:rPr>
              <w:t>根据《建设项目环境影响报告表编制技术指南（污染影响类）（试行）》，对于基本污染物环境质量现状数据，项目所在区域达标判定优先采用国家或地方生态环境主管部门公开发布的评价基准年环境质量公告或环境质量报告中的数据或结论。</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本工程建设地点位于新疆维吾尔自治区库尔勒市上库综合产业园区永安路18号，本次评价现状监测资料引用巴音郭楞蒙古自治州库尔勒市孔雀公园站点2023年的自动监测数据。作为环境空气现状评价基本污染物SO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、CO和O</w:t>
            </w:r>
            <w:r>
              <w:rPr>
                <w:rFonts w:hint="eastAsia"/>
                <w:vertAlign w:val="subscript"/>
                <w:lang w:val="en-US" w:eastAsia="zh-CN"/>
              </w:rPr>
              <w:t>3</w:t>
            </w:r>
            <w:r>
              <w:rPr>
                <w:rFonts w:hint="eastAsia"/>
                <w:lang w:val="en-US" w:eastAsia="zh-CN"/>
              </w:rPr>
              <w:t>的数据来源。</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（1）监测项目、监测时间</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监测项目：基本污染物SO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、CO和O</w:t>
            </w:r>
            <w:r>
              <w:rPr>
                <w:rFonts w:hint="eastAsia"/>
                <w:vertAlign w:val="subscript"/>
                <w:lang w:val="en-US" w:eastAsia="zh-CN"/>
              </w:rPr>
              <w:t>3</w:t>
            </w:r>
            <w:r>
              <w:rPr>
                <w:rFonts w:hint="eastAsia"/>
                <w:lang w:val="en-US" w:eastAsia="zh-CN"/>
              </w:rPr>
              <w:t>；</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监测时间：基本污染物SO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、CO和O</w:t>
            </w:r>
            <w:r>
              <w:rPr>
                <w:rFonts w:hint="eastAsia"/>
                <w:vertAlign w:val="subscript"/>
                <w:lang w:val="en-US" w:eastAsia="zh-CN"/>
              </w:rPr>
              <w:t>3</w:t>
            </w:r>
            <w:r>
              <w:rPr>
                <w:rFonts w:hint="eastAsia"/>
                <w:lang w:val="en-US" w:eastAsia="zh-CN"/>
              </w:rPr>
              <w:t>的监测时间为2023年全年监测数据。</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（2）评价标准</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根据环境空气质量功能区划分区规定，本次评价基本污染物SO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、CO和O</w:t>
            </w:r>
            <w:r>
              <w:rPr>
                <w:rFonts w:hint="eastAsia"/>
                <w:vertAlign w:val="subscript"/>
                <w:lang w:val="en-US" w:eastAsia="zh-CN"/>
              </w:rPr>
              <w:t>3</w:t>
            </w:r>
            <w:r>
              <w:rPr>
                <w:rFonts w:hint="eastAsia"/>
                <w:lang w:val="en-US" w:eastAsia="zh-CN"/>
              </w:rPr>
              <w:t>执行《环境空气质量标准》（GB3095-2012）及其修改单中二级标准。</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（3）评价方法</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按照《环境空气质量评价技术规范（试行）》（HJ663-2013）中各评价项目的年评价指标进行判定。年评价指标中的年均浓度和相应百分位数24h平均或8h平均质量浓度满足《环境空气质量标准》（GB3095-2012）及其修改单中二级浓度限值要求的即为达标。对于超标的污染物，计算其超标倍数和超标率。</w:t>
            </w:r>
          </w:p>
          <w:p>
            <w:pPr>
              <w:pStyle w:val="8"/>
              <w:keepLines w:val="0"/>
              <w:pageBreakBefore w:val="0"/>
              <w:kinsoku/>
              <w:wordWrap/>
              <w:topLinePunct w:val="0"/>
              <w:autoSpaceDE/>
              <w:autoSpaceDN/>
              <w:bidi w:val="0"/>
              <w:spacing w:beforeAutospacing="0" w:afterAutospacing="0"/>
              <w:textAlignment w:val="auto"/>
              <w:rPr>
                <w:rFonts w:hint="eastAsia" w:ascii="Times New Roman" w:hAnsi="Times New Roman" w:eastAsia="宋体" w:cs="Times New Roman"/>
                <w:kern w:val="2"/>
                <w:szCs w:val="24"/>
                <w:highlight w:val="none"/>
                <w:lang w:val="en-US" w:eastAsia="zh-CN" w:bidi="ar-SA"/>
              </w:rPr>
            </w:pPr>
            <w:r>
              <w:rPr>
                <w:rFonts w:hint="eastAsia"/>
                <w:lang w:val="en-US" w:eastAsia="zh-CN"/>
              </w:rPr>
              <w:t>区域空气质量现状评价见下表3-1。</w:t>
            </w:r>
          </w:p>
          <w:p>
            <w:pPr>
              <w:pStyle w:val="36"/>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表3-1    区域空气质量现状评价</w:t>
            </w:r>
          </w:p>
          <w:tbl>
            <w:tblPr>
              <w:tblStyle w:val="20"/>
              <w:tblW w:w="499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2357"/>
              <w:gridCol w:w="1318"/>
              <w:gridCol w:w="1396"/>
              <w:gridCol w:w="889"/>
              <w:gridCol w:w="11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污染物</w:t>
                  </w: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评价项目</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t>浓度（</w:t>
                  </w:r>
                  <w:r>
                    <w:rPr>
                      <w:rFonts w:hint="default"/>
                    </w:rPr>
                    <w:t>μ</w:t>
                  </w:r>
                  <w:r>
                    <w:rPr>
                      <w:rFonts w:hint="default"/>
                      <w:lang w:val="en-US" w:eastAsia="zh-CN"/>
                    </w:rPr>
                    <w:t>g</w:t>
                  </w:r>
                  <w:r>
                    <w:rPr>
                      <w:rFonts w:hint="default"/>
                    </w:rPr>
                    <w:t>/m</w:t>
                  </w:r>
                  <w:r>
                    <w:rPr>
                      <w:rFonts w:hint="default"/>
                      <w:vertAlign w:val="superscript"/>
                    </w:rPr>
                    <w:t>3</w:t>
                  </w:r>
                  <w:r>
                    <w:t>）</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标准（二级）</w:t>
                  </w:r>
                  <w:r>
                    <w:t>（</w:t>
                  </w:r>
                  <w:r>
                    <w:rPr>
                      <w:rFonts w:hint="default"/>
                    </w:rPr>
                    <w:t>μ</w:t>
                  </w:r>
                  <w:r>
                    <w:rPr>
                      <w:rFonts w:hint="default"/>
                      <w:lang w:val="en-US" w:eastAsia="zh-CN"/>
                    </w:rPr>
                    <w:t>g</w:t>
                  </w:r>
                  <w:r>
                    <w:rPr>
                      <w:rFonts w:hint="default"/>
                    </w:rPr>
                    <w:t>/m</w:t>
                  </w:r>
                  <w:r>
                    <w:rPr>
                      <w:rFonts w:hint="default"/>
                      <w:vertAlign w:val="superscript"/>
                    </w:rPr>
                    <w:t>3</w:t>
                  </w:r>
                  <w:r>
                    <w:t>）</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eastAsia="zh-CN"/>
                    </w:rPr>
                    <w:t>占标率</w:t>
                  </w:r>
                  <w:r>
                    <w:rPr>
                      <w:rFonts w:hint="eastAsia"/>
                      <w:lang w:val="en-US" w:eastAsia="zh-CN"/>
                    </w:rPr>
                    <w:t>%</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SO</w:t>
                  </w:r>
                  <w:r>
                    <w:rPr>
                      <w:rFonts w:hint="eastAsia"/>
                      <w:vertAlign w:val="subscript"/>
                    </w:rPr>
                    <w:t>2</w:t>
                  </w: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年平均</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5</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60</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8.3</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24h平均第98百分位数</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12</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150</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8</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NO</w:t>
                  </w:r>
                  <w:r>
                    <w:rPr>
                      <w:rFonts w:hint="eastAsia"/>
                      <w:vertAlign w:val="subscript"/>
                    </w:rPr>
                    <w:t>2</w:t>
                  </w: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年平均</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29</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40</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72.5</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24h平均第98百分位数</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60</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80</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75</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CO</w:t>
                  </w: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24h平均第95百分位数</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1000</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rPr>
                    <w:t>4</w:t>
                  </w:r>
                  <w:r>
                    <w:rPr>
                      <w:rFonts w:hint="eastAsia"/>
                      <w:lang w:val="en-US" w:eastAsia="zh-CN"/>
                    </w:rPr>
                    <w:t>000</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25</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O</w:t>
                  </w:r>
                  <w:r>
                    <w:rPr>
                      <w:rFonts w:hint="eastAsia"/>
                      <w:vertAlign w:val="subscript"/>
                    </w:rPr>
                    <w:t>3</w:t>
                  </w: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最大8小时滑动平均值的第90百分位数</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127</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160</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79.4</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549" w:type="pct"/>
                  <w:vMerge w:val="restar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PM</w:t>
                  </w:r>
                  <w:r>
                    <w:rPr>
                      <w:rFonts w:hint="eastAsia"/>
                      <w:vertAlign w:val="subscript"/>
                    </w:rPr>
                    <w:t>10</w:t>
                  </w: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年平均</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147</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70</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210</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24h平均第95百分位数</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402</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150</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268</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restar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PM</w:t>
                  </w:r>
                  <w:r>
                    <w:rPr>
                      <w:rFonts w:hint="eastAsia"/>
                      <w:vertAlign w:val="subscript"/>
                    </w:rPr>
                    <w:t>2.5</w:t>
                  </w: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年平均</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39</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35</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111.4</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 w:type="pct"/>
                  <w:vMerge w:val="continue"/>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p>
              </w:tc>
              <w:tc>
                <w:tcPr>
                  <w:tcW w:w="1479"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24h平均第95百分位数</w:t>
                  </w:r>
                </w:p>
              </w:tc>
              <w:tc>
                <w:tcPr>
                  <w:tcW w:w="827"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95</w:t>
                  </w:r>
                </w:p>
              </w:tc>
              <w:tc>
                <w:tcPr>
                  <w:tcW w:w="876"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pPr>
                  <w:r>
                    <w:rPr>
                      <w:rFonts w:hint="eastAsia"/>
                    </w:rPr>
                    <w:t>75</w:t>
                  </w:r>
                </w:p>
              </w:tc>
              <w:tc>
                <w:tcPr>
                  <w:tcW w:w="55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126.7</w:t>
                  </w:r>
                </w:p>
              </w:tc>
              <w:tc>
                <w:tcPr>
                  <w:tcW w:w="708" w:type="pc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eastAsia="zh-CN"/>
                    </w:rPr>
                    <w:t>不达标</w:t>
                  </w:r>
                </w:p>
              </w:tc>
            </w:tr>
          </w:tbl>
          <w:p>
            <w:pPr>
              <w:pStyle w:val="8"/>
              <w:keepLines w:val="0"/>
              <w:pageBreakBefore w:val="0"/>
              <w:kinsoku/>
              <w:wordWrap/>
              <w:topLinePunct w:val="0"/>
              <w:autoSpaceDE/>
              <w:autoSpaceDN/>
              <w:bidi w:val="0"/>
              <w:spacing w:beforeAutospacing="0" w:afterAutospacing="0"/>
              <w:textAlignment w:val="auto"/>
              <w:rPr>
                <w:rFonts w:hint="default"/>
                <w:lang w:eastAsia="zh-CN"/>
              </w:rPr>
            </w:pPr>
            <w:r>
              <w:rPr>
                <w:rFonts w:hint="eastAsia"/>
                <w:lang w:val="en-US" w:eastAsia="zh-CN"/>
              </w:rPr>
              <w:t>本项目所在区域PM</w:t>
            </w:r>
            <w:r>
              <w:rPr>
                <w:rFonts w:hint="eastAsia"/>
                <w:vertAlign w:val="subscript"/>
                <w:lang w:val="en-US" w:eastAsia="zh-CN"/>
              </w:rPr>
              <w:t>2.5</w:t>
            </w:r>
            <w:r>
              <w:rPr>
                <w:rFonts w:hint="eastAsia"/>
                <w:lang w:val="en-US" w:eastAsia="zh-CN"/>
              </w:rPr>
              <w:t>、</w:t>
            </w:r>
            <w:r>
              <w:rPr>
                <w:rFonts w:hint="default"/>
                <w:lang w:val="en-US" w:eastAsia="zh-CN"/>
              </w:rPr>
              <w:t>PM</w:t>
            </w:r>
            <w:r>
              <w:rPr>
                <w:rFonts w:hint="default"/>
                <w:vertAlign w:val="subscript"/>
                <w:lang w:val="en-US" w:eastAsia="zh-CN"/>
              </w:rPr>
              <w:t>10</w:t>
            </w:r>
            <w:r>
              <w:rPr>
                <w:rFonts w:hint="eastAsia"/>
                <w:lang w:val="en-US" w:eastAsia="zh-CN"/>
              </w:rPr>
              <w:t>年平均和24h平均第95百分位数浓度超过《环境空气质量标准》（</w:t>
            </w:r>
            <w:r>
              <w:rPr>
                <w:rFonts w:hint="default"/>
                <w:lang w:val="en-US" w:eastAsia="zh-CN"/>
              </w:rPr>
              <w:t>GB3095-2012</w:t>
            </w:r>
            <w:r>
              <w:rPr>
                <w:rFonts w:hint="eastAsia"/>
                <w:lang w:val="en-US" w:eastAsia="zh-CN"/>
              </w:rPr>
              <w:t>）的二级标准要求，SO</w:t>
            </w:r>
            <w:r>
              <w:rPr>
                <w:rFonts w:hint="eastAsia"/>
                <w:vertAlign w:val="subscript"/>
                <w:lang w:val="en-US" w:eastAsia="zh-CN"/>
              </w:rPr>
              <w:t>2</w:t>
            </w:r>
            <w:r>
              <w:rPr>
                <w:rFonts w:hint="eastAsia"/>
                <w:lang w:val="en-US" w:eastAsia="zh-CN"/>
              </w:rPr>
              <w:t>、NO</w:t>
            </w:r>
            <w:r>
              <w:rPr>
                <w:rFonts w:hint="eastAsia"/>
                <w:vertAlign w:val="subscript"/>
                <w:lang w:val="en-US" w:eastAsia="zh-CN"/>
              </w:rPr>
              <w:t>2</w:t>
            </w:r>
            <w:r>
              <w:rPr>
                <w:rFonts w:hint="eastAsia"/>
                <w:lang w:val="en-US" w:eastAsia="zh-CN"/>
              </w:rPr>
              <w:t>、CO、O</w:t>
            </w:r>
            <w:r>
              <w:rPr>
                <w:rFonts w:hint="eastAsia"/>
                <w:vertAlign w:val="subscript"/>
                <w:lang w:val="en-US" w:eastAsia="zh-CN"/>
              </w:rPr>
              <w:t>3</w:t>
            </w:r>
            <w:r>
              <w:rPr>
                <w:rFonts w:hint="eastAsia"/>
                <w:lang w:val="en-US" w:eastAsia="zh-CN"/>
              </w:rPr>
              <w:t>等其他监测指标均满足二级标准。PM</w:t>
            </w:r>
            <w:r>
              <w:rPr>
                <w:rFonts w:hint="eastAsia"/>
                <w:vertAlign w:val="subscript"/>
                <w:lang w:val="en-US" w:eastAsia="zh-CN"/>
              </w:rPr>
              <w:t>10</w:t>
            </w:r>
            <w:r>
              <w:rPr>
                <w:rFonts w:hint="eastAsia"/>
                <w:lang w:val="en-US" w:eastAsia="zh-CN"/>
              </w:rPr>
              <w:t>、PM</w:t>
            </w:r>
            <w:r>
              <w:rPr>
                <w:rFonts w:hint="eastAsia"/>
                <w:vertAlign w:val="subscript"/>
                <w:lang w:val="en-US" w:eastAsia="zh-CN"/>
              </w:rPr>
              <w:t>2.5</w:t>
            </w:r>
            <w:r>
              <w:rPr>
                <w:rFonts w:hint="eastAsia"/>
                <w:lang w:val="en-US" w:eastAsia="zh-CN"/>
              </w:rPr>
              <w:t>超标主要与当地气候条件和地理位置有关，评价区大气由于受到当地干旱气候的影响，空气中</w:t>
            </w:r>
            <w:r>
              <w:rPr>
                <w:rFonts w:hint="default"/>
                <w:lang w:val="en-US" w:eastAsia="zh-CN"/>
              </w:rPr>
              <w:t>PM</w:t>
            </w:r>
            <w:r>
              <w:rPr>
                <w:rFonts w:hint="default"/>
                <w:vertAlign w:val="subscript"/>
                <w:lang w:val="en-US" w:eastAsia="zh-CN"/>
              </w:rPr>
              <w:t>2.5</w:t>
            </w:r>
            <w:r>
              <w:rPr>
                <w:rFonts w:hint="eastAsia"/>
                <w:lang w:val="en-US" w:eastAsia="zh-CN"/>
              </w:rPr>
              <w:t>、</w:t>
            </w:r>
            <w:r>
              <w:rPr>
                <w:rFonts w:hint="default"/>
                <w:lang w:val="en-US" w:eastAsia="zh-CN"/>
              </w:rPr>
              <w:t>PM</w:t>
            </w:r>
            <w:r>
              <w:rPr>
                <w:rFonts w:hint="default"/>
                <w:vertAlign w:val="subscript"/>
                <w:lang w:val="en-US" w:eastAsia="zh-CN"/>
              </w:rPr>
              <w:t>10</w:t>
            </w:r>
            <w:r>
              <w:rPr>
                <w:rFonts w:hint="eastAsia"/>
                <w:lang w:val="en-US" w:eastAsia="zh-CN"/>
              </w:rPr>
              <w:t>的本底值偏高，尤其在沙尘暴和浮尘天气，会出现严重超标。</w:t>
            </w:r>
            <w:r>
              <w:rPr>
                <w:rFonts w:hint="default"/>
                <w:lang w:eastAsia="zh-CN"/>
              </w:rPr>
              <w:t>因此，项目所在区域为不达标区。</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1.2其他污染物质量现状</w:t>
            </w:r>
          </w:p>
          <w:p>
            <w:pPr>
              <w:pStyle w:val="8"/>
              <w:keepLines w:val="0"/>
              <w:pageBreakBefore w:val="0"/>
              <w:kinsoku/>
              <w:wordWrap/>
              <w:topLinePunct w:val="0"/>
              <w:autoSpaceDE/>
              <w:autoSpaceDN/>
              <w:bidi w:val="0"/>
              <w:spacing w:beforeAutospacing="0" w:afterAutospacing="0"/>
              <w:textAlignment w:val="auto"/>
              <w:rPr>
                <w:rFonts w:hint="eastAsia"/>
                <w:lang w:eastAsia="zh-CN"/>
              </w:rPr>
            </w:pPr>
            <w:r>
              <w:rPr>
                <w:rFonts w:hint="eastAsia"/>
                <w:lang w:val="en-US" w:eastAsia="zh-CN"/>
              </w:rPr>
              <w:t>根据《建设项目环境影响报告表编制技术指南（污染影响类）（试行）》，排放国家、地方环境空气质量标准中有标准限值要求的特征污染物时，引用建设项目周边5千米范围内近3年的现有监测数据</w:t>
            </w:r>
            <w:r>
              <w:rPr>
                <w:rFonts w:hint="eastAsia"/>
                <w:lang w:eastAsia="zh-CN"/>
              </w:rPr>
              <w:t>。</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本项目引用新疆中检联检测有限公司于2024年7月18日至7月21日</w:t>
            </w:r>
            <w:r>
              <w:rPr>
                <w:rFonts w:hint="eastAsia"/>
                <w:lang w:val="en-US" w:eastAsia="zh-CN"/>
              </w:rPr>
              <w:t>关于《库尔勒聚盈建材有限公司年产15000立方挤塑板项目环境影响报告表》中TSP的监测数据（位于本项目东北侧约900m处，监测点位置为E：</w:t>
            </w:r>
            <w:r>
              <w:rPr>
                <w:rFonts w:hint="default" w:ascii="Times New Roman" w:hAnsi="Times New Roman" w:cs="Times New Roman"/>
                <w:lang w:val="en-US" w:eastAsia="zh-CN"/>
              </w:rPr>
              <w:t>85°55′9.755"</w:t>
            </w:r>
            <w:r>
              <w:rPr>
                <w:rFonts w:hint="eastAsia" w:cs="Times New Roman"/>
                <w:lang w:val="en-US" w:eastAsia="zh-CN"/>
              </w:rPr>
              <w:t>，N：</w:t>
            </w:r>
            <w:r>
              <w:rPr>
                <w:rFonts w:hint="default" w:ascii="Times New Roman" w:hAnsi="Times New Roman" w:cs="Times New Roman"/>
                <w:lang w:val="en-US" w:eastAsia="zh-CN"/>
              </w:rPr>
              <w:t>41°51′4.454"</w:t>
            </w:r>
            <w:r>
              <w:rPr>
                <w:rFonts w:hint="eastAsia"/>
                <w:lang w:val="en-US" w:eastAsia="zh-CN"/>
              </w:rPr>
              <w:t>）</w:t>
            </w:r>
            <w:r>
              <w:rPr>
                <w:rFonts w:hint="default"/>
                <w:lang w:val="en-US" w:eastAsia="zh-CN"/>
              </w:rPr>
              <w:t>。</w:t>
            </w:r>
          </w:p>
          <w:p>
            <w:pPr>
              <w:pStyle w:val="38"/>
              <w:numPr>
                <w:ilvl w:val="0"/>
                <w:numId w:val="0"/>
              </w:numPr>
              <w:bidi w:val="0"/>
              <w:ind w:firstLine="480" w:firstLineChars="200"/>
              <w:rPr>
                <w:rFonts w:hint="default"/>
                <w:lang w:val="en-US" w:eastAsia="zh-CN"/>
              </w:rPr>
            </w:pPr>
            <w:r>
              <w:rPr>
                <w:rFonts w:hint="default" w:ascii="Times New Roman" w:hAnsi="Times New Roman" w:eastAsia="宋体" w:cs="宋体"/>
                <w:kern w:val="0"/>
                <w:sz w:val="24"/>
                <w:szCs w:val="24"/>
                <w:lang w:val="en-US" w:eastAsia="zh-CN" w:bidi="ar-SA"/>
              </w:rPr>
              <w:t>（1）</w:t>
            </w:r>
            <w:r>
              <w:rPr>
                <w:rFonts w:hint="eastAsia"/>
                <w:lang w:val="en-US" w:eastAsia="zh-CN"/>
              </w:rPr>
              <w:t>监测项目、监测频次</w:t>
            </w:r>
          </w:p>
          <w:p>
            <w:pPr>
              <w:pStyle w:val="38"/>
              <w:bidi w:val="0"/>
              <w:rPr>
                <w:rFonts w:hint="eastAsia"/>
                <w:lang w:val="en-US" w:eastAsia="zh-CN"/>
              </w:rPr>
            </w:pPr>
            <w:r>
              <w:rPr>
                <w:rFonts w:hint="eastAsia"/>
                <w:lang w:val="en-US" w:eastAsia="zh-CN"/>
              </w:rPr>
              <w:t>监测项目：TSP。</w:t>
            </w:r>
          </w:p>
          <w:p>
            <w:pPr>
              <w:pStyle w:val="38"/>
              <w:bidi w:val="0"/>
              <w:rPr>
                <w:rFonts w:hint="eastAsia"/>
                <w:lang w:val="en-US" w:eastAsia="zh-CN"/>
              </w:rPr>
            </w:pPr>
            <w:r>
              <w:rPr>
                <w:rFonts w:hint="eastAsia"/>
                <w:lang w:val="en-US" w:eastAsia="zh-CN"/>
              </w:rPr>
              <w:t>监测频率：连续采样3天。</w:t>
            </w:r>
          </w:p>
          <w:p>
            <w:pPr>
              <w:pStyle w:val="38"/>
              <w:numPr>
                <w:ilvl w:val="0"/>
                <w:numId w:val="0"/>
              </w:numPr>
              <w:bidi w:val="0"/>
              <w:ind w:left="0" w:leftChars="0" w:firstLine="480" w:firstLineChars="200"/>
              <w:rPr>
                <w:rFonts w:hint="eastAsia"/>
                <w:lang w:val="en-US" w:eastAsia="zh-CN"/>
              </w:rPr>
            </w:pPr>
            <w:r>
              <w:rPr>
                <w:rFonts w:hint="eastAsia" w:ascii="Times New Roman" w:hAnsi="Times New Roman" w:eastAsia="宋体" w:cs="宋体"/>
                <w:kern w:val="0"/>
                <w:sz w:val="24"/>
                <w:szCs w:val="24"/>
                <w:lang w:val="en-US" w:eastAsia="zh-CN" w:bidi="ar-SA"/>
              </w:rPr>
              <w:t>（2）</w:t>
            </w:r>
            <w:r>
              <w:rPr>
                <w:rFonts w:hint="eastAsia"/>
                <w:lang w:val="en-US" w:eastAsia="zh-CN"/>
              </w:rPr>
              <w:t>采样分析方法、评价标准及方法</w:t>
            </w:r>
          </w:p>
          <w:p>
            <w:pPr>
              <w:pStyle w:val="38"/>
              <w:bidi w:val="0"/>
              <w:rPr>
                <w:rFonts w:hint="eastAsia"/>
                <w:lang w:val="en-US" w:eastAsia="zh-CN"/>
              </w:rPr>
            </w:pPr>
            <w:r>
              <w:rPr>
                <w:rFonts w:hint="eastAsia"/>
                <w:lang w:val="en-US" w:eastAsia="zh-CN"/>
              </w:rPr>
              <w:t>采样和分析方法：依据国家环保局颁布的《环境监测技术规范》（大气部分）和《空气和废气监测分析方法》进行监测。</w:t>
            </w:r>
          </w:p>
          <w:p>
            <w:pPr>
              <w:pStyle w:val="38"/>
              <w:bidi w:val="0"/>
              <w:rPr>
                <w:rFonts w:hint="eastAsia"/>
                <w:lang w:val="en-US" w:eastAsia="zh-CN"/>
              </w:rPr>
            </w:pPr>
            <w:r>
              <w:rPr>
                <w:rFonts w:hint="eastAsia"/>
                <w:lang w:val="en-US" w:eastAsia="zh-CN"/>
              </w:rPr>
              <w:t>评价标准：TSP执行《环境空气质量标准》（GB3095-2012）及其修改单二级标准值。</w:t>
            </w:r>
          </w:p>
          <w:p>
            <w:pPr>
              <w:pStyle w:val="8"/>
              <w:bidi w:val="0"/>
            </w:pPr>
            <w:r>
              <w:rPr>
                <w:rFonts w:hint="eastAsia"/>
                <w:lang w:val="en-US" w:eastAsia="zh-CN"/>
              </w:rPr>
              <w:t>评价方法：本次大气环境质量现状评价采用</w:t>
            </w:r>
            <w:r>
              <w:t>最大占标百分比，计算公式如下：</w:t>
            </w:r>
          </w:p>
          <w:p>
            <w:pPr>
              <w:pStyle w:val="8"/>
              <w:bidi w:val="0"/>
            </w:pPr>
            <w:r>
              <w:t>Pi=Ci/Coi</w:t>
            </w:r>
          </w:p>
          <w:p>
            <w:pPr>
              <w:pStyle w:val="8"/>
              <w:bidi w:val="0"/>
            </w:pPr>
            <w:r>
              <w:t>式中：Pi——i评价因子最大浓度占标率；</w:t>
            </w:r>
          </w:p>
          <w:p>
            <w:pPr>
              <w:pStyle w:val="8"/>
              <w:bidi w:val="0"/>
            </w:pPr>
            <w:r>
              <w:t>Ci——i评价因子的最大监测浓度（mg/m</w:t>
            </w:r>
            <w:r>
              <w:rPr>
                <w:vertAlign w:val="superscript"/>
              </w:rPr>
              <w:t>3</w:t>
            </w:r>
            <w:r>
              <w:t>）；</w:t>
            </w:r>
          </w:p>
          <w:p>
            <w:pPr>
              <w:pStyle w:val="8"/>
              <w:bidi w:val="0"/>
            </w:pPr>
            <w:r>
              <w:t>Coi——i评价因子的评价标准（mg/m</w:t>
            </w:r>
            <w:r>
              <w:rPr>
                <w:vertAlign w:val="superscript"/>
              </w:rPr>
              <w:t>3</w:t>
            </w:r>
            <w:r>
              <w:t>）</w:t>
            </w:r>
          </w:p>
          <w:p>
            <w:pPr>
              <w:pStyle w:val="38"/>
              <w:numPr>
                <w:ilvl w:val="0"/>
                <w:numId w:val="0"/>
              </w:numPr>
              <w:bidi w:val="0"/>
              <w:ind w:left="0" w:leftChars="0" w:firstLine="480" w:firstLineChars="200"/>
              <w:rPr>
                <w:rFonts w:hint="eastAsia"/>
                <w:lang w:val="en-US" w:eastAsia="zh-CN"/>
              </w:rPr>
            </w:pPr>
            <w:r>
              <w:rPr>
                <w:rFonts w:hint="eastAsia" w:ascii="Times New Roman" w:hAnsi="Times New Roman" w:eastAsia="宋体" w:cs="宋体"/>
                <w:kern w:val="0"/>
                <w:sz w:val="24"/>
                <w:szCs w:val="24"/>
                <w:lang w:val="en-US" w:eastAsia="zh-CN" w:bidi="ar-SA"/>
              </w:rPr>
              <w:t>（</w:t>
            </w:r>
            <w:r>
              <w:rPr>
                <w:rFonts w:hint="eastAsia" w:cs="宋体"/>
                <w:kern w:val="0"/>
                <w:sz w:val="24"/>
                <w:szCs w:val="24"/>
                <w:lang w:val="en-US" w:eastAsia="zh-CN" w:bidi="ar-SA"/>
              </w:rPr>
              <w:t>3</w:t>
            </w:r>
            <w:r>
              <w:rPr>
                <w:rFonts w:hint="eastAsia" w:ascii="Times New Roman" w:hAnsi="Times New Roman" w:eastAsia="宋体" w:cs="宋体"/>
                <w:kern w:val="0"/>
                <w:sz w:val="24"/>
                <w:szCs w:val="24"/>
                <w:lang w:val="en-US" w:eastAsia="zh-CN" w:bidi="ar-SA"/>
              </w:rPr>
              <w:t>）</w:t>
            </w:r>
            <w:r>
              <w:rPr>
                <w:rFonts w:hint="eastAsia"/>
                <w:lang w:val="en-US" w:eastAsia="zh-CN"/>
              </w:rPr>
              <w:t>现状监测及评价结果</w:t>
            </w:r>
          </w:p>
          <w:p>
            <w:pPr>
              <w:pStyle w:val="38"/>
              <w:bidi w:val="0"/>
              <w:rPr>
                <w:rFonts w:hint="default"/>
                <w:lang w:val="en-US" w:eastAsia="zh-CN"/>
              </w:rPr>
            </w:pPr>
            <w:r>
              <w:rPr>
                <w:rFonts w:hint="eastAsia"/>
                <w:lang w:val="en-US" w:eastAsia="zh-CN"/>
              </w:rPr>
              <w:t>颗粒物现状监测、评价结果见下表。</w:t>
            </w:r>
          </w:p>
          <w:p>
            <w:pPr>
              <w:pStyle w:val="36"/>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表3-2    TSP现状监测表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769"/>
              <w:gridCol w:w="1547"/>
              <w:gridCol w:w="1141"/>
              <w:gridCol w:w="1125"/>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984"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监测点位</w:t>
                  </w:r>
                </w:p>
              </w:tc>
              <w:tc>
                <w:tcPr>
                  <w:tcW w:w="1109"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时间</w:t>
                  </w:r>
                </w:p>
              </w:tc>
              <w:tc>
                <w:tcPr>
                  <w:tcW w:w="970" w:type="pct"/>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检测结果</w:t>
                  </w:r>
                  <w:r>
                    <w:rPr>
                      <w:rFonts w:hint="default"/>
                    </w:rPr>
                    <w:t>（</w:t>
                  </w:r>
                  <w:r>
                    <w:rPr>
                      <w:rFonts w:hint="eastAsia"/>
                      <w:lang w:val="en-US" w:eastAsia="zh-CN"/>
                    </w:rPr>
                    <w:t>ug/m</w:t>
                  </w:r>
                  <w:r>
                    <w:rPr>
                      <w:rFonts w:hint="eastAsia"/>
                      <w:vertAlign w:val="superscript"/>
                      <w:lang w:val="en-US" w:eastAsia="zh-CN"/>
                    </w:rPr>
                    <w:t>3</w:t>
                  </w:r>
                  <w:r>
                    <w:rPr>
                      <w:rFonts w:hint="default"/>
                    </w:rPr>
                    <w:t>）</w:t>
                  </w:r>
                </w:p>
              </w:tc>
              <w:tc>
                <w:tcPr>
                  <w:tcW w:w="715"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标准值</w:t>
                  </w:r>
                  <w:r>
                    <w:rPr>
                      <w:rFonts w:hint="eastAsia"/>
                      <w:lang w:eastAsia="zh-CN"/>
                    </w:rPr>
                    <w:t>（</w:t>
                  </w:r>
                  <w:r>
                    <w:rPr>
                      <w:rFonts w:hint="eastAsia"/>
                      <w:lang w:val="en-US" w:eastAsia="zh-CN"/>
                    </w:rPr>
                    <w:t>ug/m</w:t>
                  </w:r>
                  <w:r>
                    <w:rPr>
                      <w:rFonts w:hint="eastAsia"/>
                      <w:vertAlign w:val="superscript"/>
                      <w:lang w:val="en-US" w:eastAsia="zh-CN"/>
                    </w:rPr>
                    <w:t>3</w:t>
                  </w:r>
                  <w:r>
                    <w:rPr>
                      <w:rFonts w:hint="eastAsia"/>
                      <w:lang w:eastAsia="zh-CN"/>
                    </w:rPr>
                    <w:t>）</w:t>
                  </w:r>
                </w:p>
              </w:tc>
              <w:tc>
                <w:tcPr>
                  <w:tcW w:w="705" w:type="pct"/>
                  <w:vAlign w:val="center"/>
                </w:tcPr>
                <w:p>
                  <w:pPr>
                    <w:pStyle w:val="34"/>
                    <w:keepLines w:val="0"/>
                    <w:pageBreakBefore w:val="0"/>
                    <w:kinsoku/>
                    <w:wordWrap/>
                    <w:topLinePunct w:val="0"/>
                    <w:autoSpaceDE/>
                    <w:autoSpaceDN/>
                    <w:bidi w:val="0"/>
                    <w:spacing w:beforeAutospacing="0" w:afterAutospacing="0"/>
                    <w:textAlignment w:val="auto"/>
                    <w:rPr>
                      <w:rFonts w:hint="default"/>
                    </w:rPr>
                  </w:pPr>
                  <w:r>
                    <w:rPr>
                      <w:rFonts w:hint="default"/>
                    </w:rPr>
                    <w:t>浓度占标率（</w:t>
                  </w:r>
                  <w:r>
                    <w:rPr>
                      <w:rFonts w:hint="default"/>
                      <w:lang w:val="en-US" w:eastAsia="zh-CN"/>
                    </w:rPr>
                    <w:t>%</w:t>
                  </w:r>
                  <w:r>
                    <w:rPr>
                      <w:rFonts w:hint="default"/>
                    </w:rPr>
                    <w:t>）</w:t>
                  </w:r>
                </w:p>
              </w:tc>
              <w:tc>
                <w:tcPr>
                  <w:tcW w:w="514"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84" w:type="pct"/>
                  <w:vMerge w:val="restar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E：85°55′9.755"，N：41°51′4.454"</w:t>
                  </w:r>
                </w:p>
              </w:tc>
              <w:tc>
                <w:tcPr>
                  <w:tcW w:w="1109"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2024年7月18日</w:t>
                  </w:r>
                </w:p>
              </w:tc>
              <w:tc>
                <w:tcPr>
                  <w:tcW w:w="970"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150</w:t>
                  </w:r>
                </w:p>
              </w:tc>
              <w:tc>
                <w:tcPr>
                  <w:tcW w:w="715" w:type="pct"/>
                  <w:vMerge w:val="restar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300</w:t>
                  </w:r>
                </w:p>
              </w:tc>
              <w:tc>
                <w:tcPr>
                  <w:tcW w:w="705"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50</w:t>
                  </w:r>
                </w:p>
              </w:tc>
              <w:tc>
                <w:tcPr>
                  <w:tcW w:w="514"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984" w:type="pct"/>
                  <w:vMerge w:val="continue"/>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109"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2024年7月</w:t>
                  </w:r>
                  <w:r>
                    <w:rPr>
                      <w:rFonts w:hint="eastAsia"/>
                      <w:lang w:val="en-US" w:eastAsia="zh-CN"/>
                    </w:rPr>
                    <w:t>19</w:t>
                  </w:r>
                  <w:r>
                    <w:rPr>
                      <w:rFonts w:hint="default"/>
                      <w:lang w:val="en-US" w:eastAsia="zh-CN"/>
                    </w:rPr>
                    <w:t>日</w:t>
                  </w:r>
                </w:p>
              </w:tc>
              <w:tc>
                <w:tcPr>
                  <w:tcW w:w="970"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156</w:t>
                  </w:r>
                </w:p>
              </w:tc>
              <w:tc>
                <w:tcPr>
                  <w:tcW w:w="715" w:type="pct"/>
                  <w:vMerge w:val="continue"/>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705"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52</w:t>
                  </w:r>
                </w:p>
              </w:tc>
              <w:tc>
                <w:tcPr>
                  <w:tcW w:w="514" w:type="pct"/>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984" w:type="pct"/>
                  <w:vMerge w:val="continue"/>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1109"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2024年7月</w:t>
                  </w:r>
                  <w:r>
                    <w:rPr>
                      <w:rFonts w:hint="eastAsia"/>
                      <w:lang w:val="en-US" w:eastAsia="zh-CN"/>
                    </w:rPr>
                    <w:t>20</w:t>
                  </w:r>
                  <w:r>
                    <w:rPr>
                      <w:rFonts w:hint="default"/>
                      <w:lang w:val="en-US" w:eastAsia="zh-CN"/>
                    </w:rPr>
                    <w:t>日</w:t>
                  </w:r>
                </w:p>
              </w:tc>
              <w:tc>
                <w:tcPr>
                  <w:tcW w:w="970"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150</w:t>
                  </w:r>
                </w:p>
              </w:tc>
              <w:tc>
                <w:tcPr>
                  <w:tcW w:w="715" w:type="pct"/>
                  <w:vMerge w:val="continue"/>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p>
              </w:tc>
              <w:tc>
                <w:tcPr>
                  <w:tcW w:w="705" w:type="pct"/>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50</w:t>
                  </w:r>
                </w:p>
              </w:tc>
              <w:tc>
                <w:tcPr>
                  <w:tcW w:w="514" w:type="pct"/>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达标</w:t>
                  </w:r>
                </w:p>
              </w:tc>
            </w:tr>
          </w:tbl>
          <w:p>
            <w:pPr>
              <w:pStyle w:val="8"/>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监测数据分析：评价区大气环境中特征因子TSP未超出</w:t>
            </w:r>
            <w:r>
              <w:t>《环境空气质量标准》（GB3095-2012）及其修改单二级标准限值要求。</w:t>
            </w:r>
          </w:p>
          <w:p>
            <w:pPr>
              <w:pStyle w:val="3"/>
              <w:keepLines w:val="0"/>
              <w:pageBreakBefore w:val="0"/>
              <w:kinsoku/>
              <w:wordWrap/>
              <w:topLinePunct w:val="0"/>
              <w:autoSpaceDE/>
              <w:autoSpaceDN/>
              <w:bidi w:val="0"/>
              <w:spacing w:beforeAutospacing="0" w:afterAutospacing="0"/>
              <w:textAlignment w:val="auto"/>
            </w:pPr>
            <w:r>
              <w:rPr>
                <w:rFonts w:hint="eastAsia"/>
                <w:lang w:val="en-US" w:eastAsia="zh-CN"/>
              </w:rPr>
              <w:t>2.地表水</w:t>
            </w:r>
            <w:bookmarkStart w:id="1" w:name="_Toc396385923"/>
            <w:bookmarkStart w:id="2" w:name="_Toc329596219"/>
            <w:r>
              <w:rPr>
                <w:rFonts w:hint="eastAsia"/>
                <w:lang w:val="en-US" w:eastAsia="zh-CN"/>
              </w:rPr>
              <w:t>环境质量现状</w:t>
            </w:r>
            <w:bookmarkEnd w:id="1"/>
            <w:bookmarkEnd w:id="2"/>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根据《2023年巴音郭楞蒙古自治州生态环境状况公报》，我州境内河流及湖泊属内陆水系。全州有大小河流759条，其中主要河流有开都河、孔雀河、塔里木河、车尔臣河、迪那河、黄水沟；主要湖库有博斯腾湖、大石门水库、大西海子水库和西尼尔水库。</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地表水环境质量：全州6条主要河流的19个监测断面中，Ⅰ-Ⅲ类优良水质断面占100%，与上年度相比没有明显变化。其中，开都河、黄水沟、迪那河水环境质量为Ⅰ类，孔雀河、塔里木河、车尔臣河为Ⅱ类。博斯腾湖西半湖总体水质为Ⅲ类，东半湖总体水质为Ⅳ类，西尼尔水库水质为Ⅱ类，大西海子水库水质为Ⅲ类。</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highlight w:val="none"/>
                <w:lang w:val="en-US" w:eastAsia="zh-CN"/>
              </w:rPr>
              <w:t>本项目区最近的地表水体</w:t>
            </w:r>
            <w:r>
              <w:rPr>
                <w:rFonts w:hint="eastAsia"/>
                <w:highlight w:val="none"/>
                <w:lang w:val="en-US" w:eastAsia="zh-CN"/>
              </w:rPr>
              <w:t>为</w:t>
            </w:r>
            <w:r>
              <w:rPr>
                <w:rFonts w:hint="default"/>
                <w:highlight w:val="none"/>
                <w:lang w:val="en-US" w:eastAsia="zh-CN"/>
              </w:rPr>
              <w:t>南侧</w:t>
            </w:r>
            <w:r>
              <w:rPr>
                <w:rFonts w:hint="eastAsia"/>
                <w:highlight w:val="none"/>
                <w:lang w:val="en-US" w:eastAsia="zh-CN"/>
              </w:rPr>
              <w:t>2</w:t>
            </w:r>
            <w:r>
              <w:rPr>
                <w:rFonts w:hint="default"/>
                <w:highlight w:val="none"/>
                <w:lang w:val="en-US" w:eastAsia="zh-CN"/>
              </w:rPr>
              <w:t>km的</w:t>
            </w:r>
            <w:r>
              <w:rPr>
                <w:rFonts w:hint="eastAsia"/>
                <w:highlight w:val="none"/>
                <w:lang w:val="en-US" w:eastAsia="zh-CN"/>
              </w:rPr>
              <w:t>十八团渠</w:t>
            </w:r>
            <w:r>
              <w:rPr>
                <w:rFonts w:hint="default"/>
                <w:highlight w:val="none"/>
                <w:lang w:val="en-US" w:eastAsia="zh-CN"/>
              </w:rPr>
              <w:t>，</w:t>
            </w:r>
            <w:r>
              <w:rPr>
                <w:rFonts w:hint="eastAsia"/>
                <w:highlight w:val="none"/>
                <w:lang w:val="en-US" w:eastAsia="zh-CN"/>
              </w:rPr>
              <w:t>该干渠水源来自孔雀河。</w:t>
            </w:r>
            <w:r>
              <w:rPr>
                <w:rFonts w:hint="default"/>
                <w:highlight w:val="none"/>
                <w:lang w:val="en-US" w:eastAsia="zh-CN"/>
              </w:rPr>
              <w:t>根据巴州人民政府发布的《2023年巴音郭楞蒙古自治州生态环境状况公报》可知</w:t>
            </w:r>
            <w:r>
              <w:rPr>
                <w:rFonts w:hint="eastAsia"/>
                <w:highlight w:val="none"/>
                <w:lang w:val="en-US" w:eastAsia="zh-CN"/>
              </w:rPr>
              <w:t>，</w:t>
            </w:r>
            <w:r>
              <w:rPr>
                <w:rFonts w:hint="default"/>
                <w:highlight w:val="none"/>
                <w:lang w:val="en-US" w:eastAsia="zh-CN"/>
              </w:rPr>
              <w:t>孔雀</w:t>
            </w:r>
            <w:r>
              <w:rPr>
                <w:rFonts w:hint="eastAsia"/>
                <w:highlight w:val="none"/>
                <w:lang w:val="en-US" w:eastAsia="zh-CN"/>
              </w:rPr>
              <w:t>河</w:t>
            </w:r>
            <w:r>
              <w:rPr>
                <w:rFonts w:hint="default"/>
                <w:highlight w:val="none"/>
                <w:lang w:val="en-US" w:eastAsia="zh-CN"/>
              </w:rPr>
              <w:t>水质满足《地表水环境质量标准》（GB3838-2002）Ⅱ类标准限值要求。</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3.声环境质量现状</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根据《建设项目环境影响报告表编制技术指南（污染影响类）（试行）》，厂界外周边50米范围内不存在声环境保护目标的建设项目，因此不进行监测。</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4.生态环境质量现状</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本项目位于新疆维吾尔自治区库尔勒上库综合产业园区内，根据《建设项目环境影响报告表编制技术指南（污染影响类）（试行）》的要求，本项目土地用途为工业用地，用地范围内无生态环境保护目标，可不进行生态现状调查。</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5.地下水、土壤环境质量现状</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根据《建设项目环境影响报告表编制技术指南（污染影响类）（试行）》的要求，原则上不开展环境质量现状调查。建设项目存在土壤、地下水环境污染途径的，应结合污染源、保护目标分布情况开展现状调查以留作背景值。</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本项目不存在土壤、地下水环境污染途径，故无需开展地下水、土壤环境质量现状调查。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62" w:hRule="atLeast"/>
          <w:jc w:val="center"/>
        </w:trPr>
        <w:tc>
          <w:tcPr>
            <w:tcW w:w="800" w:type="dxa"/>
            <w:noWrap w:val="0"/>
            <w:vAlign w:val="center"/>
          </w:tcPr>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环境</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保护</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目标</w:t>
            </w:r>
          </w:p>
        </w:tc>
        <w:tc>
          <w:tcPr>
            <w:tcW w:w="8190" w:type="dxa"/>
            <w:noWrap w:val="0"/>
            <w:vAlign w:val="top"/>
          </w:tcPr>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1.大气环境保护目标</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根据项目厂界外500m范围内无自然保护区、风景名胜区、居住区、文化区和农村地区中人群较集中的区域等保护目标。</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2.声环境保护目标</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项目厂界外50m范围内无声环境保护目标。</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3.地下水环境保护目标</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项目厂界外500m范围内无地下水集中式饮用水水源和热水、矿泉水、温泉等特殊地下水资源。</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4.生态环境保护目标</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项目用地范围内无生态环境保护目标。</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p>
          <w:p>
            <w:pPr>
              <w:pStyle w:val="8"/>
              <w:keepLines w:val="0"/>
              <w:pageBreakBefore w:val="0"/>
              <w:kinsoku/>
              <w:wordWrap/>
              <w:topLinePunct w:val="0"/>
              <w:autoSpaceDE/>
              <w:autoSpaceDN/>
              <w:bidi w:val="0"/>
              <w:spacing w:beforeAutospacing="0" w:afterAutospacing="0"/>
              <w:ind w:left="0" w:leftChars="0" w:firstLine="0" w:firstLineChars="0"/>
              <w:textAlignment w:val="auto"/>
              <w:rPr>
                <w:rFonts w:hint="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8" w:hRule="atLeast"/>
          <w:jc w:val="center"/>
        </w:trPr>
        <w:tc>
          <w:tcPr>
            <w:tcW w:w="800" w:type="dxa"/>
            <w:noWrap w:val="0"/>
            <w:tcMar>
              <w:left w:w="28" w:type="dxa"/>
              <w:right w:w="28" w:type="dxa"/>
            </w:tcMar>
            <w:vAlign w:val="center"/>
          </w:tcPr>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污染</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物排</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放控</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制标</w:t>
            </w:r>
          </w:p>
          <w:p>
            <w:pPr>
              <w:keepLines w:val="0"/>
              <w:pageBreakBefore w:val="0"/>
              <w:kinsoku/>
              <w:wordWrap/>
              <w:topLinePunct w:val="0"/>
              <w:autoSpaceDE/>
              <w:autoSpaceDN/>
              <w:bidi w:val="0"/>
              <w:adjustRightInd w:val="0"/>
              <w:snapToGrid w:val="0"/>
              <w:spacing w:beforeAutospacing="0" w:afterAutospacing="0"/>
              <w:jc w:val="center"/>
              <w:textAlignment w:val="auto"/>
              <w:rPr>
                <w:rFonts w:ascii="宋体" w:hAnsi="宋体" w:cs="宋体"/>
                <w:kern w:val="0"/>
                <w:szCs w:val="21"/>
              </w:rPr>
            </w:pPr>
            <w:r>
              <w:rPr>
                <w:rFonts w:hint="eastAsia" w:ascii="宋体" w:hAnsi="宋体" w:cs="宋体"/>
                <w:kern w:val="0"/>
                <w:szCs w:val="21"/>
              </w:rPr>
              <w:t>准</w:t>
            </w:r>
          </w:p>
        </w:tc>
        <w:tc>
          <w:tcPr>
            <w:tcW w:w="8190" w:type="dxa"/>
            <w:noWrap w:val="0"/>
            <w:vAlign w:val="top"/>
          </w:tcPr>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1.施工期污染物排放控制标准</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1.1废气</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施工期扬尘执行《大气污染物综合排放标准》（GB16297—1996）颗粒物厂区周边浓度限值，排放标准见下表。</w:t>
            </w:r>
          </w:p>
          <w:p>
            <w:pPr>
              <w:pStyle w:val="36"/>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表3-3    施工期无组织废气执行标准</w:t>
            </w:r>
          </w:p>
          <w:tbl>
            <w:tblPr>
              <w:tblStyle w:val="20"/>
              <w:tblW w:w="79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6"/>
              <w:gridCol w:w="2633"/>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96"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污染物</w:t>
                  </w:r>
                </w:p>
              </w:tc>
              <w:tc>
                <w:tcPr>
                  <w:tcW w:w="2633"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限值</w:t>
                  </w:r>
                </w:p>
              </w:tc>
              <w:tc>
                <w:tcPr>
                  <w:tcW w:w="2845"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6"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颗粒物</w:t>
                  </w:r>
                </w:p>
              </w:tc>
              <w:tc>
                <w:tcPr>
                  <w:tcW w:w="2633"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1mg/m</w:t>
                  </w:r>
                  <w:r>
                    <w:rPr>
                      <w:rFonts w:hint="eastAsia"/>
                      <w:vertAlign w:val="superscript"/>
                      <w:lang w:val="en-US" w:eastAsia="zh-CN"/>
                    </w:rPr>
                    <w:t>3</w:t>
                  </w:r>
                </w:p>
              </w:tc>
              <w:tc>
                <w:tcPr>
                  <w:tcW w:w="2845" w:type="dxa"/>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《大气污染物综合排放标准》（GB16297-1996）</w:t>
                  </w:r>
                </w:p>
              </w:tc>
            </w:tr>
          </w:tbl>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1.2固废</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本项目</w:t>
            </w:r>
            <w:r>
              <w:rPr>
                <w:rFonts w:hint="eastAsia"/>
                <w:lang w:val="en-US" w:eastAsia="zh-CN"/>
              </w:rPr>
              <w:t>施工期</w:t>
            </w:r>
            <w:r>
              <w:rPr>
                <w:rFonts w:hint="default"/>
                <w:lang w:val="en-US" w:eastAsia="zh-CN"/>
              </w:rPr>
              <w:t>固废执行《一般工业固体废物贮存和填埋污染控制标准》</w:t>
            </w:r>
            <w:r>
              <w:rPr>
                <w:rFonts w:hint="eastAsia"/>
                <w:lang w:val="en-US" w:eastAsia="zh-CN"/>
              </w:rPr>
              <w:t>（</w:t>
            </w:r>
            <w:r>
              <w:rPr>
                <w:rFonts w:hint="default"/>
                <w:lang w:val="en-US" w:eastAsia="zh-CN"/>
              </w:rPr>
              <w:t>GB18599—2020</w:t>
            </w:r>
            <w:r>
              <w:rPr>
                <w:rFonts w:hint="eastAsia"/>
                <w:lang w:val="en-US" w:eastAsia="zh-CN"/>
              </w:rPr>
              <w:t>）</w:t>
            </w:r>
            <w:r>
              <w:rPr>
                <w:rFonts w:hint="default"/>
                <w:lang w:val="en-US" w:eastAsia="zh-CN"/>
              </w:rPr>
              <w:t>有关要求。</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1.</w:t>
            </w:r>
            <w:r>
              <w:rPr>
                <w:rFonts w:hint="eastAsia"/>
                <w:lang w:val="en-US" w:eastAsia="zh-CN"/>
              </w:rPr>
              <w:t>3</w:t>
            </w:r>
            <w:r>
              <w:rPr>
                <w:rFonts w:hint="default"/>
                <w:lang w:val="en-US" w:eastAsia="zh-CN"/>
              </w:rPr>
              <w:t>噪声</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施工噪声执行《建筑施工场界环境噪声排放标准》（GB12523—2011）昼间：70dB（A）；夜间：55dB（A）。</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2.运营期污染物排放控制标准</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2.1废气</w:t>
            </w:r>
          </w:p>
          <w:p>
            <w:pPr>
              <w:pStyle w:val="8"/>
              <w:keepLines w:val="0"/>
              <w:pageBreakBefore w:val="0"/>
              <w:kinsoku/>
              <w:wordWrap/>
              <w:topLinePunct w:val="0"/>
              <w:autoSpaceDE/>
              <w:autoSpaceDN/>
              <w:bidi w:val="0"/>
              <w:spacing w:beforeAutospacing="0" w:afterAutospacing="0"/>
              <w:textAlignment w:val="auto"/>
            </w:pPr>
            <w:r>
              <w:rPr>
                <w:rFonts w:hint="eastAsia"/>
                <w:lang w:eastAsia="zh-CN"/>
              </w:rPr>
              <w:t>有组织颗粒物</w:t>
            </w:r>
            <w:r>
              <w:rPr>
                <w:rFonts w:hint="eastAsia"/>
              </w:rPr>
              <w:t>执行《水泥工业大气污染物排放标准》（GB4915-2013）表2水泥制品中大气污染物特别排放限值；无组织排放颗粒物执行《水泥工业大气污染物排放标准》（GB4915-2013）表3标准</w:t>
            </w:r>
            <w:r>
              <w:rPr>
                <w:rFonts w:hint="eastAsia"/>
                <w:lang w:eastAsia="zh-CN"/>
              </w:rPr>
              <w:t>；</w:t>
            </w:r>
            <w:r>
              <w:rPr>
                <w:rFonts w:hint="eastAsia"/>
                <w:lang w:val="en-US" w:eastAsia="zh-CN"/>
              </w:rPr>
              <w:t>食堂油烟废气执行《饮食业油烟排放标准》（GB18483-2001）浓度限值</w:t>
            </w:r>
            <w:r>
              <w:rPr>
                <w:rFonts w:hint="eastAsia"/>
              </w:rPr>
              <w:t>。</w:t>
            </w:r>
          </w:p>
          <w:p>
            <w:pPr>
              <w:pStyle w:val="36"/>
              <w:keepLines w:val="0"/>
              <w:pageBreakBefore w:val="0"/>
              <w:kinsoku/>
              <w:wordWrap/>
              <w:topLinePunct w:val="0"/>
              <w:autoSpaceDE/>
              <w:autoSpaceDN/>
              <w:bidi w:val="0"/>
              <w:spacing w:beforeAutospacing="0" w:afterAutospacing="0"/>
              <w:textAlignment w:val="auto"/>
            </w:pPr>
            <w:r>
              <w:t>表</w:t>
            </w:r>
            <w:r>
              <w:rPr>
                <w:rFonts w:hint="eastAsia"/>
              </w:rPr>
              <w:t>3-</w:t>
            </w:r>
            <w:r>
              <w:rPr>
                <w:rFonts w:hint="eastAsia"/>
                <w:lang w:val="en-US" w:eastAsia="zh-CN"/>
              </w:rPr>
              <w:t>4</w:t>
            </w:r>
            <w:r>
              <w:rPr>
                <w:rFonts w:hint="eastAsia"/>
              </w:rPr>
              <w:t xml:space="preserve">    大气污染物最高允许</w:t>
            </w:r>
            <w:r>
              <w:rPr>
                <w:rFonts w:hint="eastAsia"/>
                <w:lang w:eastAsia="zh-CN"/>
              </w:rPr>
              <w:t>排放</w:t>
            </w:r>
            <w:r>
              <w:rPr>
                <w:rFonts w:hint="eastAsia"/>
              </w:rPr>
              <w:t>浓度</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495"/>
              <w:gridCol w:w="1325"/>
              <w:gridCol w:w="1837"/>
              <w:gridCol w:w="3054"/>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95"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污染物</w:t>
                  </w:r>
                  <w:r>
                    <w:rPr>
                      <w:rFonts w:hint="eastAsia"/>
                    </w:rPr>
                    <w:t>项目</w:t>
                  </w:r>
                </w:p>
              </w:tc>
              <w:tc>
                <w:tcPr>
                  <w:tcW w:w="1325"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rPr>
                    <w:t>排放方式</w:t>
                  </w:r>
                </w:p>
              </w:tc>
              <w:tc>
                <w:tcPr>
                  <w:tcW w:w="1837"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最高允许排放浓度</w:t>
                  </w:r>
                  <w:r>
                    <w:rPr>
                      <w:rFonts w:hint="eastAsia"/>
                      <w:lang w:eastAsia="zh-CN"/>
                    </w:rPr>
                    <w:t>（</w:t>
                  </w:r>
                  <w:r>
                    <w:t>mg/m</w:t>
                  </w:r>
                  <w:r>
                    <w:rPr>
                      <w:vertAlign w:val="superscript"/>
                    </w:rPr>
                    <w:t>3</w:t>
                  </w:r>
                  <w:r>
                    <w:rPr>
                      <w:rFonts w:hint="eastAsia"/>
                      <w:lang w:eastAsia="zh-CN"/>
                    </w:rPr>
                    <w:t>）</w:t>
                  </w:r>
                </w:p>
              </w:tc>
              <w:tc>
                <w:tcPr>
                  <w:tcW w:w="3054"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rPr>
                    <w:t>执行标准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95" w:type="dxa"/>
                  <w:vMerge w:val="restart"/>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rPr>
                    <w:t>颗粒物</w:t>
                  </w:r>
                </w:p>
              </w:tc>
              <w:tc>
                <w:tcPr>
                  <w:tcW w:w="1325"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rPr>
                    <w:t>有组织</w:t>
                  </w:r>
                </w:p>
              </w:tc>
              <w:tc>
                <w:tcPr>
                  <w:tcW w:w="1837"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rPr>
                    <w:t>1</w:t>
                  </w:r>
                  <w:r>
                    <w:t>0</w:t>
                  </w:r>
                </w:p>
              </w:tc>
              <w:tc>
                <w:tcPr>
                  <w:tcW w:w="3054"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rPr>
                    <w:t>《水泥工业大气污染物排放标准》（GB</w:t>
                  </w:r>
                  <w:r>
                    <w:rPr>
                      <w:rFonts w:hint="eastAsia"/>
                      <w:lang w:val="en-US" w:eastAsia="zh-CN"/>
                    </w:rPr>
                    <w:t xml:space="preserve"> </w:t>
                  </w:r>
                  <w:r>
                    <w:rPr>
                      <w:rFonts w:hint="eastAsia"/>
                    </w:rPr>
                    <w:t>4915-2013）表2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95" w:type="dxa"/>
                  <w:vMerge w:val="continue"/>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p>
              </w:tc>
              <w:tc>
                <w:tcPr>
                  <w:tcW w:w="1325"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rPr>
                    <w:t>无组织</w:t>
                  </w:r>
                </w:p>
              </w:tc>
              <w:tc>
                <w:tcPr>
                  <w:tcW w:w="1837"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lang w:val="en-US" w:eastAsia="zh-CN"/>
                    </w:rPr>
                  </w:pPr>
                  <w:r>
                    <w:t>0.5</w:t>
                  </w:r>
                  <w:r>
                    <w:rPr>
                      <w:rFonts w:hint="eastAsia"/>
                      <w:lang w:eastAsia="zh-CN"/>
                    </w:rPr>
                    <w:t>（</w:t>
                  </w:r>
                  <w:r>
                    <w:rPr>
                      <w:rFonts w:hint="eastAsia"/>
                      <w:lang w:val="en-US" w:eastAsia="zh-CN"/>
                    </w:rPr>
                    <w:t>监测点与参照点总悬浮颗粒物（TSP）1小时浓度值的差值</w:t>
                  </w:r>
                  <w:r>
                    <w:rPr>
                      <w:rFonts w:hint="eastAsia"/>
                      <w:lang w:eastAsia="zh-CN"/>
                    </w:rPr>
                    <w:t>）</w:t>
                  </w:r>
                </w:p>
              </w:tc>
              <w:tc>
                <w:tcPr>
                  <w:tcW w:w="3054"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rPr>
                    <w:t>《水泥工业大气污染物排放标准》（GB</w:t>
                  </w:r>
                  <w:r>
                    <w:rPr>
                      <w:rFonts w:hint="eastAsia"/>
                      <w:lang w:val="en-US" w:eastAsia="zh-CN"/>
                    </w:rPr>
                    <w:t xml:space="preserve"> </w:t>
                  </w:r>
                  <w:r>
                    <w:rPr>
                      <w:rFonts w:hint="eastAsia"/>
                    </w:rPr>
                    <w:t>4915-2013）表3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1495"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食堂油烟废气</w:t>
                  </w:r>
                </w:p>
              </w:tc>
              <w:tc>
                <w:tcPr>
                  <w:tcW w:w="1325"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rPr>
                    <w:t>有组织</w:t>
                  </w:r>
                </w:p>
              </w:tc>
              <w:tc>
                <w:tcPr>
                  <w:tcW w:w="1837"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eastAsia="宋体"/>
                      <w:lang w:val="en-US" w:eastAsia="zh-CN"/>
                    </w:rPr>
                  </w:pPr>
                  <w:r>
                    <w:rPr>
                      <w:rFonts w:hint="eastAsia"/>
                      <w:lang w:val="en-US" w:eastAsia="zh-CN"/>
                    </w:rPr>
                    <w:t>2</w:t>
                  </w:r>
                  <w:r>
                    <w:rPr>
                      <w:rFonts w:hint="eastAsia"/>
                      <w:lang w:eastAsia="zh-CN"/>
                    </w:rPr>
                    <w:t>（</w:t>
                  </w:r>
                  <w:r>
                    <w:rPr>
                      <w:rFonts w:hint="eastAsia"/>
                      <w:lang w:val="en-US" w:eastAsia="zh-CN"/>
                    </w:rPr>
                    <w:t>最低去除效率60%</w:t>
                  </w:r>
                  <w:r>
                    <w:rPr>
                      <w:rFonts w:hint="eastAsia"/>
                      <w:lang w:eastAsia="zh-CN"/>
                    </w:rPr>
                    <w:t>）</w:t>
                  </w:r>
                </w:p>
              </w:tc>
              <w:tc>
                <w:tcPr>
                  <w:tcW w:w="3054" w:type="dxa"/>
                  <w:tcBorders>
                    <w:tl2br w:val="nil"/>
                    <w:tr2bl w:val="nil"/>
                  </w:tcBorders>
                  <w:noWrap w:val="0"/>
                  <w:vAlign w:val="center"/>
                </w:tcPr>
                <w:p>
                  <w:pPr>
                    <w:pStyle w:val="34"/>
                    <w:keepLines w:val="0"/>
                    <w:pageBreakBefore w:val="0"/>
                    <w:kinsoku/>
                    <w:wordWrap/>
                    <w:topLinePunct w:val="0"/>
                    <w:autoSpaceDE/>
                    <w:autoSpaceDN/>
                    <w:bidi w:val="0"/>
                    <w:spacing w:beforeAutospacing="0" w:afterAutospacing="0"/>
                    <w:textAlignment w:val="auto"/>
                    <w:rPr>
                      <w:rFonts w:hint="eastAsia"/>
                    </w:rPr>
                  </w:pPr>
                  <w:r>
                    <w:rPr>
                      <w:rFonts w:hint="eastAsia"/>
                      <w:lang w:val="en-US" w:eastAsia="zh-CN"/>
                    </w:rPr>
                    <w:t>《饮食业油烟排放标准》（GB 18483-2001）</w:t>
                  </w:r>
                </w:p>
              </w:tc>
            </w:tr>
          </w:tbl>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2.2噪声</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运营期项目区厂界噪声执行满足《工业企业厂界环境噪声排放标准》（GB12348-2008）中3类标准，具体限值见下表。</w:t>
            </w:r>
          </w:p>
          <w:p>
            <w:pPr>
              <w:pStyle w:val="36"/>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表3-</w:t>
            </w:r>
            <w:r>
              <w:rPr>
                <w:rFonts w:hint="eastAsia"/>
                <w:lang w:val="en-US" w:eastAsia="zh-CN"/>
              </w:rPr>
              <w:t>5</w:t>
            </w:r>
            <w:r>
              <w:rPr>
                <w:rFonts w:hint="default"/>
                <w:lang w:val="en-US" w:eastAsia="zh-CN"/>
              </w:rPr>
              <w:t xml:space="preserve">    营运期噪声执行标准</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7"/>
              <w:gridCol w:w="2658"/>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厂界外声环境功能区类别</w:t>
                  </w:r>
                </w:p>
              </w:tc>
              <w:tc>
                <w:tcPr>
                  <w:tcW w:w="5317" w:type="dxa"/>
                  <w:gridSpan w:val="2"/>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3</w:t>
                  </w:r>
                </w:p>
              </w:tc>
              <w:tc>
                <w:tcPr>
                  <w:tcW w:w="2658"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65dB（A）</w:t>
                  </w:r>
                </w:p>
              </w:tc>
              <w:tc>
                <w:tcPr>
                  <w:tcW w:w="2659" w:type="dxa"/>
                  <w:noWrap w:val="0"/>
                  <w:vAlign w:val="center"/>
                </w:tcPr>
                <w:p>
                  <w:pPr>
                    <w:pStyle w:val="34"/>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55dB（A）</w:t>
                  </w:r>
                </w:p>
              </w:tc>
            </w:tr>
          </w:tbl>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2.3固体废物</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本项目产生的一般工业固体执行《中华人民共和国固体废物污染环境防治法》（2020年9月1日起施行）。</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危废暂存间及危险废物贮存应符合《危险废物贮存污染控制标准》（GB18597-2023）及《危险废物收集贮存运输技术规范》（HJ2025-2012）。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04" w:hRule="atLeast"/>
          <w:jc w:val="center"/>
        </w:trPr>
        <w:tc>
          <w:tcPr>
            <w:tcW w:w="800" w:type="dxa"/>
            <w:noWrap w:val="0"/>
            <w:vAlign w:val="center"/>
          </w:tcPr>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总量</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kern w:val="0"/>
                <w:szCs w:val="21"/>
              </w:rPr>
            </w:pPr>
            <w:r>
              <w:rPr>
                <w:rFonts w:hint="eastAsia" w:ascii="宋体" w:hAnsi="宋体" w:cs="宋体"/>
                <w:kern w:val="0"/>
                <w:szCs w:val="21"/>
              </w:rPr>
              <w:t>控制</w:t>
            </w:r>
          </w:p>
          <w:p>
            <w:pPr>
              <w:keepLines w:val="0"/>
              <w:pageBreakBefore w:val="0"/>
              <w:kinsoku/>
              <w:wordWrap/>
              <w:topLinePunct w:val="0"/>
              <w:autoSpaceDE/>
              <w:autoSpaceDN/>
              <w:bidi w:val="0"/>
              <w:adjustRightInd w:val="0"/>
              <w:snapToGrid w:val="0"/>
              <w:spacing w:beforeAutospacing="0" w:afterAutospacing="0"/>
              <w:jc w:val="center"/>
              <w:textAlignment w:val="auto"/>
              <w:rPr>
                <w:rFonts w:ascii="宋体" w:hAnsi="宋体" w:cs="宋体"/>
                <w:kern w:val="0"/>
                <w:szCs w:val="21"/>
              </w:rPr>
            </w:pPr>
            <w:r>
              <w:rPr>
                <w:rFonts w:hint="eastAsia" w:ascii="宋体" w:hAnsi="宋体" w:cs="宋体"/>
                <w:kern w:val="0"/>
                <w:szCs w:val="21"/>
              </w:rPr>
              <w:t>指标</w:t>
            </w:r>
          </w:p>
        </w:tc>
        <w:tc>
          <w:tcPr>
            <w:tcW w:w="8190" w:type="dxa"/>
            <w:noWrap w:val="0"/>
            <w:vAlign w:val="center"/>
          </w:tcPr>
          <w:p>
            <w:pPr>
              <w:pStyle w:val="8"/>
              <w:keepLines w:val="0"/>
              <w:pageBreakBefore w:val="0"/>
              <w:kinsoku/>
              <w:wordWrap/>
              <w:topLinePunct w:val="0"/>
              <w:autoSpaceDE/>
              <w:autoSpaceDN/>
              <w:bidi w:val="0"/>
              <w:spacing w:beforeAutospacing="0" w:afterAutospacing="0"/>
              <w:jc w:val="center"/>
              <w:textAlignment w:val="auto"/>
              <w:rPr>
                <w:rFonts w:hint="eastAsia" w:ascii="宋体" w:hAnsi="宋体" w:eastAsia="宋体" w:cs="宋体"/>
                <w:kern w:val="0"/>
                <w:szCs w:val="21"/>
                <w:lang w:val="en-US" w:eastAsia="zh-CN"/>
              </w:rPr>
            </w:pPr>
            <w:r>
              <w:rPr>
                <w:rFonts w:hint="eastAsia"/>
                <w:lang w:val="en-US" w:eastAsia="zh-CN"/>
              </w:rPr>
              <w:t>无</w:t>
            </w:r>
          </w:p>
        </w:tc>
      </w:tr>
    </w:tbl>
    <w:p>
      <w:pPr>
        <w:pStyle w:val="16"/>
        <w:keepLines w:val="0"/>
        <w:pageBreakBefore w:val="0"/>
        <w:kinsoku/>
        <w:wordWrap/>
        <w:topLinePunct w:val="0"/>
        <w:autoSpaceDE/>
        <w:autoSpaceDN/>
        <w:bidi w:val="0"/>
        <w:spacing w:beforeAutospacing="0" w:afterAutospacing="0"/>
        <w:jc w:val="center"/>
        <w:textAlignment w:val="auto"/>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746" w:type="dxa"/>
            <w:noWrap w:val="0"/>
            <w:tcMar>
              <w:left w:w="28" w:type="dxa"/>
              <w:right w:w="28" w:type="dxa"/>
            </w:tcMar>
            <w:vAlign w:val="center"/>
          </w:tcPr>
          <w:p>
            <w:pPr>
              <w:pStyle w:val="16"/>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kern w:val="2"/>
                <w:sz w:val="21"/>
                <w:szCs w:val="21"/>
              </w:rPr>
            </w:pPr>
            <w:r>
              <w:rPr>
                <w:rFonts w:hint="eastAsia" w:cs="宋体"/>
                <w:kern w:val="2"/>
                <w:sz w:val="21"/>
                <w:szCs w:val="21"/>
              </w:rPr>
              <w:t>施工</w:t>
            </w:r>
          </w:p>
          <w:p>
            <w:pPr>
              <w:pStyle w:val="16"/>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kern w:val="2"/>
                <w:sz w:val="21"/>
                <w:szCs w:val="21"/>
              </w:rPr>
            </w:pPr>
            <w:r>
              <w:rPr>
                <w:rFonts w:hint="eastAsia" w:cs="宋体"/>
                <w:kern w:val="2"/>
                <w:sz w:val="21"/>
                <w:szCs w:val="21"/>
              </w:rPr>
              <w:t>期环</w:t>
            </w:r>
          </w:p>
          <w:p>
            <w:pPr>
              <w:pStyle w:val="16"/>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kern w:val="2"/>
                <w:sz w:val="21"/>
                <w:szCs w:val="21"/>
              </w:rPr>
            </w:pPr>
            <w:r>
              <w:rPr>
                <w:rFonts w:hint="eastAsia" w:cs="宋体"/>
                <w:kern w:val="2"/>
                <w:sz w:val="21"/>
                <w:szCs w:val="21"/>
              </w:rPr>
              <w:t>境保</w:t>
            </w:r>
          </w:p>
          <w:p>
            <w:pPr>
              <w:pStyle w:val="16"/>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kern w:val="2"/>
                <w:sz w:val="21"/>
                <w:szCs w:val="21"/>
              </w:rPr>
            </w:pPr>
            <w:r>
              <w:rPr>
                <w:rFonts w:hint="eastAsia" w:cs="宋体"/>
                <w:kern w:val="2"/>
                <w:sz w:val="21"/>
                <w:szCs w:val="21"/>
              </w:rPr>
              <w:t>护措</w:t>
            </w:r>
          </w:p>
          <w:p>
            <w:pPr>
              <w:pStyle w:val="16"/>
              <w:keepLines w:val="0"/>
              <w:pageBreakBefore w:val="0"/>
              <w:kinsoku/>
              <w:wordWrap/>
              <w:topLinePunct w:val="0"/>
              <w:autoSpaceDE/>
              <w:autoSpaceDN/>
              <w:bidi w:val="0"/>
              <w:adjustRightInd w:val="0"/>
              <w:snapToGrid w:val="0"/>
              <w:spacing w:before="0" w:beforeAutospacing="0" w:after="0" w:afterAutospacing="0"/>
              <w:jc w:val="center"/>
              <w:textAlignment w:val="auto"/>
              <w:rPr>
                <w:rFonts w:hint="eastAsia" w:cs="宋体"/>
                <w:bCs/>
                <w:kern w:val="2"/>
                <w:sz w:val="21"/>
                <w:szCs w:val="21"/>
              </w:rPr>
            </w:pPr>
            <w:r>
              <w:rPr>
                <w:rFonts w:hint="eastAsia" w:cs="宋体"/>
                <w:kern w:val="2"/>
                <w:sz w:val="21"/>
                <w:szCs w:val="21"/>
              </w:rPr>
              <w:t>施</w:t>
            </w:r>
          </w:p>
        </w:tc>
        <w:tc>
          <w:tcPr>
            <w:tcW w:w="8162" w:type="dxa"/>
            <w:noWrap w:val="0"/>
            <w:vAlign w:val="center"/>
          </w:tcPr>
          <w:p>
            <w:pPr>
              <w:pStyle w:val="8"/>
              <w:keepLines w:val="0"/>
              <w:pageBreakBefore w:val="0"/>
              <w:kinsoku/>
              <w:wordWrap/>
              <w:topLinePunct w:val="0"/>
              <w:autoSpaceDE/>
              <w:autoSpaceDN/>
              <w:bidi w:val="0"/>
              <w:spacing w:beforeAutospacing="0" w:afterAutospacing="0"/>
              <w:textAlignment w:val="auto"/>
              <w:rPr>
                <w:rFonts w:hint="eastAsia"/>
                <w:highlight w:val="none"/>
                <w:lang w:val="en-US" w:eastAsia="zh-CN"/>
              </w:rPr>
            </w:pPr>
            <w:r>
              <w:rPr>
                <w:rFonts w:hint="default"/>
                <w:lang w:val="en-US" w:eastAsia="zh-CN"/>
              </w:rPr>
              <w:t>本项目</w:t>
            </w:r>
            <w:r>
              <w:rPr>
                <w:rFonts w:hint="eastAsia"/>
                <w:highlight w:val="none"/>
                <w:lang w:val="en-US" w:eastAsia="zh-CN"/>
              </w:rPr>
              <w:t>施工期主要为沉淀池和危废贮存间修建。施工过程中将不可避免地产生噪声、扬尘、废水、固废等对周围环境造成影响。施工期对环境的影响是暂时的，本工程施工场地开阔，影响范围有限，这种影响在施工结束后便可消失。现对这些影响提出相应防治和管理措施。</w:t>
            </w:r>
          </w:p>
          <w:p>
            <w:pPr>
              <w:pStyle w:val="43"/>
              <w:bidi w:val="0"/>
              <w:rPr>
                <w:rFonts w:hint="eastAsia"/>
                <w:lang w:val="en-US" w:eastAsia="zh-CN"/>
              </w:rPr>
            </w:pPr>
            <w:r>
              <w:rPr>
                <w:rFonts w:hint="eastAsia"/>
                <w:lang w:val="en-US" w:eastAsia="zh-CN"/>
              </w:rPr>
              <w:t>1.施工期大气环境保护措施</w:t>
            </w:r>
          </w:p>
          <w:p>
            <w:pPr>
              <w:pStyle w:val="8"/>
              <w:bidi w:val="0"/>
              <w:rPr>
                <w:rFonts w:hint="default"/>
                <w:lang w:val="en-US" w:eastAsia="zh-CN"/>
              </w:rPr>
            </w:pPr>
            <w:r>
              <w:rPr>
                <w:rFonts w:hint="eastAsia"/>
                <w:lang w:val="en-US" w:eastAsia="zh-CN"/>
              </w:rPr>
              <w:t>施工期废气主要为施工扬尘以及车辆行驶尾气，为有效抑制施工期扬尘污染，建议采取以下措施。</w:t>
            </w:r>
          </w:p>
          <w:p>
            <w:pPr>
              <w:pStyle w:val="8"/>
              <w:numPr>
                <w:ilvl w:val="0"/>
                <w:numId w:val="1"/>
              </w:numPr>
              <w:bidi w:val="0"/>
              <w:rPr>
                <w:rFonts w:hint="eastAsia"/>
                <w:lang w:val="en-US" w:eastAsia="zh-CN"/>
              </w:rPr>
            </w:pPr>
            <w:r>
              <w:rPr>
                <w:rFonts w:hint="eastAsia"/>
                <w:lang w:val="en-US" w:eastAsia="zh-CN"/>
              </w:rPr>
              <w:t>施工前须制定控制工地扬尘方案，施工期间接受相关部门的监督检查，执行建筑施工场地的相关规定。</w:t>
            </w:r>
          </w:p>
          <w:p>
            <w:pPr>
              <w:pStyle w:val="8"/>
              <w:bidi w:val="0"/>
              <w:rPr>
                <w:rFonts w:hint="eastAsia"/>
                <w:lang w:val="en-US" w:eastAsia="zh-CN"/>
              </w:rPr>
            </w:pPr>
            <w:r>
              <w:rPr>
                <w:rFonts w:hint="eastAsia"/>
                <w:lang w:val="en-US" w:eastAsia="zh-CN"/>
              </w:rPr>
              <w:t>（2）</w:t>
            </w:r>
            <w:r>
              <w:t>为进一步降低施工扬尘，要定期对路面和施工场区洒水，保持下垫面和空气湿润，减少起尘量，洒水频率视天气情况调整，原则上晴天每天不少于4次。</w:t>
            </w:r>
          </w:p>
          <w:p>
            <w:pPr>
              <w:pStyle w:val="8"/>
              <w:bidi w:val="0"/>
              <w:rPr>
                <w:rFonts w:hint="eastAsia"/>
                <w:lang w:val="en-US" w:eastAsia="zh-CN"/>
              </w:rPr>
            </w:pPr>
            <w:r>
              <w:rPr>
                <w:rFonts w:hint="eastAsia"/>
                <w:lang w:val="en-US" w:eastAsia="zh-CN"/>
              </w:rPr>
              <w:t>（3）遇有四级以上大风天气预报或市政府发布空气质量预警时，不得进行土方及拆除作业，按照建筑施工规定，场地四周建围挡，围挡高度一般不低于2.5m。</w:t>
            </w:r>
          </w:p>
          <w:p>
            <w:pPr>
              <w:pStyle w:val="8"/>
              <w:bidi w:val="0"/>
              <w:rPr>
                <w:rFonts w:hint="eastAsia"/>
                <w:lang w:val="en-US" w:eastAsia="zh-CN"/>
              </w:rPr>
            </w:pPr>
            <w:r>
              <w:rPr>
                <w:rFonts w:hint="eastAsia"/>
                <w:lang w:val="en-US" w:eastAsia="zh-CN"/>
              </w:rPr>
              <w:t>（4）工程材料、砂石、土方或废弃物等易产生扬尘物质应当用帆布或密目网等进行重复式覆盖。设置专用场地堆放建筑材料，水泥、石灰等易产生扬尘的材料应堆放在固定工棚内，堆放过程中要加苫布覆盖。</w:t>
            </w:r>
          </w:p>
          <w:p>
            <w:pPr>
              <w:pStyle w:val="8"/>
              <w:bidi w:val="0"/>
              <w:rPr>
                <w:lang w:val="en-US" w:eastAsia="zh-CN"/>
              </w:rPr>
            </w:pPr>
            <w:r>
              <w:rPr>
                <w:rFonts w:hint="eastAsia"/>
                <w:lang w:eastAsia="zh-CN"/>
              </w:rPr>
              <w:t>（</w:t>
            </w:r>
            <w:r>
              <w:rPr>
                <w:rFonts w:hint="eastAsia"/>
                <w:lang w:val="en-US" w:eastAsia="zh-CN"/>
              </w:rPr>
              <w:t>5</w:t>
            </w:r>
            <w:r>
              <w:rPr>
                <w:rFonts w:hint="eastAsia"/>
                <w:lang w:eastAsia="zh-CN"/>
              </w:rPr>
              <w:t>）</w:t>
            </w:r>
            <w:r>
              <w:rPr>
                <w:rFonts w:hint="eastAsia"/>
                <w:lang w:val="en-US" w:eastAsia="zh-CN"/>
              </w:rPr>
              <w:t>材料运输中要采取遮盖措施或利用密闭性运输车，运输车辆行驶路线要避开居民区等环境敏感点，并限制运输车辆的车速。</w:t>
            </w:r>
          </w:p>
          <w:p>
            <w:pPr>
              <w:pStyle w:val="8"/>
              <w:bidi w:val="0"/>
              <w:rPr>
                <w:rFonts w:hint="eastAsia"/>
                <w:lang w:eastAsia="zh-CN"/>
              </w:rPr>
            </w:pPr>
            <w:r>
              <w:rPr>
                <w:rFonts w:hint="eastAsia"/>
                <w:lang w:val="en-US" w:eastAsia="zh-CN"/>
              </w:rPr>
              <w:t>（6）</w:t>
            </w:r>
            <w:r>
              <w:rPr>
                <w:rFonts w:hint="eastAsia"/>
              </w:rPr>
              <w:t>加强环保宣传，增强施工人员环保意识，坚持文明施工，建设单位与施工单位签订环保责任合同，明确施工环保责任。制订控制扬尘污染方案，在施工前办理施工许可证经主管部门审批后方可施工</w:t>
            </w:r>
            <w:r>
              <w:rPr>
                <w:rFonts w:hint="eastAsia"/>
                <w:lang w:eastAsia="zh-CN"/>
              </w:rPr>
              <w:t>。</w:t>
            </w:r>
          </w:p>
          <w:p>
            <w:pPr>
              <w:pStyle w:val="8"/>
              <w:bidi w:val="0"/>
              <w:rPr>
                <w:rFonts w:hint="eastAsia"/>
                <w:lang w:val="en-US" w:eastAsia="zh-CN"/>
              </w:rPr>
            </w:pPr>
            <w:r>
              <w:rPr>
                <w:rFonts w:hint="eastAsia"/>
                <w:lang w:val="en-US" w:eastAsia="zh-CN"/>
              </w:rPr>
              <w:t>（7）合理安排施工进度，规范临时渣场、弃土暂存点管理，严格执行建筑渣土准运证制度。设置专人负责弃土、建筑垃圾、建筑材料的处置、清运和堆放。</w:t>
            </w:r>
          </w:p>
          <w:p>
            <w:pPr>
              <w:pStyle w:val="43"/>
              <w:bidi w:val="0"/>
              <w:rPr>
                <w:rFonts w:hint="eastAsia"/>
                <w:lang w:val="en-US" w:eastAsia="zh-CN"/>
              </w:rPr>
            </w:pPr>
            <w:r>
              <w:rPr>
                <w:rFonts w:hint="eastAsia"/>
                <w:lang w:val="en-US" w:eastAsia="zh-CN"/>
              </w:rPr>
              <w:t>2.施工期水环境保护措施</w:t>
            </w:r>
          </w:p>
          <w:p>
            <w:pPr>
              <w:pStyle w:val="8"/>
              <w:bidi w:val="0"/>
              <w:rPr>
                <w:rFonts w:hint="eastAsia"/>
                <w:lang w:val="en-US" w:eastAsia="zh-CN"/>
              </w:rPr>
            </w:pPr>
            <w:r>
              <w:rPr>
                <w:rFonts w:hint="eastAsia"/>
                <w:lang w:val="en-US" w:eastAsia="zh-CN"/>
              </w:rPr>
              <w:t>施工期废水主要为施工废水。</w:t>
            </w:r>
          </w:p>
          <w:p>
            <w:pPr>
              <w:pStyle w:val="8"/>
              <w:bidi w:val="0"/>
              <w:rPr>
                <w:rFonts w:hint="default"/>
                <w:lang w:val="en-US" w:eastAsia="zh-CN"/>
              </w:rPr>
            </w:pPr>
            <w:r>
              <w:rPr>
                <w:rFonts w:hint="default"/>
                <w:lang w:val="en-US" w:eastAsia="zh-CN"/>
              </w:rPr>
              <w:t>施工废水主要为混凝土养护废水和设备、工具清洗废水，产生量较小，主要污染物为悬浮物。工地设置临时沉淀池，少量施工废水不直接排放，应集中收集，经过沉淀池沉淀后，用于洒水抑尘。通过以上措施可保证施工期废水无乱排现象。</w:t>
            </w:r>
          </w:p>
          <w:p>
            <w:pPr>
              <w:pStyle w:val="43"/>
              <w:bidi w:val="0"/>
              <w:rPr>
                <w:rFonts w:hint="eastAsia"/>
                <w:lang w:val="en-US" w:eastAsia="zh-CN"/>
              </w:rPr>
            </w:pPr>
            <w:r>
              <w:rPr>
                <w:rFonts w:hint="eastAsia"/>
                <w:lang w:val="en-US" w:eastAsia="zh-CN"/>
              </w:rPr>
              <w:t>3.施工期声环境保护措施</w:t>
            </w:r>
          </w:p>
          <w:p>
            <w:pPr>
              <w:pStyle w:val="8"/>
              <w:bidi w:val="0"/>
              <w:rPr>
                <w:rFonts w:hint="default"/>
                <w:lang w:val="en-US" w:eastAsia="zh-CN"/>
              </w:rPr>
            </w:pPr>
            <w:r>
              <w:rPr>
                <w:rFonts w:hint="default"/>
                <w:lang w:val="en-US" w:eastAsia="zh-CN"/>
              </w:rPr>
              <w:t>由工程污染源分析可知，施工噪声源主要是各类高噪声的施工机械设备和物料运输的交通噪声。单体施工机械的设备的声源声级一般均高于80dB（A），部分设备声源高达105dB（A）。</w:t>
            </w:r>
          </w:p>
          <w:p>
            <w:pPr>
              <w:pStyle w:val="8"/>
              <w:bidi w:val="0"/>
              <w:rPr>
                <w:rFonts w:hint="default"/>
                <w:lang w:val="en-US" w:eastAsia="zh-CN"/>
              </w:rPr>
            </w:pPr>
            <w:r>
              <w:rPr>
                <w:rFonts w:hint="default"/>
                <w:lang w:val="en-US" w:eastAsia="zh-CN"/>
              </w:rPr>
              <w:t>由于施工现场内设备的位置会不断变化，而且同一施工阶段不同时间设备运行的数量也有变化，因此很难准确地预测施工现场的场界噪声值。根据我们对不同施工期施工场界建筑噪声的监测结果，对照《建筑施工场界环境噪声排放标准》（GB12523-2011），平均声级都超过国家规定的建筑施工场界噪声限值10~35dB（A）。应严格按照施工规范加以控制。该项目在施工期采取以下有效的降噪措施，对周围环境影响较小。</w:t>
            </w:r>
          </w:p>
          <w:p>
            <w:pPr>
              <w:pStyle w:val="8"/>
              <w:bidi w:val="0"/>
              <w:rPr>
                <w:rFonts w:hint="default"/>
                <w:lang w:val="en-US" w:eastAsia="zh-CN"/>
              </w:rPr>
            </w:pPr>
            <w:r>
              <w:rPr>
                <w:rFonts w:hint="default"/>
                <w:lang w:val="en-US" w:eastAsia="zh-CN"/>
              </w:rPr>
              <w:t>（1）合理安排施工时间，应尽可能避免大量高噪声设备同时施工，</w:t>
            </w:r>
            <w:r>
              <w:rPr>
                <w:rFonts w:hint="eastAsia"/>
                <w:lang w:val="en-US" w:eastAsia="zh-CN"/>
              </w:rPr>
              <w:t>除</w:t>
            </w:r>
            <w:r>
              <w:rPr>
                <w:rFonts w:hint="default"/>
                <w:lang w:val="en-US" w:eastAsia="zh-CN"/>
              </w:rPr>
              <w:t>此之外，使用高噪声设备的施工阶段应尽量安排在白天，减少夜间的施工量</w:t>
            </w:r>
            <w:r>
              <w:rPr>
                <w:rFonts w:hint="eastAsia"/>
                <w:lang w:val="en-US" w:eastAsia="zh-CN"/>
              </w:rPr>
              <w:t>。</w:t>
            </w:r>
          </w:p>
          <w:p>
            <w:pPr>
              <w:pStyle w:val="8"/>
              <w:bidi w:val="0"/>
              <w:rPr>
                <w:rFonts w:hint="default"/>
                <w:lang w:val="en-US" w:eastAsia="zh-CN"/>
              </w:rPr>
            </w:pPr>
            <w:r>
              <w:rPr>
                <w:rFonts w:hint="default"/>
                <w:lang w:val="en-US" w:eastAsia="zh-CN"/>
              </w:rPr>
              <w:t>（2）合理布置施工现场，应避免在施工现场的同一地点安排大量的高噪声设备，造成局部声级过高。</w:t>
            </w:r>
          </w:p>
          <w:p>
            <w:pPr>
              <w:pStyle w:val="8"/>
              <w:bidi w:val="0"/>
              <w:rPr>
                <w:rFonts w:hint="default"/>
                <w:lang w:val="en-US" w:eastAsia="zh-CN"/>
              </w:rPr>
            </w:pPr>
            <w:r>
              <w:rPr>
                <w:rFonts w:hint="default"/>
                <w:lang w:val="en-US" w:eastAsia="zh-CN"/>
              </w:rPr>
              <w:t>（3）施工设备选型时尽量采用低噪声设备，如振捣器采用高频振捣器等</w:t>
            </w:r>
            <w:r>
              <w:rPr>
                <w:rFonts w:hint="eastAsia"/>
                <w:lang w:val="en-US" w:eastAsia="zh-CN"/>
              </w:rPr>
              <w:t>。</w:t>
            </w:r>
          </w:p>
          <w:p>
            <w:pPr>
              <w:pStyle w:val="8"/>
              <w:bidi w:val="0"/>
              <w:rPr>
                <w:rFonts w:hint="default"/>
                <w:lang w:val="en-US" w:eastAsia="zh-CN"/>
              </w:rPr>
            </w:pPr>
            <w:r>
              <w:rPr>
                <w:rFonts w:hint="default"/>
                <w:lang w:val="en-US" w:eastAsia="zh-CN"/>
              </w:rPr>
              <w:t>（4）对动力机械设备定期进行维修和养护，避免因松动部件振动或消声器损坏而加大设备工作时的声级</w:t>
            </w:r>
            <w:r>
              <w:rPr>
                <w:rFonts w:hint="eastAsia"/>
                <w:lang w:val="en-US" w:eastAsia="zh-CN"/>
              </w:rPr>
              <w:t>。</w:t>
            </w:r>
          </w:p>
          <w:p>
            <w:pPr>
              <w:pStyle w:val="8"/>
              <w:bidi w:val="0"/>
              <w:rPr>
                <w:rFonts w:hint="default"/>
                <w:lang w:val="en-US" w:eastAsia="zh-CN"/>
              </w:rPr>
            </w:pPr>
            <w:r>
              <w:rPr>
                <w:rFonts w:hint="default"/>
                <w:lang w:val="en-US" w:eastAsia="zh-CN"/>
              </w:rPr>
              <w:t>（5）模板、支架拆卸过程中，遵守作业规定，减少碰撞</w:t>
            </w:r>
            <w:r>
              <w:rPr>
                <w:rFonts w:hint="eastAsia"/>
                <w:lang w:val="en-US" w:eastAsia="zh-CN"/>
              </w:rPr>
              <w:t>噪声</w:t>
            </w:r>
            <w:r>
              <w:rPr>
                <w:rFonts w:hint="default"/>
                <w:lang w:val="en-US" w:eastAsia="zh-CN"/>
              </w:rPr>
              <w:t>；尽量少用哨子、喇叭、笛等指挥作业，减少人为噪声</w:t>
            </w:r>
            <w:r>
              <w:rPr>
                <w:rFonts w:hint="eastAsia"/>
                <w:lang w:val="en-US" w:eastAsia="zh-CN"/>
              </w:rPr>
              <w:t>。</w:t>
            </w:r>
          </w:p>
          <w:p>
            <w:pPr>
              <w:pStyle w:val="8"/>
              <w:bidi w:val="0"/>
              <w:rPr>
                <w:rFonts w:hint="default"/>
                <w:lang w:val="en-US" w:eastAsia="zh-CN"/>
              </w:rPr>
            </w:pPr>
            <w:r>
              <w:rPr>
                <w:rFonts w:hint="default"/>
                <w:lang w:val="en-US" w:eastAsia="zh-CN"/>
              </w:rPr>
              <w:t>（6）尽量减少运输车辆夜间的运输量，运输车辆在进入施工区附近区域后，要适当降低车速，避免或杜绝鸣笛。</w:t>
            </w:r>
          </w:p>
          <w:p>
            <w:pPr>
              <w:pStyle w:val="43"/>
              <w:bidi w:val="0"/>
              <w:rPr>
                <w:rFonts w:hint="eastAsia"/>
                <w:lang w:val="en-US" w:eastAsia="zh-CN"/>
              </w:rPr>
            </w:pPr>
            <w:r>
              <w:rPr>
                <w:rFonts w:hint="eastAsia"/>
                <w:lang w:val="en-US" w:eastAsia="zh-CN"/>
              </w:rPr>
              <w:t>4.施工期固体废弃物保护措施</w:t>
            </w:r>
          </w:p>
          <w:p>
            <w:pPr>
              <w:pStyle w:val="8"/>
              <w:bidi w:val="0"/>
              <w:rPr>
                <w:rFonts w:hint="default"/>
                <w:lang w:val="en-US" w:eastAsia="zh-CN"/>
              </w:rPr>
            </w:pPr>
            <w:r>
              <w:rPr>
                <w:rFonts w:hint="default"/>
                <w:lang w:val="en-US" w:eastAsia="zh-CN"/>
              </w:rPr>
              <w:t>施工期会产生建筑垃圾等固体废物。建筑垃圾主要包括砂石、石块、碎砖等，收集后堆放于指定地点，由施工方统一清运至当地建筑垃圾填埋场统一处理。</w:t>
            </w:r>
          </w:p>
          <w:p>
            <w:pPr>
              <w:pStyle w:val="8"/>
              <w:bidi w:val="0"/>
              <w:rPr>
                <w:rFonts w:hint="default"/>
                <w:lang w:val="en-US" w:eastAsia="zh-CN"/>
              </w:rPr>
            </w:pPr>
            <w:r>
              <w:rPr>
                <w:rFonts w:hint="default"/>
                <w:lang w:val="en-US" w:eastAsia="zh-CN"/>
              </w:rPr>
              <w:t>施工期固体废物处置及管理措施</w:t>
            </w:r>
            <w:r>
              <w:rPr>
                <w:rFonts w:hint="eastAsia"/>
                <w:lang w:val="en-US" w:eastAsia="zh-CN"/>
              </w:rPr>
              <w:t>。</w:t>
            </w:r>
          </w:p>
          <w:p>
            <w:pPr>
              <w:pStyle w:val="8"/>
              <w:bidi w:val="0"/>
              <w:rPr>
                <w:rFonts w:hint="default"/>
                <w:lang w:val="en-US" w:eastAsia="zh-CN"/>
              </w:rPr>
            </w:pPr>
            <w:r>
              <w:rPr>
                <w:rFonts w:hint="default"/>
                <w:lang w:val="en-US" w:eastAsia="zh-CN"/>
              </w:rPr>
              <w:t>（1）施工单位应按照国家和当地有关建筑垃圾和工程渣土处置管理的规定，认真执行《中华人民共和国固体废物污染环境防治法》</w:t>
            </w:r>
            <w:r>
              <w:rPr>
                <w:rFonts w:hint="eastAsia"/>
                <w:lang w:val="en-US" w:eastAsia="zh-CN"/>
              </w:rPr>
              <w:t>。</w:t>
            </w:r>
          </w:p>
          <w:p>
            <w:pPr>
              <w:pStyle w:val="8"/>
              <w:bidi w:val="0"/>
              <w:rPr>
                <w:rFonts w:hint="default"/>
                <w:lang w:val="en-US" w:eastAsia="zh-CN"/>
              </w:rPr>
            </w:pPr>
            <w:r>
              <w:rPr>
                <w:rFonts w:hint="default"/>
                <w:lang w:val="en-US" w:eastAsia="zh-CN"/>
              </w:rPr>
              <w:t>（2）渣土尽量在场内周转，除就地平衡、道路等建设，必须外运的弃土以及建筑废料应运至当地环卫部门指定的专门建筑垃圾堆放场；生活垃圾应及时交由环卫部门清运统一处置</w:t>
            </w:r>
            <w:r>
              <w:rPr>
                <w:rFonts w:hint="eastAsia"/>
                <w:lang w:val="en-US" w:eastAsia="zh-CN"/>
              </w:rPr>
              <w:t>。</w:t>
            </w:r>
          </w:p>
          <w:p>
            <w:pPr>
              <w:pStyle w:val="8"/>
              <w:bidi w:val="0"/>
              <w:rPr>
                <w:rFonts w:hint="default"/>
                <w:lang w:val="en-US" w:eastAsia="zh-CN"/>
              </w:rPr>
            </w:pPr>
            <w:r>
              <w:rPr>
                <w:rFonts w:hint="default"/>
                <w:lang w:val="en-US" w:eastAsia="zh-CN"/>
              </w:rPr>
              <w:t>（3）在工程竣工以后，施工单位应拆除各种临时施工设施，并负责将工地的剩余建筑垃圾、工程渣土处理干净，做到</w:t>
            </w:r>
            <w:r>
              <w:rPr>
                <w:rFonts w:hint="eastAsia"/>
                <w:lang w:val="en-US" w:eastAsia="zh-CN"/>
              </w:rPr>
              <w:t>“</w:t>
            </w:r>
            <w:r>
              <w:rPr>
                <w:rFonts w:hint="default"/>
                <w:lang w:val="en-US" w:eastAsia="zh-CN"/>
              </w:rPr>
              <w:t>工完、料尽、场地清</w:t>
            </w:r>
            <w:r>
              <w:rPr>
                <w:rFonts w:hint="eastAsia"/>
                <w:lang w:val="en-US" w:eastAsia="zh-CN"/>
              </w:rPr>
              <w:t>”</w:t>
            </w:r>
            <w:r>
              <w:rPr>
                <w:rFonts w:hint="default"/>
                <w:lang w:val="en-US" w:eastAsia="zh-CN"/>
              </w:rPr>
              <w:t>，建设单位应负责督促施工单位的固体废物处置清理工作</w:t>
            </w:r>
            <w:r>
              <w:rPr>
                <w:rFonts w:hint="eastAsia"/>
                <w:lang w:val="en-US" w:eastAsia="zh-CN"/>
              </w:rPr>
              <w:t>。</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由于施工时间短，只要加强管理，及时清运，随着施工期的结束，施工固体废物对环境的影响将随之消失，不会对环境产生长期影响。</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p>
          <w:p>
            <w:pPr>
              <w:pStyle w:val="8"/>
              <w:keepLines w:val="0"/>
              <w:pageBreakBefore w:val="0"/>
              <w:kinsoku/>
              <w:wordWrap/>
              <w:topLinePunct w:val="0"/>
              <w:autoSpaceDE/>
              <w:autoSpaceDN/>
              <w:bidi w:val="0"/>
              <w:spacing w:beforeAutospacing="0" w:afterAutospacing="0"/>
              <w:ind w:left="0" w:leftChars="0" w:firstLine="0" w:firstLineChars="0"/>
              <w:textAlignment w:val="auto"/>
              <w:rPr>
                <w:rFonts w:hint="default"/>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运营</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期环</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境影</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响和</w:t>
            </w:r>
          </w:p>
          <w:p>
            <w:pPr>
              <w:keepLines w:val="0"/>
              <w:pageBreakBefore w:val="0"/>
              <w:kinsoku/>
              <w:wordWrap/>
              <w:topLinePunct w:val="0"/>
              <w:autoSpaceDE/>
              <w:autoSpaceDN/>
              <w:bidi w:val="0"/>
              <w:adjustRightInd w:val="0"/>
              <w:snapToGrid w:val="0"/>
              <w:spacing w:beforeAutospacing="0" w:afterAutospacing="0"/>
              <w:jc w:val="center"/>
              <w:textAlignment w:val="auto"/>
              <w:rPr>
                <w:rFonts w:hint="eastAsia" w:ascii="宋体" w:hAnsi="宋体" w:cs="宋体"/>
                <w:bCs/>
                <w:szCs w:val="21"/>
              </w:rPr>
            </w:pPr>
            <w:r>
              <w:rPr>
                <w:rFonts w:hint="eastAsia" w:ascii="宋体" w:hAnsi="宋体" w:cs="宋体"/>
                <w:bCs/>
                <w:szCs w:val="21"/>
              </w:rPr>
              <w:t>保护</w:t>
            </w:r>
          </w:p>
          <w:p>
            <w:pPr>
              <w:keepLines w:val="0"/>
              <w:pageBreakBefore w:val="0"/>
              <w:kinsoku/>
              <w:wordWrap/>
              <w:topLinePunct w:val="0"/>
              <w:autoSpaceDE/>
              <w:autoSpaceDN/>
              <w:bidi w:val="0"/>
              <w:adjustRightInd w:val="0"/>
              <w:snapToGrid w:val="0"/>
              <w:spacing w:beforeAutospacing="0" w:afterAutospacing="0"/>
              <w:jc w:val="center"/>
              <w:textAlignment w:val="auto"/>
              <w:rPr>
                <w:rFonts w:ascii="宋体" w:hAnsi="宋体" w:cs="宋体"/>
                <w:bCs/>
                <w:szCs w:val="21"/>
              </w:rPr>
            </w:pPr>
            <w:r>
              <w:rPr>
                <w:rFonts w:hint="eastAsia" w:ascii="宋体" w:hAnsi="宋体" w:cs="宋体"/>
                <w:bCs/>
                <w:szCs w:val="21"/>
              </w:rPr>
              <w:t>措施</w:t>
            </w:r>
          </w:p>
        </w:tc>
        <w:tc>
          <w:tcPr>
            <w:tcW w:w="8162" w:type="dxa"/>
            <w:noWrap w:val="0"/>
            <w:vAlign w:val="top"/>
          </w:tcPr>
          <w:p>
            <w:pPr>
              <w:pStyle w:val="3"/>
              <w:keepLines w:val="0"/>
              <w:pageBreakBefore w:val="0"/>
              <w:kinsoku/>
              <w:wordWrap/>
              <w:topLinePunct w:val="0"/>
              <w:autoSpaceDE/>
              <w:autoSpaceDN/>
              <w:bidi w:val="0"/>
              <w:spacing w:beforeAutospacing="0" w:afterAutospacing="0"/>
              <w:jc w:val="both"/>
              <w:textAlignment w:val="auto"/>
              <w:rPr>
                <w:rFonts w:hint="eastAsia"/>
              </w:rPr>
            </w:pPr>
            <w:r>
              <w:rPr>
                <w:rFonts w:hint="eastAsia"/>
                <w:lang w:val="en-US" w:eastAsia="zh-CN"/>
              </w:rPr>
              <w:t>1.</w:t>
            </w:r>
            <w:r>
              <w:rPr>
                <w:rFonts w:hint="eastAsia"/>
              </w:rPr>
              <w:t>大气环境影响和保护措施</w:t>
            </w:r>
          </w:p>
          <w:p>
            <w:pPr>
              <w:pStyle w:val="3"/>
              <w:keepLines w:val="0"/>
              <w:pageBreakBefore w:val="0"/>
              <w:kinsoku/>
              <w:wordWrap/>
              <w:topLinePunct w:val="0"/>
              <w:autoSpaceDE/>
              <w:autoSpaceDN/>
              <w:bidi w:val="0"/>
              <w:spacing w:beforeAutospacing="0" w:afterAutospacing="0"/>
              <w:jc w:val="both"/>
              <w:textAlignment w:val="auto"/>
              <w:rPr>
                <w:rFonts w:hint="eastAsia"/>
                <w:lang w:val="en-US" w:eastAsia="zh-CN"/>
              </w:rPr>
            </w:pPr>
            <w:r>
              <w:rPr>
                <w:rFonts w:hint="eastAsia"/>
                <w:lang w:val="en-US" w:eastAsia="zh-CN"/>
              </w:rPr>
              <w:t>1.1</w:t>
            </w:r>
            <w:r>
              <w:t>废气污染源源强</w:t>
            </w:r>
            <w:r>
              <w:rPr>
                <w:rFonts w:hint="eastAsia"/>
                <w:lang w:val="en-US" w:eastAsia="zh-CN"/>
              </w:rPr>
              <w:t>分析</w:t>
            </w:r>
          </w:p>
          <w:p>
            <w:pPr>
              <w:pStyle w:val="8"/>
              <w:keepLines w:val="0"/>
              <w:pageBreakBefore w:val="0"/>
              <w:kinsoku/>
              <w:wordWrap/>
              <w:topLinePunct w:val="0"/>
              <w:autoSpaceDE/>
              <w:autoSpaceDN/>
              <w:bidi w:val="0"/>
              <w:spacing w:beforeAutospacing="0" w:afterAutospacing="0"/>
              <w:textAlignment w:val="auto"/>
              <w:rPr>
                <w:rFonts w:hint="default" w:eastAsia="宋体"/>
                <w:lang w:val="en-US" w:eastAsia="zh-CN"/>
              </w:rPr>
            </w:pPr>
            <w:r>
              <w:rPr>
                <w:rFonts w:hint="eastAsia"/>
              </w:rPr>
              <w:t>本项目</w:t>
            </w:r>
            <w:r>
              <w:rPr>
                <w:rFonts w:hint="eastAsia"/>
                <w:lang w:val="en-US" w:eastAsia="zh-CN"/>
              </w:rPr>
              <w:t>砂子为吨袋包装，贮存过程仅产生少量的无组织粉尘；物料输送路径均采用密闭管道绞龙输送，故物料输送过程仅产生少量的无组织粉尘；成品砂浆储罐用于中转干混搅拌后的物料，为密闭设备，仅产生少量的无组织粉尘；湿混搅拌过程同时加水，且搅拌时投料口上方盖板关闭，密闭搅拌，仅产生少量的无组织粉尘，可忽略不计。</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故</w:t>
            </w:r>
            <w:r>
              <w:rPr>
                <w:rFonts w:hint="eastAsia"/>
              </w:rPr>
              <w:t>生产过程中产生的废气主要为</w:t>
            </w:r>
            <w:r>
              <w:rPr>
                <w:rFonts w:hint="eastAsia"/>
                <w:lang w:val="en-US" w:eastAsia="zh-CN"/>
              </w:rPr>
              <w:t>水泥料仓粉尘、投料粉尘和干混搅拌过程</w:t>
            </w:r>
            <w:r>
              <w:rPr>
                <w:rFonts w:hint="eastAsia"/>
              </w:rPr>
              <w:t>产生的</w:t>
            </w:r>
            <w:r>
              <w:rPr>
                <w:rFonts w:hint="eastAsia"/>
                <w:lang w:val="en-US" w:eastAsia="zh-CN"/>
              </w:rPr>
              <w:t>粉尘。</w:t>
            </w:r>
          </w:p>
          <w:p>
            <w:pPr>
              <w:pStyle w:val="3"/>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1.1.1水泥筒仓粉尘</w:t>
            </w:r>
          </w:p>
          <w:p>
            <w:pPr>
              <w:pStyle w:val="8"/>
              <w:bidi w:val="0"/>
              <w:rPr>
                <w:rFonts w:hint="eastAsia"/>
                <w:lang w:val="en-US" w:eastAsia="zh-CN"/>
              </w:rPr>
            </w:pPr>
            <w:r>
              <w:rPr>
                <w:rFonts w:hint="default"/>
                <w:lang w:val="en-US" w:eastAsia="zh-CN"/>
              </w:rPr>
              <w:t>本项目水泥采用水泥</w:t>
            </w:r>
            <w:r>
              <w:rPr>
                <w:rFonts w:hint="eastAsia"/>
                <w:lang w:val="en-US" w:eastAsia="zh-CN"/>
              </w:rPr>
              <w:t>筒仓</w:t>
            </w:r>
            <w:r>
              <w:rPr>
                <w:rFonts w:hint="default"/>
                <w:lang w:val="en-US" w:eastAsia="zh-CN"/>
              </w:rPr>
              <w:t>储存，</w:t>
            </w:r>
            <w:r>
              <w:rPr>
                <w:rFonts w:hint="eastAsia"/>
                <w:lang w:val="en-US" w:eastAsia="zh-CN"/>
              </w:rPr>
              <w:t>设置2座100t水泥筒仓</w:t>
            </w:r>
            <w:r>
              <w:rPr>
                <w:rFonts w:hint="default"/>
                <w:lang w:val="en-US" w:eastAsia="zh-CN"/>
              </w:rPr>
              <w:t>，顶部均配有滤筒式过滤器。</w:t>
            </w:r>
            <w:r>
              <w:rPr>
                <w:rFonts w:hint="eastAsia"/>
                <w:lang w:val="en-US" w:eastAsia="zh-CN"/>
              </w:rPr>
              <w:t>外购的水泥进料时筒仓顶部排气口需要向外界排气，排气过程中会有粉尘产生，筒仓产污系数参照《逸散性工业粉尘控制技术》（中国环境科学出版社出版、1989年12月第一版）第二十二章混凝土分批搅拌厂表22-1混凝土分批搅拌厂的逸散尘排放因子，卸水泥至高架贮仓，粉尘产生量为0.12kg/t（卸料），</w:t>
            </w:r>
            <w:r>
              <w:rPr>
                <w:rFonts w:hint="eastAsia"/>
                <w:highlight w:val="none"/>
                <w:shd w:val="clear"/>
                <w:lang w:val="en-US" w:eastAsia="zh-CN"/>
              </w:rPr>
              <w:t>本项目水泥使用量为4200吨（单个筒仓装载量为2100t/a），每个筒仓进料时间约为42h（卸料次数为42次，单次卸料时间为1h）</w:t>
            </w:r>
            <w:r>
              <w:rPr>
                <w:rFonts w:hint="eastAsia"/>
                <w:highlight w:val="none"/>
                <w:lang w:val="en-US" w:eastAsia="zh-CN"/>
              </w:rPr>
              <w:t>。</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ascii="Times New Roman" w:hAnsi="Times New Roman" w:cs="Times New Roman"/>
                <w:lang w:val="en-US" w:eastAsia="zh-CN"/>
              </w:rPr>
              <w:t>1#筒仓粉尘的产生量为</w:t>
            </w:r>
            <w:r>
              <w:rPr>
                <w:rFonts w:hint="eastAsia" w:ascii="Times New Roman" w:hAnsi="Times New Roman" w:cs="Times New Roman"/>
                <w:lang w:val="en-US" w:eastAsia="zh-CN"/>
              </w:rPr>
              <w:t>0.252</w:t>
            </w:r>
            <w:r>
              <w:rPr>
                <w:rFonts w:hint="default" w:ascii="Times New Roman" w:hAnsi="Times New Roman" w:cs="Times New Roman"/>
                <w:lang w:val="en-US" w:eastAsia="zh-CN"/>
              </w:rPr>
              <w:t>t/a</w:t>
            </w:r>
            <w:r>
              <w:rPr>
                <w:rFonts w:hint="eastAsia" w:ascii="Times New Roman" w:hAnsi="Times New Roman" w:cs="Times New Roman"/>
                <w:lang w:val="en-US" w:eastAsia="zh-CN"/>
              </w:rPr>
              <w:t>，</w:t>
            </w:r>
            <w:r>
              <w:rPr>
                <w:rFonts w:hint="default"/>
                <w:lang w:val="en-US" w:eastAsia="zh-CN"/>
              </w:rPr>
              <w:t>产生速率为</w:t>
            </w:r>
            <w:r>
              <w:rPr>
                <w:rFonts w:hint="eastAsia"/>
                <w:lang w:val="en-US" w:eastAsia="zh-CN"/>
              </w:rPr>
              <w:t>6</w:t>
            </w:r>
            <w:r>
              <w:rPr>
                <w:rFonts w:hint="default"/>
                <w:lang w:val="en-US" w:eastAsia="zh-CN"/>
              </w:rPr>
              <w:t>kg/h</w:t>
            </w:r>
            <w:r>
              <w:rPr>
                <w:rFonts w:hint="eastAsia"/>
                <w:lang w:val="en-US" w:eastAsia="zh-CN"/>
              </w:rPr>
              <w:t>，水泥</w:t>
            </w:r>
            <w:r>
              <w:rPr>
                <w:rFonts w:hint="default"/>
                <w:lang w:val="en-US" w:eastAsia="zh-CN"/>
              </w:rPr>
              <w:t>筒仓经上方自带的</w:t>
            </w:r>
            <w:r>
              <w:rPr>
                <w:rFonts w:hint="eastAsia"/>
                <w:lang w:val="en-US" w:eastAsia="zh-CN"/>
              </w:rPr>
              <w:t>滤筒式过滤器</w:t>
            </w:r>
            <w:r>
              <w:rPr>
                <w:rFonts w:hint="default"/>
                <w:lang w:val="en-US" w:eastAsia="zh-CN"/>
              </w:rPr>
              <w:t>（收集效率100%，治理效率为99.7%）处理后无组织排放，则排放量为</w:t>
            </w:r>
            <w:r>
              <w:rPr>
                <w:rFonts w:hint="eastAsia"/>
                <w:lang w:val="en-US" w:eastAsia="zh-CN"/>
              </w:rPr>
              <w:t>0.001</w:t>
            </w:r>
            <w:r>
              <w:rPr>
                <w:rFonts w:hint="default"/>
                <w:lang w:val="en-US" w:eastAsia="zh-CN"/>
              </w:rPr>
              <w:t>t/a，排放速率为</w:t>
            </w:r>
            <w:r>
              <w:rPr>
                <w:rFonts w:hint="eastAsia"/>
                <w:lang w:val="en-US" w:eastAsia="zh-CN"/>
              </w:rPr>
              <w:t>0.018</w:t>
            </w:r>
            <w:r>
              <w:rPr>
                <w:rFonts w:hint="default"/>
                <w:lang w:val="en-US" w:eastAsia="zh-CN"/>
              </w:rPr>
              <w:t>kg/h。</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2</w:t>
            </w:r>
            <w:r>
              <w:rPr>
                <w:rFonts w:hint="default"/>
                <w:lang w:val="en-US" w:eastAsia="zh-CN"/>
              </w:rPr>
              <w:t>#筒仓粉尘的产生量为0.252t/a，产生速率为6kg/h，水泥筒仓经上方自带的滤筒式过滤器（收集效率100%，治理效率为99.7%）处理后无组织排放，则排放量为0.00</w:t>
            </w:r>
            <w:r>
              <w:rPr>
                <w:rFonts w:hint="eastAsia"/>
                <w:lang w:val="en-US" w:eastAsia="zh-CN"/>
              </w:rPr>
              <w:t>1</w:t>
            </w:r>
            <w:r>
              <w:rPr>
                <w:rFonts w:hint="default"/>
                <w:lang w:val="en-US" w:eastAsia="zh-CN"/>
              </w:rPr>
              <w:t>t/a，排放速率为0.018kg/h。</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1.1.2投料粉尘、干混搅拌粉尘</w:t>
            </w:r>
          </w:p>
          <w:p>
            <w:pPr>
              <w:pStyle w:val="45"/>
              <w:numPr>
                <w:ilvl w:val="0"/>
                <w:numId w:val="2"/>
              </w:numPr>
              <w:bidi w:val="0"/>
              <w:rPr>
                <w:rFonts w:hint="eastAsia"/>
                <w:lang w:val="en-US" w:eastAsia="zh-CN"/>
              </w:rPr>
            </w:pPr>
            <w:r>
              <w:rPr>
                <w:rFonts w:hint="eastAsia"/>
                <w:lang w:val="en-US" w:eastAsia="zh-CN"/>
              </w:rPr>
              <w:t>投料粉尘</w:t>
            </w:r>
          </w:p>
          <w:p>
            <w:pPr>
              <w:pStyle w:val="45"/>
              <w:bidi w:val="0"/>
              <w:rPr>
                <w:rFonts w:hint="default"/>
                <w:lang w:val="en-US" w:eastAsia="zh-CN"/>
              </w:rPr>
            </w:pPr>
            <w:r>
              <w:rPr>
                <w:rFonts w:hint="default"/>
                <w:lang w:val="en-US" w:eastAsia="zh-CN"/>
              </w:rPr>
              <w:t>本项目</w:t>
            </w:r>
            <w:r>
              <w:rPr>
                <w:rFonts w:hint="eastAsia"/>
                <w:lang w:val="en-US" w:eastAsia="zh-CN"/>
              </w:rPr>
              <w:t>砂子、胶粉、纤维素在投料过程中会产生粉尘，</w:t>
            </w:r>
            <w:r>
              <w:rPr>
                <w:rFonts w:hint="default"/>
                <w:lang w:val="en-US" w:eastAsia="zh-CN"/>
              </w:rPr>
              <w:t>粉尘产生量参照《逸散性工业粉尘控制技术》表22-1中的装水泥、砂和粒料入称量斗污染物排放因子，排放因子为0.01kg/t（装料），投加量</w:t>
            </w:r>
            <w:r>
              <w:rPr>
                <w:rFonts w:hint="eastAsia"/>
                <w:lang w:val="en-US" w:eastAsia="zh-CN"/>
              </w:rPr>
              <w:t>约</w:t>
            </w:r>
            <w:r>
              <w:rPr>
                <w:rFonts w:hint="default"/>
                <w:lang w:val="en-US" w:eastAsia="zh-CN"/>
              </w:rPr>
              <w:t>为</w:t>
            </w:r>
            <w:r>
              <w:rPr>
                <w:rFonts w:hint="eastAsia"/>
                <w:lang w:val="en-US" w:eastAsia="zh-CN"/>
              </w:rPr>
              <w:t>10611t/a</w:t>
            </w:r>
            <w:r>
              <w:rPr>
                <w:rFonts w:hint="default"/>
                <w:lang w:val="en-US" w:eastAsia="zh-CN"/>
              </w:rPr>
              <w:t>，则绞龙输送机投料口投料粉尘产生量为0.11t/a。本项目在投料口上方设置集气罩，收集的粉尘经袋式除尘器处理后经15m高排气筒高空排放。</w:t>
            </w:r>
          </w:p>
          <w:p>
            <w:pPr>
              <w:pStyle w:val="45"/>
              <w:bidi w:val="0"/>
              <w:rPr>
                <w:rFonts w:hint="default"/>
                <w:lang w:val="en-US" w:eastAsia="zh-CN"/>
              </w:rPr>
            </w:pPr>
            <w:r>
              <w:rPr>
                <w:rFonts w:hint="eastAsia"/>
                <w:lang w:val="en-US" w:eastAsia="zh-CN"/>
              </w:rPr>
              <w:t>（2）干混搅拌粉尘</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default"/>
                <w:lang w:val="en-US" w:eastAsia="zh-CN"/>
              </w:rPr>
              <w:t>本项目物料输送路径采用密闭管道绞龙输送，</w:t>
            </w:r>
            <w:r>
              <w:rPr>
                <w:rFonts w:hint="eastAsia"/>
                <w:lang w:val="en-US" w:eastAsia="zh-CN"/>
              </w:rPr>
              <w:t>预混搅拌罐</w:t>
            </w:r>
            <w:r>
              <w:rPr>
                <w:rFonts w:hint="default"/>
                <w:lang w:val="en-US" w:eastAsia="zh-CN"/>
              </w:rPr>
              <w:t>预留一个搅拌投料口，投料口上方设置盖板，平时搅拌时关闭，投料时打开，搅拌过程粉尘产生量较小</w:t>
            </w:r>
            <w:r>
              <w:rPr>
                <w:rFonts w:hint="eastAsia"/>
                <w:lang w:val="en-US" w:eastAsia="zh-CN"/>
              </w:rPr>
              <w:t>，参照《排放源统计调查产排污核算方法和系数手册》中《3021水泥制品制造（含3022砼结构构件制造、3029其他水泥类似制品制造）行业》中物料混合搅拌粉尘产生量为0.13kg/t-产品。本项目原料总使用量为14800t/a，则搅拌过程中的颗粒物产生量为1.924t/a。本项目在预混搅拌罐上方设置顶吸式集气罩，收集的粉尘经袋式除尘器处理后经15m高排气筒高空排放。</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default"/>
                <w:lang w:val="en-US" w:eastAsia="zh-CN"/>
              </w:rPr>
              <w:t>投料粉尘及干混搅拌粉尘共用1套袋式除尘器</w:t>
            </w:r>
            <w:r>
              <w:rPr>
                <w:rFonts w:hint="eastAsia"/>
                <w:lang w:val="en-US" w:eastAsia="zh-CN"/>
              </w:rPr>
              <w:t>，合计粉尘产生量为2.034t/a。集气罩集气效率按90%计，集气罩面积为（0.5×1.0）m</w:t>
            </w:r>
            <w:r>
              <w:rPr>
                <w:rFonts w:hint="eastAsia"/>
                <w:vertAlign w:val="superscript"/>
                <w:lang w:val="en-US" w:eastAsia="zh-CN"/>
              </w:rPr>
              <w:t>2</w:t>
            </w:r>
            <w:r>
              <w:rPr>
                <w:rFonts w:hint="eastAsia"/>
                <w:vertAlign w:val="baseline"/>
                <w:lang w:val="en-US" w:eastAsia="zh-CN"/>
              </w:rPr>
              <w:t>，设计风速不小于0.5m/s，核算风机风量为900m</w:t>
            </w:r>
            <w:r>
              <w:rPr>
                <w:rFonts w:hint="eastAsia"/>
                <w:vertAlign w:val="superscript"/>
                <w:lang w:val="en-US" w:eastAsia="zh-CN"/>
              </w:rPr>
              <w:t>3</w:t>
            </w:r>
            <w:r>
              <w:rPr>
                <w:rFonts w:hint="eastAsia"/>
                <w:vertAlign w:val="baseline"/>
                <w:lang w:val="en-US" w:eastAsia="zh-CN"/>
              </w:rPr>
              <w:t>/h，项目安装的</w:t>
            </w:r>
            <w:r>
              <w:rPr>
                <w:rFonts w:hint="eastAsia"/>
                <w:lang w:val="en-US" w:eastAsia="zh-CN"/>
              </w:rPr>
              <w:t>风机风量为2000m</w:t>
            </w:r>
            <w:r>
              <w:rPr>
                <w:rFonts w:hint="eastAsia"/>
                <w:vertAlign w:val="superscript"/>
                <w:lang w:val="en-US" w:eastAsia="zh-CN"/>
              </w:rPr>
              <w:t>3</w:t>
            </w:r>
            <w:r>
              <w:rPr>
                <w:rFonts w:hint="eastAsia"/>
                <w:lang w:val="en-US" w:eastAsia="zh-CN"/>
              </w:rPr>
              <w:t>/h，布袋除尘器收集除尘效率为99%，年工作时间2400h。处理后的废气通过一根高15m的排气筒DA001排放。</w:t>
            </w:r>
          </w:p>
          <w:p>
            <w:pPr>
              <w:pStyle w:val="8"/>
              <w:keepLines w:val="0"/>
              <w:pageBreakBefore w:val="0"/>
              <w:kinsoku/>
              <w:wordWrap/>
              <w:topLinePunct w:val="0"/>
              <w:autoSpaceDE/>
              <w:autoSpaceDN/>
              <w:bidi w:val="0"/>
              <w:spacing w:beforeAutospacing="0" w:afterAutospacing="0"/>
              <w:textAlignment w:val="auto"/>
              <w:rPr>
                <w:rFonts w:hint="eastAsia"/>
                <w:lang w:val="en-US" w:eastAsia="zh-CN"/>
              </w:rPr>
            </w:pPr>
            <w:r>
              <w:rPr>
                <w:rFonts w:hint="eastAsia"/>
                <w:lang w:val="en-US" w:eastAsia="zh-CN"/>
              </w:rPr>
              <w:t>则有组织排放量为0.018t/a，排放速率为0.008kg/h，排放浓度为3.813mg/m</w:t>
            </w:r>
            <w:r>
              <w:rPr>
                <w:rFonts w:hint="eastAsia"/>
                <w:vertAlign w:val="superscript"/>
                <w:lang w:val="en-US" w:eastAsia="zh-CN"/>
              </w:rPr>
              <w:t>3</w:t>
            </w:r>
            <w:r>
              <w:rPr>
                <w:rFonts w:hint="eastAsia"/>
                <w:lang w:val="en-US" w:eastAsia="zh-CN"/>
              </w:rPr>
              <w:t>。</w:t>
            </w:r>
            <w:r>
              <w:rPr>
                <w:rFonts w:hint="eastAsia"/>
                <w:highlight w:val="none"/>
                <w:lang w:val="en-US" w:eastAsia="zh-CN"/>
              </w:rPr>
              <w:t>无组织产生量为0.203t/a，生产过程在密闭厂房内进行，部分粉尘沉降于厂房内，治理效率按50%计，则无组织排放量为0.102t/a，排放速率为0.04kg/h。</w:t>
            </w:r>
            <w:r>
              <w:rPr>
                <w:rFonts w:hint="default"/>
                <w:highlight w:val="none"/>
                <w:lang w:val="en-US" w:eastAsia="zh-CN"/>
              </w:rPr>
              <w:t>本项目</w:t>
            </w:r>
            <w:r>
              <w:rPr>
                <w:rFonts w:hint="eastAsia"/>
                <w:highlight w:val="none"/>
                <w:lang w:val="en-US" w:eastAsia="zh-CN"/>
              </w:rPr>
              <w:t>干</w:t>
            </w:r>
            <w:r>
              <w:rPr>
                <w:rFonts w:hint="default"/>
                <w:highlight w:val="none"/>
                <w:lang w:val="en-US" w:eastAsia="zh-CN"/>
              </w:rPr>
              <w:t>混搅拌粉尘满足《水泥工业大气污染物排放标准》（GB4915-2013）表</w:t>
            </w:r>
            <w:r>
              <w:rPr>
                <w:rFonts w:hint="eastAsia"/>
                <w:highlight w:val="none"/>
                <w:lang w:val="en-US" w:eastAsia="zh-CN"/>
              </w:rPr>
              <w:t>2</w:t>
            </w:r>
            <w:r>
              <w:rPr>
                <w:rFonts w:hint="default"/>
                <w:highlight w:val="none"/>
                <w:lang w:val="en-US" w:eastAsia="zh-CN"/>
              </w:rPr>
              <w:t>中</w:t>
            </w:r>
            <w:r>
              <w:rPr>
                <w:rFonts w:hint="eastAsia"/>
                <w:highlight w:val="none"/>
                <w:lang w:val="en-US" w:eastAsia="zh-CN"/>
              </w:rPr>
              <w:t>水泥制品生产</w:t>
            </w:r>
            <w:r>
              <w:rPr>
                <w:rFonts w:hint="default"/>
                <w:highlight w:val="none"/>
                <w:lang w:val="en-US" w:eastAsia="zh-CN"/>
              </w:rPr>
              <w:t>排放浓度</w:t>
            </w:r>
            <w:r>
              <w:rPr>
                <w:rFonts w:hint="eastAsia"/>
                <w:highlight w:val="none"/>
                <w:lang w:val="en-US" w:eastAsia="zh-CN"/>
              </w:rPr>
              <w:t>10</w:t>
            </w:r>
            <w:r>
              <w:rPr>
                <w:rFonts w:hint="default"/>
                <w:highlight w:val="none"/>
                <w:lang w:val="en-US" w:eastAsia="zh-CN"/>
              </w:rPr>
              <w:t>mg/m</w:t>
            </w:r>
            <w:r>
              <w:rPr>
                <w:rFonts w:hint="default"/>
                <w:highlight w:val="none"/>
                <w:vertAlign w:val="superscript"/>
                <w:lang w:val="en-US" w:eastAsia="zh-CN"/>
              </w:rPr>
              <w:t>3</w:t>
            </w:r>
            <w:r>
              <w:rPr>
                <w:rFonts w:hint="default"/>
                <w:highlight w:val="none"/>
                <w:lang w:val="en-US" w:eastAsia="zh-CN"/>
              </w:rPr>
              <w:t>限值</w:t>
            </w:r>
            <w:r>
              <w:rPr>
                <w:rFonts w:hint="eastAsia"/>
                <w:highlight w:val="none"/>
                <w:lang w:val="en-US" w:eastAsia="zh-CN"/>
              </w:rPr>
              <w:t>。</w:t>
            </w:r>
          </w:p>
          <w:p>
            <w:pPr>
              <w:pStyle w:val="3"/>
              <w:keepLines w:val="0"/>
              <w:pageBreakBefore w:val="0"/>
              <w:kinsoku/>
              <w:wordWrap/>
              <w:topLinePunct w:val="0"/>
              <w:autoSpaceDE/>
              <w:autoSpaceDN/>
              <w:bidi w:val="0"/>
              <w:spacing w:beforeAutospacing="0" w:afterAutospacing="0"/>
              <w:textAlignment w:val="auto"/>
              <w:rPr>
                <w:rFonts w:hint="default"/>
                <w:lang w:val="en-US" w:eastAsia="zh-CN"/>
              </w:rPr>
            </w:pPr>
            <w:r>
              <w:rPr>
                <w:rFonts w:hint="eastAsia"/>
                <w:lang w:val="en-US" w:eastAsia="zh-CN"/>
              </w:rPr>
              <w:t>1.1.3食堂油烟</w:t>
            </w:r>
          </w:p>
          <w:p>
            <w:pPr>
              <w:pStyle w:val="8"/>
              <w:keepLines w:val="0"/>
              <w:pageBreakBefore w:val="0"/>
              <w:kinsoku/>
              <w:wordWrap/>
              <w:topLinePunct w:val="0"/>
              <w:autoSpaceDE/>
              <w:autoSpaceDN/>
              <w:bidi w:val="0"/>
              <w:spacing w:beforeAutospacing="0" w:afterAutospacing="0"/>
              <w:textAlignment w:val="auto"/>
              <w:rPr>
                <w:rFonts w:hint="default"/>
                <w:lang w:val="en-US" w:eastAsia="zh-CN"/>
              </w:rPr>
            </w:pPr>
            <w:r>
              <w:rPr>
                <w:rFonts w:hint="default"/>
                <w:lang w:val="en-US" w:eastAsia="zh-CN"/>
              </w:rPr>
              <w:t>本项目</w:t>
            </w:r>
            <w:r>
              <w:rPr>
                <w:rFonts w:hint="eastAsia"/>
                <w:lang w:val="en-US" w:eastAsia="zh-CN"/>
              </w:rPr>
              <w:t>依托现有食堂</w:t>
            </w:r>
            <w:r>
              <w:rPr>
                <w:rFonts w:hint="eastAsia"/>
                <w:lang w:eastAsia="zh-CN"/>
              </w:rPr>
              <w:t>，</w:t>
            </w:r>
            <w:r>
              <w:rPr>
                <w:rFonts w:hint="eastAsia"/>
                <w:lang w:val="en-US" w:eastAsia="zh-CN"/>
              </w:rPr>
              <w:t>新增</w:t>
            </w:r>
            <w:r>
              <w:rPr>
                <w:rFonts w:hint="default"/>
                <w:lang w:val="en-US" w:eastAsia="zh-CN"/>
              </w:rPr>
              <w:t>劳动定员</w:t>
            </w:r>
            <w:r>
              <w:rPr>
                <w:rFonts w:hint="eastAsia"/>
                <w:lang w:val="en-US" w:eastAsia="zh-CN"/>
              </w:rPr>
              <w:t>6</w:t>
            </w:r>
            <w:r>
              <w:rPr>
                <w:rFonts w:hint="default"/>
                <w:lang w:val="en-US" w:eastAsia="zh-CN"/>
              </w:rPr>
              <w:t>人，年工作天数为</w:t>
            </w:r>
            <w:r>
              <w:rPr>
                <w:rFonts w:hint="eastAsia"/>
                <w:lang w:val="en-US" w:eastAsia="zh-CN"/>
              </w:rPr>
              <w:t>300</w:t>
            </w:r>
            <w:r>
              <w:rPr>
                <w:rFonts w:hint="default"/>
                <w:lang w:val="en-US" w:eastAsia="zh-CN"/>
              </w:rPr>
              <w:t>天</w:t>
            </w:r>
            <w:r>
              <w:rPr>
                <w:rFonts w:hint="eastAsia"/>
                <w:lang w:val="en-US" w:eastAsia="zh-CN"/>
              </w:rPr>
              <w:t>。</w:t>
            </w:r>
            <w:r>
              <w:rPr>
                <w:rFonts w:hint="default"/>
                <w:lang w:val="en-US" w:eastAsia="zh-CN"/>
              </w:rPr>
              <w:t>食用油用量平均按0.05kg/人·天计，根据该项目规模，可推算出每年食堂食用油消耗量为</w:t>
            </w:r>
            <w:r>
              <w:rPr>
                <w:rFonts w:hint="eastAsia"/>
                <w:lang w:val="en-US" w:eastAsia="zh-CN"/>
              </w:rPr>
              <w:t>90</w:t>
            </w:r>
            <w:r>
              <w:rPr>
                <w:rFonts w:hint="default"/>
                <w:lang w:val="en-US" w:eastAsia="zh-CN"/>
              </w:rPr>
              <w:t>kg，油烟挥发量一般占食用油量的2%～4%，本项目按挥发量3%计算，则油烟的产生量为</w:t>
            </w:r>
            <w:r>
              <w:rPr>
                <w:rFonts w:hint="eastAsia"/>
                <w:lang w:val="en-US" w:eastAsia="zh-CN"/>
              </w:rPr>
              <w:t>0.0027t</w:t>
            </w:r>
            <w:r>
              <w:rPr>
                <w:rFonts w:hint="default"/>
                <w:lang w:val="en-US" w:eastAsia="zh-CN"/>
              </w:rPr>
              <w:t>/a，油烟废气经抽油烟机处理后由专用排气筒排出，每天做饭按照4小时计，单灶头排风量</w:t>
            </w:r>
            <w:r>
              <w:rPr>
                <w:rFonts w:hint="eastAsia"/>
                <w:lang w:val="en-US" w:eastAsia="zh-CN"/>
              </w:rPr>
              <w:t>2000</w:t>
            </w:r>
            <w:r>
              <w:rPr>
                <w:rFonts w:hint="default"/>
                <w:lang w:val="en-US" w:eastAsia="zh-CN"/>
              </w:rPr>
              <w:t>m³/h，净化率按照60%计算，则油烟排放量为</w:t>
            </w:r>
            <w:r>
              <w:rPr>
                <w:rFonts w:hint="eastAsia"/>
                <w:lang w:val="en-US" w:eastAsia="zh-CN"/>
              </w:rPr>
              <w:t>0.001t</w:t>
            </w:r>
            <w:r>
              <w:rPr>
                <w:rFonts w:hint="default"/>
                <w:lang w:val="en-US" w:eastAsia="zh-CN"/>
              </w:rPr>
              <w:t>/a，排放速率为</w:t>
            </w:r>
            <w:r>
              <w:rPr>
                <w:rFonts w:hint="eastAsia"/>
                <w:lang w:val="en-US" w:eastAsia="zh-CN"/>
              </w:rPr>
              <w:t>0.0009</w:t>
            </w:r>
            <w:r>
              <w:rPr>
                <w:rFonts w:hint="default"/>
                <w:lang w:val="en-US" w:eastAsia="zh-CN"/>
              </w:rPr>
              <w:t>kg/h，排放浓度为</w:t>
            </w:r>
            <w:r>
              <w:rPr>
                <w:rFonts w:hint="eastAsia"/>
                <w:lang w:val="en-US" w:eastAsia="zh-CN"/>
              </w:rPr>
              <w:t>0.45</w:t>
            </w:r>
            <w:r>
              <w:rPr>
                <w:rFonts w:hint="default"/>
                <w:lang w:val="en-US" w:eastAsia="zh-CN"/>
              </w:rPr>
              <w:t>mg/m</w:t>
            </w:r>
            <w:r>
              <w:rPr>
                <w:rFonts w:hint="default"/>
                <w:vertAlign w:val="superscript"/>
                <w:lang w:val="en-US" w:eastAsia="zh-CN"/>
              </w:rPr>
              <w:t>3</w:t>
            </w:r>
            <w:r>
              <w:rPr>
                <w:rFonts w:hint="default"/>
                <w:lang w:val="en-US" w:eastAsia="zh-CN"/>
              </w:rPr>
              <w:t>，由此本项目产生的油烟废气较少，能够满足《饮食业油烟排放标准》（GB18483-2001）中的要求小于2mg/m</w:t>
            </w:r>
            <w:r>
              <w:rPr>
                <w:rFonts w:hint="default"/>
                <w:vertAlign w:val="superscript"/>
                <w:lang w:val="en-US" w:eastAsia="zh-CN"/>
              </w:rPr>
              <w:t>3</w:t>
            </w:r>
            <w:r>
              <w:rPr>
                <w:rFonts w:hint="default"/>
                <w:lang w:val="en-US" w:eastAsia="zh-CN"/>
              </w:rPr>
              <w:t>。</w:t>
            </w:r>
          </w:p>
          <w:p>
            <w:pPr>
              <w:pStyle w:val="8"/>
              <w:keepNext w:val="0"/>
              <w:keepLines w:val="0"/>
              <w:pageBreakBefore w:val="0"/>
              <w:widowControl/>
              <w:kinsoku/>
              <w:wordWrap/>
              <w:overflowPunct/>
              <w:topLinePunct w:val="0"/>
              <w:autoSpaceDE/>
              <w:autoSpaceDN/>
              <w:bidi w:val="0"/>
              <w:adjustRightInd/>
              <w:snapToGrid w:val="0"/>
              <w:spacing w:beforeAutospacing="0" w:afterAutospacing="0"/>
              <w:ind w:firstLine="0" w:firstLineChars="0"/>
              <w:jc w:val="left"/>
              <w:textAlignment w:val="auto"/>
              <w:rPr>
                <w:rFonts w:hint="eastAsia" w:ascii="Times New Roman" w:hAnsi="Times New Roman" w:eastAsia="宋体" w:cs="Times New Roman"/>
                <w:b/>
                <w:bCs/>
                <w:color w:val="000000"/>
                <w:kern w:val="44"/>
                <w:sz w:val="24"/>
                <w:szCs w:val="30"/>
                <w:lang w:val="en-US" w:eastAsia="zh-CN" w:bidi="ar-SA"/>
              </w:rPr>
            </w:pPr>
            <w:r>
              <w:rPr>
                <w:rFonts w:hint="eastAsia" w:ascii="Times New Roman" w:hAnsi="Times New Roman" w:eastAsia="宋体" w:cs="Times New Roman"/>
                <w:b/>
                <w:bCs/>
                <w:color w:val="000000"/>
                <w:kern w:val="44"/>
                <w:sz w:val="24"/>
                <w:szCs w:val="30"/>
                <w:lang w:val="en-US" w:eastAsia="zh-CN" w:bidi="ar-SA"/>
              </w:rPr>
              <w:t>1.1.4无组织粉尘</w:t>
            </w:r>
          </w:p>
          <w:p>
            <w:pPr>
              <w:pStyle w:val="38"/>
              <w:bidi w:val="0"/>
              <w:rPr>
                <w:rFonts w:hint="eastAsia"/>
                <w:lang w:val="en-US" w:eastAsia="zh-CN"/>
              </w:rPr>
            </w:pPr>
            <w:r>
              <w:rPr>
                <w:rFonts w:hint="default"/>
                <w:lang w:val="en-US" w:eastAsia="zh-CN"/>
              </w:rPr>
              <w:t>本项目水泥筒仓</w:t>
            </w:r>
            <w:r>
              <w:rPr>
                <w:rFonts w:hint="eastAsia"/>
                <w:lang w:val="en-US" w:eastAsia="zh-CN"/>
              </w:rPr>
              <w:t>产生的粉尘</w:t>
            </w:r>
            <w:r>
              <w:rPr>
                <w:rFonts w:hint="default"/>
                <w:lang w:val="en-US" w:eastAsia="zh-CN"/>
              </w:rPr>
              <w:t>经上方自带的滤筒式过滤器处理后无组织排放</w:t>
            </w:r>
            <w:r>
              <w:rPr>
                <w:rFonts w:hint="eastAsia"/>
                <w:lang w:val="en-US" w:eastAsia="zh-CN"/>
              </w:rPr>
              <w:t>，投料、干混搅拌过程未被集气罩收集的粉尘无组织排放，投料和干混搅拌过程均位于封闭车间内，要求封闭车间平时门窗关闭，仅在车辆进出时将门打开。项目租用现有厂房及厂区空余场地，厂区道路已硬化。项目运行后，厂区道路将采取清扫、洒水等措施，保持清洁。</w:t>
            </w:r>
          </w:p>
          <w:p>
            <w:pPr>
              <w:pStyle w:val="38"/>
              <w:bidi w:val="0"/>
              <w:rPr>
                <w:rFonts w:hint="eastAsia"/>
                <w:lang w:val="en-US" w:eastAsia="zh-CN"/>
              </w:rPr>
            </w:pPr>
          </w:p>
          <w:p>
            <w:pPr>
              <w:pStyle w:val="38"/>
              <w:bidi w:val="0"/>
              <w:rPr>
                <w:rFonts w:hint="eastAsia"/>
                <w:lang w:val="en-US" w:eastAsia="zh-CN"/>
              </w:rPr>
            </w:pPr>
          </w:p>
          <w:p>
            <w:pPr>
              <w:pStyle w:val="38"/>
              <w:bidi w:val="0"/>
              <w:ind w:left="0" w:leftChars="0" w:firstLine="0" w:firstLineChars="0"/>
              <w:rPr>
                <w:rFonts w:hint="default"/>
                <w:lang w:val="en-US" w:eastAsia="zh-CN"/>
              </w:rPr>
            </w:pPr>
          </w:p>
        </w:tc>
      </w:tr>
    </w:tbl>
    <w:p>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trPr>
        <w:tc>
          <w:tcPr>
            <w:tcW w:w="13228" w:type="dxa"/>
          </w:tcPr>
          <w:p>
            <w:pPr>
              <w:pStyle w:val="36"/>
              <w:bidi w:val="0"/>
              <w:rPr>
                <w:rFonts w:hint="eastAsia"/>
                <w:lang w:val="en-US" w:eastAsia="zh-CN"/>
              </w:rPr>
            </w:pPr>
            <w:r>
              <w:rPr>
                <w:rFonts w:hint="eastAsia"/>
                <w:lang w:val="en-US" w:eastAsia="zh-CN"/>
              </w:rPr>
              <w:t>表4-1    废气污染源源强核算结果一览表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674"/>
              <w:gridCol w:w="758"/>
              <w:gridCol w:w="685"/>
              <w:gridCol w:w="722"/>
              <w:gridCol w:w="747"/>
              <w:gridCol w:w="796"/>
              <w:gridCol w:w="808"/>
              <w:gridCol w:w="895"/>
              <w:gridCol w:w="747"/>
              <w:gridCol w:w="699"/>
              <w:gridCol w:w="649"/>
              <w:gridCol w:w="697"/>
              <w:gridCol w:w="710"/>
              <w:gridCol w:w="657"/>
              <w:gridCol w:w="825"/>
              <w:gridCol w:w="659"/>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66" w:type="dxa"/>
                  <w:vMerge w:val="restart"/>
                  <w:vAlign w:val="center"/>
                </w:tcPr>
                <w:p>
                  <w:pPr>
                    <w:pStyle w:val="34"/>
                    <w:bidi w:val="0"/>
                    <w:rPr>
                      <w:rFonts w:hint="eastAsia"/>
                      <w:lang w:val="en-US" w:eastAsia="zh-CN"/>
                    </w:rPr>
                  </w:pPr>
                  <w:r>
                    <w:rPr>
                      <w:rFonts w:hint="eastAsia"/>
                      <w:lang w:val="en-US" w:eastAsia="zh-CN"/>
                    </w:rPr>
                    <w:t>污染源</w:t>
                  </w:r>
                </w:p>
              </w:tc>
              <w:tc>
                <w:tcPr>
                  <w:tcW w:w="674" w:type="dxa"/>
                  <w:vMerge w:val="restart"/>
                  <w:vAlign w:val="center"/>
                </w:tcPr>
                <w:p>
                  <w:pPr>
                    <w:pStyle w:val="34"/>
                    <w:bidi w:val="0"/>
                    <w:rPr>
                      <w:rFonts w:hint="eastAsia"/>
                      <w:lang w:val="en-US" w:eastAsia="zh-CN"/>
                    </w:rPr>
                  </w:pPr>
                  <w:r>
                    <w:rPr>
                      <w:rFonts w:hint="eastAsia"/>
                      <w:lang w:val="en-US" w:eastAsia="zh-CN"/>
                    </w:rPr>
                    <w:t>产污环节</w:t>
                  </w:r>
                </w:p>
              </w:tc>
              <w:tc>
                <w:tcPr>
                  <w:tcW w:w="758" w:type="dxa"/>
                  <w:vMerge w:val="restart"/>
                  <w:vAlign w:val="center"/>
                </w:tcPr>
                <w:p>
                  <w:pPr>
                    <w:pStyle w:val="34"/>
                    <w:bidi w:val="0"/>
                    <w:rPr>
                      <w:rFonts w:hint="eastAsia"/>
                      <w:lang w:val="en-US" w:eastAsia="zh-CN"/>
                    </w:rPr>
                  </w:pPr>
                  <w:r>
                    <w:rPr>
                      <w:rFonts w:hint="eastAsia"/>
                      <w:lang w:val="en-US" w:eastAsia="zh-CN"/>
                    </w:rPr>
                    <w:t>排放形式</w:t>
                  </w:r>
                </w:p>
              </w:tc>
              <w:tc>
                <w:tcPr>
                  <w:tcW w:w="685" w:type="dxa"/>
                  <w:vMerge w:val="restart"/>
                  <w:vAlign w:val="center"/>
                </w:tcPr>
                <w:p>
                  <w:pPr>
                    <w:pStyle w:val="34"/>
                    <w:bidi w:val="0"/>
                    <w:rPr>
                      <w:rFonts w:hint="eastAsia"/>
                      <w:lang w:val="en-US" w:eastAsia="zh-CN"/>
                    </w:rPr>
                  </w:pPr>
                  <w:r>
                    <w:rPr>
                      <w:rFonts w:hint="eastAsia"/>
                      <w:lang w:val="en-US" w:eastAsia="zh-CN"/>
                    </w:rPr>
                    <w:t>污染物名称</w:t>
                  </w:r>
                </w:p>
              </w:tc>
              <w:tc>
                <w:tcPr>
                  <w:tcW w:w="2265" w:type="dxa"/>
                  <w:gridSpan w:val="3"/>
                  <w:vAlign w:val="center"/>
                </w:tcPr>
                <w:p>
                  <w:pPr>
                    <w:pStyle w:val="34"/>
                    <w:bidi w:val="0"/>
                    <w:rPr>
                      <w:rFonts w:hint="eastAsia"/>
                      <w:lang w:val="en-US" w:eastAsia="zh-CN"/>
                    </w:rPr>
                  </w:pPr>
                  <w:r>
                    <w:rPr>
                      <w:rFonts w:hint="eastAsia"/>
                      <w:lang w:val="en-US" w:eastAsia="zh-CN"/>
                    </w:rPr>
                    <w:t>污染物产生情况</w:t>
                  </w:r>
                </w:p>
              </w:tc>
              <w:tc>
                <w:tcPr>
                  <w:tcW w:w="4495" w:type="dxa"/>
                  <w:gridSpan w:val="6"/>
                  <w:vAlign w:val="center"/>
                </w:tcPr>
                <w:p>
                  <w:pPr>
                    <w:pStyle w:val="34"/>
                    <w:bidi w:val="0"/>
                    <w:rPr>
                      <w:rFonts w:hint="eastAsia"/>
                      <w:lang w:val="en-US" w:eastAsia="zh-CN"/>
                    </w:rPr>
                  </w:pPr>
                  <w:r>
                    <w:rPr>
                      <w:rFonts w:hint="eastAsia"/>
                      <w:lang w:val="en-US" w:eastAsia="zh-CN"/>
                    </w:rPr>
                    <w:t>污染治理设施情况</w:t>
                  </w:r>
                </w:p>
              </w:tc>
              <w:tc>
                <w:tcPr>
                  <w:tcW w:w="2851" w:type="dxa"/>
                  <w:gridSpan w:val="4"/>
                  <w:vAlign w:val="center"/>
                </w:tcPr>
                <w:p>
                  <w:pPr>
                    <w:pStyle w:val="34"/>
                    <w:bidi w:val="0"/>
                    <w:rPr>
                      <w:rFonts w:hint="eastAsia"/>
                      <w:lang w:val="en-US" w:eastAsia="zh-CN"/>
                    </w:rPr>
                  </w:pPr>
                  <w:r>
                    <w:rPr>
                      <w:rFonts w:hint="eastAsia"/>
                      <w:lang w:val="en-US" w:eastAsia="zh-CN"/>
                    </w:rPr>
                    <w:t>污染物排放情况</w:t>
                  </w:r>
                </w:p>
              </w:tc>
              <w:tc>
                <w:tcPr>
                  <w:tcW w:w="808" w:type="dxa"/>
                  <w:vAlign w:val="center"/>
                </w:tcPr>
                <w:p>
                  <w:pPr>
                    <w:pStyle w:val="34"/>
                    <w:bidi w:val="0"/>
                    <w:rPr>
                      <w:rFonts w:hint="eastAsia"/>
                      <w:lang w:val="en-US" w:eastAsia="zh-CN"/>
                    </w:rPr>
                  </w:pPr>
                  <w:r>
                    <w:rPr>
                      <w:rFonts w:hint="eastAsia"/>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466" w:type="dxa"/>
                  <w:vMerge w:val="continue"/>
                  <w:vAlign w:val="center"/>
                </w:tcPr>
                <w:p>
                  <w:pPr>
                    <w:pStyle w:val="34"/>
                    <w:bidi w:val="0"/>
                    <w:rPr>
                      <w:rFonts w:hint="eastAsia"/>
                      <w:lang w:val="en-US" w:eastAsia="zh-CN"/>
                    </w:rPr>
                  </w:pPr>
                </w:p>
              </w:tc>
              <w:tc>
                <w:tcPr>
                  <w:tcW w:w="674" w:type="dxa"/>
                  <w:vMerge w:val="continue"/>
                  <w:vAlign w:val="center"/>
                </w:tcPr>
                <w:p>
                  <w:pPr>
                    <w:pStyle w:val="34"/>
                    <w:bidi w:val="0"/>
                    <w:rPr>
                      <w:rFonts w:hint="eastAsia"/>
                      <w:lang w:val="en-US" w:eastAsia="zh-CN"/>
                    </w:rPr>
                  </w:pPr>
                </w:p>
              </w:tc>
              <w:tc>
                <w:tcPr>
                  <w:tcW w:w="758" w:type="dxa"/>
                  <w:vMerge w:val="continue"/>
                  <w:vAlign w:val="center"/>
                </w:tcPr>
                <w:p>
                  <w:pPr>
                    <w:pStyle w:val="34"/>
                    <w:bidi w:val="0"/>
                    <w:rPr>
                      <w:rFonts w:hint="eastAsia"/>
                      <w:lang w:val="en-US" w:eastAsia="zh-CN"/>
                    </w:rPr>
                  </w:pPr>
                </w:p>
              </w:tc>
              <w:tc>
                <w:tcPr>
                  <w:tcW w:w="685" w:type="dxa"/>
                  <w:vMerge w:val="continue"/>
                  <w:vAlign w:val="center"/>
                </w:tcPr>
                <w:p>
                  <w:pPr>
                    <w:pStyle w:val="34"/>
                    <w:bidi w:val="0"/>
                    <w:rPr>
                      <w:rFonts w:hint="eastAsia"/>
                      <w:lang w:val="en-US" w:eastAsia="zh-CN"/>
                    </w:rPr>
                  </w:pPr>
                </w:p>
              </w:tc>
              <w:tc>
                <w:tcPr>
                  <w:tcW w:w="722" w:type="dxa"/>
                  <w:vAlign w:val="center"/>
                </w:tcPr>
                <w:p>
                  <w:pPr>
                    <w:pStyle w:val="34"/>
                    <w:bidi w:val="0"/>
                    <w:rPr>
                      <w:rFonts w:hint="eastAsia"/>
                      <w:lang w:val="en-US" w:eastAsia="zh-CN"/>
                    </w:rPr>
                  </w:pPr>
                  <w:r>
                    <w:rPr>
                      <w:rFonts w:hint="eastAsia"/>
                      <w:lang w:val="en-US" w:eastAsia="zh-CN"/>
                    </w:rPr>
                    <w:t>产生量t/a</w:t>
                  </w:r>
                </w:p>
              </w:tc>
              <w:tc>
                <w:tcPr>
                  <w:tcW w:w="747" w:type="dxa"/>
                  <w:vAlign w:val="center"/>
                </w:tcPr>
                <w:p>
                  <w:pPr>
                    <w:pStyle w:val="34"/>
                    <w:bidi w:val="0"/>
                    <w:rPr>
                      <w:rFonts w:hint="eastAsia"/>
                      <w:lang w:val="en-US" w:eastAsia="zh-CN"/>
                    </w:rPr>
                  </w:pPr>
                  <w:r>
                    <w:rPr>
                      <w:rFonts w:hint="eastAsia"/>
                      <w:lang w:val="en-US" w:eastAsia="zh-CN"/>
                    </w:rPr>
                    <w:t>产生速率kg/h</w:t>
                  </w:r>
                </w:p>
              </w:tc>
              <w:tc>
                <w:tcPr>
                  <w:tcW w:w="796" w:type="dxa"/>
                  <w:vAlign w:val="center"/>
                </w:tcPr>
                <w:p>
                  <w:pPr>
                    <w:pStyle w:val="34"/>
                    <w:bidi w:val="0"/>
                    <w:rPr>
                      <w:rFonts w:hint="eastAsia"/>
                      <w:lang w:val="en-US" w:eastAsia="zh-CN"/>
                    </w:rPr>
                  </w:pPr>
                  <w:r>
                    <w:rPr>
                      <w:rFonts w:hint="eastAsia"/>
                      <w:lang w:val="en-US" w:eastAsia="zh-CN"/>
                    </w:rPr>
                    <w:t>产生浓度mg/m</w:t>
                  </w:r>
                  <w:r>
                    <w:rPr>
                      <w:rFonts w:hint="eastAsia"/>
                      <w:vertAlign w:val="superscript"/>
                      <w:lang w:val="en-US" w:eastAsia="zh-CN"/>
                    </w:rPr>
                    <w:t>3</w:t>
                  </w:r>
                </w:p>
              </w:tc>
              <w:tc>
                <w:tcPr>
                  <w:tcW w:w="808" w:type="dxa"/>
                  <w:vAlign w:val="center"/>
                </w:tcPr>
                <w:p>
                  <w:pPr>
                    <w:pStyle w:val="34"/>
                    <w:bidi w:val="0"/>
                    <w:rPr>
                      <w:rFonts w:hint="eastAsia"/>
                      <w:lang w:val="en-US" w:eastAsia="zh-CN"/>
                    </w:rPr>
                  </w:pPr>
                  <w:r>
                    <w:rPr>
                      <w:rFonts w:hint="eastAsia"/>
                      <w:lang w:val="en-US" w:eastAsia="zh-CN"/>
                    </w:rPr>
                    <w:t>污染治理设施编号</w:t>
                  </w:r>
                </w:p>
              </w:tc>
              <w:tc>
                <w:tcPr>
                  <w:tcW w:w="895" w:type="dxa"/>
                  <w:vAlign w:val="center"/>
                </w:tcPr>
                <w:p>
                  <w:pPr>
                    <w:pStyle w:val="34"/>
                    <w:bidi w:val="0"/>
                    <w:rPr>
                      <w:rFonts w:hint="eastAsia"/>
                      <w:lang w:val="en-US" w:eastAsia="zh-CN"/>
                    </w:rPr>
                  </w:pPr>
                  <w:r>
                    <w:rPr>
                      <w:rFonts w:hint="eastAsia"/>
                      <w:lang w:val="en-US" w:eastAsia="zh-CN"/>
                    </w:rPr>
                    <w:t>污染治理设施工艺</w:t>
                  </w:r>
                </w:p>
              </w:tc>
              <w:tc>
                <w:tcPr>
                  <w:tcW w:w="747" w:type="dxa"/>
                  <w:vAlign w:val="center"/>
                </w:tcPr>
                <w:p>
                  <w:pPr>
                    <w:pStyle w:val="34"/>
                    <w:bidi w:val="0"/>
                    <w:rPr>
                      <w:rFonts w:hint="eastAsia"/>
                    </w:rPr>
                  </w:pPr>
                  <w:r>
                    <w:rPr>
                      <w:rFonts w:hint="eastAsia"/>
                      <w:lang w:val="en-US" w:eastAsia="zh-CN"/>
                    </w:rPr>
                    <w:t>风机风量m</w:t>
                  </w:r>
                  <w:r>
                    <w:rPr>
                      <w:rFonts w:hint="eastAsia"/>
                      <w:vertAlign w:val="superscript"/>
                      <w:lang w:val="en-US" w:eastAsia="zh-CN"/>
                    </w:rPr>
                    <w:t>3</w:t>
                  </w:r>
                  <w:r>
                    <w:rPr>
                      <w:rFonts w:hint="eastAsia"/>
                      <w:lang w:val="en-US" w:eastAsia="zh-CN"/>
                    </w:rPr>
                    <w:t>/h</w:t>
                  </w:r>
                </w:p>
              </w:tc>
              <w:tc>
                <w:tcPr>
                  <w:tcW w:w="699" w:type="dxa"/>
                  <w:vAlign w:val="center"/>
                </w:tcPr>
                <w:p>
                  <w:pPr>
                    <w:pStyle w:val="34"/>
                    <w:bidi w:val="0"/>
                    <w:rPr>
                      <w:rFonts w:hint="eastAsia"/>
                      <w:lang w:val="en-US" w:eastAsia="zh-CN"/>
                    </w:rPr>
                  </w:pPr>
                  <w:r>
                    <w:rPr>
                      <w:rFonts w:hint="eastAsia"/>
                    </w:rPr>
                    <w:t>收集效率%</w:t>
                  </w:r>
                </w:p>
              </w:tc>
              <w:tc>
                <w:tcPr>
                  <w:tcW w:w="649" w:type="dxa"/>
                  <w:vAlign w:val="center"/>
                </w:tcPr>
                <w:p>
                  <w:pPr>
                    <w:pStyle w:val="34"/>
                    <w:bidi w:val="0"/>
                    <w:rPr>
                      <w:rFonts w:hint="eastAsia"/>
                      <w:lang w:val="en-US" w:eastAsia="zh-CN"/>
                    </w:rPr>
                  </w:pPr>
                  <w:r>
                    <w:rPr>
                      <w:rFonts w:hint="eastAsia"/>
                    </w:rPr>
                    <w:t>去除效率%</w:t>
                  </w:r>
                </w:p>
              </w:tc>
              <w:tc>
                <w:tcPr>
                  <w:tcW w:w="697" w:type="dxa"/>
                  <w:vAlign w:val="center"/>
                </w:tcPr>
                <w:p>
                  <w:pPr>
                    <w:pStyle w:val="34"/>
                    <w:bidi w:val="0"/>
                    <w:rPr>
                      <w:rFonts w:hint="eastAsia"/>
                      <w:lang w:val="en-US" w:eastAsia="zh-CN"/>
                    </w:rPr>
                  </w:pPr>
                  <w:r>
                    <w:rPr>
                      <w:rFonts w:hint="eastAsia"/>
                      <w:lang w:val="en-US" w:eastAsia="zh-CN"/>
                    </w:rPr>
                    <w:t>是否为可行技术</w:t>
                  </w:r>
                </w:p>
              </w:tc>
              <w:tc>
                <w:tcPr>
                  <w:tcW w:w="710" w:type="dxa"/>
                  <w:vAlign w:val="center"/>
                </w:tcPr>
                <w:p>
                  <w:pPr>
                    <w:pStyle w:val="34"/>
                    <w:bidi w:val="0"/>
                    <w:rPr>
                      <w:rFonts w:hint="eastAsia"/>
                      <w:lang w:val="en-US" w:eastAsia="zh-CN"/>
                    </w:rPr>
                  </w:pPr>
                  <w:r>
                    <w:rPr>
                      <w:rFonts w:hint="eastAsia"/>
                      <w:lang w:val="en-US" w:eastAsia="zh-CN"/>
                    </w:rPr>
                    <w:t>排放量t/a</w:t>
                  </w:r>
                </w:p>
              </w:tc>
              <w:tc>
                <w:tcPr>
                  <w:tcW w:w="657" w:type="dxa"/>
                  <w:vAlign w:val="center"/>
                </w:tcPr>
                <w:p>
                  <w:pPr>
                    <w:pStyle w:val="34"/>
                    <w:bidi w:val="0"/>
                    <w:rPr>
                      <w:rFonts w:hint="eastAsia"/>
                      <w:lang w:val="en-US" w:eastAsia="zh-CN"/>
                    </w:rPr>
                  </w:pPr>
                  <w:r>
                    <w:rPr>
                      <w:rFonts w:hint="eastAsia"/>
                      <w:lang w:val="en-US" w:eastAsia="zh-CN"/>
                    </w:rPr>
                    <w:t>排放速率kg/h</w:t>
                  </w:r>
                </w:p>
              </w:tc>
              <w:tc>
                <w:tcPr>
                  <w:tcW w:w="825" w:type="dxa"/>
                  <w:vAlign w:val="center"/>
                </w:tcPr>
                <w:p>
                  <w:pPr>
                    <w:pStyle w:val="34"/>
                    <w:bidi w:val="0"/>
                    <w:rPr>
                      <w:rFonts w:hint="eastAsia"/>
                      <w:lang w:val="en-US" w:eastAsia="zh-CN"/>
                    </w:rPr>
                  </w:pPr>
                  <w:r>
                    <w:rPr>
                      <w:rFonts w:hint="eastAsia"/>
                      <w:lang w:val="en-US" w:eastAsia="zh-CN"/>
                    </w:rPr>
                    <w:t>排放浓度mg/m</w:t>
                  </w:r>
                  <w:r>
                    <w:rPr>
                      <w:rFonts w:hint="eastAsia"/>
                      <w:vertAlign w:val="superscript"/>
                      <w:lang w:val="en-US" w:eastAsia="zh-CN"/>
                    </w:rPr>
                    <w:t>3</w:t>
                  </w:r>
                </w:p>
              </w:tc>
              <w:tc>
                <w:tcPr>
                  <w:tcW w:w="659" w:type="dxa"/>
                  <w:vAlign w:val="center"/>
                </w:tcPr>
                <w:p>
                  <w:pPr>
                    <w:pStyle w:val="34"/>
                    <w:bidi w:val="0"/>
                    <w:rPr>
                      <w:rFonts w:hint="eastAsia"/>
                      <w:lang w:val="en-US" w:eastAsia="zh-CN"/>
                    </w:rPr>
                  </w:pPr>
                  <w:r>
                    <w:rPr>
                      <w:rFonts w:hint="eastAsia"/>
                      <w:lang w:val="en-US" w:eastAsia="zh-CN"/>
                    </w:rPr>
                    <w:t>排放口编号</w:t>
                  </w:r>
                </w:p>
              </w:tc>
              <w:tc>
                <w:tcPr>
                  <w:tcW w:w="808" w:type="dxa"/>
                  <w:vAlign w:val="center"/>
                </w:tcPr>
                <w:p>
                  <w:pPr>
                    <w:pStyle w:val="34"/>
                    <w:bidi w:val="0"/>
                    <w:rPr>
                      <w:rFonts w:hint="eastAsia"/>
                      <w:lang w:val="en-US" w:eastAsia="zh-CN"/>
                    </w:rPr>
                  </w:pPr>
                  <w:r>
                    <w:rPr>
                      <w:rFonts w:hint="eastAsia"/>
                      <w:lang w:val="en-US" w:eastAsia="zh-CN"/>
                    </w:rPr>
                    <w:t>排放浓度mg/m</w:t>
                  </w:r>
                  <w:r>
                    <w:rPr>
                      <w:rFonts w:hint="eastAsia"/>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jc w:val="center"/>
              </w:trPr>
              <w:tc>
                <w:tcPr>
                  <w:tcW w:w="466" w:type="dxa"/>
                  <w:vMerge w:val="restart"/>
                  <w:vAlign w:val="center"/>
                </w:tcPr>
                <w:p>
                  <w:pPr>
                    <w:pStyle w:val="34"/>
                    <w:bidi w:val="0"/>
                    <w:rPr>
                      <w:rFonts w:hint="eastAsia"/>
                      <w:lang w:val="en-US" w:eastAsia="zh-CN"/>
                    </w:rPr>
                  </w:pPr>
                  <w:r>
                    <w:rPr>
                      <w:rFonts w:hint="eastAsia"/>
                      <w:lang w:val="en-US" w:eastAsia="zh-CN"/>
                    </w:rPr>
                    <w:t>复合保温外模板生产线</w:t>
                  </w:r>
                </w:p>
              </w:tc>
              <w:tc>
                <w:tcPr>
                  <w:tcW w:w="674" w:type="dxa"/>
                  <w:vAlign w:val="center"/>
                </w:tcPr>
                <w:p>
                  <w:pPr>
                    <w:pStyle w:val="34"/>
                    <w:bidi w:val="0"/>
                    <w:rPr>
                      <w:rFonts w:hint="default"/>
                      <w:lang w:val="en-US" w:eastAsia="zh-CN"/>
                    </w:rPr>
                  </w:pPr>
                  <w:r>
                    <w:rPr>
                      <w:rFonts w:hint="eastAsia"/>
                      <w:lang w:val="en-US" w:eastAsia="zh-CN"/>
                    </w:rPr>
                    <w:t>1#筒仓粉尘</w:t>
                  </w:r>
                </w:p>
              </w:tc>
              <w:tc>
                <w:tcPr>
                  <w:tcW w:w="758" w:type="dxa"/>
                  <w:vMerge w:val="restart"/>
                  <w:vAlign w:val="center"/>
                </w:tcPr>
                <w:p>
                  <w:pPr>
                    <w:pStyle w:val="34"/>
                    <w:bidi w:val="0"/>
                    <w:rPr>
                      <w:rFonts w:hint="default"/>
                      <w:lang w:val="en-US" w:eastAsia="zh-CN"/>
                    </w:rPr>
                  </w:pPr>
                  <w:r>
                    <w:rPr>
                      <w:rFonts w:hint="eastAsia"/>
                      <w:lang w:val="en-US" w:eastAsia="zh-CN"/>
                    </w:rPr>
                    <w:t>无组织</w:t>
                  </w:r>
                </w:p>
              </w:tc>
              <w:tc>
                <w:tcPr>
                  <w:tcW w:w="685" w:type="dxa"/>
                  <w:vMerge w:val="restart"/>
                  <w:vAlign w:val="center"/>
                </w:tcPr>
                <w:p>
                  <w:pPr>
                    <w:pStyle w:val="34"/>
                    <w:bidi w:val="0"/>
                    <w:rPr>
                      <w:rFonts w:hint="default"/>
                      <w:lang w:val="en-US" w:eastAsia="zh-CN"/>
                    </w:rPr>
                  </w:pPr>
                  <w:r>
                    <w:rPr>
                      <w:rFonts w:hint="eastAsia"/>
                      <w:lang w:val="en-US" w:eastAsia="zh-CN"/>
                    </w:rPr>
                    <w:t>颗粒物</w:t>
                  </w:r>
                </w:p>
              </w:tc>
              <w:tc>
                <w:tcPr>
                  <w:tcW w:w="722" w:type="dxa"/>
                  <w:vAlign w:val="center"/>
                </w:tcPr>
                <w:p>
                  <w:pPr>
                    <w:pStyle w:val="34"/>
                    <w:bidi w:val="0"/>
                    <w:rPr>
                      <w:rFonts w:hint="default"/>
                      <w:lang w:val="en-US" w:eastAsia="zh-CN"/>
                    </w:rPr>
                  </w:pPr>
                  <w:r>
                    <w:rPr>
                      <w:rFonts w:hint="eastAsia"/>
                      <w:lang w:val="en-US" w:eastAsia="zh-CN"/>
                    </w:rPr>
                    <w:t>0.252</w:t>
                  </w:r>
                </w:p>
              </w:tc>
              <w:tc>
                <w:tcPr>
                  <w:tcW w:w="747" w:type="dxa"/>
                  <w:vAlign w:val="center"/>
                </w:tcPr>
                <w:p>
                  <w:pPr>
                    <w:pStyle w:val="34"/>
                    <w:bidi w:val="0"/>
                    <w:rPr>
                      <w:rFonts w:hint="default"/>
                      <w:lang w:val="en-US" w:eastAsia="zh-CN"/>
                    </w:rPr>
                  </w:pPr>
                  <w:r>
                    <w:rPr>
                      <w:rFonts w:hint="eastAsia"/>
                      <w:lang w:val="en-US" w:eastAsia="zh-CN"/>
                    </w:rPr>
                    <w:t>6</w:t>
                  </w:r>
                </w:p>
              </w:tc>
              <w:tc>
                <w:tcPr>
                  <w:tcW w:w="796" w:type="dxa"/>
                  <w:vAlign w:val="center"/>
                </w:tcPr>
                <w:p>
                  <w:pPr>
                    <w:pStyle w:val="34"/>
                    <w:bidi w:val="0"/>
                    <w:rPr>
                      <w:rFonts w:hint="default"/>
                      <w:lang w:val="en-US" w:eastAsia="zh-CN"/>
                    </w:rPr>
                  </w:pPr>
                  <w:r>
                    <w:rPr>
                      <w:rFonts w:hint="eastAsia"/>
                      <w:lang w:val="en-US" w:eastAsia="zh-CN"/>
                    </w:rPr>
                    <w:t>/</w:t>
                  </w:r>
                </w:p>
              </w:tc>
              <w:tc>
                <w:tcPr>
                  <w:tcW w:w="808" w:type="dxa"/>
                  <w:vAlign w:val="center"/>
                </w:tcPr>
                <w:p>
                  <w:pPr>
                    <w:pStyle w:val="34"/>
                    <w:bidi w:val="0"/>
                    <w:rPr>
                      <w:rFonts w:hint="default"/>
                      <w:lang w:val="en-US" w:eastAsia="zh-CN"/>
                    </w:rPr>
                  </w:pPr>
                  <w:r>
                    <w:rPr>
                      <w:rFonts w:hint="eastAsia"/>
                      <w:lang w:val="en-US" w:eastAsia="zh-CN"/>
                    </w:rPr>
                    <w:t>/</w:t>
                  </w:r>
                </w:p>
              </w:tc>
              <w:tc>
                <w:tcPr>
                  <w:tcW w:w="895" w:type="dxa"/>
                  <w:vAlign w:val="center"/>
                </w:tcPr>
                <w:p>
                  <w:pPr>
                    <w:pStyle w:val="34"/>
                    <w:bidi w:val="0"/>
                    <w:rPr>
                      <w:rFonts w:hint="eastAsia"/>
                      <w:lang w:val="en-US" w:eastAsia="zh-CN"/>
                    </w:rPr>
                  </w:pPr>
                  <w:r>
                    <w:rPr>
                      <w:rFonts w:hint="eastAsia"/>
                      <w:lang w:val="en-US" w:eastAsia="zh-CN"/>
                    </w:rPr>
                    <w:t>筒仓仓顶自带滤筒式过滤器</w:t>
                  </w:r>
                </w:p>
              </w:tc>
              <w:tc>
                <w:tcPr>
                  <w:tcW w:w="747" w:type="dxa"/>
                  <w:vAlign w:val="center"/>
                </w:tcPr>
                <w:p>
                  <w:pPr>
                    <w:pStyle w:val="34"/>
                    <w:bidi w:val="0"/>
                    <w:rPr>
                      <w:rFonts w:hint="default"/>
                      <w:lang w:val="en-US" w:eastAsia="zh-CN"/>
                    </w:rPr>
                  </w:pPr>
                  <w:r>
                    <w:rPr>
                      <w:rFonts w:hint="eastAsia"/>
                      <w:lang w:val="en-US" w:eastAsia="zh-CN"/>
                    </w:rPr>
                    <w:t>/</w:t>
                  </w:r>
                </w:p>
              </w:tc>
              <w:tc>
                <w:tcPr>
                  <w:tcW w:w="699" w:type="dxa"/>
                  <w:vAlign w:val="center"/>
                </w:tcPr>
                <w:p>
                  <w:pPr>
                    <w:pStyle w:val="34"/>
                    <w:bidi w:val="0"/>
                    <w:rPr>
                      <w:rFonts w:hint="default"/>
                      <w:lang w:val="en-US" w:eastAsia="zh-CN"/>
                    </w:rPr>
                  </w:pPr>
                  <w:r>
                    <w:rPr>
                      <w:rFonts w:hint="eastAsia"/>
                      <w:lang w:val="en-US" w:eastAsia="zh-CN"/>
                    </w:rPr>
                    <w:t>100</w:t>
                  </w:r>
                </w:p>
              </w:tc>
              <w:tc>
                <w:tcPr>
                  <w:tcW w:w="649" w:type="dxa"/>
                  <w:vAlign w:val="center"/>
                </w:tcPr>
                <w:p>
                  <w:pPr>
                    <w:pStyle w:val="34"/>
                    <w:bidi w:val="0"/>
                    <w:rPr>
                      <w:rFonts w:hint="default"/>
                      <w:lang w:val="en-US" w:eastAsia="zh-CN"/>
                    </w:rPr>
                  </w:pPr>
                  <w:r>
                    <w:rPr>
                      <w:rFonts w:hint="eastAsia"/>
                      <w:lang w:val="en-US" w:eastAsia="zh-CN"/>
                    </w:rPr>
                    <w:t>99.7</w:t>
                  </w:r>
                </w:p>
              </w:tc>
              <w:tc>
                <w:tcPr>
                  <w:tcW w:w="697" w:type="dxa"/>
                  <w:vAlign w:val="center"/>
                </w:tcPr>
                <w:p>
                  <w:pPr>
                    <w:pStyle w:val="34"/>
                    <w:bidi w:val="0"/>
                    <w:rPr>
                      <w:rFonts w:hint="default"/>
                      <w:lang w:val="en-US" w:eastAsia="zh-CN"/>
                    </w:rPr>
                  </w:pPr>
                  <w:r>
                    <w:rPr>
                      <w:rFonts w:hint="eastAsia"/>
                      <w:lang w:val="en-US" w:eastAsia="zh-CN"/>
                    </w:rPr>
                    <w:t>是</w:t>
                  </w:r>
                </w:p>
              </w:tc>
              <w:tc>
                <w:tcPr>
                  <w:tcW w:w="710" w:type="dxa"/>
                  <w:vAlign w:val="center"/>
                </w:tcPr>
                <w:p>
                  <w:pPr>
                    <w:pStyle w:val="34"/>
                    <w:bidi w:val="0"/>
                    <w:rPr>
                      <w:rFonts w:hint="default"/>
                      <w:lang w:val="en-US" w:eastAsia="zh-CN"/>
                    </w:rPr>
                  </w:pPr>
                  <w:r>
                    <w:rPr>
                      <w:rFonts w:hint="eastAsia"/>
                      <w:lang w:val="en-US" w:eastAsia="zh-CN"/>
                    </w:rPr>
                    <w:t>0.001</w:t>
                  </w:r>
                </w:p>
              </w:tc>
              <w:tc>
                <w:tcPr>
                  <w:tcW w:w="657" w:type="dxa"/>
                  <w:vAlign w:val="center"/>
                </w:tcPr>
                <w:p>
                  <w:pPr>
                    <w:pStyle w:val="34"/>
                    <w:bidi w:val="0"/>
                    <w:rPr>
                      <w:rFonts w:hint="default"/>
                      <w:lang w:val="en-US" w:eastAsia="zh-CN"/>
                    </w:rPr>
                  </w:pPr>
                  <w:r>
                    <w:rPr>
                      <w:rFonts w:hint="eastAsia"/>
                      <w:lang w:val="en-US" w:eastAsia="zh-CN"/>
                    </w:rPr>
                    <w:t>0.018</w:t>
                  </w:r>
                </w:p>
              </w:tc>
              <w:tc>
                <w:tcPr>
                  <w:tcW w:w="825" w:type="dxa"/>
                  <w:vAlign w:val="center"/>
                </w:tcPr>
                <w:p>
                  <w:pPr>
                    <w:pStyle w:val="34"/>
                    <w:bidi w:val="0"/>
                    <w:rPr>
                      <w:rFonts w:hint="default"/>
                      <w:lang w:val="en-US" w:eastAsia="zh-CN"/>
                    </w:rPr>
                  </w:pPr>
                  <w:r>
                    <w:rPr>
                      <w:rFonts w:hint="eastAsia"/>
                      <w:lang w:val="en-US" w:eastAsia="zh-CN"/>
                    </w:rPr>
                    <w:t>/</w:t>
                  </w:r>
                </w:p>
              </w:tc>
              <w:tc>
                <w:tcPr>
                  <w:tcW w:w="659" w:type="dxa"/>
                  <w:vAlign w:val="center"/>
                </w:tcPr>
                <w:p>
                  <w:pPr>
                    <w:pStyle w:val="34"/>
                    <w:bidi w:val="0"/>
                    <w:rPr>
                      <w:rFonts w:hint="default"/>
                      <w:lang w:val="en-US" w:eastAsia="zh-CN"/>
                    </w:rPr>
                  </w:pPr>
                  <w:r>
                    <w:rPr>
                      <w:rFonts w:hint="eastAsia"/>
                      <w:lang w:val="en-US" w:eastAsia="zh-CN"/>
                    </w:rPr>
                    <w:t>/</w:t>
                  </w:r>
                </w:p>
              </w:tc>
              <w:tc>
                <w:tcPr>
                  <w:tcW w:w="808" w:type="dxa"/>
                  <w:vAlign w:val="center"/>
                </w:tcPr>
                <w:p>
                  <w:pPr>
                    <w:pStyle w:val="34"/>
                    <w:bidi w:val="0"/>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466" w:type="dxa"/>
                  <w:vMerge w:val="continue"/>
                  <w:vAlign w:val="center"/>
                </w:tcPr>
                <w:p>
                  <w:pPr>
                    <w:pStyle w:val="34"/>
                    <w:bidi w:val="0"/>
                    <w:rPr>
                      <w:rFonts w:hint="eastAsia"/>
                      <w:lang w:val="en-US" w:eastAsia="zh-CN"/>
                    </w:rPr>
                  </w:pPr>
                </w:p>
              </w:tc>
              <w:tc>
                <w:tcPr>
                  <w:tcW w:w="674" w:type="dxa"/>
                  <w:vAlign w:val="center"/>
                </w:tcPr>
                <w:p>
                  <w:pPr>
                    <w:pStyle w:val="34"/>
                    <w:bidi w:val="0"/>
                    <w:rPr>
                      <w:rFonts w:hint="default"/>
                      <w:lang w:val="en-US" w:eastAsia="zh-CN"/>
                    </w:rPr>
                  </w:pPr>
                  <w:r>
                    <w:rPr>
                      <w:rFonts w:hint="eastAsia"/>
                      <w:lang w:val="en-US" w:eastAsia="zh-CN"/>
                    </w:rPr>
                    <w:t>2#筒仓粉尘</w:t>
                  </w:r>
                </w:p>
              </w:tc>
              <w:tc>
                <w:tcPr>
                  <w:tcW w:w="758" w:type="dxa"/>
                  <w:vMerge w:val="continue"/>
                  <w:vAlign w:val="center"/>
                </w:tcPr>
                <w:p>
                  <w:pPr>
                    <w:pStyle w:val="34"/>
                    <w:bidi w:val="0"/>
                    <w:rPr>
                      <w:rFonts w:hint="default"/>
                      <w:lang w:val="en-US" w:eastAsia="zh-CN"/>
                    </w:rPr>
                  </w:pPr>
                </w:p>
              </w:tc>
              <w:tc>
                <w:tcPr>
                  <w:tcW w:w="685" w:type="dxa"/>
                  <w:vMerge w:val="continue"/>
                  <w:vAlign w:val="center"/>
                </w:tcPr>
                <w:p>
                  <w:pPr>
                    <w:pStyle w:val="34"/>
                    <w:bidi w:val="0"/>
                    <w:rPr>
                      <w:rFonts w:hint="default"/>
                      <w:lang w:val="en-US" w:eastAsia="zh-CN"/>
                    </w:rPr>
                  </w:pPr>
                </w:p>
              </w:tc>
              <w:tc>
                <w:tcPr>
                  <w:tcW w:w="722" w:type="dxa"/>
                  <w:vAlign w:val="center"/>
                </w:tcPr>
                <w:p>
                  <w:pPr>
                    <w:pStyle w:val="34"/>
                    <w:bidi w:val="0"/>
                    <w:rPr>
                      <w:rFonts w:hint="default"/>
                      <w:lang w:val="en-US" w:eastAsia="zh-CN"/>
                    </w:rPr>
                  </w:pPr>
                  <w:r>
                    <w:rPr>
                      <w:rFonts w:hint="eastAsia"/>
                      <w:lang w:val="en-US" w:eastAsia="zh-CN"/>
                    </w:rPr>
                    <w:t>0.252</w:t>
                  </w:r>
                </w:p>
              </w:tc>
              <w:tc>
                <w:tcPr>
                  <w:tcW w:w="747" w:type="dxa"/>
                  <w:vAlign w:val="center"/>
                </w:tcPr>
                <w:p>
                  <w:pPr>
                    <w:pStyle w:val="34"/>
                    <w:bidi w:val="0"/>
                    <w:rPr>
                      <w:rFonts w:hint="default"/>
                      <w:lang w:val="en-US" w:eastAsia="zh-CN"/>
                    </w:rPr>
                  </w:pPr>
                  <w:r>
                    <w:rPr>
                      <w:rFonts w:hint="eastAsia"/>
                      <w:lang w:val="en-US" w:eastAsia="zh-CN"/>
                    </w:rPr>
                    <w:t>6</w:t>
                  </w:r>
                </w:p>
              </w:tc>
              <w:tc>
                <w:tcPr>
                  <w:tcW w:w="796" w:type="dxa"/>
                  <w:vAlign w:val="center"/>
                </w:tcPr>
                <w:p>
                  <w:pPr>
                    <w:pStyle w:val="34"/>
                    <w:bidi w:val="0"/>
                    <w:rPr>
                      <w:rFonts w:hint="default"/>
                      <w:lang w:val="en-US" w:eastAsia="zh-CN"/>
                    </w:rPr>
                  </w:pPr>
                  <w:r>
                    <w:rPr>
                      <w:rFonts w:hint="eastAsia"/>
                      <w:lang w:val="en-US" w:eastAsia="zh-CN"/>
                    </w:rPr>
                    <w:t>/</w:t>
                  </w:r>
                </w:p>
              </w:tc>
              <w:tc>
                <w:tcPr>
                  <w:tcW w:w="808" w:type="dxa"/>
                  <w:vAlign w:val="center"/>
                </w:tcPr>
                <w:p>
                  <w:pPr>
                    <w:pStyle w:val="34"/>
                    <w:bidi w:val="0"/>
                    <w:rPr>
                      <w:rFonts w:hint="default"/>
                      <w:lang w:val="en-US" w:eastAsia="zh-CN"/>
                    </w:rPr>
                  </w:pPr>
                  <w:r>
                    <w:rPr>
                      <w:rFonts w:hint="eastAsia"/>
                      <w:lang w:val="en-US" w:eastAsia="zh-CN"/>
                    </w:rPr>
                    <w:t>/</w:t>
                  </w:r>
                </w:p>
              </w:tc>
              <w:tc>
                <w:tcPr>
                  <w:tcW w:w="895" w:type="dxa"/>
                  <w:vAlign w:val="center"/>
                </w:tcPr>
                <w:p>
                  <w:pPr>
                    <w:pStyle w:val="34"/>
                    <w:bidi w:val="0"/>
                    <w:rPr>
                      <w:rFonts w:hint="eastAsia"/>
                      <w:lang w:val="en-US" w:eastAsia="zh-CN"/>
                    </w:rPr>
                  </w:pPr>
                  <w:r>
                    <w:rPr>
                      <w:rFonts w:hint="eastAsia"/>
                      <w:lang w:val="en-US" w:eastAsia="zh-CN"/>
                    </w:rPr>
                    <w:t>筒仓仓顶自带滤筒式过滤器</w:t>
                  </w:r>
                </w:p>
              </w:tc>
              <w:tc>
                <w:tcPr>
                  <w:tcW w:w="747" w:type="dxa"/>
                  <w:vAlign w:val="center"/>
                </w:tcPr>
                <w:p>
                  <w:pPr>
                    <w:pStyle w:val="34"/>
                    <w:bidi w:val="0"/>
                    <w:rPr>
                      <w:rFonts w:hint="default"/>
                      <w:lang w:val="en-US" w:eastAsia="zh-CN"/>
                    </w:rPr>
                  </w:pPr>
                  <w:r>
                    <w:rPr>
                      <w:rFonts w:hint="eastAsia"/>
                      <w:lang w:val="en-US" w:eastAsia="zh-CN"/>
                    </w:rPr>
                    <w:t>/</w:t>
                  </w:r>
                </w:p>
              </w:tc>
              <w:tc>
                <w:tcPr>
                  <w:tcW w:w="699" w:type="dxa"/>
                  <w:vAlign w:val="center"/>
                </w:tcPr>
                <w:p>
                  <w:pPr>
                    <w:pStyle w:val="34"/>
                    <w:bidi w:val="0"/>
                    <w:rPr>
                      <w:rFonts w:hint="default"/>
                      <w:lang w:val="en-US" w:eastAsia="zh-CN"/>
                    </w:rPr>
                  </w:pPr>
                  <w:r>
                    <w:rPr>
                      <w:rFonts w:hint="eastAsia"/>
                      <w:lang w:val="en-US" w:eastAsia="zh-CN"/>
                    </w:rPr>
                    <w:t>100</w:t>
                  </w:r>
                </w:p>
              </w:tc>
              <w:tc>
                <w:tcPr>
                  <w:tcW w:w="649" w:type="dxa"/>
                  <w:vAlign w:val="center"/>
                </w:tcPr>
                <w:p>
                  <w:pPr>
                    <w:pStyle w:val="34"/>
                    <w:bidi w:val="0"/>
                    <w:rPr>
                      <w:rFonts w:hint="default"/>
                      <w:lang w:val="en-US" w:eastAsia="zh-CN"/>
                    </w:rPr>
                  </w:pPr>
                  <w:r>
                    <w:rPr>
                      <w:rFonts w:hint="eastAsia"/>
                      <w:lang w:val="en-US" w:eastAsia="zh-CN"/>
                    </w:rPr>
                    <w:t>99.7</w:t>
                  </w:r>
                </w:p>
              </w:tc>
              <w:tc>
                <w:tcPr>
                  <w:tcW w:w="697" w:type="dxa"/>
                  <w:vAlign w:val="center"/>
                </w:tcPr>
                <w:p>
                  <w:pPr>
                    <w:pStyle w:val="34"/>
                    <w:bidi w:val="0"/>
                    <w:rPr>
                      <w:rFonts w:hint="default"/>
                      <w:lang w:val="en-US" w:eastAsia="zh-CN"/>
                    </w:rPr>
                  </w:pPr>
                  <w:r>
                    <w:rPr>
                      <w:rFonts w:hint="eastAsia"/>
                      <w:lang w:val="en-US" w:eastAsia="zh-CN"/>
                    </w:rPr>
                    <w:t>是</w:t>
                  </w:r>
                </w:p>
              </w:tc>
              <w:tc>
                <w:tcPr>
                  <w:tcW w:w="710" w:type="dxa"/>
                  <w:vAlign w:val="center"/>
                </w:tcPr>
                <w:p>
                  <w:pPr>
                    <w:pStyle w:val="34"/>
                    <w:bidi w:val="0"/>
                    <w:rPr>
                      <w:rFonts w:hint="default"/>
                      <w:lang w:val="en-US" w:eastAsia="zh-CN"/>
                    </w:rPr>
                  </w:pPr>
                  <w:r>
                    <w:rPr>
                      <w:rFonts w:hint="eastAsia"/>
                      <w:lang w:val="en-US" w:eastAsia="zh-CN"/>
                    </w:rPr>
                    <w:t>0.001</w:t>
                  </w:r>
                </w:p>
              </w:tc>
              <w:tc>
                <w:tcPr>
                  <w:tcW w:w="657" w:type="dxa"/>
                  <w:vAlign w:val="center"/>
                </w:tcPr>
                <w:p>
                  <w:pPr>
                    <w:pStyle w:val="34"/>
                    <w:bidi w:val="0"/>
                    <w:rPr>
                      <w:rFonts w:hint="default"/>
                      <w:lang w:val="en-US" w:eastAsia="zh-CN"/>
                    </w:rPr>
                  </w:pPr>
                  <w:r>
                    <w:rPr>
                      <w:rFonts w:hint="eastAsia"/>
                      <w:lang w:val="en-US" w:eastAsia="zh-CN"/>
                    </w:rPr>
                    <w:t>0.018</w:t>
                  </w:r>
                </w:p>
              </w:tc>
              <w:tc>
                <w:tcPr>
                  <w:tcW w:w="825" w:type="dxa"/>
                  <w:vAlign w:val="center"/>
                </w:tcPr>
                <w:p>
                  <w:pPr>
                    <w:pStyle w:val="34"/>
                    <w:bidi w:val="0"/>
                    <w:rPr>
                      <w:rFonts w:hint="default"/>
                      <w:lang w:val="en-US" w:eastAsia="zh-CN"/>
                    </w:rPr>
                  </w:pPr>
                  <w:r>
                    <w:rPr>
                      <w:rFonts w:hint="eastAsia"/>
                      <w:lang w:val="en-US" w:eastAsia="zh-CN"/>
                    </w:rPr>
                    <w:t>/</w:t>
                  </w:r>
                </w:p>
              </w:tc>
              <w:tc>
                <w:tcPr>
                  <w:tcW w:w="659" w:type="dxa"/>
                  <w:vAlign w:val="center"/>
                </w:tcPr>
                <w:p>
                  <w:pPr>
                    <w:pStyle w:val="34"/>
                    <w:bidi w:val="0"/>
                    <w:rPr>
                      <w:rFonts w:hint="default"/>
                      <w:lang w:val="en-US" w:eastAsia="zh-CN"/>
                    </w:rPr>
                  </w:pPr>
                  <w:r>
                    <w:rPr>
                      <w:rFonts w:hint="eastAsia"/>
                      <w:lang w:val="en-US" w:eastAsia="zh-CN"/>
                    </w:rPr>
                    <w:t>/</w:t>
                  </w:r>
                </w:p>
              </w:tc>
              <w:tc>
                <w:tcPr>
                  <w:tcW w:w="808" w:type="dxa"/>
                  <w:vAlign w:val="center"/>
                </w:tcPr>
                <w:p>
                  <w:pPr>
                    <w:pStyle w:val="34"/>
                    <w:bidi w:val="0"/>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466" w:type="dxa"/>
                  <w:vMerge w:val="continue"/>
                  <w:vAlign w:val="center"/>
                </w:tcPr>
                <w:p>
                  <w:pPr>
                    <w:pStyle w:val="34"/>
                    <w:bidi w:val="0"/>
                    <w:rPr>
                      <w:rFonts w:hint="eastAsia"/>
                      <w:lang w:val="en-US" w:eastAsia="zh-CN"/>
                    </w:rPr>
                  </w:pPr>
                </w:p>
              </w:tc>
              <w:tc>
                <w:tcPr>
                  <w:tcW w:w="674" w:type="dxa"/>
                  <w:vMerge w:val="restart"/>
                  <w:vAlign w:val="center"/>
                </w:tcPr>
                <w:p>
                  <w:pPr>
                    <w:pStyle w:val="34"/>
                    <w:bidi w:val="0"/>
                    <w:rPr>
                      <w:rFonts w:hint="eastAsia"/>
                      <w:lang w:val="en-US" w:eastAsia="zh-CN"/>
                    </w:rPr>
                  </w:pPr>
                  <w:r>
                    <w:rPr>
                      <w:rFonts w:hint="eastAsia"/>
                      <w:lang w:val="en-US" w:eastAsia="zh-CN"/>
                    </w:rPr>
                    <w:t>投料粉尘、干混搅拌粉尘</w:t>
                  </w:r>
                </w:p>
              </w:tc>
              <w:tc>
                <w:tcPr>
                  <w:tcW w:w="758" w:type="dxa"/>
                  <w:vAlign w:val="center"/>
                </w:tcPr>
                <w:p>
                  <w:pPr>
                    <w:pStyle w:val="34"/>
                    <w:bidi w:val="0"/>
                    <w:rPr>
                      <w:rFonts w:hint="default"/>
                      <w:lang w:val="en-US" w:eastAsia="zh-CN"/>
                    </w:rPr>
                  </w:pPr>
                  <w:r>
                    <w:rPr>
                      <w:rFonts w:hint="eastAsia"/>
                      <w:lang w:val="en-US" w:eastAsia="zh-CN"/>
                    </w:rPr>
                    <w:t>有组织</w:t>
                  </w:r>
                </w:p>
              </w:tc>
              <w:tc>
                <w:tcPr>
                  <w:tcW w:w="685" w:type="dxa"/>
                  <w:vMerge w:val="restart"/>
                  <w:vAlign w:val="center"/>
                </w:tcPr>
                <w:p>
                  <w:pPr>
                    <w:pStyle w:val="34"/>
                    <w:bidi w:val="0"/>
                    <w:rPr>
                      <w:rFonts w:hint="default"/>
                      <w:lang w:val="en-US" w:eastAsia="zh-CN"/>
                    </w:rPr>
                  </w:pPr>
                  <w:r>
                    <w:rPr>
                      <w:rFonts w:hint="eastAsia"/>
                      <w:lang w:val="en-US" w:eastAsia="zh-CN"/>
                    </w:rPr>
                    <w:t>颗粒物</w:t>
                  </w:r>
                </w:p>
              </w:tc>
              <w:tc>
                <w:tcPr>
                  <w:tcW w:w="722" w:type="dxa"/>
                  <w:vAlign w:val="center"/>
                </w:tcPr>
                <w:p>
                  <w:pPr>
                    <w:pStyle w:val="34"/>
                    <w:bidi w:val="0"/>
                    <w:rPr>
                      <w:rFonts w:hint="default"/>
                      <w:lang w:val="en-US" w:eastAsia="zh-CN"/>
                    </w:rPr>
                  </w:pPr>
                  <w:r>
                    <w:rPr>
                      <w:rFonts w:hint="eastAsia"/>
                      <w:lang w:val="en-US" w:eastAsia="zh-CN"/>
                    </w:rPr>
                    <w:t>1.831</w:t>
                  </w:r>
                </w:p>
              </w:tc>
              <w:tc>
                <w:tcPr>
                  <w:tcW w:w="747" w:type="dxa"/>
                  <w:vAlign w:val="center"/>
                </w:tcPr>
                <w:p>
                  <w:pPr>
                    <w:pStyle w:val="34"/>
                    <w:bidi w:val="0"/>
                    <w:rPr>
                      <w:rFonts w:hint="default"/>
                      <w:lang w:val="en-US" w:eastAsia="zh-CN"/>
                    </w:rPr>
                  </w:pPr>
                  <w:r>
                    <w:rPr>
                      <w:rFonts w:hint="eastAsia"/>
                      <w:lang w:val="en-US" w:eastAsia="zh-CN"/>
                    </w:rPr>
                    <w:t>0.763</w:t>
                  </w:r>
                </w:p>
              </w:tc>
              <w:tc>
                <w:tcPr>
                  <w:tcW w:w="796" w:type="dxa"/>
                  <w:vAlign w:val="center"/>
                </w:tcPr>
                <w:p>
                  <w:pPr>
                    <w:pStyle w:val="34"/>
                    <w:bidi w:val="0"/>
                    <w:rPr>
                      <w:rFonts w:hint="default"/>
                      <w:lang w:val="en-US" w:eastAsia="zh-CN"/>
                    </w:rPr>
                  </w:pPr>
                  <w:r>
                    <w:rPr>
                      <w:rFonts w:hint="eastAsia"/>
                      <w:lang w:val="en-US" w:eastAsia="zh-CN"/>
                    </w:rPr>
                    <w:t>381.458</w:t>
                  </w:r>
                </w:p>
              </w:tc>
              <w:tc>
                <w:tcPr>
                  <w:tcW w:w="808" w:type="dxa"/>
                  <w:vAlign w:val="center"/>
                </w:tcPr>
                <w:p>
                  <w:pPr>
                    <w:pStyle w:val="34"/>
                    <w:bidi w:val="0"/>
                    <w:rPr>
                      <w:rFonts w:hint="eastAsia"/>
                      <w:lang w:val="en-US" w:eastAsia="zh-CN"/>
                    </w:rPr>
                  </w:pPr>
                  <w:r>
                    <w:rPr>
                      <w:rFonts w:hint="eastAsia"/>
                      <w:lang w:val="en-US" w:eastAsia="zh-CN"/>
                    </w:rPr>
                    <w:t>TA001</w:t>
                  </w:r>
                </w:p>
              </w:tc>
              <w:tc>
                <w:tcPr>
                  <w:tcW w:w="895" w:type="dxa"/>
                  <w:vAlign w:val="center"/>
                </w:tcPr>
                <w:p>
                  <w:pPr>
                    <w:pStyle w:val="34"/>
                    <w:bidi w:val="0"/>
                    <w:rPr>
                      <w:rFonts w:hint="eastAsia"/>
                      <w:lang w:val="en-US" w:eastAsia="zh-CN"/>
                    </w:rPr>
                  </w:pPr>
                  <w:r>
                    <w:rPr>
                      <w:rFonts w:hint="eastAsia"/>
                      <w:lang w:val="en-US" w:eastAsia="zh-CN"/>
                    </w:rPr>
                    <w:t>布袋除尘器+15m排气筒</w:t>
                  </w:r>
                </w:p>
              </w:tc>
              <w:tc>
                <w:tcPr>
                  <w:tcW w:w="747" w:type="dxa"/>
                  <w:vAlign w:val="center"/>
                </w:tcPr>
                <w:p>
                  <w:pPr>
                    <w:pStyle w:val="34"/>
                    <w:bidi w:val="0"/>
                    <w:rPr>
                      <w:rFonts w:hint="default"/>
                      <w:lang w:val="en-US" w:eastAsia="zh-CN"/>
                    </w:rPr>
                  </w:pPr>
                  <w:r>
                    <w:rPr>
                      <w:rFonts w:hint="eastAsia"/>
                      <w:lang w:val="en-US" w:eastAsia="zh-CN"/>
                    </w:rPr>
                    <w:t>2000</w:t>
                  </w:r>
                </w:p>
              </w:tc>
              <w:tc>
                <w:tcPr>
                  <w:tcW w:w="699" w:type="dxa"/>
                  <w:vAlign w:val="center"/>
                </w:tcPr>
                <w:p>
                  <w:pPr>
                    <w:pStyle w:val="34"/>
                    <w:bidi w:val="0"/>
                    <w:rPr>
                      <w:rFonts w:hint="default"/>
                      <w:lang w:val="en-US" w:eastAsia="zh-CN"/>
                    </w:rPr>
                  </w:pPr>
                  <w:r>
                    <w:rPr>
                      <w:rFonts w:hint="eastAsia"/>
                      <w:lang w:val="en-US" w:eastAsia="zh-CN"/>
                    </w:rPr>
                    <w:t>90</w:t>
                  </w:r>
                </w:p>
              </w:tc>
              <w:tc>
                <w:tcPr>
                  <w:tcW w:w="649" w:type="dxa"/>
                  <w:vAlign w:val="center"/>
                </w:tcPr>
                <w:p>
                  <w:pPr>
                    <w:pStyle w:val="34"/>
                    <w:bidi w:val="0"/>
                    <w:rPr>
                      <w:rFonts w:hint="default"/>
                      <w:lang w:val="en-US" w:eastAsia="zh-CN"/>
                    </w:rPr>
                  </w:pPr>
                  <w:r>
                    <w:rPr>
                      <w:rFonts w:hint="eastAsia"/>
                      <w:lang w:val="en-US" w:eastAsia="zh-CN"/>
                    </w:rPr>
                    <w:t>99</w:t>
                  </w:r>
                </w:p>
              </w:tc>
              <w:tc>
                <w:tcPr>
                  <w:tcW w:w="697" w:type="dxa"/>
                  <w:vAlign w:val="center"/>
                </w:tcPr>
                <w:p>
                  <w:pPr>
                    <w:pStyle w:val="34"/>
                    <w:bidi w:val="0"/>
                    <w:rPr>
                      <w:rFonts w:hint="default"/>
                      <w:lang w:val="en-US" w:eastAsia="zh-CN"/>
                    </w:rPr>
                  </w:pPr>
                  <w:r>
                    <w:rPr>
                      <w:rFonts w:hint="eastAsia"/>
                      <w:lang w:val="en-US" w:eastAsia="zh-CN"/>
                    </w:rPr>
                    <w:t>是</w:t>
                  </w:r>
                </w:p>
              </w:tc>
              <w:tc>
                <w:tcPr>
                  <w:tcW w:w="710" w:type="dxa"/>
                  <w:vAlign w:val="center"/>
                </w:tcPr>
                <w:p>
                  <w:pPr>
                    <w:pStyle w:val="34"/>
                    <w:bidi w:val="0"/>
                    <w:rPr>
                      <w:rFonts w:hint="default"/>
                      <w:lang w:val="en-US" w:eastAsia="zh-CN"/>
                    </w:rPr>
                  </w:pPr>
                  <w:r>
                    <w:rPr>
                      <w:rFonts w:hint="eastAsia"/>
                      <w:lang w:val="en-US" w:eastAsia="zh-CN"/>
                    </w:rPr>
                    <w:t>0.018</w:t>
                  </w:r>
                </w:p>
              </w:tc>
              <w:tc>
                <w:tcPr>
                  <w:tcW w:w="657" w:type="dxa"/>
                  <w:vAlign w:val="center"/>
                </w:tcPr>
                <w:p>
                  <w:pPr>
                    <w:pStyle w:val="34"/>
                    <w:bidi w:val="0"/>
                    <w:rPr>
                      <w:rFonts w:hint="default"/>
                      <w:lang w:val="en-US" w:eastAsia="zh-CN"/>
                    </w:rPr>
                  </w:pPr>
                  <w:r>
                    <w:rPr>
                      <w:rFonts w:hint="eastAsia"/>
                      <w:lang w:val="en-US" w:eastAsia="zh-CN"/>
                    </w:rPr>
                    <w:t>0.008</w:t>
                  </w:r>
                </w:p>
              </w:tc>
              <w:tc>
                <w:tcPr>
                  <w:tcW w:w="825" w:type="dxa"/>
                  <w:vAlign w:val="center"/>
                </w:tcPr>
                <w:p>
                  <w:pPr>
                    <w:pStyle w:val="34"/>
                    <w:bidi w:val="0"/>
                    <w:rPr>
                      <w:rFonts w:hint="default"/>
                      <w:lang w:val="en-US" w:eastAsia="zh-CN"/>
                    </w:rPr>
                  </w:pPr>
                  <w:r>
                    <w:rPr>
                      <w:rFonts w:hint="eastAsia"/>
                      <w:lang w:val="en-US" w:eastAsia="zh-CN"/>
                    </w:rPr>
                    <w:t>3.813</w:t>
                  </w:r>
                </w:p>
              </w:tc>
              <w:tc>
                <w:tcPr>
                  <w:tcW w:w="659" w:type="dxa"/>
                  <w:vAlign w:val="center"/>
                </w:tcPr>
                <w:p>
                  <w:pPr>
                    <w:pStyle w:val="34"/>
                    <w:bidi w:val="0"/>
                    <w:rPr>
                      <w:rFonts w:hint="eastAsia"/>
                      <w:lang w:val="en-US" w:eastAsia="zh-CN"/>
                    </w:rPr>
                  </w:pPr>
                  <w:r>
                    <w:rPr>
                      <w:rFonts w:hint="eastAsia"/>
                      <w:lang w:val="en-US" w:eastAsia="zh-CN"/>
                    </w:rPr>
                    <w:t>DA001</w:t>
                  </w:r>
                </w:p>
              </w:tc>
              <w:tc>
                <w:tcPr>
                  <w:tcW w:w="808" w:type="dxa"/>
                  <w:vAlign w:val="center"/>
                </w:tcPr>
                <w:p>
                  <w:pPr>
                    <w:pStyle w:val="34"/>
                    <w:bidi w:val="0"/>
                    <w:rPr>
                      <w:rFonts w:hint="default"/>
                      <w:lang w:val="en-US" w:eastAsia="zh-CN"/>
                    </w:rPr>
                  </w:pPr>
                  <w:r>
                    <w:rPr>
                      <w:rFonts w:hint="eastAsia"/>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466" w:type="dxa"/>
                  <w:vMerge w:val="continue"/>
                  <w:vAlign w:val="center"/>
                </w:tcPr>
                <w:p>
                  <w:pPr>
                    <w:pStyle w:val="34"/>
                    <w:bidi w:val="0"/>
                    <w:rPr>
                      <w:rFonts w:hint="eastAsia"/>
                      <w:lang w:val="en-US" w:eastAsia="zh-CN"/>
                    </w:rPr>
                  </w:pPr>
                </w:p>
              </w:tc>
              <w:tc>
                <w:tcPr>
                  <w:tcW w:w="674" w:type="dxa"/>
                  <w:vMerge w:val="continue"/>
                  <w:vAlign w:val="center"/>
                </w:tcPr>
                <w:p>
                  <w:pPr>
                    <w:pStyle w:val="34"/>
                    <w:bidi w:val="0"/>
                    <w:rPr>
                      <w:rFonts w:hint="eastAsia"/>
                      <w:lang w:val="en-US" w:eastAsia="zh-CN"/>
                    </w:rPr>
                  </w:pPr>
                </w:p>
              </w:tc>
              <w:tc>
                <w:tcPr>
                  <w:tcW w:w="758" w:type="dxa"/>
                  <w:vAlign w:val="center"/>
                </w:tcPr>
                <w:p>
                  <w:pPr>
                    <w:pStyle w:val="34"/>
                    <w:bidi w:val="0"/>
                    <w:rPr>
                      <w:rFonts w:hint="default"/>
                      <w:lang w:val="en-US" w:eastAsia="zh-CN"/>
                    </w:rPr>
                  </w:pPr>
                  <w:r>
                    <w:rPr>
                      <w:rFonts w:hint="eastAsia"/>
                      <w:lang w:val="en-US" w:eastAsia="zh-CN"/>
                    </w:rPr>
                    <w:t>无组织</w:t>
                  </w:r>
                </w:p>
              </w:tc>
              <w:tc>
                <w:tcPr>
                  <w:tcW w:w="685" w:type="dxa"/>
                  <w:vMerge w:val="continue"/>
                  <w:vAlign w:val="center"/>
                </w:tcPr>
                <w:p>
                  <w:pPr>
                    <w:pStyle w:val="34"/>
                    <w:bidi w:val="0"/>
                    <w:rPr>
                      <w:rFonts w:hint="eastAsia"/>
                      <w:lang w:val="en-US" w:eastAsia="zh-CN"/>
                    </w:rPr>
                  </w:pPr>
                </w:p>
              </w:tc>
              <w:tc>
                <w:tcPr>
                  <w:tcW w:w="722" w:type="dxa"/>
                  <w:vAlign w:val="center"/>
                </w:tcPr>
                <w:p>
                  <w:pPr>
                    <w:pStyle w:val="34"/>
                    <w:bidi w:val="0"/>
                    <w:rPr>
                      <w:rFonts w:hint="default"/>
                      <w:lang w:val="en-US" w:eastAsia="zh-CN"/>
                    </w:rPr>
                  </w:pPr>
                  <w:r>
                    <w:rPr>
                      <w:rFonts w:hint="eastAsia"/>
                      <w:lang w:val="en-US" w:eastAsia="zh-CN"/>
                    </w:rPr>
                    <w:t>0.203</w:t>
                  </w:r>
                </w:p>
              </w:tc>
              <w:tc>
                <w:tcPr>
                  <w:tcW w:w="747" w:type="dxa"/>
                  <w:vAlign w:val="center"/>
                </w:tcPr>
                <w:p>
                  <w:pPr>
                    <w:pStyle w:val="34"/>
                    <w:bidi w:val="0"/>
                    <w:rPr>
                      <w:rFonts w:hint="default"/>
                      <w:lang w:val="en-US" w:eastAsia="zh-CN"/>
                    </w:rPr>
                  </w:pPr>
                  <w:r>
                    <w:rPr>
                      <w:rFonts w:hint="eastAsia"/>
                      <w:lang w:val="en-US" w:eastAsia="zh-CN"/>
                    </w:rPr>
                    <w:t>0.08</w:t>
                  </w:r>
                </w:p>
              </w:tc>
              <w:tc>
                <w:tcPr>
                  <w:tcW w:w="796" w:type="dxa"/>
                  <w:vAlign w:val="center"/>
                </w:tcPr>
                <w:p>
                  <w:pPr>
                    <w:pStyle w:val="34"/>
                    <w:bidi w:val="0"/>
                    <w:rPr>
                      <w:rFonts w:hint="default"/>
                      <w:lang w:val="en-US" w:eastAsia="zh-CN"/>
                    </w:rPr>
                  </w:pPr>
                  <w:r>
                    <w:rPr>
                      <w:rFonts w:hint="eastAsia"/>
                      <w:lang w:val="en-US" w:eastAsia="zh-CN"/>
                    </w:rPr>
                    <w:t>/</w:t>
                  </w:r>
                </w:p>
              </w:tc>
              <w:tc>
                <w:tcPr>
                  <w:tcW w:w="808" w:type="dxa"/>
                  <w:vAlign w:val="center"/>
                </w:tcPr>
                <w:p>
                  <w:pPr>
                    <w:pStyle w:val="34"/>
                    <w:bidi w:val="0"/>
                    <w:rPr>
                      <w:rFonts w:hint="default"/>
                      <w:lang w:val="en-US" w:eastAsia="zh-CN"/>
                    </w:rPr>
                  </w:pPr>
                  <w:r>
                    <w:rPr>
                      <w:rFonts w:hint="eastAsia"/>
                      <w:lang w:val="en-US" w:eastAsia="zh-CN"/>
                    </w:rPr>
                    <w:t>/</w:t>
                  </w:r>
                </w:p>
              </w:tc>
              <w:tc>
                <w:tcPr>
                  <w:tcW w:w="895" w:type="dxa"/>
                  <w:vAlign w:val="center"/>
                </w:tcPr>
                <w:p>
                  <w:pPr>
                    <w:pStyle w:val="34"/>
                    <w:bidi w:val="0"/>
                    <w:rPr>
                      <w:rFonts w:hint="default"/>
                      <w:lang w:val="en-US" w:eastAsia="zh-CN"/>
                    </w:rPr>
                  </w:pPr>
                  <w:r>
                    <w:rPr>
                      <w:rFonts w:hint="eastAsia"/>
                      <w:lang w:val="en-US" w:eastAsia="zh-CN"/>
                    </w:rPr>
                    <w:t>密闭式厂房</w:t>
                  </w:r>
                </w:p>
              </w:tc>
              <w:tc>
                <w:tcPr>
                  <w:tcW w:w="747" w:type="dxa"/>
                  <w:vAlign w:val="center"/>
                </w:tcPr>
                <w:p>
                  <w:pPr>
                    <w:pStyle w:val="34"/>
                    <w:bidi w:val="0"/>
                    <w:rPr>
                      <w:rFonts w:hint="default"/>
                      <w:lang w:val="en-US" w:eastAsia="zh-CN"/>
                    </w:rPr>
                  </w:pPr>
                  <w:r>
                    <w:rPr>
                      <w:rFonts w:hint="eastAsia"/>
                      <w:lang w:val="en-US" w:eastAsia="zh-CN"/>
                    </w:rPr>
                    <w:t>/</w:t>
                  </w:r>
                </w:p>
              </w:tc>
              <w:tc>
                <w:tcPr>
                  <w:tcW w:w="699" w:type="dxa"/>
                  <w:vAlign w:val="center"/>
                </w:tcPr>
                <w:p>
                  <w:pPr>
                    <w:pStyle w:val="34"/>
                    <w:bidi w:val="0"/>
                    <w:rPr>
                      <w:rFonts w:hint="default"/>
                      <w:lang w:val="en-US" w:eastAsia="zh-CN"/>
                    </w:rPr>
                  </w:pPr>
                  <w:r>
                    <w:rPr>
                      <w:rFonts w:hint="eastAsia"/>
                      <w:lang w:val="en-US" w:eastAsia="zh-CN"/>
                    </w:rPr>
                    <w:t>/</w:t>
                  </w:r>
                </w:p>
              </w:tc>
              <w:tc>
                <w:tcPr>
                  <w:tcW w:w="649" w:type="dxa"/>
                  <w:vAlign w:val="center"/>
                </w:tcPr>
                <w:p>
                  <w:pPr>
                    <w:pStyle w:val="34"/>
                    <w:bidi w:val="0"/>
                    <w:rPr>
                      <w:rFonts w:hint="default"/>
                      <w:lang w:val="en-US" w:eastAsia="zh-CN"/>
                    </w:rPr>
                  </w:pPr>
                  <w:r>
                    <w:rPr>
                      <w:rFonts w:hint="eastAsia"/>
                      <w:lang w:val="en-US" w:eastAsia="zh-CN"/>
                    </w:rPr>
                    <w:t>50</w:t>
                  </w:r>
                </w:p>
              </w:tc>
              <w:tc>
                <w:tcPr>
                  <w:tcW w:w="697" w:type="dxa"/>
                  <w:vAlign w:val="center"/>
                </w:tcPr>
                <w:p>
                  <w:pPr>
                    <w:pStyle w:val="34"/>
                    <w:bidi w:val="0"/>
                    <w:rPr>
                      <w:rFonts w:hint="default"/>
                      <w:lang w:val="en-US" w:eastAsia="zh-CN"/>
                    </w:rPr>
                  </w:pPr>
                  <w:r>
                    <w:rPr>
                      <w:rFonts w:hint="eastAsia"/>
                      <w:lang w:val="en-US" w:eastAsia="zh-CN"/>
                    </w:rPr>
                    <w:t>是</w:t>
                  </w:r>
                </w:p>
              </w:tc>
              <w:tc>
                <w:tcPr>
                  <w:tcW w:w="710" w:type="dxa"/>
                  <w:vAlign w:val="center"/>
                </w:tcPr>
                <w:p>
                  <w:pPr>
                    <w:pStyle w:val="34"/>
                    <w:bidi w:val="0"/>
                    <w:rPr>
                      <w:rFonts w:hint="default"/>
                      <w:lang w:val="en-US" w:eastAsia="zh-CN"/>
                    </w:rPr>
                  </w:pPr>
                  <w:r>
                    <w:rPr>
                      <w:rFonts w:hint="eastAsia"/>
                      <w:lang w:val="en-US" w:eastAsia="zh-CN"/>
                    </w:rPr>
                    <w:t>0.102</w:t>
                  </w:r>
                </w:p>
              </w:tc>
              <w:tc>
                <w:tcPr>
                  <w:tcW w:w="657" w:type="dxa"/>
                  <w:vAlign w:val="center"/>
                </w:tcPr>
                <w:p>
                  <w:pPr>
                    <w:pStyle w:val="34"/>
                    <w:bidi w:val="0"/>
                    <w:rPr>
                      <w:rFonts w:hint="default"/>
                      <w:lang w:val="en-US" w:eastAsia="zh-CN"/>
                    </w:rPr>
                  </w:pPr>
                  <w:r>
                    <w:rPr>
                      <w:rFonts w:hint="eastAsia"/>
                      <w:lang w:val="en-US" w:eastAsia="zh-CN"/>
                    </w:rPr>
                    <w:t>0.04</w:t>
                  </w:r>
                </w:p>
              </w:tc>
              <w:tc>
                <w:tcPr>
                  <w:tcW w:w="825" w:type="dxa"/>
                  <w:vAlign w:val="center"/>
                </w:tcPr>
                <w:p>
                  <w:pPr>
                    <w:pStyle w:val="34"/>
                    <w:bidi w:val="0"/>
                    <w:rPr>
                      <w:rFonts w:hint="eastAsia"/>
                      <w:lang w:val="en-US" w:eastAsia="zh-CN"/>
                    </w:rPr>
                  </w:pPr>
                  <w:r>
                    <w:rPr>
                      <w:rFonts w:hint="eastAsia"/>
                      <w:lang w:val="en-US" w:eastAsia="zh-CN"/>
                    </w:rPr>
                    <w:t>/</w:t>
                  </w:r>
                </w:p>
              </w:tc>
              <w:tc>
                <w:tcPr>
                  <w:tcW w:w="659" w:type="dxa"/>
                  <w:vAlign w:val="center"/>
                </w:tcPr>
                <w:p>
                  <w:pPr>
                    <w:pStyle w:val="34"/>
                    <w:bidi w:val="0"/>
                    <w:rPr>
                      <w:rFonts w:hint="eastAsia"/>
                      <w:lang w:val="en-US" w:eastAsia="zh-CN"/>
                    </w:rPr>
                  </w:pPr>
                  <w:r>
                    <w:rPr>
                      <w:rFonts w:hint="eastAsia"/>
                      <w:lang w:val="en-US" w:eastAsia="zh-CN"/>
                    </w:rPr>
                    <w:t>/</w:t>
                  </w:r>
                </w:p>
              </w:tc>
              <w:tc>
                <w:tcPr>
                  <w:tcW w:w="808" w:type="dxa"/>
                  <w:vAlign w:val="center"/>
                </w:tcPr>
                <w:p>
                  <w:pPr>
                    <w:pStyle w:val="34"/>
                    <w:bidi w:val="0"/>
                    <w:rPr>
                      <w:rFonts w:hint="default"/>
                      <w:lang w:val="en-US" w:eastAsia="zh-CN"/>
                    </w:rPr>
                  </w:pPr>
                  <w:r>
                    <w:rPr>
                      <w:rFonts w:hint="eastAsia"/>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5" w:hRule="atLeast"/>
                <w:jc w:val="center"/>
              </w:trPr>
              <w:tc>
                <w:tcPr>
                  <w:tcW w:w="466" w:type="dxa"/>
                  <w:vMerge w:val="continue"/>
                  <w:vAlign w:val="center"/>
                </w:tcPr>
                <w:p>
                  <w:pPr>
                    <w:pStyle w:val="34"/>
                    <w:bidi w:val="0"/>
                    <w:rPr>
                      <w:rFonts w:hint="eastAsia"/>
                      <w:lang w:val="en-US" w:eastAsia="zh-CN"/>
                    </w:rPr>
                  </w:pPr>
                </w:p>
              </w:tc>
              <w:tc>
                <w:tcPr>
                  <w:tcW w:w="674" w:type="dxa"/>
                  <w:vAlign w:val="center"/>
                </w:tcPr>
                <w:p>
                  <w:pPr>
                    <w:pStyle w:val="34"/>
                    <w:bidi w:val="0"/>
                    <w:rPr>
                      <w:rFonts w:hint="default"/>
                      <w:lang w:val="en-US" w:eastAsia="zh-CN"/>
                    </w:rPr>
                  </w:pPr>
                  <w:r>
                    <w:rPr>
                      <w:rFonts w:hint="eastAsia"/>
                      <w:lang w:val="en-US" w:eastAsia="zh-CN"/>
                    </w:rPr>
                    <w:t>食堂</w:t>
                  </w:r>
                </w:p>
              </w:tc>
              <w:tc>
                <w:tcPr>
                  <w:tcW w:w="758" w:type="dxa"/>
                  <w:vAlign w:val="center"/>
                </w:tcPr>
                <w:p>
                  <w:pPr>
                    <w:pStyle w:val="34"/>
                    <w:bidi w:val="0"/>
                    <w:rPr>
                      <w:rFonts w:hint="default"/>
                      <w:lang w:val="en-US" w:eastAsia="zh-CN"/>
                    </w:rPr>
                  </w:pPr>
                  <w:r>
                    <w:rPr>
                      <w:rFonts w:hint="eastAsia"/>
                      <w:lang w:val="en-US" w:eastAsia="zh-CN"/>
                    </w:rPr>
                    <w:t>有组织</w:t>
                  </w:r>
                </w:p>
              </w:tc>
              <w:tc>
                <w:tcPr>
                  <w:tcW w:w="685" w:type="dxa"/>
                  <w:vAlign w:val="center"/>
                </w:tcPr>
                <w:p>
                  <w:pPr>
                    <w:pStyle w:val="34"/>
                    <w:bidi w:val="0"/>
                    <w:rPr>
                      <w:rFonts w:hint="default"/>
                      <w:lang w:val="en-US" w:eastAsia="zh-CN"/>
                    </w:rPr>
                  </w:pPr>
                  <w:r>
                    <w:rPr>
                      <w:rFonts w:hint="eastAsia"/>
                      <w:lang w:val="en-US" w:eastAsia="zh-CN"/>
                    </w:rPr>
                    <w:t>食堂油烟</w:t>
                  </w:r>
                </w:p>
              </w:tc>
              <w:tc>
                <w:tcPr>
                  <w:tcW w:w="722" w:type="dxa"/>
                  <w:vAlign w:val="center"/>
                </w:tcPr>
                <w:p>
                  <w:pPr>
                    <w:pStyle w:val="34"/>
                    <w:bidi w:val="0"/>
                    <w:rPr>
                      <w:rFonts w:hint="default"/>
                      <w:lang w:val="en-US" w:eastAsia="zh-CN"/>
                    </w:rPr>
                  </w:pPr>
                  <w:r>
                    <w:rPr>
                      <w:rFonts w:hint="eastAsia"/>
                      <w:lang w:val="en-US" w:eastAsia="zh-CN"/>
                    </w:rPr>
                    <w:t>0.0027</w:t>
                  </w:r>
                </w:p>
              </w:tc>
              <w:tc>
                <w:tcPr>
                  <w:tcW w:w="747" w:type="dxa"/>
                  <w:vAlign w:val="center"/>
                </w:tcPr>
                <w:p>
                  <w:pPr>
                    <w:pStyle w:val="34"/>
                    <w:bidi w:val="0"/>
                    <w:rPr>
                      <w:rFonts w:hint="default"/>
                      <w:lang w:val="en-US" w:eastAsia="zh-CN"/>
                    </w:rPr>
                  </w:pPr>
                  <w:r>
                    <w:rPr>
                      <w:rFonts w:hint="eastAsia"/>
                      <w:lang w:val="en-US" w:eastAsia="zh-CN"/>
                    </w:rPr>
                    <w:t>0.0023</w:t>
                  </w:r>
                </w:p>
              </w:tc>
              <w:tc>
                <w:tcPr>
                  <w:tcW w:w="796" w:type="dxa"/>
                  <w:vAlign w:val="center"/>
                </w:tcPr>
                <w:p>
                  <w:pPr>
                    <w:pStyle w:val="34"/>
                    <w:bidi w:val="0"/>
                    <w:rPr>
                      <w:rFonts w:hint="default"/>
                      <w:lang w:val="en-US" w:eastAsia="zh-CN"/>
                    </w:rPr>
                  </w:pPr>
                  <w:r>
                    <w:rPr>
                      <w:rFonts w:hint="eastAsia"/>
                      <w:lang w:val="en-US" w:eastAsia="zh-CN"/>
                    </w:rPr>
                    <w:t>1.125</w:t>
                  </w:r>
                </w:p>
              </w:tc>
              <w:tc>
                <w:tcPr>
                  <w:tcW w:w="808" w:type="dxa"/>
                  <w:vAlign w:val="center"/>
                </w:tcPr>
                <w:p>
                  <w:pPr>
                    <w:pStyle w:val="34"/>
                    <w:bidi w:val="0"/>
                    <w:rPr>
                      <w:rFonts w:hint="default"/>
                      <w:lang w:val="en-US" w:eastAsia="zh-CN"/>
                    </w:rPr>
                  </w:pPr>
                  <w:r>
                    <w:rPr>
                      <w:rFonts w:hint="eastAsia"/>
                      <w:lang w:val="en-US" w:eastAsia="zh-CN"/>
                    </w:rPr>
                    <w:t>TA002</w:t>
                  </w:r>
                </w:p>
              </w:tc>
              <w:tc>
                <w:tcPr>
                  <w:tcW w:w="895" w:type="dxa"/>
                  <w:vAlign w:val="center"/>
                </w:tcPr>
                <w:p>
                  <w:pPr>
                    <w:pStyle w:val="34"/>
                    <w:bidi w:val="0"/>
                    <w:rPr>
                      <w:rFonts w:hint="eastAsia"/>
                      <w:lang w:val="en-US" w:eastAsia="zh-CN"/>
                    </w:rPr>
                  </w:pPr>
                  <w:r>
                    <w:rPr>
                      <w:rFonts w:hint="eastAsia"/>
                      <w:lang w:val="en-US" w:eastAsia="zh-CN"/>
                    </w:rPr>
                    <w:t>抽油烟机</w:t>
                  </w:r>
                </w:p>
              </w:tc>
              <w:tc>
                <w:tcPr>
                  <w:tcW w:w="747" w:type="dxa"/>
                  <w:vAlign w:val="center"/>
                </w:tcPr>
                <w:p>
                  <w:pPr>
                    <w:pStyle w:val="34"/>
                    <w:bidi w:val="0"/>
                    <w:rPr>
                      <w:rFonts w:hint="default"/>
                      <w:lang w:val="en-US" w:eastAsia="zh-CN"/>
                    </w:rPr>
                  </w:pPr>
                  <w:r>
                    <w:rPr>
                      <w:rFonts w:hint="eastAsia"/>
                      <w:lang w:val="en-US" w:eastAsia="zh-CN"/>
                    </w:rPr>
                    <w:t>2000</w:t>
                  </w:r>
                </w:p>
              </w:tc>
              <w:tc>
                <w:tcPr>
                  <w:tcW w:w="699" w:type="dxa"/>
                  <w:vAlign w:val="center"/>
                </w:tcPr>
                <w:p>
                  <w:pPr>
                    <w:pStyle w:val="34"/>
                    <w:bidi w:val="0"/>
                    <w:rPr>
                      <w:rFonts w:hint="default"/>
                      <w:lang w:val="en-US" w:eastAsia="zh-CN"/>
                    </w:rPr>
                  </w:pPr>
                  <w:r>
                    <w:rPr>
                      <w:rFonts w:hint="eastAsia"/>
                      <w:lang w:val="en-US" w:eastAsia="zh-CN"/>
                    </w:rPr>
                    <w:t>100</w:t>
                  </w:r>
                </w:p>
              </w:tc>
              <w:tc>
                <w:tcPr>
                  <w:tcW w:w="649" w:type="dxa"/>
                  <w:vAlign w:val="center"/>
                </w:tcPr>
                <w:p>
                  <w:pPr>
                    <w:pStyle w:val="34"/>
                    <w:bidi w:val="0"/>
                    <w:rPr>
                      <w:rFonts w:hint="default"/>
                      <w:lang w:val="en-US" w:eastAsia="zh-CN"/>
                    </w:rPr>
                  </w:pPr>
                  <w:r>
                    <w:rPr>
                      <w:rFonts w:hint="eastAsia"/>
                      <w:lang w:val="en-US" w:eastAsia="zh-CN"/>
                    </w:rPr>
                    <w:t>60</w:t>
                  </w:r>
                </w:p>
              </w:tc>
              <w:tc>
                <w:tcPr>
                  <w:tcW w:w="697" w:type="dxa"/>
                  <w:vAlign w:val="center"/>
                </w:tcPr>
                <w:p>
                  <w:pPr>
                    <w:pStyle w:val="34"/>
                    <w:bidi w:val="0"/>
                    <w:rPr>
                      <w:rFonts w:hint="default"/>
                      <w:lang w:val="en-US" w:eastAsia="zh-CN"/>
                    </w:rPr>
                  </w:pPr>
                  <w:r>
                    <w:rPr>
                      <w:rFonts w:hint="eastAsia"/>
                      <w:lang w:val="en-US" w:eastAsia="zh-CN"/>
                    </w:rPr>
                    <w:t>是</w:t>
                  </w:r>
                </w:p>
              </w:tc>
              <w:tc>
                <w:tcPr>
                  <w:tcW w:w="710" w:type="dxa"/>
                  <w:vAlign w:val="center"/>
                </w:tcPr>
                <w:p>
                  <w:pPr>
                    <w:pStyle w:val="34"/>
                    <w:bidi w:val="0"/>
                    <w:rPr>
                      <w:rFonts w:hint="default"/>
                      <w:lang w:val="en-US" w:eastAsia="zh-CN"/>
                    </w:rPr>
                  </w:pPr>
                  <w:r>
                    <w:rPr>
                      <w:rFonts w:hint="eastAsia"/>
                      <w:lang w:val="en-US" w:eastAsia="zh-CN"/>
                    </w:rPr>
                    <w:t>0.001</w:t>
                  </w:r>
                </w:p>
              </w:tc>
              <w:tc>
                <w:tcPr>
                  <w:tcW w:w="657" w:type="dxa"/>
                  <w:vAlign w:val="center"/>
                </w:tcPr>
                <w:p>
                  <w:pPr>
                    <w:pStyle w:val="34"/>
                    <w:bidi w:val="0"/>
                    <w:rPr>
                      <w:rFonts w:hint="default"/>
                      <w:lang w:val="en-US" w:eastAsia="zh-CN"/>
                    </w:rPr>
                  </w:pPr>
                  <w:r>
                    <w:rPr>
                      <w:rFonts w:hint="eastAsia"/>
                      <w:lang w:val="en-US" w:eastAsia="zh-CN"/>
                    </w:rPr>
                    <w:t>0.0009</w:t>
                  </w:r>
                </w:p>
              </w:tc>
              <w:tc>
                <w:tcPr>
                  <w:tcW w:w="825" w:type="dxa"/>
                  <w:vAlign w:val="center"/>
                </w:tcPr>
                <w:p>
                  <w:pPr>
                    <w:pStyle w:val="34"/>
                    <w:bidi w:val="0"/>
                    <w:rPr>
                      <w:rFonts w:hint="default"/>
                      <w:lang w:val="en-US" w:eastAsia="zh-CN"/>
                    </w:rPr>
                  </w:pPr>
                  <w:r>
                    <w:rPr>
                      <w:rFonts w:hint="eastAsia"/>
                      <w:lang w:val="en-US" w:eastAsia="zh-CN"/>
                    </w:rPr>
                    <w:t>0.45</w:t>
                  </w:r>
                </w:p>
              </w:tc>
              <w:tc>
                <w:tcPr>
                  <w:tcW w:w="659" w:type="dxa"/>
                  <w:vAlign w:val="center"/>
                </w:tcPr>
                <w:p>
                  <w:pPr>
                    <w:pStyle w:val="34"/>
                    <w:bidi w:val="0"/>
                    <w:rPr>
                      <w:rFonts w:hint="default"/>
                      <w:lang w:val="en-US" w:eastAsia="zh-CN"/>
                    </w:rPr>
                  </w:pPr>
                  <w:r>
                    <w:rPr>
                      <w:rFonts w:hint="eastAsia"/>
                      <w:lang w:val="en-US" w:eastAsia="zh-CN"/>
                    </w:rPr>
                    <w:t>DA002</w:t>
                  </w:r>
                </w:p>
              </w:tc>
              <w:tc>
                <w:tcPr>
                  <w:tcW w:w="808" w:type="dxa"/>
                  <w:vAlign w:val="center"/>
                </w:tcPr>
                <w:p>
                  <w:pPr>
                    <w:pStyle w:val="34"/>
                    <w:bidi w:val="0"/>
                    <w:rPr>
                      <w:rFonts w:hint="default"/>
                      <w:lang w:val="en-US" w:eastAsia="zh-CN"/>
                    </w:rPr>
                  </w:pPr>
                  <w:r>
                    <w:rPr>
                      <w:rFonts w:hint="eastAsia"/>
                      <w:lang w:val="en-US" w:eastAsia="zh-CN"/>
                    </w:rPr>
                    <w:t>2</w:t>
                  </w:r>
                </w:p>
              </w:tc>
            </w:tr>
          </w:tbl>
          <w:p>
            <w:pPr>
              <w:pStyle w:val="34"/>
              <w:bidi w:val="0"/>
              <w:rPr>
                <w:rFonts w:hint="eastAsia"/>
                <w:lang w:val="en-US" w:eastAsia="zh-CN"/>
              </w:rPr>
            </w:pPr>
          </w:p>
        </w:tc>
      </w:tr>
    </w:tbl>
    <w:p>
      <w:pPr>
        <w:pStyle w:val="10"/>
        <w:rPr>
          <w:rFonts w:hint="eastAsi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89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8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9" w:hRule="atLeast"/>
        </w:trPr>
        <w:tc>
          <w:tcPr>
            <w:tcW w:w="973" w:type="dxa"/>
          </w:tcPr>
          <w:p>
            <w:pPr>
              <w:pStyle w:val="10"/>
              <w:rPr>
                <w:rFonts w:hint="eastAsia"/>
                <w:vertAlign w:val="baseline"/>
              </w:rPr>
            </w:pPr>
          </w:p>
        </w:tc>
        <w:tc>
          <w:tcPr>
            <w:tcW w:w="8021" w:type="dxa"/>
          </w:tcPr>
          <w:p>
            <w:pPr>
              <w:pStyle w:val="36"/>
              <w:bidi w:val="0"/>
              <w:rPr>
                <w:rFonts w:hint="eastAsia"/>
                <w:lang w:val="en-US" w:eastAsia="zh-CN"/>
              </w:rPr>
            </w:pPr>
            <w:r>
              <w:rPr>
                <w:rFonts w:hint="eastAsia"/>
                <w:lang w:val="en-US" w:eastAsia="zh-CN"/>
              </w:rPr>
              <w:t>表4-2    排放口基本情况一览表</w:t>
            </w:r>
          </w:p>
          <w:tbl>
            <w:tblPr>
              <w:tblStyle w:val="20"/>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
              <w:gridCol w:w="632"/>
              <w:gridCol w:w="613"/>
              <w:gridCol w:w="649"/>
              <w:gridCol w:w="1747"/>
              <w:gridCol w:w="787"/>
              <w:gridCol w:w="787"/>
              <w:gridCol w:w="832"/>
              <w:gridCol w:w="729"/>
              <w:gridCol w:w="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 w:type="pct"/>
                  <w:noWrap w:val="0"/>
                  <w:vAlign w:val="center"/>
                </w:tcPr>
                <w:p>
                  <w:pPr>
                    <w:pStyle w:val="34"/>
                    <w:bidi w:val="0"/>
                    <w:rPr>
                      <w:rFonts w:hint="eastAsia"/>
                      <w:lang w:val="en-US" w:eastAsia="zh-CN"/>
                    </w:rPr>
                  </w:pPr>
                  <w:r>
                    <w:rPr>
                      <w:rFonts w:hint="eastAsia"/>
                      <w:lang w:val="en-US" w:eastAsia="zh-CN"/>
                    </w:rPr>
                    <w:t>序号</w:t>
                  </w:r>
                </w:p>
              </w:tc>
              <w:tc>
                <w:tcPr>
                  <w:tcW w:w="405" w:type="pct"/>
                  <w:noWrap w:val="0"/>
                  <w:vAlign w:val="center"/>
                </w:tcPr>
                <w:p>
                  <w:pPr>
                    <w:pStyle w:val="34"/>
                    <w:bidi w:val="0"/>
                    <w:rPr>
                      <w:rFonts w:hint="eastAsia"/>
                      <w:lang w:val="en-US" w:eastAsia="zh-CN"/>
                    </w:rPr>
                  </w:pPr>
                  <w:r>
                    <w:rPr>
                      <w:rFonts w:hint="eastAsia"/>
                      <w:lang w:val="en-US" w:eastAsia="zh-CN"/>
                    </w:rPr>
                    <w:t>排放口名称</w:t>
                  </w:r>
                </w:p>
              </w:tc>
              <w:tc>
                <w:tcPr>
                  <w:tcW w:w="393" w:type="pct"/>
                  <w:noWrap w:val="0"/>
                  <w:vAlign w:val="center"/>
                </w:tcPr>
                <w:p>
                  <w:pPr>
                    <w:pStyle w:val="34"/>
                    <w:bidi w:val="0"/>
                    <w:rPr>
                      <w:rFonts w:hint="eastAsia"/>
                      <w:lang w:val="en-US" w:eastAsia="zh-CN"/>
                    </w:rPr>
                  </w:pPr>
                  <w:r>
                    <w:rPr>
                      <w:rFonts w:hint="eastAsia"/>
                      <w:lang w:val="en-US" w:eastAsia="zh-CN"/>
                    </w:rPr>
                    <w:t>排放口编号</w:t>
                  </w:r>
                </w:p>
              </w:tc>
              <w:tc>
                <w:tcPr>
                  <w:tcW w:w="416" w:type="pct"/>
                  <w:noWrap w:val="0"/>
                  <w:vAlign w:val="center"/>
                </w:tcPr>
                <w:p>
                  <w:pPr>
                    <w:pStyle w:val="34"/>
                    <w:bidi w:val="0"/>
                    <w:rPr>
                      <w:rFonts w:hint="eastAsia"/>
                      <w:lang w:val="en-US" w:eastAsia="zh-CN"/>
                    </w:rPr>
                  </w:pPr>
                  <w:r>
                    <w:rPr>
                      <w:rFonts w:hint="eastAsia"/>
                      <w:lang w:val="en-US" w:eastAsia="zh-CN"/>
                    </w:rPr>
                    <w:t>污染物种类</w:t>
                  </w:r>
                </w:p>
              </w:tc>
              <w:tc>
                <w:tcPr>
                  <w:tcW w:w="1119" w:type="pct"/>
                  <w:noWrap w:val="0"/>
                  <w:vAlign w:val="center"/>
                </w:tcPr>
                <w:p>
                  <w:pPr>
                    <w:pStyle w:val="34"/>
                    <w:bidi w:val="0"/>
                    <w:rPr>
                      <w:rFonts w:hint="eastAsia"/>
                      <w:lang w:val="en-US" w:eastAsia="zh-CN"/>
                    </w:rPr>
                  </w:pPr>
                  <w:r>
                    <w:rPr>
                      <w:rFonts w:hint="eastAsia"/>
                      <w:highlight w:val="none"/>
                      <w:lang w:val="en-US" w:eastAsia="zh-CN"/>
                    </w:rPr>
                    <w:t>地理坐标</w:t>
                  </w:r>
                </w:p>
              </w:tc>
              <w:tc>
                <w:tcPr>
                  <w:tcW w:w="504" w:type="pct"/>
                  <w:noWrap w:val="0"/>
                  <w:vAlign w:val="center"/>
                </w:tcPr>
                <w:p>
                  <w:pPr>
                    <w:pStyle w:val="34"/>
                    <w:bidi w:val="0"/>
                    <w:rPr>
                      <w:rFonts w:hint="eastAsia"/>
                      <w:lang w:val="en-US" w:eastAsia="zh-CN"/>
                    </w:rPr>
                  </w:pPr>
                  <w:r>
                    <w:rPr>
                      <w:rFonts w:hint="eastAsia"/>
                      <w:lang w:val="en-US" w:eastAsia="zh-CN"/>
                    </w:rPr>
                    <w:t>排气筒高度（m）</w:t>
                  </w:r>
                </w:p>
              </w:tc>
              <w:tc>
                <w:tcPr>
                  <w:tcW w:w="504" w:type="pct"/>
                  <w:noWrap w:val="0"/>
                  <w:vAlign w:val="center"/>
                </w:tcPr>
                <w:p>
                  <w:pPr>
                    <w:pStyle w:val="34"/>
                    <w:bidi w:val="0"/>
                    <w:rPr>
                      <w:rFonts w:hint="eastAsia"/>
                      <w:lang w:val="en-US" w:eastAsia="zh-CN"/>
                    </w:rPr>
                  </w:pPr>
                  <w:r>
                    <w:rPr>
                      <w:rFonts w:hint="eastAsia"/>
                      <w:lang w:val="en-US" w:eastAsia="zh-CN"/>
                    </w:rPr>
                    <w:t>排气筒内径（m）</w:t>
                  </w:r>
                </w:p>
              </w:tc>
              <w:tc>
                <w:tcPr>
                  <w:tcW w:w="533" w:type="pct"/>
                  <w:noWrap w:val="0"/>
                  <w:vAlign w:val="center"/>
                </w:tcPr>
                <w:p>
                  <w:pPr>
                    <w:pStyle w:val="34"/>
                    <w:bidi w:val="0"/>
                    <w:rPr>
                      <w:rFonts w:hint="eastAsia"/>
                      <w:lang w:val="en-US" w:eastAsia="zh-CN"/>
                    </w:rPr>
                  </w:pPr>
                  <w:r>
                    <w:rPr>
                      <w:rFonts w:hint="eastAsia"/>
                      <w:lang w:val="en-US" w:eastAsia="zh-CN"/>
                    </w:rPr>
                    <w:t>烟气温度（℃）</w:t>
                  </w:r>
                </w:p>
              </w:tc>
              <w:tc>
                <w:tcPr>
                  <w:tcW w:w="467" w:type="pct"/>
                  <w:noWrap w:val="0"/>
                  <w:vAlign w:val="center"/>
                </w:tcPr>
                <w:p>
                  <w:pPr>
                    <w:pStyle w:val="34"/>
                    <w:bidi w:val="0"/>
                    <w:rPr>
                      <w:rFonts w:hint="eastAsia"/>
                      <w:lang w:val="en-US" w:eastAsia="zh-CN"/>
                    </w:rPr>
                  </w:pPr>
                  <w:r>
                    <w:rPr>
                      <w:rFonts w:hint="eastAsia"/>
                      <w:lang w:val="en-US" w:eastAsia="zh-CN"/>
                    </w:rPr>
                    <w:t>年排放小时数（h）</w:t>
                  </w:r>
                </w:p>
              </w:tc>
              <w:tc>
                <w:tcPr>
                  <w:tcW w:w="385" w:type="pct"/>
                  <w:noWrap w:val="0"/>
                  <w:vAlign w:val="center"/>
                </w:tcPr>
                <w:p>
                  <w:pPr>
                    <w:pStyle w:val="34"/>
                    <w:bidi w:val="0"/>
                    <w:rPr>
                      <w:rFonts w:hint="eastAsia"/>
                      <w:lang w:val="en-US" w:eastAsia="zh-CN"/>
                    </w:rPr>
                  </w:pPr>
                  <w:r>
                    <w:rPr>
                      <w:rFonts w:hint="eastAsia"/>
                      <w:lang w:val="en-US" w:eastAsia="zh-CN"/>
                    </w:rPr>
                    <w:t>排气筒类型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68" w:type="pct"/>
                  <w:noWrap w:val="0"/>
                  <w:vAlign w:val="center"/>
                </w:tcPr>
                <w:p>
                  <w:pPr>
                    <w:pStyle w:val="34"/>
                    <w:bidi w:val="0"/>
                    <w:rPr>
                      <w:rFonts w:hint="eastAsia"/>
                      <w:lang w:val="en-US" w:eastAsia="zh-CN"/>
                    </w:rPr>
                  </w:pPr>
                  <w:r>
                    <w:rPr>
                      <w:rFonts w:hint="eastAsia"/>
                      <w:lang w:val="en-US" w:eastAsia="zh-CN"/>
                    </w:rPr>
                    <w:t>1</w:t>
                  </w:r>
                </w:p>
              </w:tc>
              <w:tc>
                <w:tcPr>
                  <w:tcW w:w="405" w:type="pct"/>
                  <w:noWrap w:val="0"/>
                  <w:vAlign w:val="center"/>
                </w:tcPr>
                <w:p>
                  <w:pPr>
                    <w:pStyle w:val="34"/>
                    <w:bidi w:val="0"/>
                    <w:rPr>
                      <w:rFonts w:hint="default"/>
                      <w:lang w:val="en-US" w:eastAsia="zh-CN"/>
                    </w:rPr>
                  </w:pPr>
                  <w:r>
                    <w:rPr>
                      <w:rFonts w:hint="eastAsia"/>
                      <w:lang w:val="en-US" w:eastAsia="zh-CN"/>
                    </w:rPr>
                    <w:t>投料、干混搅拌废气</w:t>
                  </w:r>
                </w:p>
              </w:tc>
              <w:tc>
                <w:tcPr>
                  <w:tcW w:w="393" w:type="pct"/>
                  <w:noWrap w:val="0"/>
                  <w:vAlign w:val="center"/>
                </w:tcPr>
                <w:p>
                  <w:pPr>
                    <w:pStyle w:val="34"/>
                    <w:bidi w:val="0"/>
                    <w:rPr>
                      <w:rFonts w:hint="default"/>
                      <w:lang w:val="en-US" w:eastAsia="zh-CN"/>
                    </w:rPr>
                  </w:pPr>
                  <w:r>
                    <w:rPr>
                      <w:rFonts w:hint="eastAsia"/>
                      <w:lang w:val="en-US" w:eastAsia="zh-CN"/>
                    </w:rPr>
                    <w:t>DA001</w:t>
                  </w:r>
                </w:p>
              </w:tc>
              <w:tc>
                <w:tcPr>
                  <w:tcW w:w="416" w:type="pct"/>
                  <w:noWrap w:val="0"/>
                  <w:vAlign w:val="center"/>
                </w:tcPr>
                <w:p>
                  <w:pPr>
                    <w:pStyle w:val="34"/>
                    <w:bidi w:val="0"/>
                    <w:rPr>
                      <w:rFonts w:hint="default"/>
                      <w:lang w:val="en-US" w:eastAsia="zh-CN"/>
                    </w:rPr>
                  </w:pPr>
                  <w:r>
                    <w:rPr>
                      <w:rFonts w:hint="eastAsia"/>
                      <w:lang w:val="en-US" w:eastAsia="zh-CN"/>
                    </w:rPr>
                    <w:t>颗粒物</w:t>
                  </w:r>
                </w:p>
              </w:tc>
              <w:tc>
                <w:tcPr>
                  <w:tcW w:w="1119" w:type="pct"/>
                  <w:noWrap w:val="0"/>
                  <w:vAlign w:val="center"/>
                </w:tcPr>
                <w:p>
                  <w:pPr>
                    <w:pStyle w:val="34"/>
                    <w:bidi w:val="0"/>
                    <w:rPr>
                      <w:rFonts w:hint="default" w:ascii="Times New Roman" w:hAnsi="Times New Roman" w:cs="Times New Roman"/>
                      <w:lang w:val="en-US" w:eastAsia="zh-CN"/>
                    </w:rPr>
                  </w:pPr>
                  <w:r>
                    <w:rPr>
                      <w:rFonts w:hint="eastAsia" w:ascii="Times New Roman" w:hAnsi="Times New Roman" w:cs="Times New Roman"/>
                      <w:lang w:val="en-US" w:eastAsia="zh-CN"/>
                    </w:rPr>
                    <w:t>E</w:t>
                  </w:r>
                  <w:r>
                    <w:rPr>
                      <w:rFonts w:hint="eastAsia" w:cs="Times New Roman"/>
                      <w:lang w:val="en-US" w:eastAsia="zh-CN"/>
                    </w:rPr>
                    <w:t>：</w:t>
                  </w:r>
                  <w:r>
                    <w:rPr>
                      <w:rFonts w:hint="default" w:ascii="Times New Roman" w:hAnsi="Times New Roman" w:cs="Times New Roman"/>
                      <w:lang w:val="en-US" w:eastAsia="zh-CN"/>
                    </w:rPr>
                    <w:t>85°54′34.003″</w:t>
                  </w:r>
                </w:p>
                <w:p>
                  <w:pPr>
                    <w:pStyle w:val="34"/>
                    <w:bidi w:val="0"/>
                    <w:rPr>
                      <w:rFonts w:hint="default" w:ascii="Times New Roman" w:hAnsi="Times New Roman" w:cs="Times New Roman"/>
                      <w:lang w:val="en-US" w:eastAsia="zh-CN"/>
                    </w:rPr>
                  </w:pPr>
                  <w:r>
                    <w:rPr>
                      <w:rFonts w:hint="eastAsia" w:ascii="Times New Roman" w:hAnsi="Times New Roman" w:cs="Times New Roman"/>
                      <w:lang w:val="en-US" w:eastAsia="zh-CN"/>
                    </w:rPr>
                    <w:t>N</w:t>
                  </w:r>
                  <w:r>
                    <w:rPr>
                      <w:rFonts w:hint="eastAsia" w:cs="Times New Roman"/>
                      <w:lang w:val="en-US" w:eastAsia="zh-CN"/>
                    </w:rPr>
                    <w:t>：</w:t>
                  </w:r>
                  <w:r>
                    <w:rPr>
                      <w:rFonts w:hint="default" w:ascii="Times New Roman" w:hAnsi="Times New Roman" w:cs="Times New Roman"/>
                      <w:lang w:val="en-US" w:eastAsia="zh-CN"/>
                    </w:rPr>
                    <w:t>41°50′50.613″</w:t>
                  </w:r>
                </w:p>
              </w:tc>
              <w:tc>
                <w:tcPr>
                  <w:tcW w:w="504" w:type="pct"/>
                  <w:noWrap w:val="0"/>
                  <w:vAlign w:val="center"/>
                </w:tcPr>
                <w:p>
                  <w:pPr>
                    <w:pStyle w:val="34"/>
                    <w:bidi w:val="0"/>
                    <w:rPr>
                      <w:rFonts w:hint="default"/>
                      <w:lang w:val="en-US" w:eastAsia="zh-CN"/>
                    </w:rPr>
                  </w:pPr>
                  <w:r>
                    <w:rPr>
                      <w:rFonts w:hint="eastAsia"/>
                      <w:lang w:val="en-US" w:eastAsia="zh-CN"/>
                    </w:rPr>
                    <w:t>15</w:t>
                  </w:r>
                </w:p>
              </w:tc>
              <w:tc>
                <w:tcPr>
                  <w:tcW w:w="504" w:type="pct"/>
                  <w:noWrap w:val="0"/>
                  <w:vAlign w:val="center"/>
                </w:tcPr>
                <w:p>
                  <w:pPr>
                    <w:pStyle w:val="34"/>
                    <w:bidi w:val="0"/>
                    <w:rPr>
                      <w:rFonts w:hint="default"/>
                      <w:lang w:val="en-US" w:eastAsia="zh-CN"/>
                    </w:rPr>
                  </w:pPr>
                  <w:r>
                    <w:rPr>
                      <w:rFonts w:hint="eastAsia"/>
                      <w:lang w:val="en-US" w:eastAsia="zh-CN"/>
                    </w:rPr>
                    <w:t>0.2</w:t>
                  </w:r>
                </w:p>
              </w:tc>
              <w:tc>
                <w:tcPr>
                  <w:tcW w:w="533" w:type="pct"/>
                  <w:noWrap w:val="0"/>
                  <w:vAlign w:val="center"/>
                </w:tcPr>
                <w:p>
                  <w:pPr>
                    <w:pStyle w:val="34"/>
                    <w:bidi w:val="0"/>
                    <w:rPr>
                      <w:rFonts w:hint="default"/>
                      <w:lang w:val="en-US" w:eastAsia="zh-CN"/>
                    </w:rPr>
                  </w:pPr>
                  <w:r>
                    <w:rPr>
                      <w:rFonts w:hint="eastAsia"/>
                      <w:lang w:val="en-US" w:eastAsia="zh-CN"/>
                    </w:rPr>
                    <w:t>25</w:t>
                  </w:r>
                </w:p>
              </w:tc>
              <w:tc>
                <w:tcPr>
                  <w:tcW w:w="467" w:type="pct"/>
                  <w:noWrap w:val="0"/>
                  <w:vAlign w:val="center"/>
                </w:tcPr>
                <w:p>
                  <w:pPr>
                    <w:pStyle w:val="34"/>
                    <w:bidi w:val="0"/>
                    <w:rPr>
                      <w:rFonts w:hint="default"/>
                      <w:lang w:val="en-US" w:eastAsia="zh-CN"/>
                    </w:rPr>
                  </w:pPr>
                  <w:r>
                    <w:rPr>
                      <w:rFonts w:hint="eastAsia"/>
                      <w:lang w:val="en-US" w:eastAsia="zh-CN"/>
                    </w:rPr>
                    <w:t>2400</w:t>
                  </w:r>
                </w:p>
              </w:tc>
              <w:tc>
                <w:tcPr>
                  <w:tcW w:w="385" w:type="pct"/>
                  <w:noWrap w:val="0"/>
                  <w:vAlign w:val="center"/>
                </w:tcPr>
                <w:p>
                  <w:pPr>
                    <w:pStyle w:val="34"/>
                    <w:bidi w:val="0"/>
                    <w:rPr>
                      <w:rFonts w:hint="default"/>
                      <w:lang w:val="en-US" w:eastAsia="zh-CN"/>
                    </w:rPr>
                  </w:pPr>
                  <w:r>
                    <w:rPr>
                      <w:rFonts w:hint="eastAsia"/>
                      <w:lang w:val="en-US" w:eastAsia="zh-CN"/>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426" w:type="dxa"/>
                  <w:noWrap w:val="0"/>
                  <w:vAlign w:val="center"/>
                </w:tcPr>
                <w:p>
                  <w:pPr>
                    <w:pStyle w:val="34"/>
                    <w:bidi w:val="0"/>
                    <w:rPr>
                      <w:rFonts w:hint="eastAsia"/>
                      <w:lang w:val="en-US" w:eastAsia="zh-CN"/>
                    </w:rPr>
                  </w:pPr>
                  <w:r>
                    <w:rPr>
                      <w:rFonts w:hint="eastAsia"/>
                      <w:lang w:val="en-US" w:eastAsia="zh-CN"/>
                    </w:rPr>
                    <w:t>2</w:t>
                  </w:r>
                </w:p>
              </w:tc>
              <w:tc>
                <w:tcPr>
                  <w:tcW w:w="636" w:type="dxa"/>
                  <w:noWrap w:val="0"/>
                  <w:vAlign w:val="center"/>
                </w:tcPr>
                <w:p>
                  <w:pPr>
                    <w:pStyle w:val="34"/>
                    <w:bidi w:val="0"/>
                    <w:rPr>
                      <w:rFonts w:hint="eastAsia"/>
                      <w:lang w:val="en-US" w:eastAsia="zh-CN"/>
                    </w:rPr>
                  </w:pPr>
                  <w:r>
                    <w:rPr>
                      <w:rFonts w:hint="eastAsia"/>
                      <w:lang w:val="en-US" w:eastAsia="zh-CN"/>
                    </w:rPr>
                    <w:t>食堂油烟</w:t>
                  </w:r>
                </w:p>
              </w:tc>
              <w:tc>
                <w:tcPr>
                  <w:tcW w:w="610" w:type="dxa"/>
                  <w:noWrap w:val="0"/>
                  <w:vAlign w:val="center"/>
                </w:tcPr>
                <w:p>
                  <w:pPr>
                    <w:pStyle w:val="34"/>
                    <w:bidi w:val="0"/>
                    <w:rPr>
                      <w:rFonts w:hint="eastAsia"/>
                      <w:lang w:val="en-US" w:eastAsia="zh-CN"/>
                    </w:rPr>
                  </w:pPr>
                  <w:r>
                    <w:rPr>
                      <w:rFonts w:hint="eastAsia"/>
                      <w:lang w:val="en-US" w:eastAsia="zh-CN"/>
                    </w:rPr>
                    <w:t>DA002</w:t>
                  </w:r>
                </w:p>
              </w:tc>
              <w:tc>
                <w:tcPr>
                  <w:tcW w:w="651" w:type="dxa"/>
                  <w:noWrap w:val="0"/>
                  <w:vAlign w:val="center"/>
                </w:tcPr>
                <w:p>
                  <w:pPr>
                    <w:pStyle w:val="34"/>
                    <w:bidi w:val="0"/>
                    <w:rPr>
                      <w:rFonts w:hint="eastAsia"/>
                      <w:lang w:val="en-US" w:eastAsia="zh-CN"/>
                    </w:rPr>
                  </w:pPr>
                  <w:r>
                    <w:rPr>
                      <w:rFonts w:hint="eastAsia"/>
                      <w:lang w:val="en-US" w:eastAsia="zh-CN"/>
                    </w:rPr>
                    <w:t>油烟废气</w:t>
                  </w:r>
                </w:p>
              </w:tc>
              <w:tc>
                <w:tcPr>
                  <w:tcW w:w="1759" w:type="dxa"/>
                  <w:noWrap w:val="0"/>
                  <w:vAlign w:val="center"/>
                </w:tcPr>
                <w:p>
                  <w:pPr>
                    <w:pStyle w:val="34"/>
                    <w:bidi w:val="0"/>
                    <w:rPr>
                      <w:rFonts w:hint="default" w:ascii="Times New Roman" w:hAnsi="Times New Roman" w:cs="Times New Roman"/>
                      <w:lang w:val="en-US" w:eastAsia="zh-CN"/>
                    </w:rPr>
                  </w:pPr>
                  <w:r>
                    <w:rPr>
                      <w:rFonts w:hint="eastAsia" w:ascii="Times New Roman" w:hAnsi="Times New Roman" w:cs="Times New Roman"/>
                      <w:lang w:val="en-US" w:eastAsia="zh-CN"/>
                    </w:rPr>
                    <w:t>E</w:t>
                  </w:r>
                  <w:r>
                    <w:rPr>
                      <w:rFonts w:hint="eastAsia" w:cs="Times New Roman"/>
                      <w:lang w:val="en-US" w:eastAsia="zh-CN"/>
                    </w:rPr>
                    <w:t>：</w:t>
                  </w:r>
                  <w:r>
                    <w:rPr>
                      <w:rFonts w:hint="default" w:ascii="Times New Roman" w:hAnsi="Times New Roman" w:cs="Times New Roman"/>
                      <w:lang w:val="en-US" w:eastAsia="zh-CN"/>
                    </w:rPr>
                    <w:t>85°54′32.758″</w:t>
                  </w:r>
                </w:p>
                <w:p>
                  <w:pPr>
                    <w:pStyle w:val="34"/>
                    <w:bidi w:val="0"/>
                    <w:rPr>
                      <w:rFonts w:hint="eastAsia" w:ascii="Times New Roman" w:hAnsi="Times New Roman" w:cs="Times New Roman"/>
                      <w:lang w:val="en-US" w:eastAsia="zh-CN"/>
                    </w:rPr>
                  </w:pPr>
                  <w:r>
                    <w:rPr>
                      <w:rFonts w:hint="eastAsia" w:ascii="Times New Roman" w:hAnsi="Times New Roman" w:cs="Times New Roman"/>
                      <w:lang w:val="en-US" w:eastAsia="zh-CN"/>
                    </w:rPr>
                    <w:t>N</w:t>
                  </w:r>
                  <w:r>
                    <w:rPr>
                      <w:rFonts w:hint="eastAsia" w:cs="Times New Roman"/>
                      <w:lang w:val="en-US" w:eastAsia="zh-CN"/>
                    </w:rPr>
                    <w:t>：</w:t>
                  </w:r>
                  <w:r>
                    <w:rPr>
                      <w:rFonts w:hint="default" w:ascii="Times New Roman" w:hAnsi="Times New Roman" w:cs="Times New Roman"/>
                      <w:lang w:val="en-US" w:eastAsia="zh-CN"/>
                    </w:rPr>
                    <w:t>41°50′52.312″</w:t>
                  </w:r>
                </w:p>
              </w:tc>
              <w:tc>
                <w:tcPr>
                  <w:tcW w:w="800" w:type="dxa"/>
                  <w:noWrap w:val="0"/>
                  <w:vAlign w:val="center"/>
                </w:tcPr>
                <w:p>
                  <w:pPr>
                    <w:pStyle w:val="34"/>
                    <w:bidi w:val="0"/>
                    <w:rPr>
                      <w:rFonts w:hint="eastAsia"/>
                      <w:lang w:val="en-US" w:eastAsia="zh-CN"/>
                    </w:rPr>
                  </w:pPr>
                  <w:r>
                    <w:rPr>
                      <w:rFonts w:hint="eastAsia"/>
                      <w:lang w:val="en-US" w:eastAsia="zh-CN"/>
                    </w:rPr>
                    <w:t>高于屋顶</w:t>
                  </w:r>
                </w:p>
              </w:tc>
              <w:tc>
                <w:tcPr>
                  <w:tcW w:w="800" w:type="dxa"/>
                  <w:noWrap w:val="0"/>
                  <w:vAlign w:val="center"/>
                </w:tcPr>
                <w:p>
                  <w:pPr>
                    <w:pStyle w:val="34"/>
                    <w:bidi w:val="0"/>
                    <w:rPr>
                      <w:rFonts w:hint="eastAsia"/>
                      <w:lang w:val="en-US" w:eastAsia="zh-CN"/>
                    </w:rPr>
                  </w:pPr>
                  <w:r>
                    <w:rPr>
                      <w:rFonts w:hint="eastAsia"/>
                      <w:lang w:val="en-US" w:eastAsia="zh-CN"/>
                    </w:rPr>
                    <w:t>0.05</w:t>
                  </w:r>
                </w:p>
              </w:tc>
              <w:tc>
                <w:tcPr>
                  <w:tcW w:w="846" w:type="dxa"/>
                  <w:noWrap w:val="0"/>
                  <w:vAlign w:val="center"/>
                </w:tcPr>
                <w:p>
                  <w:pPr>
                    <w:pStyle w:val="34"/>
                    <w:bidi w:val="0"/>
                    <w:rPr>
                      <w:rFonts w:hint="eastAsia"/>
                      <w:lang w:val="en-US" w:eastAsia="zh-CN"/>
                    </w:rPr>
                  </w:pPr>
                  <w:r>
                    <w:rPr>
                      <w:rFonts w:hint="eastAsia"/>
                      <w:lang w:val="en-US" w:eastAsia="zh-CN"/>
                    </w:rPr>
                    <w:t>35</w:t>
                  </w:r>
                </w:p>
              </w:tc>
              <w:tc>
                <w:tcPr>
                  <w:tcW w:w="741" w:type="dxa"/>
                  <w:noWrap w:val="0"/>
                  <w:vAlign w:val="center"/>
                </w:tcPr>
                <w:p>
                  <w:pPr>
                    <w:pStyle w:val="34"/>
                    <w:bidi w:val="0"/>
                    <w:rPr>
                      <w:rFonts w:hint="eastAsia"/>
                      <w:lang w:val="en-US" w:eastAsia="zh-CN"/>
                    </w:rPr>
                  </w:pPr>
                  <w:r>
                    <w:rPr>
                      <w:rFonts w:hint="eastAsia"/>
                      <w:lang w:val="en-US" w:eastAsia="zh-CN"/>
                    </w:rPr>
                    <w:t>1200</w:t>
                  </w:r>
                </w:p>
              </w:tc>
              <w:tc>
                <w:tcPr>
                  <w:tcW w:w="602" w:type="dxa"/>
                  <w:noWrap w:val="0"/>
                  <w:vAlign w:val="center"/>
                </w:tcPr>
                <w:p>
                  <w:pPr>
                    <w:pStyle w:val="34"/>
                    <w:bidi w:val="0"/>
                    <w:rPr>
                      <w:rFonts w:hint="eastAsia"/>
                      <w:lang w:val="en-US" w:eastAsia="zh-CN"/>
                    </w:rPr>
                  </w:pPr>
                  <w:r>
                    <w:rPr>
                      <w:rFonts w:hint="eastAsia"/>
                      <w:lang w:val="en-US" w:eastAsia="zh-CN"/>
                    </w:rPr>
                    <w:t>一般排放口</w:t>
                  </w:r>
                </w:p>
              </w:tc>
            </w:tr>
          </w:tbl>
          <w:p>
            <w:pPr>
              <w:pStyle w:val="3"/>
              <w:bidi w:val="0"/>
              <w:rPr>
                <w:rFonts w:hint="eastAsia"/>
                <w:lang w:val="en-US" w:eastAsia="zh-CN"/>
              </w:rPr>
            </w:pPr>
            <w:r>
              <w:rPr>
                <w:rFonts w:hint="eastAsia"/>
                <w:lang w:val="en-US" w:eastAsia="zh-CN"/>
              </w:rPr>
              <w:t>1.2废气治理措施及影响分析</w:t>
            </w:r>
          </w:p>
          <w:p>
            <w:pPr>
              <w:pStyle w:val="8"/>
              <w:bidi w:val="0"/>
              <w:rPr>
                <w:rFonts w:hint="eastAsia"/>
                <w:lang w:val="en-US" w:eastAsia="zh-CN"/>
              </w:rPr>
            </w:pPr>
            <w:r>
              <w:rPr>
                <w:rFonts w:hint="eastAsia"/>
                <w:lang w:val="en-US" w:eastAsia="zh-CN"/>
              </w:rPr>
              <w:t>本项目水泥筒仓、投料、干混搅拌产生的废气进入布袋除尘器进行处理，投料、干混搅拌过程处理后的废气经15m排气筒排放，排放浓度满足《水泥工业大气污染物排放标准》（GB4915-2013）表2大气污染物特别排放限值要求；水泥筒仓处理后的废气无组织排放，排放浓度满足《水泥工业大气污染物排放标准》（GB4915-2013）中表3无组织排放标准要求。</w:t>
            </w:r>
          </w:p>
          <w:p>
            <w:pPr>
              <w:pStyle w:val="8"/>
              <w:bidi w:val="0"/>
              <w:rPr>
                <w:rFonts w:hint="default"/>
                <w:lang w:val="en-US" w:eastAsia="zh-CN"/>
              </w:rPr>
            </w:pPr>
            <w:r>
              <w:rPr>
                <w:rFonts w:hint="default"/>
                <w:lang w:val="en-US" w:eastAsia="zh-CN"/>
              </w:rPr>
              <w:t>本项目采用的筒仓仓顶滤筒式过滤器和搅拌机排气口布袋除尘器为末端治理措施属于《排污许可证申请与核发技术规范 水泥工业》（HJ847-201</w:t>
            </w:r>
            <w:r>
              <w:rPr>
                <w:rFonts w:hint="eastAsia"/>
                <w:lang w:val="en-US" w:eastAsia="zh-CN"/>
              </w:rPr>
              <w:t>7</w:t>
            </w:r>
            <w:r>
              <w:rPr>
                <w:rFonts w:hint="default"/>
                <w:lang w:val="en-US" w:eastAsia="zh-CN"/>
              </w:rPr>
              <w:t>）中的可行技术。</w:t>
            </w:r>
          </w:p>
          <w:p>
            <w:pPr>
              <w:pStyle w:val="8"/>
              <w:bidi w:val="0"/>
              <w:rPr>
                <w:rFonts w:hint="default"/>
                <w:lang w:val="en-US" w:eastAsia="zh-CN"/>
              </w:rPr>
            </w:pPr>
            <w:r>
              <w:rPr>
                <w:rFonts w:hint="default"/>
                <w:lang w:val="en-US" w:eastAsia="zh-CN"/>
              </w:rPr>
              <w:t>布袋除尘器的基本工作原理是：含尘气体进入挂有一定数量滤袋的袋室后，被滤袋纤维过滤。随着阻留的粉尘不断增加，一部分粉尘嵌入滤料内部；一部分覆盖在滤袋表面形成一层粉尘层。此时，含尘气体的过滤主要依靠粉尘层进行。其除尘机理为含尘气体通过粉尘层与滤料时产生的筛分、惯性、粘附、扩散与静电等作用，使粉尘得到捕集。当粉尘层加厚，压力损失达到一定程度时，需要进行清灰。清灰后压力降低，但仍有一部分粉尘残留在滤袋上，在下一个过滤周期开始时，起良好的捕尘作用。</w:t>
            </w:r>
          </w:p>
          <w:p>
            <w:pPr>
              <w:pStyle w:val="8"/>
              <w:bidi w:val="0"/>
              <w:rPr>
                <w:rFonts w:hint="default"/>
                <w:lang w:val="en-US" w:eastAsia="zh-CN"/>
              </w:rPr>
            </w:pPr>
            <w:r>
              <w:rPr>
                <w:rFonts w:hint="default"/>
                <w:lang w:val="en-US" w:eastAsia="zh-CN"/>
              </w:rPr>
              <w:t>布袋除尘器的主要特点是：①除尘效率高，一般在99%以上，对亚微米粒径的细尘也具有较高净化效率；②处理风量范围广，小的仅每分钟数立方米，大的可达每分钟数万立方米，可用于尘源的通风除尘，改善作业场所的空气质量，减少大气污染物的排放；③结构比较简单，维护操作方便；④在保证同样高的除尘效率前提下，造价低于电除尘器；⑤对粉尘的特征不敏感，不受粉尘比电阻的影响。</w:t>
            </w:r>
          </w:p>
          <w:p>
            <w:pPr>
              <w:pStyle w:val="8"/>
              <w:bidi w:val="0"/>
              <w:rPr>
                <w:rFonts w:hint="default"/>
                <w:lang w:val="en-US" w:eastAsia="zh-CN"/>
              </w:rPr>
            </w:pPr>
            <w:r>
              <w:rPr>
                <w:rFonts w:hint="default"/>
                <w:lang w:val="en-US" w:eastAsia="zh-CN"/>
              </w:rPr>
              <w:t>布袋除尘器是各企业常用的环保设备之一，大部分产尘工序都可以采用，生产设施的通风除尘系统中，布袋除尘器占主导地位。在各个企业，该除尘设施的采用取得了明显的经济效益和社会环境效益，本项目产生废气其温度、湿度适宜，可充分发挥布袋除尘器除尘效率高、运行稳定、维护方便的特点。</w:t>
            </w:r>
          </w:p>
          <w:p>
            <w:pPr>
              <w:pStyle w:val="3"/>
              <w:bidi w:val="0"/>
              <w:rPr>
                <w:rFonts w:hint="eastAsia"/>
                <w:lang w:val="en-US" w:eastAsia="zh-CN"/>
              </w:rPr>
            </w:pPr>
            <w:r>
              <w:rPr>
                <w:rFonts w:hint="eastAsia"/>
                <w:lang w:val="en-US" w:eastAsia="zh-CN"/>
              </w:rPr>
              <w:t>1.3非正常工况</w:t>
            </w:r>
          </w:p>
          <w:p>
            <w:pPr>
              <w:pStyle w:val="8"/>
              <w:bidi w:val="0"/>
              <w:rPr>
                <w:rFonts w:hint="default"/>
                <w:lang w:val="en-US" w:eastAsia="zh-CN"/>
              </w:rPr>
            </w:pPr>
            <w:r>
              <w:rPr>
                <w:rFonts w:hint="default"/>
                <w:lang w:val="en-US" w:eastAsia="zh-CN"/>
              </w:rPr>
              <w:t>非正常工况主要为末端治理设施故障导致的事故排放，本项目非正常工况主要为布袋除尘器中布袋的破损导致除尘效率达不到要求。对颗粒物去除效率按50%计，事故情况排放量见</w:t>
            </w:r>
            <w:r>
              <w:rPr>
                <w:rFonts w:hint="eastAsia"/>
                <w:lang w:val="en-US" w:eastAsia="zh-CN"/>
              </w:rPr>
              <w:t>下表</w:t>
            </w:r>
            <w:r>
              <w:rPr>
                <w:rFonts w:hint="default"/>
                <w:lang w:val="en-US" w:eastAsia="zh-CN"/>
              </w:rPr>
              <w:t>。</w:t>
            </w:r>
          </w:p>
          <w:tbl>
            <w:tblPr>
              <w:tblStyle w:val="20"/>
              <w:tblpPr w:leftFromText="180" w:rightFromText="180" w:vertAnchor="text" w:horzAnchor="page" w:tblpX="104" w:tblpY="273"/>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931"/>
              <w:gridCol w:w="931"/>
              <w:gridCol w:w="931"/>
              <w:gridCol w:w="931"/>
              <w:gridCol w:w="993"/>
              <w:gridCol w:w="1213"/>
              <w:gridCol w:w="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vAlign w:val="center"/>
                </w:tcPr>
                <w:p>
                  <w:pPr>
                    <w:pStyle w:val="34"/>
                    <w:bidi w:val="0"/>
                    <w:rPr>
                      <w:rFonts w:hint="default"/>
                      <w:lang w:val="en-US" w:eastAsia="zh-CN"/>
                    </w:rPr>
                  </w:pPr>
                  <w:r>
                    <w:t>工况</w:t>
                  </w:r>
                </w:p>
              </w:tc>
              <w:tc>
                <w:tcPr>
                  <w:tcW w:w="597" w:type="pct"/>
                  <w:vAlign w:val="center"/>
                </w:tcPr>
                <w:p>
                  <w:pPr>
                    <w:pStyle w:val="34"/>
                    <w:bidi w:val="0"/>
                    <w:rPr>
                      <w:rFonts w:hint="default"/>
                      <w:lang w:val="en-US" w:eastAsia="zh-CN"/>
                    </w:rPr>
                  </w:pPr>
                  <w:r>
                    <w:rPr>
                      <w:rFonts w:hint="eastAsia"/>
                    </w:rPr>
                    <w:t>排放口</w:t>
                  </w:r>
                </w:p>
              </w:tc>
              <w:tc>
                <w:tcPr>
                  <w:tcW w:w="597" w:type="pct"/>
                  <w:vAlign w:val="center"/>
                </w:tcPr>
                <w:p>
                  <w:pPr>
                    <w:pStyle w:val="34"/>
                    <w:bidi w:val="0"/>
                    <w:rPr>
                      <w:rFonts w:hint="default"/>
                      <w:lang w:val="en-US" w:eastAsia="zh-CN"/>
                    </w:rPr>
                  </w:pPr>
                  <w:r>
                    <w:t>持续时间</w:t>
                  </w:r>
                </w:p>
              </w:tc>
              <w:tc>
                <w:tcPr>
                  <w:tcW w:w="597" w:type="pct"/>
                  <w:vAlign w:val="center"/>
                </w:tcPr>
                <w:p>
                  <w:pPr>
                    <w:pStyle w:val="34"/>
                    <w:bidi w:val="0"/>
                    <w:rPr>
                      <w:rFonts w:hint="default"/>
                      <w:lang w:val="en-US" w:eastAsia="zh-CN"/>
                    </w:rPr>
                  </w:pPr>
                  <w:r>
                    <w:rPr>
                      <w:rFonts w:hint="eastAsia"/>
                    </w:rPr>
                    <w:t>污染物</w:t>
                  </w:r>
                </w:p>
              </w:tc>
              <w:tc>
                <w:tcPr>
                  <w:tcW w:w="597" w:type="pct"/>
                  <w:vAlign w:val="center"/>
                </w:tcPr>
                <w:p>
                  <w:pPr>
                    <w:pStyle w:val="34"/>
                    <w:bidi w:val="0"/>
                    <w:rPr>
                      <w:rFonts w:hint="default"/>
                      <w:lang w:val="en-US" w:eastAsia="zh-CN"/>
                    </w:rPr>
                  </w:pPr>
                  <w:r>
                    <w:rPr>
                      <w:rFonts w:hint="eastAsia"/>
                    </w:rPr>
                    <w:t>排放量</w:t>
                  </w:r>
                  <w:r>
                    <w:rPr>
                      <w:rFonts w:hint="eastAsia"/>
                      <w:lang w:eastAsia="zh-CN"/>
                    </w:rPr>
                    <w:t>（</w:t>
                  </w:r>
                  <w:r>
                    <w:rPr>
                      <w:rFonts w:hint="eastAsia"/>
                      <w:lang w:val="en-US" w:eastAsia="zh-CN"/>
                    </w:rPr>
                    <w:t>t</w:t>
                  </w:r>
                  <w:r>
                    <w:rPr>
                      <w:rFonts w:hint="eastAsia"/>
                      <w:lang w:eastAsia="zh-CN"/>
                    </w:rPr>
                    <w:t>）</w:t>
                  </w:r>
                </w:p>
              </w:tc>
              <w:tc>
                <w:tcPr>
                  <w:tcW w:w="637" w:type="pct"/>
                  <w:vAlign w:val="center"/>
                </w:tcPr>
                <w:p>
                  <w:pPr>
                    <w:pStyle w:val="34"/>
                    <w:bidi w:val="0"/>
                    <w:rPr>
                      <w:rFonts w:hint="eastAsia"/>
                      <w:lang w:val="en-US" w:eastAsia="zh-CN"/>
                    </w:rPr>
                  </w:pPr>
                  <w:r>
                    <w:rPr>
                      <w:rFonts w:hint="eastAsia"/>
                      <w:lang w:val="en-US" w:eastAsia="zh-CN"/>
                    </w:rPr>
                    <w:t>排放速率（kg/h）</w:t>
                  </w:r>
                </w:p>
              </w:tc>
              <w:tc>
                <w:tcPr>
                  <w:tcW w:w="778" w:type="pct"/>
                  <w:vAlign w:val="center"/>
                </w:tcPr>
                <w:p>
                  <w:pPr>
                    <w:pStyle w:val="34"/>
                    <w:bidi w:val="0"/>
                    <w:rPr>
                      <w:rFonts w:hint="default"/>
                      <w:lang w:val="en-US" w:eastAsia="zh-CN"/>
                    </w:rPr>
                  </w:pPr>
                  <w:r>
                    <w:rPr>
                      <w:rFonts w:hint="eastAsia"/>
                    </w:rPr>
                    <w:t>排放浓度</w:t>
                  </w:r>
                  <w:r>
                    <w:rPr>
                      <w:rFonts w:hint="eastAsia"/>
                      <w:lang w:eastAsia="zh-CN"/>
                    </w:rPr>
                    <w:t>（</w:t>
                  </w:r>
                  <w:r>
                    <w:rPr>
                      <w:rFonts w:hint="eastAsia"/>
                      <w:lang w:val="en-US" w:eastAsia="zh-CN"/>
                    </w:rPr>
                    <w:t>mg/m</w:t>
                  </w:r>
                  <w:r>
                    <w:rPr>
                      <w:rFonts w:hint="eastAsia"/>
                      <w:vertAlign w:val="superscript"/>
                      <w:lang w:val="en-US" w:eastAsia="zh-CN"/>
                    </w:rPr>
                    <w:t>3</w:t>
                  </w:r>
                  <w:r>
                    <w:rPr>
                      <w:rFonts w:hint="eastAsia"/>
                      <w:lang w:eastAsia="zh-CN"/>
                    </w:rPr>
                    <w:t>）</w:t>
                  </w:r>
                </w:p>
              </w:tc>
              <w:tc>
                <w:tcPr>
                  <w:tcW w:w="597" w:type="pct"/>
                  <w:vAlign w:val="center"/>
                </w:tcPr>
                <w:p>
                  <w:pPr>
                    <w:pStyle w:val="34"/>
                    <w:bidi w:val="0"/>
                    <w:rPr>
                      <w:rFonts w:hint="default"/>
                      <w:lang w:val="en-US" w:eastAsia="zh-CN"/>
                    </w:rPr>
                  </w:pPr>
                  <w:r>
                    <w:rPr>
                      <w:rFonts w:hint="eastAsia"/>
                    </w:rPr>
                    <w:t>发生频次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pct"/>
                </w:tcPr>
                <w:p>
                  <w:pPr>
                    <w:pStyle w:val="34"/>
                    <w:bidi w:val="0"/>
                    <w:rPr>
                      <w:rFonts w:hint="default"/>
                      <w:lang w:val="en-US" w:eastAsia="zh-CN"/>
                    </w:rPr>
                  </w:pPr>
                  <w:r>
                    <w:rPr>
                      <w:rFonts w:hint="default"/>
                      <w:lang w:val="en-US" w:eastAsia="zh-CN"/>
                    </w:rPr>
                    <w:t>非正常工况</w:t>
                  </w:r>
                </w:p>
              </w:tc>
              <w:tc>
                <w:tcPr>
                  <w:tcW w:w="597" w:type="pct"/>
                  <w:vAlign w:val="center"/>
                </w:tcPr>
                <w:p>
                  <w:pPr>
                    <w:pStyle w:val="34"/>
                    <w:bidi w:val="0"/>
                    <w:rPr>
                      <w:rFonts w:hint="default"/>
                      <w:lang w:val="en-US" w:eastAsia="zh-CN"/>
                    </w:rPr>
                  </w:pPr>
                  <w:r>
                    <w:rPr>
                      <w:rFonts w:hint="eastAsia"/>
                      <w:lang w:val="en-US" w:eastAsia="zh-CN"/>
                    </w:rPr>
                    <w:t>DA001</w:t>
                  </w:r>
                </w:p>
              </w:tc>
              <w:tc>
                <w:tcPr>
                  <w:tcW w:w="597" w:type="pct"/>
                  <w:vAlign w:val="center"/>
                </w:tcPr>
                <w:p>
                  <w:pPr>
                    <w:pStyle w:val="34"/>
                    <w:bidi w:val="0"/>
                    <w:rPr>
                      <w:rFonts w:hint="default"/>
                      <w:lang w:val="en-US" w:eastAsia="zh-CN"/>
                    </w:rPr>
                  </w:pPr>
                  <w:r>
                    <w:rPr>
                      <w:rFonts w:hint="eastAsia"/>
                    </w:rPr>
                    <w:t>2</w:t>
                  </w:r>
                  <w:r>
                    <w:t>h</w:t>
                  </w:r>
                </w:p>
              </w:tc>
              <w:tc>
                <w:tcPr>
                  <w:tcW w:w="597" w:type="pct"/>
                  <w:vAlign w:val="center"/>
                </w:tcPr>
                <w:p>
                  <w:pPr>
                    <w:pStyle w:val="34"/>
                    <w:bidi w:val="0"/>
                    <w:rPr>
                      <w:rFonts w:hint="default"/>
                      <w:lang w:val="en-US" w:eastAsia="zh-CN"/>
                    </w:rPr>
                  </w:pPr>
                  <w:r>
                    <w:rPr>
                      <w:rFonts w:hint="eastAsia"/>
                    </w:rPr>
                    <w:t>颗粒物</w:t>
                  </w:r>
                </w:p>
              </w:tc>
              <w:tc>
                <w:tcPr>
                  <w:tcW w:w="597" w:type="pct"/>
                  <w:vAlign w:val="center"/>
                </w:tcPr>
                <w:p>
                  <w:pPr>
                    <w:pStyle w:val="34"/>
                    <w:bidi w:val="0"/>
                    <w:rPr>
                      <w:rFonts w:hint="default"/>
                      <w:lang w:val="en-US" w:eastAsia="zh-CN"/>
                    </w:rPr>
                  </w:pPr>
                  <w:r>
                    <w:rPr>
                      <w:rFonts w:hint="eastAsia"/>
                      <w:lang w:val="en-US" w:eastAsia="zh-CN"/>
                    </w:rPr>
                    <w:t>0.764</w:t>
                  </w:r>
                </w:p>
              </w:tc>
              <w:tc>
                <w:tcPr>
                  <w:tcW w:w="637" w:type="pct"/>
                  <w:vAlign w:val="center"/>
                </w:tcPr>
                <w:p>
                  <w:pPr>
                    <w:pStyle w:val="34"/>
                    <w:bidi w:val="0"/>
                    <w:rPr>
                      <w:rFonts w:hint="default"/>
                      <w:lang w:val="en-US" w:eastAsia="zh-CN"/>
                    </w:rPr>
                  </w:pPr>
                  <w:r>
                    <w:rPr>
                      <w:rFonts w:hint="eastAsia"/>
                      <w:lang w:val="en-US" w:eastAsia="zh-CN"/>
                    </w:rPr>
                    <w:t>0.382</w:t>
                  </w:r>
                </w:p>
              </w:tc>
              <w:tc>
                <w:tcPr>
                  <w:tcW w:w="778" w:type="pct"/>
                  <w:vAlign w:val="center"/>
                </w:tcPr>
                <w:p>
                  <w:pPr>
                    <w:pStyle w:val="34"/>
                    <w:bidi w:val="0"/>
                    <w:rPr>
                      <w:rFonts w:hint="default"/>
                      <w:lang w:val="en-US" w:eastAsia="zh-CN"/>
                    </w:rPr>
                  </w:pPr>
                  <w:r>
                    <w:rPr>
                      <w:rFonts w:hint="eastAsia"/>
                      <w:lang w:val="en-US" w:eastAsia="zh-CN"/>
                    </w:rPr>
                    <w:t>190.729</w:t>
                  </w:r>
                </w:p>
              </w:tc>
              <w:tc>
                <w:tcPr>
                  <w:tcW w:w="597" w:type="pct"/>
                  <w:vAlign w:val="center"/>
                </w:tcPr>
                <w:p>
                  <w:pPr>
                    <w:pStyle w:val="34"/>
                    <w:bidi w:val="0"/>
                    <w:rPr>
                      <w:rFonts w:hint="default"/>
                      <w:lang w:val="en-US" w:eastAsia="zh-CN"/>
                    </w:rPr>
                  </w:pPr>
                  <w:r>
                    <w:rPr>
                      <w:rFonts w:hint="eastAsia"/>
                    </w:rPr>
                    <w:t>1次/年</w:t>
                  </w:r>
                </w:p>
              </w:tc>
            </w:tr>
          </w:tbl>
          <w:p>
            <w:pPr>
              <w:pStyle w:val="36"/>
              <w:keepNext w:val="0"/>
              <w:keepLines w:val="0"/>
              <w:pageBreakBefore w:val="0"/>
              <w:widowControl w:val="0"/>
              <w:kinsoku/>
              <w:wordWrap/>
              <w:overflowPunct/>
              <w:topLinePunct w:val="0"/>
              <w:autoSpaceDE/>
              <w:autoSpaceDN/>
              <w:bidi w:val="0"/>
              <w:adjustRightInd w:val="0"/>
              <w:snapToGrid w:val="0"/>
              <w:textAlignment w:val="auto"/>
              <w:rPr>
                <w:rFonts w:hint="default"/>
                <w:lang w:val="en-US" w:eastAsia="zh-CN"/>
              </w:rPr>
            </w:pPr>
            <w:r>
              <w:rPr>
                <w:rFonts w:hint="default"/>
                <w:lang w:val="en-US" w:eastAsia="zh-CN"/>
              </w:rPr>
              <w:t>表4-</w:t>
            </w:r>
            <w:r>
              <w:rPr>
                <w:rFonts w:hint="eastAsia"/>
                <w:lang w:val="en-US" w:eastAsia="zh-CN"/>
              </w:rPr>
              <w:t>3</w:t>
            </w:r>
            <w:r>
              <w:rPr>
                <w:rFonts w:hint="default"/>
                <w:lang w:val="en-US" w:eastAsia="zh-CN"/>
              </w:rPr>
              <w:t xml:space="preserve">    非正常工况一览表</w:t>
            </w:r>
          </w:p>
          <w:p>
            <w:pPr>
              <w:pStyle w:val="8"/>
              <w:bidi w:val="0"/>
              <w:rPr>
                <w:rFonts w:hint="default"/>
                <w:lang w:val="en-US" w:eastAsia="zh-CN"/>
              </w:rPr>
            </w:pPr>
            <w:r>
              <w:rPr>
                <w:rFonts w:hint="default"/>
                <w:lang w:val="en-US" w:eastAsia="zh-CN"/>
              </w:rPr>
              <w:t>本项目通过采取以下措施来降低非正常工况发生频次，缩短单次发生持续时间，同时尽可能避免非正常工况的发生：</w:t>
            </w:r>
          </w:p>
          <w:p>
            <w:pPr>
              <w:pStyle w:val="8"/>
              <w:bidi w:val="0"/>
              <w:rPr>
                <w:rFonts w:hint="eastAsia"/>
                <w:lang w:val="en-US" w:eastAsia="zh-CN"/>
              </w:rPr>
            </w:pPr>
            <w:r>
              <w:rPr>
                <w:rFonts w:hint="eastAsia"/>
                <w:lang w:val="en-US" w:eastAsia="zh-CN"/>
              </w:rPr>
              <w:t>①安排环保专员，加强巡检，一旦发现废气处理设施故障，应及时停工检修，减少非正常工况持续时间；待废气处理设施正常运转后，方可正常生产。</w:t>
            </w:r>
          </w:p>
          <w:p>
            <w:pPr>
              <w:pStyle w:val="8"/>
              <w:bidi w:val="0"/>
              <w:rPr>
                <w:rFonts w:hint="default"/>
                <w:lang w:val="en-US" w:eastAsia="zh-CN"/>
              </w:rPr>
            </w:pPr>
            <w:r>
              <w:rPr>
                <w:rFonts w:hint="default"/>
                <w:lang w:val="en-US" w:eastAsia="zh-CN"/>
              </w:rPr>
              <w:t>②注意废气处理设施的维护保养，及时发现处理设备的隐患，保持设备净化能力，确保废气稳定达标排放。</w:t>
            </w:r>
          </w:p>
          <w:p>
            <w:pPr>
              <w:pStyle w:val="8"/>
              <w:bidi w:val="0"/>
              <w:rPr>
                <w:rFonts w:hint="default"/>
                <w:lang w:val="en-US" w:eastAsia="zh-CN"/>
              </w:rPr>
            </w:pPr>
            <w:r>
              <w:rPr>
                <w:rFonts w:hint="default"/>
                <w:lang w:val="en-US" w:eastAsia="zh-CN"/>
              </w:rPr>
              <w:t>③废气净化装置应先于生产工序启动，并同步运行，随后关闭。</w:t>
            </w:r>
          </w:p>
          <w:p>
            <w:pPr>
              <w:pStyle w:val="8"/>
              <w:bidi w:val="0"/>
              <w:rPr>
                <w:rFonts w:hint="default"/>
                <w:lang w:val="en-US" w:eastAsia="zh-CN"/>
              </w:rPr>
            </w:pPr>
            <w:r>
              <w:rPr>
                <w:rFonts w:hint="default"/>
                <w:lang w:val="en-US" w:eastAsia="zh-CN"/>
              </w:rPr>
              <w:t>④建立健全的环保管理机构，对环保管理人员和技术人员进行岗位培训，委托具有专业资质的环境检测单位对排放废气污染物进行定期检测。</w:t>
            </w:r>
          </w:p>
          <w:p>
            <w:pPr>
              <w:pStyle w:val="8"/>
              <w:bidi w:val="0"/>
              <w:rPr>
                <w:rFonts w:hint="default"/>
                <w:lang w:val="en-US" w:eastAsia="zh-CN"/>
              </w:rPr>
            </w:pPr>
            <w:r>
              <w:rPr>
                <w:rFonts w:hint="default"/>
                <w:lang w:val="en-US" w:eastAsia="zh-CN"/>
              </w:rPr>
              <w:t>综上，经采取上述措施后，本项目的建设对周围环境影响较小。</w:t>
            </w:r>
          </w:p>
          <w:p>
            <w:pPr>
              <w:pStyle w:val="3"/>
              <w:bidi w:val="0"/>
              <w:rPr>
                <w:rFonts w:hint="eastAsia"/>
                <w:lang w:val="en-US" w:eastAsia="zh-CN"/>
              </w:rPr>
            </w:pPr>
            <w:r>
              <w:rPr>
                <w:rFonts w:hint="eastAsia"/>
                <w:lang w:val="en-US" w:eastAsia="zh-CN"/>
              </w:rPr>
              <w:t>1.4监测要求</w:t>
            </w:r>
          </w:p>
          <w:p>
            <w:pPr>
              <w:pStyle w:val="8"/>
              <w:bidi w:val="0"/>
              <w:rPr>
                <w:rFonts w:hint="default"/>
                <w:lang w:val="en-US" w:eastAsia="zh-CN"/>
              </w:rPr>
            </w:pPr>
            <w:r>
              <w:rPr>
                <w:rFonts w:hint="default"/>
                <w:lang w:val="en-US" w:eastAsia="zh-CN"/>
              </w:rPr>
              <w:t>根据《排污许可证申请与核发技术规范 总则》（HJ</w:t>
            </w:r>
            <w:r>
              <w:rPr>
                <w:rFonts w:hint="eastAsia"/>
                <w:lang w:val="en-US" w:eastAsia="zh-CN"/>
              </w:rPr>
              <w:t xml:space="preserve"> </w:t>
            </w:r>
            <w:r>
              <w:rPr>
                <w:rFonts w:hint="default"/>
                <w:lang w:val="en-US" w:eastAsia="zh-CN"/>
              </w:rPr>
              <w:t>942-2018）、《排污单位自行监测技术指南</w:t>
            </w:r>
            <w:r>
              <w:rPr>
                <w:rFonts w:hint="eastAsia"/>
                <w:lang w:val="en-US" w:eastAsia="zh-CN"/>
              </w:rPr>
              <w:t xml:space="preserve"> </w:t>
            </w:r>
            <w:r>
              <w:rPr>
                <w:rFonts w:hint="default"/>
                <w:lang w:val="en-US" w:eastAsia="zh-CN"/>
              </w:rPr>
              <w:t>总则》（HJ 819-2017）和《排污单位自行监测技术指南 水泥工业》（HJ</w:t>
            </w:r>
            <w:r>
              <w:rPr>
                <w:rFonts w:hint="eastAsia"/>
                <w:lang w:val="en-US" w:eastAsia="zh-CN"/>
              </w:rPr>
              <w:t xml:space="preserve"> </w:t>
            </w:r>
            <w:r>
              <w:rPr>
                <w:rFonts w:hint="default"/>
                <w:lang w:val="en-US" w:eastAsia="zh-CN"/>
              </w:rPr>
              <w:t>848-2017），本项目具体监测计划见下表。</w:t>
            </w:r>
          </w:p>
          <w:p>
            <w:pPr>
              <w:pStyle w:val="36"/>
              <w:bidi w:val="0"/>
              <w:rPr>
                <w:rFonts w:hint="default"/>
                <w:lang w:val="en-US" w:eastAsia="zh-CN"/>
              </w:rPr>
            </w:pPr>
            <w:r>
              <w:rPr>
                <w:rFonts w:hint="default"/>
                <w:lang w:val="en-US" w:eastAsia="zh-CN"/>
              </w:rPr>
              <w:t>表4-</w:t>
            </w:r>
            <w:r>
              <w:rPr>
                <w:rFonts w:hint="eastAsia"/>
                <w:lang w:val="en-US" w:eastAsia="zh-CN"/>
              </w:rPr>
              <w:t>4</w:t>
            </w:r>
            <w:r>
              <w:rPr>
                <w:rFonts w:hint="default"/>
                <w:lang w:val="en-US" w:eastAsia="zh-CN"/>
              </w:rPr>
              <w:t xml:space="preserve">    废气监测计划</w:t>
            </w:r>
          </w:p>
          <w:tbl>
            <w:tblPr>
              <w:tblStyle w:val="20"/>
              <w:tblW w:w="7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075"/>
              <w:gridCol w:w="1112"/>
              <w:gridCol w:w="1088"/>
              <w:gridCol w:w="3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14" w:type="dxa"/>
                  <w:vAlign w:val="center"/>
                </w:tcPr>
                <w:p>
                  <w:pPr>
                    <w:pStyle w:val="34"/>
                    <w:bidi w:val="0"/>
                    <w:jc w:val="center"/>
                    <w:rPr>
                      <w:rFonts w:hint="default"/>
                      <w:lang w:val="en-US" w:eastAsia="zh-CN"/>
                    </w:rPr>
                  </w:pPr>
                  <w:r>
                    <w:t>类别</w:t>
                  </w:r>
                </w:p>
              </w:tc>
              <w:tc>
                <w:tcPr>
                  <w:tcW w:w="1075" w:type="dxa"/>
                  <w:vAlign w:val="center"/>
                </w:tcPr>
                <w:p>
                  <w:pPr>
                    <w:pStyle w:val="34"/>
                    <w:bidi w:val="0"/>
                    <w:jc w:val="center"/>
                    <w:rPr>
                      <w:rFonts w:hint="default"/>
                      <w:lang w:val="en-US" w:eastAsia="zh-CN"/>
                    </w:rPr>
                  </w:pPr>
                  <w:r>
                    <w:t>监测位置</w:t>
                  </w:r>
                </w:p>
              </w:tc>
              <w:tc>
                <w:tcPr>
                  <w:tcW w:w="1112" w:type="dxa"/>
                  <w:vAlign w:val="center"/>
                </w:tcPr>
                <w:p>
                  <w:pPr>
                    <w:pStyle w:val="34"/>
                    <w:bidi w:val="0"/>
                    <w:jc w:val="center"/>
                    <w:rPr>
                      <w:rFonts w:hint="default"/>
                      <w:lang w:val="en-US" w:eastAsia="zh-CN"/>
                    </w:rPr>
                  </w:pPr>
                  <w:r>
                    <w:t>监测项目</w:t>
                  </w:r>
                </w:p>
              </w:tc>
              <w:tc>
                <w:tcPr>
                  <w:tcW w:w="1088" w:type="dxa"/>
                  <w:vAlign w:val="center"/>
                </w:tcPr>
                <w:p>
                  <w:pPr>
                    <w:pStyle w:val="34"/>
                    <w:bidi w:val="0"/>
                    <w:jc w:val="center"/>
                    <w:rPr>
                      <w:rFonts w:hint="default"/>
                      <w:lang w:val="en-US" w:eastAsia="zh-CN"/>
                    </w:rPr>
                  </w:pPr>
                  <w:r>
                    <w:t>监测频次</w:t>
                  </w:r>
                </w:p>
              </w:tc>
              <w:tc>
                <w:tcPr>
                  <w:tcW w:w="3882" w:type="dxa"/>
                  <w:vAlign w:val="center"/>
                </w:tcPr>
                <w:p>
                  <w:pPr>
                    <w:pStyle w:val="34"/>
                    <w:bidi w:val="0"/>
                    <w:jc w:val="center"/>
                    <w:rPr>
                      <w:rFonts w:hint="default"/>
                      <w:lang w:val="en-US" w:eastAsia="zh-CN"/>
                    </w:rPr>
                  </w:pPr>
                  <w: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trPr>
              <w:tc>
                <w:tcPr>
                  <w:tcW w:w="714" w:type="dxa"/>
                  <w:vMerge w:val="restart"/>
                  <w:vAlign w:val="center"/>
                </w:tcPr>
                <w:p>
                  <w:pPr>
                    <w:pStyle w:val="34"/>
                    <w:bidi w:val="0"/>
                    <w:jc w:val="center"/>
                    <w:rPr>
                      <w:rFonts w:hint="default"/>
                      <w:lang w:val="en-US" w:eastAsia="zh-CN"/>
                    </w:rPr>
                  </w:pPr>
                  <w:r>
                    <w:rPr>
                      <w:rFonts w:hint="eastAsia"/>
                      <w:lang w:val="en-US" w:eastAsia="zh-CN"/>
                    </w:rPr>
                    <w:t>废气</w:t>
                  </w:r>
                </w:p>
              </w:tc>
              <w:tc>
                <w:tcPr>
                  <w:tcW w:w="1075" w:type="dxa"/>
                  <w:vAlign w:val="center"/>
                </w:tcPr>
                <w:p>
                  <w:pPr>
                    <w:pStyle w:val="34"/>
                    <w:bidi w:val="0"/>
                    <w:jc w:val="center"/>
                    <w:rPr>
                      <w:rFonts w:hint="default"/>
                      <w:lang w:val="en-US" w:eastAsia="zh-CN"/>
                    </w:rPr>
                  </w:pPr>
                  <w:r>
                    <w:rPr>
                      <w:rFonts w:hint="default"/>
                      <w:lang w:val="en-US" w:eastAsia="zh-CN"/>
                    </w:rPr>
                    <w:t>DA001</w:t>
                  </w:r>
                </w:p>
              </w:tc>
              <w:tc>
                <w:tcPr>
                  <w:tcW w:w="1112" w:type="dxa"/>
                  <w:vAlign w:val="center"/>
                </w:tcPr>
                <w:p>
                  <w:pPr>
                    <w:pStyle w:val="34"/>
                    <w:bidi w:val="0"/>
                    <w:jc w:val="center"/>
                    <w:rPr>
                      <w:rFonts w:hint="default"/>
                      <w:lang w:val="en-US" w:eastAsia="zh-CN"/>
                    </w:rPr>
                  </w:pPr>
                  <w:r>
                    <w:rPr>
                      <w:rFonts w:hint="default"/>
                      <w:lang w:val="en-US" w:eastAsia="zh-CN"/>
                    </w:rPr>
                    <w:t>颗粒物</w:t>
                  </w:r>
                </w:p>
              </w:tc>
              <w:tc>
                <w:tcPr>
                  <w:tcW w:w="1088" w:type="dxa"/>
                  <w:vAlign w:val="center"/>
                </w:tcPr>
                <w:p>
                  <w:pPr>
                    <w:pStyle w:val="34"/>
                    <w:bidi w:val="0"/>
                    <w:jc w:val="center"/>
                    <w:rPr>
                      <w:rFonts w:hint="default"/>
                      <w:lang w:val="en-US" w:eastAsia="zh-CN"/>
                    </w:rPr>
                  </w:pPr>
                  <w:r>
                    <w:t>1次/年</w:t>
                  </w:r>
                </w:p>
              </w:tc>
              <w:tc>
                <w:tcPr>
                  <w:tcW w:w="3882" w:type="dxa"/>
                  <w:vAlign w:val="center"/>
                </w:tcPr>
                <w:p>
                  <w:pPr>
                    <w:pStyle w:val="34"/>
                    <w:bidi w:val="0"/>
                    <w:jc w:val="center"/>
                    <w:rPr>
                      <w:rFonts w:hint="default"/>
                      <w:lang w:val="en-US" w:eastAsia="zh-CN"/>
                    </w:rPr>
                  </w:pPr>
                  <w:r>
                    <w:rPr>
                      <w:rFonts w:hint="default"/>
                    </w:rPr>
                    <w:t>《水泥工业大气污染物排放标准》（GB4915-2013）</w:t>
                  </w:r>
                  <w:r>
                    <w:rPr>
                      <w:rFonts w:hint="default"/>
                      <w:lang w:eastAsia="zh-CN"/>
                    </w:rPr>
                    <w:t>中</w:t>
                  </w:r>
                  <w:r>
                    <w:rPr>
                      <w:rFonts w:hint="default"/>
                    </w:rPr>
                    <w:t>表</w:t>
                  </w:r>
                  <w:r>
                    <w:rPr>
                      <w:rFonts w:hint="eastAsia"/>
                      <w:lang w:val="en-US" w:eastAsia="zh-CN"/>
                    </w:rPr>
                    <w:t>2大气污染物特别排放限值要求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14" w:type="dxa"/>
                  <w:vMerge w:val="continue"/>
                  <w:vAlign w:val="center"/>
                </w:tcPr>
                <w:p>
                  <w:pPr>
                    <w:pStyle w:val="34"/>
                    <w:bidi w:val="0"/>
                    <w:jc w:val="center"/>
                    <w:rPr>
                      <w:rFonts w:hint="eastAsia"/>
                      <w:lang w:val="en-US" w:eastAsia="zh-CN"/>
                    </w:rPr>
                  </w:pPr>
                </w:p>
              </w:tc>
              <w:tc>
                <w:tcPr>
                  <w:tcW w:w="1075" w:type="dxa"/>
                  <w:vAlign w:val="center"/>
                </w:tcPr>
                <w:p>
                  <w:pPr>
                    <w:pStyle w:val="34"/>
                    <w:bidi w:val="0"/>
                    <w:jc w:val="center"/>
                    <w:rPr>
                      <w:rFonts w:hint="default"/>
                      <w:lang w:val="en-US" w:eastAsia="zh-CN"/>
                    </w:rPr>
                  </w:pPr>
                  <w:r>
                    <w:rPr>
                      <w:rFonts w:hint="eastAsia"/>
                      <w:highlight w:val="none"/>
                      <w:lang w:val="en-US" w:eastAsia="zh-CN"/>
                    </w:rPr>
                    <w:t>DA002</w:t>
                  </w:r>
                </w:p>
              </w:tc>
              <w:tc>
                <w:tcPr>
                  <w:tcW w:w="1112" w:type="dxa"/>
                  <w:vAlign w:val="center"/>
                </w:tcPr>
                <w:p>
                  <w:pPr>
                    <w:pStyle w:val="34"/>
                    <w:bidi w:val="0"/>
                    <w:jc w:val="center"/>
                    <w:rPr>
                      <w:rFonts w:hint="default"/>
                      <w:lang w:val="en-US" w:eastAsia="zh-CN"/>
                    </w:rPr>
                  </w:pPr>
                  <w:r>
                    <w:rPr>
                      <w:rFonts w:hint="eastAsia"/>
                      <w:highlight w:val="none"/>
                      <w:lang w:val="en-US" w:eastAsia="zh-CN"/>
                    </w:rPr>
                    <w:t>油烟</w:t>
                  </w:r>
                </w:p>
              </w:tc>
              <w:tc>
                <w:tcPr>
                  <w:tcW w:w="1088" w:type="dxa"/>
                  <w:vAlign w:val="center"/>
                </w:tcPr>
                <w:p>
                  <w:pPr>
                    <w:pStyle w:val="34"/>
                    <w:bidi w:val="0"/>
                    <w:jc w:val="center"/>
                  </w:pPr>
                  <w:r>
                    <w:rPr>
                      <w:highlight w:val="none"/>
                    </w:rPr>
                    <w:t>1次/年</w:t>
                  </w:r>
                </w:p>
              </w:tc>
              <w:tc>
                <w:tcPr>
                  <w:tcW w:w="3882" w:type="dxa"/>
                  <w:vAlign w:val="center"/>
                </w:tcPr>
                <w:p>
                  <w:pPr>
                    <w:pStyle w:val="34"/>
                    <w:bidi w:val="0"/>
                    <w:jc w:val="center"/>
                    <w:rPr>
                      <w:rFonts w:hint="default"/>
                    </w:rPr>
                  </w:pPr>
                  <w:r>
                    <w:rPr>
                      <w:rFonts w:hint="default"/>
                      <w:highlight w:val="none"/>
                      <w:lang w:val="en-US" w:eastAsia="zh-CN"/>
                    </w:rPr>
                    <w:t>《饮食业油烟排放标准》（GB 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714" w:type="dxa"/>
                  <w:vMerge w:val="continue"/>
                  <w:vAlign w:val="center"/>
                </w:tcPr>
                <w:p>
                  <w:pPr>
                    <w:pStyle w:val="34"/>
                    <w:bidi w:val="0"/>
                    <w:jc w:val="center"/>
                    <w:rPr>
                      <w:rFonts w:hint="eastAsia"/>
                      <w:lang w:val="en-US" w:eastAsia="zh-CN"/>
                    </w:rPr>
                  </w:pPr>
                </w:p>
              </w:tc>
              <w:tc>
                <w:tcPr>
                  <w:tcW w:w="1075" w:type="dxa"/>
                  <w:vAlign w:val="center"/>
                </w:tcPr>
                <w:p>
                  <w:pPr>
                    <w:pStyle w:val="34"/>
                    <w:bidi w:val="0"/>
                    <w:jc w:val="center"/>
                    <w:rPr>
                      <w:rFonts w:hint="default"/>
                      <w:lang w:val="en-US" w:eastAsia="zh-CN"/>
                    </w:rPr>
                  </w:pPr>
                  <w:r>
                    <w:rPr>
                      <w:rFonts w:hint="eastAsia"/>
                      <w:lang w:val="en-US" w:eastAsia="zh-CN"/>
                    </w:rPr>
                    <w:t>厂界</w:t>
                  </w:r>
                </w:p>
              </w:tc>
              <w:tc>
                <w:tcPr>
                  <w:tcW w:w="1112" w:type="dxa"/>
                  <w:vAlign w:val="center"/>
                </w:tcPr>
                <w:p>
                  <w:pPr>
                    <w:pStyle w:val="34"/>
                    <w:bidi w:val="0"/>
                    <w:jc w:val="center"/>
                    <w:rPr>
                      <w:rFonts w:hint="default"/>
                      <w:lang w:val="en-US" w:eastAsia="zh-CN"/>
                    </w:rPr>
                  </w:pPr>
                  <w:r>
                    <w:rPr>
                      <w:rFonts w:hint="eastAsia"/>
                      <w:lang w:val="en-US" w:eastAsia="zh-CN"/>
                    </w:rPr>
                    <w:t>颗粒物</w:t>
                  </w:r>
                </w:p>
              </w:tc>
              <w:tc>
                <w:tcPr>
                  <w:tcW w:w="1088" w:type="dxa"/>
                  <w:vAlign w:val="center"/>
                </w:tcPr>
                <w:p>
                  <w:pPr>
                    <w:pStyle w:val="34"/>
                    <w:bidi w:val="0"/>
                    <w:jc w:val="center"/>
                  </w:pPr>
                  <w:r>
                    <w:t>1次/年</w:t>
                  </w:r>
                </w:p>
              </w:tc>
              <w:tc>
                <w:tcPr>
                  <w:tcW w:w="3882" w:type="dxa"/>
                  <w:vAlign w:val="center"/>
                </w:tcPr>
                <w:p>
                  <w:pPr>
                    <w:pStyle w:val="34"/>
                    <w:bidi w:val="0"/>
                    <w:jc w:val="center"/>
                    <w:rPr>
                      <w:rFonts w:hint="default"/>
                    </w:rPr>
                  </w:pPr>
                  <w:r>
                    <w:rPr>
                      <w:rFonts w:hint="default"/>
                    </w:rPr>
                    <w:t>《水泥工业大气污染物排放标准》（GB4915-2013）</w:t>
                  </w:r>
                  <w:r>
                    <w:rPr>
                      <w:rFonts w:hint="default"/>
                      <w:lang w:eastAsia="zh-CN"/>
                    </w:rPr>
                    <w:t>中</w:t>
                  </w:r>
                  <w:r>
                    <w:rPr>
                      <w:rFonts w:hint="default"/>
                    </w:rPr>
                    <w:t>表</w:t>
                  </w:r>
                  <w:r>
                    <w:rPr>
                      <w:rFonts w:hint="default"/>
                      <w:lang w:val="en-US" w:eastAsia="zh-CN"/>
                    </w:rPr>
                    <w:t>3无组织排放标准要求</w:t>
                  </w:r>
                </w:p>
              </w:tc>
            </w:tr>
          </w:tbl>
          <w:p>
            <w:pPr>
              <w:pStyle w:val="3"/>
              <w:bidi w:val="0"/>
              <w:rPr>
                <w:rFonts w:hint="eastAsia"/>
                <w:lang w:val="en-US" w:eastAsia="zh-CN"/>
              </w:rPr>
            </w:pPr>
            <w:r>
              <w:rPr>
                <w:rFonts w:hint="eastAsia"/>
                <w:lang w:val="en-US" w:eastAsia="zh-CN"/>
              </w:rPr>
              <w:t>2.水环境影响和保护措施</w:t>
            </w:r>
          </w:p>
          <w:p>
            <w:pPr>
              <w:pStyle w:val="3"/>
              <w:bidi w:val="0"/>
              <w:rPr>
                <w:rFonts w:hint="eastAsia"/>
                <w:lang w:val="en-US" w:eastAsia="zh-CN"/>
              </w:rPr>
            </w:pPr>
            <w:r>
              <w:rPr>
                <w:rFonts w:hint="eastAsia"/>
                <w:lang w:val="en-US" w:eastAsia="zh-CN"/>
              </w:rPr>
              <w:t>2.1废水治理措施</w:t>
            </w:r>
          </w:p>
          <w:p>
            <w:pPr>
              <w:pStyle w:val="8"/>
              <w:bidi w:val="0"/>
              <w:rPr>
                <w:rFonts w:hint="eastAsia"/>
                <w:lang w:val="en-US" w:eastAsia="zh-CN"/>
              </w:rPr>
            </w:pPr>
            <w:r>
              <w:rPr>
                <w:rFonts w:hint="default"/>
                <w:lang w:val="en-US" w:eastAsia="zh-CN"/>
              </w:rPr>
              <w:t>本项目用水主要为员工生活用水和生产用水</w:t>
            </w:r>
            <w:r>
              <w:rPr>
                <w:rFonts w:hint="eastAsia"/>
                <w:lang w:val="en-US" w:eastAsia="zh-CN"/>
              </w:rPr>
              <w:t>。设备清洗水回用于产品，切割打孔用水经沉淀收集后，循环利用，不外排。生活污水经化粪池处理后排入市政排水管网进入铁门关市污水处理厂进行集中处理。本项目生活污水中主要污染物的产生及排放情况见下表。</w:t>
            </w:r>
          </w:p>
          <w:p>
            <w:pPr>
              <w:pStyle w:val="36"/>
              <w:bidi w:val="0"/>
              <w:rPr>
                <w:rFonts w:hint="default"/>
                <w:lang w:val="en-US" w:eastAsia="zh-CN"/>
              </w:rPr>
            </w:pPr>
            <w:bookmarkStart w:id="3" w:name="OLE_LINK7"/>
            <w:r>
              <w:rPr>
                <w:rFonts w:hint="default"/>
                <w:lang w:val="en-US" w:eastAsia="zh-CN"/>
              </w:rPr>
              <w:t>表4-</w:t>
            </w:r>
            <w:r>
              <w:rPr>
                <w:rFonts w:hint="eastAsia"/>
                <w:lang w:val="en-US" w:eastAsia="zh-CN"/>
              </w:rPr>
              <w:t>5</w:t>
            </w:r>
            <w:r>
              <w:rPr>
                <w:rFonts w:hint="default"/>
                <w:lang w:val="en-US" w:eastAsia="zh-CN"/>
              </w:rPr>
              <w:t xml:space="preserve">    项目生活污水产生和排放情况一览表</w:t>
            </w:r>
            <w:bookmarkEnd w:id="3"/>
          </w:p>
          <w:tbl>
            <w:tblPr>
              <w:tblStyle w:val="19"/>
              <w:tblW w:w="497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6"/>
              <w:gridCol w:w="647"/>
              <w:gridCol w:w="976"/>
              <w:gridCol w:w="1316"/>
              <w:gridCol w:w="1109"/>
              <w:gridCol w:w="1063"/>
              <w:gridCol w:w="187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3" w:hRule="atLeast"/>
              </w:trPr>
              <w:tc>
                <w:tcPr>
                  <w:tcW w:w="494" w:type="pct"/>
                  <w:vMerge w:val="restart"/>
                  <w:noWrap w:val="0"/>
                  <w:vAlign w:val="center"/>
                </w:tcPr>
                <w:p>
                  <w:pPr>
                    <w:pStyle w:val="34"/>
                    <w:bidi w:val="0"/>
                    <w:rPr>
                      <w:lang w:val="en-US" w:eastAsia="zh-CN"/>
                    </w:rPr>
                  </w:pPr>
                  <w:r>
                    <w:rPr>
                      <w:lang w:val="en-US" w:eastAsia="zh-CN"/>
                    </w:rPr>
                    <w:t>污染物</w:t>
                  </w:r>
                </w:p>
              </w:tc>
              <w:tc>
                <w:tcPr>
                  <w:tcW w:w="1894" w:type="pct"/>
                  <w:gridSpan w:val="3"/>
                  <w:noWrap w:val="0"/>
                  <w:vAlign w:val="center"/>
                </w:tcPr>
                <w:p>
                  <w:pPr>
                    <w:pStyle w:val="34"/>
                    <w:bidi w:val="0"/>
                    <w:rPr>
                      <w:rFonts w:hint="eastAsia"/>
                      <w:lang w:val="en-US" w:eastAsia="zh-CN"/>
                    </w:rPr>
                  </w:pPr>
                  <w:r>
                    <w:rPr>
                      <w:rFonts w:hint="eastAsia"/>
                      <w:lang w:val="en-US" w:eastAsia="zh-CN"/>
                    </w:rPr>
                    <w:t>污染物</w:t>
                  </w:r>
                  <w:r>
                    <w:rPr>
                      <w:lang w:val="en-US" w:eastAsia="zh-CN"/>
                    </w:rPr>
                    <w:t>产生情况</w:t>
                  </w:r>
                </w:p>
              </w:tc>
              <w:tc>
                <w:tcPr>
                  <w:tcW w:w="715" w:type="pct"/>
                  <w:tcBorders>
                    <w:right w:val="single" w:color="auto" w:sz="4" w:space="0"/>
                  </w:tcBorders>
                  <w:noWrap w:val="0"/>
                  <w:vAlign w:val="center"/>
                </w:tcPr>
                <w:p>
                  <w:pPr>
                    <w:pStyle w:val="34"/>
                    <w:bidi w:val="0"/>
                    <w:rPr>
                      <w:rFonts w:hint="eastAsia"/>
                      <w:lang w:val="en-US" w:eastAsia="zh-CN"/>
                    </w:rPr>
                  </w:pPr>
                  <w:r>
                    <w:rPr>
                      <w:lang w:val="en-US" w:eastAsia="zh-CN"/>
                    </w:rPr>
                    <w:t>治理措施</w:t>
                  </w:r>
                </w:p>
              </w:tc>
              <w:tc>
                <w:tcPr>
                  <w:tcW w:w="685" w:type="pct"/>
                  <w:vMerge w:val="restart"/>
                  <w:noWrap w:val="0"/>
                  <w:vAlign w:val="center"/>
                </w:tcPr>
                <w:p>
                  <w:pPr>
                    <w:pStyle w:val="34"/>
                    <w:bidi w:val="0"/>
                    <w:rPr>
                      <w:rFonts w:hint="eastAsia"/>
                      <w:lang w:val="en-US" w:eastAsia="zh-CN"/>
                    </w:rPr>
                  </w:pPr>
                  <w:r>
                    <w:rPr>
                      <w:lang w:val="en-US" w:eastAsia="zh-CN"/>
                    </w:rPr>
                    <w:t>排放标准</w:t>
                  </w:r>
                  <w:r>
                    <w:rPr>
                      <w:rFonts w:hint="eastAsia"/>
                      <w:lang w:val="en-US" w:eastAsia="zh-CN"/>
                    </w:rPr>
                    <w:t>（</w:t>
                  </w:r>
                  <w:r>
                    <w:rPr>
                      <w:lang w:val="en-US" w:eastAsia="zh-CN"/>
                    </w:rPr>
                    <w:t>mg/L</w:t>
                  </w:r>
                  <w:r>
                    <w:rPr>
                      <w:rFonts w:hint="eastAsia"/>
                      <w:lang w:val="en-US" w:eastAsia="zh-CN"/>
                    </w:rPr>
                    <w:t>）</w:t>
                  </w:r>
                </w:p>
              </w:tc>
              <w:tc>
                <w:tcPr>
                  <w:tcW w:w="1210" w:type="pct"/>
                  <w:vMerge w:val="restart"/>
                  <w:noWrap w:val="0"/>
                  <w:vAlign w:val="center"/>
                </w:tcPr>
                <w:p>
                  <w:pPr>
                    <w:pStyle w:val="34"/>
                    <w:bidi w:val="0"/>
                    <w:rPr>
                      <w:rFonts w:hint="eastAsia"/>
                      <w:lang w:val="en-US" w:eastAsia="zh-CN"/>
                    </w:rPr>
                  </w:pPr>
                  <w:r>
                    <w:rPr>
                      <w:rFonts w:hint="eastAsia"/>
                      <w:lang w:val="en-US" w:eastAsia="zh-CN"/>
                    </w:rPr>
                    <w:t>最终去向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94" w:type="pct"/>
                  <w:vMerge w:val="continue"/>
                  <w:noWrap w:val="0"/>
                  <w:vAlign w:val="center"/>
                </w:tcPr>
                <w:p>
                  <w:pPr>
                    <w:pStyle w:val="34"/>
                    <w:bidi w:val="0"/>
                    <w:rPr>
                      <w:lang w:val="en-US" w:eastAsia="zh-CN"/>
                    </w:rPr>
                  </w:pPr>
                </w:p>
              </w:tc>
              <w:tc>
                <w:tcPr>
                  <w:tcW w:w="417" w:type="pct"/>
                  <w:vMerge w:val="restart"/>
                  <w:noWrap w:val="0"/>
                  <w:vAlign w:val="center"/>
                </w:tcPr>
                <w:p>
                  <w:pPr>
                    <w:pStyle w:val="34"/>
                    <w:bidi w:val="0"/>
                    <w:rPr>
                      <w:lang w:val="en-US" w:eastAsia="zh-CN"/>
                    </w:rPr>
                  </w:pPr>
                  <w:r>
                    <w:rPr>
                      <w:lang w:val="en-US" w:eastAsia="zh-CN"/>
                    </w:rPr>
                    <w:t>核算方法</w:t>
                  </w:r>
                </w:p>
              </w:tc>
              <w:tc>
                <w:tcPr>
                  <w:tcW w:w="1477" w:type="pct"/>
                  <w:gridSpan w:val="2"/>
                  <w:noWrap w:val="0"/>
                  <w:vAlign w:val="center"/>
                </w:tcPr>
                <w:p>
                  <w:pPr>
                    <w:pStyle w:val="34"/>
                    <w:bidi w:val="0"/>
                    <w:rPr>
                      <w:lang w:val="en-US" w:eastAsia="zh-CN"/>
                    </w:rPr>
                  </w:pPr>
                  <w:r>
                    <w:rPr>
                      <w:lang w:val="en-US" w:eastAsia="zh-CN"/>
                    </w:rPr>
                    <w:t>生活污水</w:t>
                  </w:r>
                  <w:r>
                    <w:rPr>
                      <w:rFonts w:hint="eastAsia"/>
                      <w:lang w:val="en-US" w:eastAsia="zh-CN"/>
                    </w:rPr>
                    <w:t>100.8m</w:t>
                  </w:r>
                  <w:r>
                    <w:rPr>
                      <w:rFonts w:hint="eastAsia"/>
                      <w:vertAlign w:val="superscript"/>
                      <w:lang w:val="en-US" w:eastAsia="zh-CN"/>
                    </w:rPr>
                    <w:t>3</w:t>
                  </w:r>
                  <w:r>
                    <w:rPr>
                      <w:rFonts w:hint="default"/>
                      <w:lang w:val="en-US" w:eastAsia="zh-CN"/>
                    </w:rPr>
                    <w:t>/a</w:t>
                  </w:r>
                </w:p>
              </w:tc>
              <w:tc>
                <w:tcPr>
                  <w:tcW w:w="715" w:type="pct"/>
                  <w:vMerge w:val="restart"/>
                  <w:tcBorders>
                    <w:right w:val="single" w:color="auto" w:sz="4" w:space="0"/>
                  </w:tcBorders>
                  <w:noWrap w:val="0"/>
                  <w:vAlign w:val="center"/>
                </w:tcPr>
                <w:p>
                  <w:pPr>
                    <w:pStyle w:val="34"/>
                    <w:bidi w:val="0"/>
                    <w:rPr>
                      <w:lang w:val="en-US" w:eastAsia="zh-CN"/>
                    </w:rPr>
                  </w:pPr>
                  <w:r>
                    <w:rPr>
                      <w:lang w:val="en-US" w:eastAsia="zh-CN"/>
                    </w:rPr>
                    <w:t>工艺</w:t>
                  </w:r>
                </w:p>
              </w:tc>
              <w:tc>
                <w:tcPr>
                  <w:tcW w:w="685" w:type="pct"/>
                  <w:vMerge w:val="continue"/>
                  <w:noWrap w:val="0"/>
                  <w:vAlign w:val="center"/>
                </w:tcPr>
                <w:p>
                  <w:pPr>
                    <w:pStyle w:val="34"/>
                    <w:bidi w:val="0"/>
                    <w:rPr>
                      <w:lang w:val="en-US" w:eastAsia="zh-CN"/>
                    </w:rPr>
                  </w:pPr>
                </w:p>
              </w:tc>
              <w:tc>
                <w:tcPr>
                  <w:tcW w:w="1210" w:type="pct"/>
                  <w:vMerge w:val="continue"/>
                  <w:noWrap w:val="0"/>
                  <w:vAlign w:val="center"/>
                </w:tcPr>
                <w:p>
                  <w:pPr>
                    <w:pStyle w:val="34"/>
                    <w:bidi w:val="0"/>
                    <w:rPr>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494" w:type="pct"/>
                  <w:vMerge w:val="continue"/>
                  <w:noWrap w:val="0"/>
                  <w:vAlign w:val="center"/>
                </w:tcPr>
                <w:p>
                  <w:pPr>
                    <w:pStyle w:val="34"/>
                    <w:bidi w:val="0"/>
                    <w:rPr>
                      <w:lang w:val="en-US" w:eastAsia="zh-CN"/>
                    </w:rPr>
                  </w:pPr>
                </w:p>
              </w:tc>
              <w:tc>
                <w:tcPr>
                  <w:tcW w:w="417" w:type="pct"/>
                  <w:vMerge w:val="continue"/>
                  <w:noWrap w:val="0"/>
                  <w:vAlign w:val="center"/>
                </w:tcPr>
                <w:p>
                  <w:pPr>
                    <w:pStyle w:val="34"/>
                    <w:bidi w:val="0"/>
                    <w:rPr>
                      <w:lang w:val="en-US" w:eastAsia="zh-CN"/>
                    </w:rPr>
                  </w:pPr>
                </w:p>
              </w:tc>
              <w:tc>
                <w:tcPr>
                  <w:tcW w:w="629" w:type="pct"/>
                  <w:noWrap w:val="0"/>
                  <w:vAlign w:val="center"/>
                </w:tcPr>
                <w:p>
                  <w:pPr>
                    <w:pStyle w:val="34"/>
                    <w:bidi w:val="0"/>
                    <w:rPr>
                      <w:lang w:val="en-US" w:eastAsia="zh-CN"/>
                    </w:rPr>
                  </w:pPr>
                  <w:r>
                    <w:rPr>
                      <w:rFonts w:hint="eastAsia"/>
                      <w:lang w:val="en-US" w:eastAsia="zh-CN"/>
                    </w:rPr>
                    <w:t>产生</w:t>
                  </w:r>
                  <w:r>
                    <w:rPr>
                      <w:lang w:val="en-US" w:eastAsia="zh-CN"/>
                    </w:rPr>
                    <w:t>浓度</w:t>
                  </w:r>
                  <w:r>
                    <w:rPr>
                      <w:rFonts w:hint="eastAsia"/>
                      <w:lang w:val="en-US" w:eastAsia="zh-CN"/>
                    </w:rPr>
                    <w:t>mg/L</w:t>
                  </w:r>
                </w:p>
              </w:tc>
              <w:tc>
                <w:tcPr>
                  <w:tcW w:w="848" w:type="pct"/>
                  <w:noWrap w:val="0"/>
                  <w:vAlign w:val="center"/>
                </w:tcPr>
                <w:p>
                  <w:pPr>
                    <w:pStyle w:val="34"/>
                    <w:bidi w:val="0"/>
                    <w:rPr>
                      <w:lang w:val="en-US" w:eastAsia="zh-CN"/>
                    </w:rPr>
                  </w:pPr>
                  <w:r>
                    <w:rPr>
                      <w:rFonts w:hint="eastAsia"/>
                      <w:lang w:val="en-US" w:eastAsia="zh-CN"/>
                    </w:rPr>
                    <w:t>产生量t/a</w:t>
                  </w:r>
                </w:p>
              </w:tc>
              <w:tc>
                <w:tcPr>
                  <w:tcW w:w="715" w:type="pct"/>
                  <w:vMerge w:val="continue"/>
                  <w:noWrap w:val="0"/>
                  <w:vAlign w:val="center"/>
                </w:tcPr>
                <w:p>
                  <w:pPr>
                    <w:pStyle w:val="34"/>
                    <w:bidi w:val="0"/>
                    <w:rPr>
                      <w:rFonts w:hint="eastAsia"/>
                      <w:lang w:val="en-US" w:eastAsia="zh-CN"/>
                    </w:rPr>
                  </w:pPr>
                </w:p>
              </w:tc>
              <w:tc>
                <w:tcPr>
                  <w:tcW w:w="685" w:type="pct"/>
                  <w:vMerge w:val="continue"/>
                  <w:noWrap w:val="0"/>
                  <w:vAlign w:val="center"/>
                </w:tcPr>
                <w:p>
                  <w:pPr>
                    <w:pStyle w:val="34"/>
                    <w:bidi w:val="0"/>
                    <w:rPr>
                      <w:lang w:val="en-US" w:eastAsia="zh-CN"/>
                    </w:rPr>
                  </w:pPr>
                </w:p>
              </w:tc>
              <w:tc>
                <w:tcPr>
                  <w:tcW w:w="1210" w:type="pct"/>
                  <w:vMerge w:val="continue"/>
                  <w:noWrap w:val="0"/>
                  <w:vAlign w:val="center"/>
                </w:tcPr>
                <w:p>
                  <w:pPr>
                    <w:pStyle w:val="34"/>
                    <w:bidi w:val="0"/>
                    <w:rPr>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4" w:hRule="atLeast"/>
              </w:trPr>
              <w:tc>
                <w:tcPr>
                  <w:tcW w:w="494" w:type="pct"/>
                  <w:noWrap w:val="0"/>
                  <w:vAlign w:val="center"/>
                </w:tcPr>
                <w:p>
                  <w:pPr>
                    <w:pStyle w:val="34"/>
                    <w:bidi w:val="0"/>
                    <w:rPr>
                      <w:lang w:val="en-US" w:eastAsia="zh-CN"/>
                    </w:rPr>
                  </w:pPr>
                  <w:r>
                    <w:rPr>
                      <w:lang w:val="en-US" w:eastAsia="zh-CN"/>
                    </w:rPr>
                    <w:t>COD</w:t>
                  </w:r>
                </w:p>
              </w:tc>
              <w:tc>
                <w:tcPr>
                  <w:tcW w:w="417" w:type="pct"/>
                  <w:vMerge w:val="restart"/>
                  <w:tcBorders>
                    <w:top w:val="single" w:color="auto" w:sz="4" w:space="0"/>
                  </w:tcBorders>
                  <w:noWrap w:val="0"/>
                  <w:vAlign w:val="center"/>
                </w:tcPr>
                <w:p>
                  <w:pPr>
                    <w:pStyle w:val="34"/>
                    <w:bidi w:val="0"/>
                    <w:rPr>
                      <w:rFonts w:hint="eastAsia"/>
                      <w:lang w:val="en-US" w:eastAsia="zh-CN"/>
                    </w:rPr>
                  </w:pPr>
                  <w:r>
                    <w:rPr>
                      <w:rFonts w:hint="eastAsia"/>
                      <w:lang w:val="en-US" w:eastAsia="zh-CN"/>
                    </w:rPr>
                    <w:t>类比法</w:t>
                  </w:r>
                </w:p>
              </w:tc>
              <w:tc>
                <w:tcPr>
                  <w:tcW w:w="629" w:type="pct"/>
                  <w:noWrap w:val="0"/>
                  <w:vAlign w:val="center"/>
                </w:tcPr>
                <w:p>
                  <w:pPr>
                    <w:pStyle w:val="34"/>
                    <w:bidi w:val="0"/>
                    <w:rPr>
                      <w:lang w:val="en-US" w:eastAsia="zh-CN"/>
                    </w:rPr>
                  </w:pPr>
                  <w:r>
                    <w:rPr>
                      <w:rFonts w:hint="eastAsia"/>
                      <w:lang w:val="en-US" w:eastAsia="zh-CN"/>
                    </w:rPr>
                    <w:t>350</w:t>
                  </w:r>
                </w:p>
              </w:tc>
              <w:tc>
                <w:tcPr>
                  <w:tcW w:w="848" w:type="pct"/>
                  <w:noWrap w:val="0"/>
                  <w:vAlign w:val="center"/>
                </w:tcPr>
                <w:p>
                  <w:pPr>
                    <w:pStyle w:val="34"/>
                    <w:bidi w:val="0"/>
                    <w:rPr>
                      <w:rFonts w:hint="default"/>
                      <w:lang w:val="en-US" w:eastAsia="zh-CN"/>
                    </w:rPr>
                  </w:pPr>
                  <w:r>
                    <w:rPr>
                      <w:rFonts w:hint="eastAsia"/>
                      <w:lang w:val="en-US" w:eastAsia="zh-CN"/>
                    </w:rPr>
                    <w:t>0.0353</w:t>
                  </w:r>
                </w:p>
              </w:tc>
              <w:tc>
                <w:tcPr>
                  <w:tcW w:w="715" w:type="pct"/>
                  <w:vMerge w:val="restart"/>
                  <w:noWrap w:val="0"/>
                  <w:vAlign w:val="center"/>
                </w:tcPr>
                <w:p>
                  <w:pPr>
                    <w:pStyle w:val="34"/>
                    <w:bidi w:val="0"/>
                    <w:rPr>
                      <w:lang w:val="en-US" w:eastAsia="zh-CN"/>
                    </w:rPr>
                  </w:pPr>
                  <w:r>
                    <w:rPr>
                      <w:lang w:val="en-US" w:eastAsia="zh-CN"/>
                    </w:rPr>
                    <w:t>化粪池</w:t>
                  </w:r>
                  <w:r>
                    <w:rPr>
                      <w:rFonts w:hint="eastAsia"/>
                      <w:lang w:val="en-US" w:eastAsia="zh-CN"/>
                    </w:rPr>
                    <w:t>预</w:t>
                  </w:r>
                  <w:r>
                    <w:rPr>
                      <w:lang w:val="en-US" w:eastAsia="zh-CN"/>
                    </w:rPr>
                    <w:t>处理</w:t>
                  </w:r>
                </w:p>
              </w:tc>
              <w:tc>
                <w:tcPr>
                  <w:tcW w:w="685" w:type="pct"/>
                  <w:noWrap w:val="0"/>
                  <w:vAlign w:val="center"/>
                </w:tcPr>
                <w:p>
                  <w:pPr>
                    <w:pStyle w:val="34"/>
                    <w:bidi w:val="0"/>
                    <w:rPr>
                      <w:lang w:val="en-US" w:eastAsia="zh-CN"/>
                    </w:rPr>
                  </w:pPr>
                  <w:r>
                    <w:rPr>
                      <w:lang w:val="en-US" w:eastAsia="zh-CN"/>
                    </w:rPr>
                    <w:t>500</w:t>
                  </w:r>
                </w:p>
              </w:tc>
              <w:tc>
                <w:tcPr>
                  <w:tcW w:w="1210" w:type="pct"/>
                  <w:vMerge w:val="restart"/>
                  <w:noWrap w:val="0"/>
                  <w:vAlign w:val="center"/>
                </w:tcPr>
                <w:p>
                  <w:pPr>
                    <w:pStyle w:val="34"/>
                    <w:bidi w:val="0"/>
                    <w:rPr>
                      <w:lang w:val="en-US" w:eastAsia="zh-CN"/>
                    </w:rPr>
                  </w:pPr>
                  <w:r>
                    <w:rPr>
                      <w:rFonts w:hint="eastAsia"/>
                      <w:lang w:val="en-US" w:eastAsia="zh-CN"/>
                    </w:rPr>
                    <w:t>本项目生活污水经化粪池处理后排入污水管网进入铁门关市污水处理厂进行集中处理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9" w:hRule="atLeast"/>
              </w:trPr>
              <w:tc>
                <w:tcPr>
                  <w:tcW w:w="494" w:type="pct"/>
                  <w:noWrap w:val="0"/>
                  <w:vAlign w:val="center"/>
                </w:tcPr>
                <w:p>
                  <w:pPr>
                    <w:pStyle w:val="34"/>
                    <w:bidi w:val="0"/>
                    <w:rPr>
                      <w:rFonts w:hint="eastAsia"/>
                      <w:lang w:val="en-US" w:eastAsia="zh-CN"/>
                    </w:rPr>
                  </w:pPr>
                  <w:r>
                    <w:rPr>
                      <w:lang w:val="en-US" w:eastAsia="zh-CN"/>
                    </w:rPr>
                    <w:t>BOD</w:t>
                  </w:r>
                  <w:r>
                    <w:rPr>
                      <w:rFonts w:hint="eastAsia"/>
                      <w:vertAlign w:val="subscript"/>
                      <w:lang w:val="en-US" w:eastAsia="zh-CN"/>
                    </w:rPr>
                    <w:t>5</w:t>
                  </w:r>
                </w:p>
              </w:tc>
              <w:tc>
                <w:tcPr>
                  <w:tcW w:w="417" w:type="pct"/>
                  <w:vMerge w:val="continue"/>
                  <w:noWrap w:val="0"/>
                  <w:vAlign w:val="center"/>
                </w:tcPr>
                <w:p>
                  <w:pPr>
                    <w:pStyle w:val="34"/>
                    <w:bidi w:val="0"/>
                    <w:rPr>
                      <w:lang w:val="en-US" w:eastAsia="zh-CN"/>
                    </w:rPr>
                  </w:pPr>
                </w:p>
              </w:tc>
              <w:tc>
                <w:tcPr>
                  <w:tcW w:w="629" w:type="pct"/>
                  <w:noWrap w:val="0"/>
                  <w:vAlign w:val="center"/>
                </w:tcPr>
                <w:p>
                  <w:pPr>
                    <w:pStyle w:val="34"/>
                    <w:bidi w:val="0"/>
                    <w:rPr>
                      <w:lang w:val="en-US" w:eastAsia="zh-CN"/>
                    </w:rPr>
                  </w:pPr>
                  <w:r>
                    <w:rPr>
                      <w:lang w:val="en-US" w:eastAsia="zh-CN"/>
                    </w:rPr>
                    <w:t>250</w:t>
                  </w:r>
                </w:p>
              </w:tc>
              <w:tc>
                <w:tcPr>
                  <w:tcW w:w="848" w:type="pct"/>
                  <w:noWrap w:val="0"/>
                  <w:vAlign w:val="center"/>
                </w:tcPr>
                <w:p>
                  <w:pPr>
                    <w:pStyle w:val="34"/>
                    <w:bidi w:val="0"/>
                    <w:rPr>
                      <w:rFonts w:hint="default"/>
                      <w:lang w:val="en-US" w:eastAsia="zh-CN"/>
                    </w:rPr>
                  </w:pPr>
                  <w:r>
                    <w:rPr>
                      <w:rFonts w:hint="eastAsia"/>
                      <w:lang w:val="en-US" w:eastAsia="zh-CN"/>
                    </w:rPr>
                    <w:t>0.0252</w:t>
                  </w:r>
                </w:p>
              </w:tc>
              <w:tc>
                <w:tcPr>
                  <w:tcW w:w="715" w:type="pct"/>
                  <w:vMerge w:val="continue"/>
                  <w:noWrap w:val="0"/>
                  <w:vAlign w:val="center"/>
                </w:tcPr>
                <w:p>
                  <w:pPr>
                    <w:pStyle w:val="34"/>
                    <w:bidi w:val="0"/>
                    <w:rPr>
                      <w:lang w:val="en-US" w:eastAsia="zh-CN"/>
                    </w:rPr>
                  </w:pPr>
                </w:p>
              </w:tc>
              <w:tc>
                <w:tcPr>
                  <w:tcW w:w="685" w:type="pct"/>
                  <w:noWrap w:val="0"/>
                  <w:vAlign w:val="center"/>
                </w:tcPr>
                <w:p>
                  <w:pPr>
                    <w:pStyle w:val="34"/>
                    <w:bidi w:val="0"/>
                    <w:rPr>
                      <w:lang w:val="en-US" w:eastAsia="zh-CN"/>
                    </w:rPr>
                  </w:pPr>
                  <w:r>
                    <w:rPr>
                      <w:lang w:val="en-US" w:eastAsia="zh-CN"/>
                    </w:rPr>
                    <w:t>300</w:t>
                  </w:r>
                </w:p>
              </w:tc>
              <w:tc>
                <w:tcPr>
                  <w:tcW w:w="1210" w:type="pct"/>
                  <w:vMerge w:val="continue"/>
                  <w:noWrap w:val="0"/>
                  <w:vAlign w:val="center"/>
                </w:tcPr>
                <w:p>
                  <w:pPr>
                    <w:pStyle w:val="34"/>
                    <w:bidi w:val="0"/>
                    <w:rPr>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494" w:type="pct"/>
                  <w:noWrap w:val="0"/>
                  <w:vAlign w:val="center"/>
                </w:tcPr>
                <w:p>
                  <w:pPr>
                    <w:pStyle w:val="34"/>
                    <w:bidi w:val="0"/>
                    <w:rPr>
                      <w:lang w:val="en-US" w:eastAsia="zh-CN"/>
                    </w:rPr>
                  </w:pPr>
                  <w:r>
                    <w:rPr>
                      <w:lang w:val="en-US" w:eastAsia="zh-CN"/>
                    </w:rPr>
                    <w:t>SS</w:t>
                  </w:r>
                </w:p>
              </w:tc>
              <w:tc>
                <w:tcPr>
                  <w:tcW w:w="417" w:type="pct"/>
                  <w:vMerge w:val="continue"/>
                  <w:noWrap w:val="0"/>
                  <w:vAlign w:val="center"/>
                </w:tcPr>
                <w:p>
                  <w:pPr>
                    <w:pStyle w:val="34"/>
                    <w:bidi w:val="0"/>
                    <w:rPr>
                      <w:lang w:val="en-US" w:eastAsia="zh-CN"/>
                    </w:rPr>
                  </w:pPr>
                </w:p>
              </w:tc>
              <w:tc>
                <w:tcPr>
                  <w:tcW w:w="629" w:type="pct"/>
                  <w:noWrap w:val="0"/>
                  <w:vAlign w:val="center"/>
                </w:tcPr>
                <w:p>
                  <w:pPr>
                    <w:pStyle w:val="34"/>
                    <w:bidi w:val="0"/>
                    <w:rPr>
                      <w:lang w:val="en-US" w:eastAsia="zh-CN"/>
                    </w:rPr>
                  </w:pPr>
                  <w:r>
                    <w:rPr>
                      <w:lang w:val="en-US" w:eastAsia="zh-CN"/>
                    </w:rPr>
                    <w:t>200</w:t>
                  </w:r>
                </w:p>
              </w:tc>
              <w:tc>
                <w:tcPr>
                  <w:tcW w:w="848" w:type="pct"/>
                  <w:noWrap w:val="0"/>
                  <w:vAlign w:val="center"/>
                </w:tcPr>
                <w:p>
                  <w:pPr>
                    <w:pStyle w:val="34"/>
                    <w:bidi w:val="0"/>
                    <w:rPr>
                      <w:rFonts w:hint="default"/>
                      <w:lang w:val="en-US" w:eastAsia="zh-CN"/>
                    </w:rPr>
                  </w:pPr>
                  <w:r>
                    <w:rPr>
                      <w:rFonts w:hint="eastAsia"/>
                      <w:lang w:val="en-US" w:eastAsia="zh-CN"/>
                    </w:rPr>
                    <w:t>0.0202</w:t>
                  </w:r>
                </w:p>
              </w:tc>
              <w:tc>
                <w:tcPr>
                  <w:tcW w:w="715" w:type="pct"/>
                  <w:vMerge w:val="continue"/>
                  <w:noWrap w:val="0"/>
                  <w:vAlign w:val="center"/>
                </w:tcPr>
                <w:p>
                  <w:pPr>
                    <w:pStyle w:val="34"/>
                    <w:bidi w:val="0"/>
                    <w:rPr>
                      <w:lang w:val="en-US" w:eastAsia="zh-CN"/>
                    </w:rPr>
                  </w:pPr>
                </w:p>
              </w:tc>
              <w:tc>
                <w:tcPr>
                  <w:tcW w:w="685" w:type="pct"/>
                  <w:noWrap w:val="0"/>
                  <w:vAlign w:val="center"/>
                </w:tcPr>
                <w:p>
                  <w:pPr>
                    <w:pStyle w:val="34"/>
                    <w:bidi w:val="0"/>
                    <w:rPr>
                      <w:lang w:val="en-US" w:eastAsia="zh-CN"/>
                    </w:rPr>
                  </w:pPr>
                  <w:r>
                    <w:rPr>
                      <w:lang w:val="en-US" w:eastAsia="zh-CN"/>
                    </w:rPr>
                    <w:t>400</w:t>
                  </w:r>
                </w:p>
              </w:tc>
              <w:tc>
                <w:tcPr>
                  <w:tcW w:w="1210" w:type="pct"/>
                  <w:vMerge w:val="continue"/>
                  <w:noWrap w:val="0"/>
                  <w:vAlign w:val="center"/>
                </w:tcPr>
                <w:p>
                  <w:pPr>
                    <w:pStyle w:val="34"/>
                    <w:bidi w:val="0"/>
                    <w:rPr>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7" w:hRule="atLeast"/>
              </w:trPr>
              <w:tc>
                <w:tcPr>
                  <w:tcW w:w="494" w:type="pct"/>
                  <w:noWrap w:val="0"/>
                  <w:vAlign w:val="center"/>
                </w:tcPr>
                <w:p>
                  <w:pPr>
                    <w:pStyle w:val="34"/>
                    <w:bidi w:val="0"/>
                    <w:rPr>
                      <w:lang w:val="en-US" w:eastAsia="zh-CN"/>
                    </w:rPr>
                  </w:pPr>
                  <w:r>
                    <w:rPr>
                      <w:lang w:val="en-US" w:eastAsia="zh-CN"/>
                    </w:rPr>
                    <w:t>氨氮</w:t>
                  </w:r>
                </w:p>
              </w:tc>
              <w:tc>
                <w:tcPr>
                  <w:tcW w:w="417" w:type="pct"/>
                  <w:vMerge w:val="continue"/>
                  <w:noWrap w:val="0"/>
                  <w:vAlign w:val="center"/>
                </w:tcPr>
                <w:p>
                  <w:pPr>
                    <w:pStyle w:val="34"/>
                    <w:bidi w:val="0"/>
                    <w:rPr>
                      <w:lang w:val="en-US" w:eastAsia="zh-CN"/>
                    </w:rPr>
                  </w:pPr>
                </w:p>
              </w:tc>
              <w:tc>
                <w:tcPr>
                  <w:tcW w:w="629" w:type="pct"/>
                  <w:noWrap w:val="0"/>
                  <w:vAlign w:val="center"/>
                </w:tcPr>
                <w:p>
                  <w:pPr>
                    <w:pStyle w:val="34"/>
                    <w:bidi w:val="0"/>
                    <w:rPr>
                      <w:lang w:val="en-US" w:eastAsia="zh-CN"/>
                    </w:rPr>
                  </w:pPr>
                  <w:r>
                    <w:rPr>
                      <w:rFonts w:hint="eastAsia"/>
                      <w:lang w:val="en-US" w:eastAsia="zh-CN"/>
                    </w:rPr>
                    <w:t>30</w:t>
                  </w:r>
                </w:p>
              </w:tc>
              <w:tc>
                <w:tcPr>
                  <w:tcW w:w="848" w:type="pct"/>
                  <w:noWrap w:val="0"/>
                  <w:vAlign w:val="center"/>
                </w:tcPr>
                <w:p>
                  <w:pPr>
                    <w:pStyle w:val="34"/>
                    <w:bidi w:val="0"/>
                    <w:rPr>
                      <w:rFonts w:hint="default"/>
                      <w:lang w:val="en-US" w:eastAsia="zh-CN"/>
                    </w:rPr>
                  </w:pPr>
                  <w:r>
                    <w:rPr>
                      <w:rFonts w:hint="eastAsia"/>
                      <w:lang w:val="en-US" w:eastAsia="zh-CN"/>
                    </w:rPr>
                    <w:t>0.003</w:t>
                  </w:r>
                </w:p>
              </w:tc>
              <w:tc>
                <w:tcPr>
                  <w:tcW w:w="715" w:type="pct"/>
                  <w:vMerge w:val="continue"/>
                  <w:noWrap w:val="0"/>
                  <w:vAlign w:val="center"/>
                </w:tcPr>
                <w:p>
                  <w:pPr>
                    <w:pStyle w:val="34"/>
                    <w:bidi w:val="0"/>
                    <w:rPr>
                      <w:lang w:val="en-US" w:eastAsia="zh-CN"/>
                    </w:rPr>
                  </w:pPr>
                </w:p>
              </w:tc>
              <w:tc>
                <w:tcPr>
                  <w:tcW w:w="685" w:type="pct"/>
                  <w:noWrap w:val="0"/>
                  <w:vAlign w:val="center"/>
                </w:tcPr>
                <w:p>
                  <w:pPr>
                    <w:pStyle w:val="34"/>
                    <w:bidi w:val="0"/>
                    <w:rPr>
                      <w:lang w:val="en-US" w:eastAsia="zh-CN"/>
                    </w:rPr>
                  </w:pPr>
                  <w:r>
                    <w:rPr>
                      <w:lang w:val="en-US" w:eastAsia="zh-CN"/>
                    </w:rPr>
                    <w:t>/</w:t>
                  </w:r>
                </w:p>
              </w:tc>
              <w:tc>
                <w:tcPr>
                  <w:tcW w:w="1210" w:type="pct"/>
                  <w:vMerge w:val="continue"/>
                  <w:noWrap w:val="0"/>
                  <w:vAlign w:val="center"/>
                </w:tcPr>
                <w:p>
                  <w:pPr>
                    <w:pStyle w:val="34"/>
                    <w:bidi w:val="0"/>
                    <w:rPr>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7" w:hRule="atLeast"/>
              </w:trPr>
              <w:tc>
                <w:tcPr>
                  <w:tcW w:w="494" w:type="pct"/>
                  <w:noWrap w:val="0"/>
                  <w:vAlign w:val="center"/>
                </w:tcPr>
                <w:p>
                  <w:pPr>
                    <w:pStyle w:val="34"/>
                    <w:bidi w:val="0"/>
                    <w:rPr>
                      <w:rFonts w:hint="eastAsia"/>
                      <w:lang w:val="en-US" w:eastAsia="zh-CN"/>
                    </w:rPr>
                  </w:pPr>
                  <w:r>
                    <w:rPr>
                      <w:rFonts w:hint="eastAsia"/>
                      <w:lang w:val="en-US" w:eastAsia="zh-CN"/>
                    </w:rPr>
                    <w:t>动植物油</w:t>
                  </w:r>
                </w:p>
              </w:tc>
              <w:tc>
                <w:tcPr>
                  <w:tcW w:w="417" w:type="pct"/>
                  <w:vMerge w:val="continue"/>
                  <w:noWrap w:val="0"/>
                  <w:vAlign w:val="center"/>
                </w:tcPr>
                <w:p>
                  <w:pPr>
                    <w:pStyle w:val="34"/>
                    <w:bidi w:val="0"/>
                    <w:rPr>
                      <w:lang w:val="en-US" w:eastAsia="zh-CN"/>
                    </w:rPr>
                  </w:pPr>
                </w:p>
              </w:tc>
              <w:tc>
                <w:tcPr>
                  <w:tcW w:w="629" w:type="pct"/>
                  <w:noWrap w:val="0"/>
                  <w:vAlign w:val="center"/>
                </w:tcPr>
                <w:p>
                  <w:pPr>
                    <w:pStyle w:val="34"/>
                    <w:bidi w:val="0"/>
                    <w:rPr>
                      <w:rFonts w:hint="default"/>
                      <w:lang w:val="en-US" w:eastAsia="zh-CN"/>
                    </w:rPr>
                  </w:pPr>
                  <w:r>
                    <w:rPr>
                      <w:rFonts w:hint="eastAsia"/>
                      <w:lang w:val="en-US" w:eastAsia="zh-CN"/>
                    </w:rPr>
                    <w:t>100</w:t>
                  </w:r>
                </w:p>
              </w:tc>
              <w:tc>
                <w:tcPr>
                  <w:tcW w:w="848" w:type="pct"/>
                  <w:noWrap w:val="0"/>
                  <w:vAlign w:val="center"/>
                </w:tcPr>
                <w:p>
                  <w:pPr>
                    <w:pStyle w:val="34"/>
                    <w:bidi w:val="0"/>
                    <w:rPr>
                      <w:rFonts w:hint="default"/>
                      <w:lang w:val="en-US" w:eastAsia="zh-CN"/>
                    </w:rPr>
                  </w:pPr>
                  <w:r>
                    <w:rPr>
                      <w:rFonts w:hint="eastAsia"/>
                      <w:lang w:val="en-US" w:eastAsia="zh-CN"/>
                    </w:rPr>
                    <w:t>0.01</w:t>
                  </w:r>
                </w:p>
              </w:tc>
              <w:tc>
                <w:tcPr>
                  <w:tcW w:w="715" w:type="pct"/>
                  <w:vMerge w:val="continue"/>
                  <w:noWrap w:val="0"/>
                  <w:vAlign w:val="center"/>
                </w:tcPr>
                <w:p>
                  <w:pPr>
                    <w:pStyle w:val="34"/>
                    <w:bidi w:val="0"/>
                    <w:rPr>
                      <w:lang w:val="en-US" w:eastAsia="zh-CN"/>
                    </w:rPr>
                  </w:pPr>
                </w:p>
              </w:tc>
              <w:tc>
                <w:tcPr>
                  <w:tcW w:w="685" w:type="pct"/>
                  <w:noWrap w:val="0"/>
                  <w:vAlign w:val="center"/>
                </w:tcPr>
                <w:p>
                  <w:pPr>
                    <w:pStyle w:val="34"/>
                    <w:bidi w:val="0"/>
                    <w:rPr>
                      <w:rFonts w:hint="default"/>
                      <w:lang w:val="en-US" w:eastAsia="zh-CN"/>
                    </w:rPr>
                  </w:pPr>
                  <w:r>
                    <w:rPr>
                      <w:rFonts w:hint="eastAsia"/>
                      <w:lang w:val="en-US" w:eastAsia="zh-CN"/>
                    </w:rPr>
                    <w:t>100</w:t>
                  </w:r>
                </w:p>
              </w:tc>
              <w:tc>
                <w:tcPr>
                  <w:tcW w:w="1210" w:type="pct"/>
                  <w:vMerge w:val="continue"/>
                  <w:noWrap w:val="0"/>
                  <w:vAlign w:val="center"/>
                </w:tcPr>
                <w:p>
                  <w:pPr>
                    <w:pStyle w:val="34"/>
                    <w:bidi w:val="0"/>
                    <w:rPr>
                      <w:lang w:val="en-US" w:eastAsia="zh-CN"/>
                    </w:rPr>
                  </w:pPr>
                </w:p>
              </w:tc>
            </w:tr>
          </w:tbl>
          <w:p>
            <w:pPr>
              <w:pStyle w:val="3"/>
              <w:bidi w:val="0"/>
              <w:rPr>
                <w:rFonts w:hint="default"/>
                <w:lang w:val="en-US" w:eastAsia="zh-CN"/>
              </w:rPr>
            </w:pPr>
            <w:r>
              <w:rPr>
                <w:rFonts w:hint="default"/>
                <w:lang w:val="en-US" w:eastAsia="zh-CN"/>
              </w:rPr>
              <w:t>2.2废水污染防治措施可行性</w:t>
            </w:r>
          </w:p>
          <w:p>
            <w:pPr>
              <w:pStyle w:val="8"/>
              <w:keepNext w:val="0"/>
              <w:keepLines w:val="0"/>
              <w:pageBreakBefore w:val="0"/>
              <w:widowControl/>
              <w:kinsoku/>
              <w:wordWrap/>
              <w:overflowPunct/>
              <w:topLinePunct w:val="0"/>
              <w:autoSpaceDE/>
              <w:autoSpaceDN/>
              <w:bidi w:val="0"/>
              <w:adjustRightInd/>
              <w:snapToGrid w:val="0"/>
              <w:textAlignment w:val="auto"/>
              <w:rPr>
                <w:rFonts w:hint="default"/>
                <w:lang w:val="en-US" w:eastAsia="zh-CN"/>
              </w:rPr>
            </w:pPr>
            <w:r>
              <w:rPr>
                <w:rFonts w:hint="default"/>
                <w:lang w:val="en-US" w:eastAsia="zh-CN"/>
              </w:rPr>
              <w:t>铁门关市污水处理厂位于铁门关市城区以南3km处，位于项目区西偏北19km处。污水处理厂处理工艺</w:t>
            </w:r>
            <w:r>
              <w:rPr>
                <w:rFonts w:hint="eastAsia"/>
                <w:lang w:val="en-US" w:eastAsia="zh-CN"/>
              </w:rPr>
              <w:t>采</w:t>
            </w:r>
            <w:r>
              <w:rPr>
                <w:rFonts w:hint="default"/>
                <w:lang w:val="en-US" w:eastAsia="zh-CN"/>
              </w:rPr>
              <w:t>用A</w:t>
            </w:r>
            <w:r>
              <w:rPr>
                <w:rFonts w:hint="default"/>
                <w:vertAlign w:val="subscript"/>
                <w:lang w:val="en-US" w:eastAsia="zh-CN"/>
              </w:rPr>
              <w:t>2</w:t>
            </w:r>
            <w:r>
              <w:rPr>
                <w:rFonts w:hint="default"/>
                <w:vertAlign w:val="baseline"/>
                <w:lang w:val="en-US" w:eastAsia="zh-CN"/>
              </w:rPr>
              <w:t>/</w:t>
            </w:r>
            <w:r>
              <w:rPr>
                <w:rFonts w:hint="default"/>
                <w:lang w:val="en-US" w:eastAsia="zh-CN"/>
              </w:rPr>
              <w:t>O二级生化处理工艺，处理后的尾水水质满足《城镇污水处理厂污染物排放标准》（GB18918-2002）一级B标准限值要求，灌溉期用于生态林灌溉，非灌溉期排入污水处理厂以南的戈壁荒地。于2014年05月取得环评批复，详见附件。2016年12月投入运行，2017年04月通过了二师环保局环保“三同时”验收，取得验收意见，详见附件。污水处理厂设计处理能力为2万m</w:t>
            </w:r>
            <w:r>
              <w:rPr>
                <w:rFonts w:hint="default"/>
                <w:vertAlign w:val="superscript"/>
                <w:lang w:val="en-US" w:eastAsia="zh-CN"/>
              </w:rPr>
              <w:t>3</w:t>
            </w:r>
            <w:r>
              <w:rPr>
                <w:rFonts w:hint="default"/>
                <w:lang w:val="en-US" w:eastAsia="zh-CN"/>
              </w:rPr>
              <w:t>/d，目前实际进水量为8500m</w:t>
            </w:r>
            <w:r>
              <w:rPr>
                <w:rFonts w:hint="default"/>
                <w:vertAlign w:val="superscript"/>
                <w:lang w:val="en-US" w:eastAsia="zh-CN"/>
              </w:rPr>
              <w:t>3</w:t>
            </w:r>
            <w:r>
              <w:rPr>
                <w:rFonts w:hint="default"/>
                <w:lang w:val="en-US" w:eastAsia="zh-CN"/>
              </w:rPr>
              <w:t>/d，污水处理厂余量充足，污水处理厂运行正常，出水水质稳定可做到达标排放。</w:t>
            </w:r>
          </w:p>
          <w:p>
            <w:pPr>
              <w:pStyle w:val="8"/>
              <w:keepNext w:val="0"/>
              <w:keepLines w:val="0"/>
              <w:pageBreakBefore w:val="0"/>
              <w:widowControl/>
              <w:kinsoku/>
              <w:wordWrap/>
              <w:overflowPunct/>
              <w:topLinePunct w:val="0"/>
              <w:autoSpaceDE/>
              <w:autoSpaceDN/>
              <w:bidi w:val="0"/>
              <w:adjustRightInd/>
              <w:snapToGrid w:val="0"/>
              <w:textAlignment w:val="auto"/>
              <w:rPr>
                <w:rFonts w:hint="default"/>
                <w:lang w:val="en-US" w:eastAsia="zh-CN"/>
              </w:rPr>
            </w:pPr>
            <w:r>
              <w:rPr>
                <w:rFonts w:hint="default"/>
                <w:lang w:val="en-US" w:eastAsia="zh-CN"/>
              </w:rPr>
              <w:t>本项目生活污水排放总量为</w:t>
            </w:r>
            <w:r>
              <w:rPr>
                <w:rFonts w:hint="eastAsia"/>
                <w:lang w:val="en-US" w:eastAsia="zh-CN"/>
              </w:rPr>
              <w:t>0.336</w:t>
            </w:r>
            <w:r>
              <w:rPr>
                <w:rFonts w:hint="default"/>
                <w:lang w:val="en-US" w:eastAsia="zh-CN"/>
              </w:rPr>
              <w:t>t/d，符合污水处理厂接收生活污水水质要求，水量也远小于设计规模，因此本项目废水由铁门关市污水处理厂处理可行。</w:t>
            </w:r>
          </w:p>
          <w:p>
            <w:pPr>
              <w:pStyle w:val="3"/>
              <w:bidi w:val="0"/>
              <w:rPr>
                <w:rFonts w:hint="eastAsia"/>
                <w:lang w:val="en-US" w:eastAsia="zh-CN"/>
              </w:rPr>
            </w:pPr>
            <w:r>
              <w:rPr>
                <w:rFonts w:hint="eastAsia"/>
                <w:lang w:val="en-US" w:eastAsia="zh-CN"/>
              </w:rPr>
              <w:t>2.3废水排放口基本情况</w:t>
            </w:r>
          </w:p>
          <w:p>
            <w:pPr>
              <w:pStyle w:val="8"/>
              <w:keepNext w:val="0"/>
              <w:keepLines w:val="0"/>
              <w:pageBreakBefore w:val="0"/>
              <w:widowControl/>
              <w:kinsoku/>
              <w:wordWrap/>
              <w:overflowPunct/>
              <w:topLinePunct w:val="0"/>
              <w:autoSpaceDE/>
              <w:autoSpaceDN/>
              <w:bidi w:val="0"/>
              <w:adjustRightInd/>
              <w:snapToGrid w:val="0"/>
              <w:textAlignment w:val="auto"/>
              <w:rPr>
                <w:rFonts w:hint="eastAsia"/>
                <w:lang w:val="en-US" w:eastAsia="zh-CN"/>
              </w:rPr>
            </w:pPr>
            <w:r>
              <w:rPr>
                <w:rFonts w:hint="eastAsia"/>
                <w:lang w:val="en-US" w:eastAsia="zh-CN"/>
              </w:rPr>
              <w:t>本项目废水排放口基本信息详见下表。</w:t>
            </w:r>
          </w:p>
          <w:p>
            <w:pPr>
              <w:pStyle w:val="50"/>
              <w:bidi w:val="0"/>
              <w:rPr>
                <w:rFonts w:hint="eastAsia"/>
                <w:lang w:val="en-US" w:eastAsia="zh-CN"/>
              </w:rPr>
            </w:pPr>
            <w:r>
              <w:rPr>
                <w:rFonts w:hint="eastAsia"/>
                <w:lang w:val="en-US" w:eastAsia="zh-CN"/>
              </w:rPr>
              <w:t>表4-6    废水排放口基本信息一览表</w:t>
            </w:r>
          </w:p>
          <w:tbl>
            <w:tblPr>
              <w:tblStyle w:val="20"/>
              <w:tblW w:w="7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813"/>
              <w:gridCol w:w="850"/>
              <w:gridCol w:w="762"/>
              <w:gridCol w:w="1138"/>
              <w:gridCol w:w="562"/>
              <w:gridCol w:w="500"/>
              <w:gridCol w:w="862"/>
              <w:gridCol w:w="1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restart"/>
                  <w:vAlign w:val="center"/>
                </w:tcPr>
                <w:p>
                  <w:pPr>
                    <w:pStyle w:val="51"/>
                    <w:bidi w:val="0"/>
                    <w:jc w:val="center"/>
                    <w:rPr>
                      <w:rFonts w:hint="eastAsia"/>
                      <w:lang w:val="en-US" w:eastAsia="zh-CN"/>
                    </w:rPr>
                  </w:pPr>
                  <w:r>
                    <w:rPr>
                      <w:rFonts w:hint="eastAsia"/>
                      <w:lang w:val="en-US" w:eastAsia="zh-CN"/>
                    </w:rPr>
                    <w:t>排放口编号</w:t>
                  </w:r>
                </w:p>
              </w:tc>
              <w:tc>
                <w:tcPr>
                  <w:tcW w:w="1663" w:type="dxa"/>
                  <w:gridSpan w:val="2"/>
                  <w:vAlign w:val="center"/>
                </w:tcPr>
                <w:p>
                  <w:pPr>
                    <w:pStyle w:val="51"/>
                    <w:bidi w:val="0"/>
                    <w:jc w:val="center"/>
                    <w:rPr>
                      <w:rFonts w:hint="eastAsia"/>
                      <w:lang w:val="en-US" w:eastAsia="zh-CN"/>
                    </w:rPr>
                  </w:pPr>
                  <w:r>
                    <w:rPr>
                      <w:rFonts w:hint="eastAsia"/>
                      <w:lang w:val="en-US" w:eastAsia="zh-CN"/>
                    </w:rPr>
                    <w:t>排放口地理坐标</w:t>
                  </w:r>
                </w:p>
              </w:tc>
              <w:tc>
                <w:tcPr>
                  <w:tcW w:w="762" w:type="dxa"/>
                  <w:vMerge w:val="restart"/>
                  <w:vAlign w:val="center"/>
                </w:tcPr>
                <w:p>
                  <w:pPr>
                    <w:pStyle w:val="51"/>
                    <w:bidi w:val="0"/>
                    <w:jc w:val="center"/>
                    <w:rPr>
                      <w:rFonts w:hint="default"/>
                      <w:lang w:val="en-US" w:eastAsia="zh-CN"/>
                    </w:rPr>
                  </w:pPr>
                  <w:r>
                    <w:rPr>
                      <w:rFonts w:hint="eastAsia"/>
                      <w:lang w:val="en-US" w:eastAsia="zh-CN"/>
                    </w:rPr>
                    <w:t>废水排放量（t/a）</w:t>
                  </w:r>
                </w:p>
              </w:tc>
              <w:tc>
                <w:tcPr>
                  <w:tcW w:w="1138" w:type="dxa"/>
                  <w:vMerge w:val="restart"/>
                  <w:vAlign w:val="center"/>
                </w:tcPr>
                <w:p>
                  <w:pPr>
                    <w:pStyle w:val="51"/>
                    <w:bidi w:val="0"/>
                    <w:jc w:val="center"/>
                    <w:rPr>
                      <w:rFonts w:hint="default"/>
                      <w:lang w:val="en-US" w:eastAsia="zh-CN"/>
                    </w:rPr>
                  </w:pPr>
                  <w:r>
                    <w:rPr>
                      <w:rFonts w:hint="eastAsia"/>
                      <w:lang w:val="en-US" w:eastAsia="zh-CN"/>
                    </w:rPr>
                    <w:t>排放去向</w:t>
                  </w:r>
                </w:p>
              </w:tc>
              <w:tc>
                <w:tcPr>
                  <w:tcW w:w="562" w:type="dxa"/>
                  <w:vMerge w:val="restart"/>
                  <w:vAlign w:val="center"/>
                </w:tcPr>
                <w:p>
                  <w:pPr>
                    <w:pStyle w:val="51"/>
                    <w:bidi w:val="0"/>
                    <w:jc w:val="center"/>
                    <w:rPr>
                      <w:rFonts w:hint="default"/>
                      <w:lang w:val="en-US" w:eastAsia="zh-CN"/>
                    </w:rPr>
                  </w:pPr>
                  <w:r>
                    <w:rPr>
                      <w:rFonts w:hint="eastAsia"/>
                      <w:lang w:val="en-US" w:eastAsia="zh-CN"/>
                    </w:rPr>
                    <w:t>排放规律</w:t>
                  </w:r>
                </w:p>
              </w:tc>
              <w:tc>
                <w:tcPr>
                  <w:tcW w:w="2762" w:type="dxa"/>
                  <w:gridSpan w:val="3"/>
                  <w:vAlign w:val="center"/>
                </w:tcPr>
                <w:p>
                  <w:pPr>
                    <w:pStyle w:val="51"/>
                    <w:bidi w:val="0"/>
                    <w:jc w:val="center"/>
                    <w:rPr>
                      <w:rFonts w:hint="default"/>
                      <w:lang w:val="en-US" w:eastAsia="zh-CN"/>
                    </w:rPr>
                  </w:pPr>
                  <w:r>
                    <w:rPr>
                      <w:rFonts w:hint="eastAsia"/>
                      <w:lang w:val="en-US" w:eastAsia="zh-CN"/>
                    </w:rPr>
                    <w:t>受纳污水处理厂信息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dxa"/>
                  <w:vMerge w:val="continue"/>
                  <w:vAlign w:val="center"/>
                </w:tcPr>
                <w:p>
                  <w:pPr>
                    <w:pStyle w:val="51"/>
                    <w:bidi w:val="0"/>
                    <w:jc w:val="center"/>
                    <w:rPr>
                      <w:rFonts w:hint="eastAsia"/>
                      <w:lang w:val="en-US" w:eastAsia="zh-CN"/>
                    </w:rPr>
                  </w:pPr>
                </w:p>
              </w:tc>
              <w:tc>
                <w:tcPr>
                  <w:tcW w:w="813" w:type="dxa"/>
                  <w:vAlign w:val="center"/>
                </w:tcPr>
                <w:p>
                  <w:pPr>
                    <w:pStyle w:val="51"/>
                    <w:bidi w:val="0"/>
                    <w:jc w:val="center"/>
                    <w:rPr>
                      <w:rFonts w:hint="default"/>
                      <w:lang w:val="en-US" w:eastAsia="zh-CN"/>
                    </w:rPr>
                  </w:pPr>
                  <w:r>
                    <w:rPr>
                      <w:rFonts w:hint="eastAsia"/>
                      <w:lang w:val="en-US" w:eastAsia="zh-CN"/>
                    </w:rPr>
                    <w:t>经度</w:t>
                  </w:r>
                </w:p>
              </w:tc>
              <w:tc>
                <w:tcPr>
                  <w:tcW w:w="850" w:type="dxa"/>
                  <w:vAlign w:val="center"/>
                </w:tcPr>
                <w:p>
                  <w:pPr>
                    <w:pStyle w:val="51"/>
                    <w:bidi w:val="0"/>
                    <w:jc w:val="center"/>
                    <w:rPr>
                      <w:rFonts w:hint="default"/>
                      <w:lang w:val="en-US" w:eastAsia="zh-CN"/>
                    </w:rPr>
                  </w:pPr>
                  <w:r>
                    <w:rPr>
                      <w:rFonts w:hint="eastAsia"/>
                      <w:lang w:val="en-US" w:eastAsia="zh-CN"/>
                    </w:rPr>
                    <w:t>纬度</w:t>
                  </w:r>
                </w:p>
              </w:tc>
              <w:tc>
                <w:tcPr>
                  <w:tcW w:w="762" w:type="dxa"/>
                  <w:vMerge w:val="continue"/>
                  <w:vAlign w:val="center"/>
                </w:tcPr>
                <w:p>
                  <w:pPr>
                    <w:pStyle w:val="51"/>
                    <w:bidi w:val="0"/>
                    <w:jc w:val="center"/>
                    <w:rPr>
                      <w:rFonts w:hint="eastAsia"/>
                      <w:lang w:val="en-US" w:eastAsia="zh-CN"/>
                    </w:rPr>
                  </w:pPr>
                </w:p>
              </w:tc>
              <w:tc>
                <w:tcPr>
                  <w:tcW w:w="1138" w:type="dxa"/>
                  <w:vMerge w:val="continue"/>
                  <w:vAlign w:val="center"/>
                </w:tcPr>
                <w:p>
                  <w:pPr>
                    <w:pStyle w:val="51"/>
                    <w:bidi w:val="0"/>
                    <w:jc w:val="center"/>
                    <w:rPr>
                      <w:rFonts w:hint="eastAsia"/>
                      <w:lang w:val="en-US" w:eastAsia="zh-CN"/>
                    </w:rPr>
                  </w:pPr>
                </w:p>
              </w:tc>
              <w:tc>
                <w:tcPr>
                  <w:tcW w:w="562" w:type="dxa"/>
                  <w:vMerge w:val="continue"/>
                  <w:vAlign w:val="center"/>
                </w:tcPr>
                <w:p>
                  <w:pPr>
                    <w:pStyle w:val="51"/>
                    <w:bidi w:val="0"/>
                    <w:jc w:val="center"/>
                    <w:rPr>
                      <w:rFonts w:hint="eastAsia"/>
                      <w:lang w:val="en-US" w:eastAsia="zh-CN"/>
                    </w:rPr>
                  </w:pPr>
                </w:p>
              </w:tc>
              <w:tc>
                <w:tcPr>
                  <w:tcW w:w="500" w:type="dxa"/>
                  <w:vAlign w:val="center"/>
                </w:tcPr>
                <w:p>
                  <w:pPr>
                    <w:pStyle w:val="51"/>
                    <w:bidi w:val="0"/>
                    <w:jc w:val="center"/>
                    <w:rPr>
                      <w:rFonts w:hint="default"/>
                      <w:lang w:val="en-US" w:eastAsia="zh-CN"/>
                    </w:rPr>
                  </w:pPr>
                  <w:r>
                    <w:rPr>
                      <w:rFonts w:hint="eastAsia"/>
                      <w:lang w:val="en-US" w:eastAsia="zh-CN"/>
                    </w:rPr>
                    <w:t>名称</w:t>
                  </w:r>
                </w:p>
              </w:tc>
              <w:tc>
                <w:tcPr>
                  <w:tcW w:w="862" w:type="dxa"/>
                  <w:vAlign w:val="center"/>
                </w:tcPr>
                <w:p>
                  <w:pPr>
                    <w:pStyle w:val="51"/>
                    <w:bidi w:val="0"/>
                    <w:jc w:val="center"/>
                    <w:rPr>
                      <w:rFonts w:hint="default"/>
                      <w:lang w:val="en-US" w:eastAsia="zh-CN"/>
                    </w:rPr>
                  </w:pPr>
                  <w:r>
                    <w:rPr>
                      <w:rFonts w:hint="eastAsia"/>
                      <w:lang w:val="en-US" w:eastAsia="zh-CN"/>
                    </w:rPr>
                    <w:t>污染物种类</w:t>
                  </w:r>
                </w:p>
              </w:tc>
              <w:tc>
                <w:tcPr>
                  <w:tcW w:w="1400" w:type="dxa"/>
                  <w:vAlign w:val="center"/>
                </w:tcPr>
                <w:p>
                  <w:pPr>
                    <w:pStyle w:val="51"/>
                    <w:bidi w:val="0"/>
                    <w:jc w:val="center"/>
                    <w:rPr>
                      <w:rFonts w:hint="default"/>
                      <w:lang w:val="en-US" w:eastAsia="zh-CN"/>
                    </w:rPr>
                  </w:pPr>
                  <w:r>
                    <w:rPr>
                      <w:rFonts w:hint="eastAsia"/>
                      <w:lang w:val="en-US" w:eastAsia="zh-CN"/>
                    </w:rPr>
                    <w:t>排放标准浓度限值/（mg/L）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3" w:type="dxa"/>
                  <w:vMerge w:val="restart"/>
                  <w:vAlign w:val="center"/>
                </w:tcPr>
                <w:p>
                  <w:pPr>
                    <w:pStyle w:val="5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DW001</w:t>
                  </w:r>
                </w:p>
              </w:tc>
              <w:tc>
                <w:tcPr>
                  <w:tcW w:w="813" w:type="dxa"/>
                  <w:vMerge w:val="restart"/>
                  <w:vAlign w:val="center"/>
                </w:tcPr>
                <w:p>
                  <w:pPr>
                    <w:pStyle w:val="5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85°54′32.999″</w:t>
                  </w:r>
                </w:p>
              </w:tc>
              <w:tc>
                <w:tcPr>
                  <w:tcW w:w="850" w:type="dxa"/>
                  <w:vMerge w:val="restart"/>
                  <w:vAlign w:val="center"/>
                </w:tcPr>
                <w:p>
                  <w:pPr>
                    <w:pStyle w:val="5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41°50′52.843″</w:t>
                  </w:r>
                </w:p>
              </w:tc>
              <w:tc>
                <w:tcPr>
                  <w:tcW w:w="762" w:type="dxa"/>
                  <w:vMerge w:val="restart"/>
                  <w:vAlign w:val="center"/>
                </w:tcPr>
                <w:p>
                  <w:pPr>
                    <w:pStyle w:val="51"/>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25.2</w:t>
                  </w:r>
                </w:p>
              </w:tc>
              <w:tc>
                <w:tcPr>
                  <w:tcW w:w="1138" w:type="dxa"/>
                  <w:vMerge w:val="restart"/>
                  <w:vAlign w:val="center"/>
                </w:tcPr>
                <w:p>
                  <w:pPr>
                    <w:pStyle w:val="5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生活污水经化粪池处理后排入污水管网进入铁门关市污水处理厂进行集中处理</w:t>
                  </w:r>
                </w:p>
              </w:tc>
              <w:tc>
                <w:tcPr>
                  <w:tcW w:w="562" w:type="dxa"/>
                  <w:vMerge w:val="restart"/>
                  <w:vAlign w:val="center"/>
                </w:tcPr>
                <w:p>
                  <w:pPr>
                    <w:pStyle w:val="5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废水连续排放</w:t>
                  </w:r>
                </w:p>
              </w:tc>
              <w:tc>
                <w:tcPr>
                  <w:tcW w:w="500" w:type="dxa"/>
                  <w:vMerge w:val="restart"/>
                  <w:vAlign w:val="center"/>
                </w:tcPr>
                <w:p>
                  <w:pPr>
                    <w:pStyle w:val="51"/>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铁门关市污水处理厂</w:t>
                  </w:r>
                </w:p>
              </w:tc>
              <w:tc>
                <w:tcPr>
                  <w:tcW w:w="862"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PH</w:t>
                  </w:r>
                </w:p>
              </w:tc>
              <w:tc>
                <w:tcPr>
                  <w:tcW w:w="1400"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3" w:type="dxa"/>
                  <w:vMerge w:val="continue"/>
                  <w:vAlign w:val="center"/>
                </w:tcPr>
                <w:p>
                  <w:pPr>
                    <w:pStyle w:val="51"/>
                    <w:bidi w:val="0"/>
                    <w:jc w:val="center"/>
                    <w:rPr>
                      <w:rFonts w:hint="default" w:ascii="Times New Roman" w:hAnsi="Times New Roman" w:cs="Times New Roman"/>
                      <w:lang w:val="en-US" w:eastAsia="zh-CN"/>
                    </w:rPr>
                  </w:pPr>
                </w:p>
              </w:tc>
              <w:tc>
                <w:tcPr>
                  <w:tcW w:w="813" w:type="dxa"/>
                  <w:vMerge w:val="continue"/>
                  <w:vAlign w:val="center"/>
                </w:tcPr>
                <w:p>
                  <w:pPr>
                    <w:pStyle w:val="51"/>
                    <w:bidi w:val="0"/>
                    <w:jc w:val="center"/>
                    <w:rPr>
                      <w:rFonts w:hint="default" w:ascii="Times New Roman" w:hAnsi="Times New Roman" w:cs="Times New Roman"/>
                      <w:lang w:val="en-US" w:eastAsia="zh-CN"/>
                    </w:rPr>
                  </w:pPr>
                </w:p>
              </w:tc>
              <w:tc>
                <w:tcPr>
                  <w:tcW w:w="850" w:type="dxa"/>
                  <w:vMerge w:val="continue"/>
                  <w:vAlign w:val="center"/>
                </w:tcPr>
                <w:p>
                  <w:pPr>
                    <w:pStyle w:val="51"/>
                    <w:bidi w:val="0"/>
                    <w:jc w:val="center"/>
                    <w:rPr>
                      <w:rFonts w:hint="default" w:ascii="Times New Roman" w:hAnsi="Times New Roman" w:cs="Times New Roman"/>
                      <w:lang w:val="en-US" w:eastAsia="zh-CN"/>
                    </w:rPr>
                  </w:pPr>
                </w:p>
              </w:tc>
              <w:tc>
                <w:tcPr>
                  <w:tcW w:w="762" w:type="dxa"/>
                  <w:vMerge w:val="continue"/>
                  <w:vAlign w:val="center"/>
                </w:tcPr>
                <w:p>
                  <w:pPr>
                    <w:pStyle w:val="51"/>
                    <w:bidi w:val="0"/>
                    <w:jc w:val="center"/>
                    <w:rPr>
                      <w:rFonts w:hint="eastAsia" w:ascii="Times New Roman" w:hAnsi="Times New Roman" w:cs="Times New Roman"/>
                      <w:lang w:val="en-US" w:eastAsia="zh-CN"/>
                    </w:rPr>
                  </w:pPr>
                </w:p>
              </w:tc>
              <w:tc>
                <w:tcPr>
                  <w:tcW w:w="1138" w:type="dxa"/>
                  <w:vMerge w:val="continue"/>
                  <w:vAlign w:val="center"/>
                </w:tcPr>
                <w:p>
                  <w:pPr>
                    <w:pStyle w:val="51"/>
                    <w:bidi w:val="0"/>
                    <w:jc w:val="center"/>
                    <w:rPr>
                      <w:rFonts w:hint="default" w:ascii="Times New Roman" w:hAnsi="Times New Roman" w:cs="Times New Roman"/>
                      <w:lang w:val="en-US" w:eastAsia="zh-CN"/>
                    </w:rPr>
                  </w:pPr>
                </w:p>
              </w:tc>
              <w:tc>
                <w:tcPr>
                  <w:tcW w:w="562" w:type="dxa"/>
                  <w:vMerge w:val="continue"/>
                  <w:vAlign w:val="center"/>
                </w:tcPr>
                <w:p>
                  <w:pPr>
                    <w:pStyle w:val="51"/>
                    <w:bidi w:val="0"/>
                    <w:jc w:val="center"/>
                    <w:rPr>
                      <w:rFonts w:hint="default" w:ascii="Times New Roman" w:hAnsi="Times New Roman" w:cs="Times New Roman"/>
                      <w:lang w:val="en-US" w:eastAsia="zh-CN"/>
                    </w:rPr>
                  </w:pPr>
                </w:p>
              </w:tc>
              <w:tc>
                <w:tcPr>
                  <w:tcW w:w="500" w:type="dxa"/>
                  <w:vMerge w:val="continue"/>
                  <w:vAlign w:val="center"/>
                </w:tcPr>
                <w:p>
                  <w:pPr>
                    <w:pStyle w:val="51"/>
                    <w:bidi w:val="0"/>
                    <w:jc w:val="center"/>
                    <w:rPr>
                      <w:rFonts w:hint="default" w:ascii="Times New Roman" w:hAnsi="Times New Roman" w:cs="Times New Roman"/>
                      <w:lang w:val="en-US" w:eastAsia="zh-CN"/>
                    </w:rPr>
                  </w:pPr>
                </w:p>
              </w:tc>
              <w:tc>
                <w:tcPr>
                  <w:tcW w:w="862"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COD</w:t>
                  </w:r>
                </w:p>
              </w:tc>
              <w:tc>
                <w:tcPr>
                  <w:tcW w:w="1400"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3" w:type="dxa"/>
                  <w:vMerge w:val="continue"/>
                  <w:vAlign w:val="center"/>
                </w:tcPr>
                <w:p>
                  <w:pPr>
                    <w:pStyle w:val="51"/>
                    <w:bidi w:val="0"/>
                    <w:jc w:val="center"/>
                    <w:rPr>
                      <w:rFonts w:hint="default" w:ascii="Times New Roman" w:hAnsi="Times New Roman" w:cs="Times New Roman"/>
                      <w:lang w:val="en-US" w:eastAsia="zh-CN"/>
                    </w:rPr>
                  </w:pPr>
                </w:p>
              </w:tc>
              <w:tc>
                <w:tcPr>
                  <w:tcW w:w="813" w:type="dxa"/>
                  <w:vMerge w:val="continue"/>
                  <w:vAlign w:val="center"/>
                </w:tcPr>
                <w:p>
                  <w:pPr>
                    <w:pStyle w:val="51"/>
                    <w:bidi w:val="0"/>
                    <w:jc w:val="center"/>
                    <w:rPr>
                      <w:rFonts w:hint="default" w:ascii="Times New Roman" w:hAnsi="Times New Roman" w:cs="Times New Roman"/>
                      <w:lang w:val="en-US" w:eastAsia="zh-CN"/>
                    </w:rPr>
                  </w:pPr>
                </w:p>
              </w:tc>
              <w:tc>
                <w:tcPr>
                  <w:tcW w:w="850" w:type="dxa"/>
                  <w:vMerge w:val="continue"/>
                  <w:vAlign w:val="center"/>
                </w:tcPr>
                <w:p>
                  <w:pPr>
                    <w:pStyle w:val="51"/>
                    <w:bidi w:val="0"/>
                    <w:jc w:val="center"/>
                    <w:rPr>
                      <w:rFonts w:hint="default" w:ascii="Times New Roman" w:hAnsi="Times New Roman" w:cs="Times New Roman"/>
                      <w:lang w:val="en-US" w:eastAsia="zh-CN"/>
                    </w:rPr>
                  </w:pPr>
                </w:p>
              </w:tc>
              <w:tc>
                <w:tcPr>
                  <w:tcW w:w="762" w:type="dxa"/>
                  <w:vMerge w:val="continue"/>
                  <w:vAlign w:val="center"/>
                </w:tcPr>
                <w:p>
                  <w:pPr>
                    <w:pStyle w:val="51"/>
                    <w:bidi w:val="0"/>
                    <w:jc w:val="center"/>
                    <w:rPr>
                      <w:rFonts w:hint="eastAsia" w:ascii="Times New Roman" w:hAnsi="Times New Roman" w:cs="Times New Roman"/>
                      <w:lang w:val="en-US" w:eastAsia="zh-CN"/>
                    </w:rPr>
                  </w:pPr>
                </w:p>
              </w:tc>
              <w:tc>
                <w:tcPr>
                  <w:tcW w:w="1138" w:type="dxa"/>
                  <w:vMerge w:val="continue"/>
                  <w:vAlign w:val="center"/>
                </w:tcPr>
                <w:p>
                  <w:pPr>
                    <w:pStyle w:val="51"/>
                    <w:bidi w:val="0"/>
                    <w:jc w:val="center"/>
                    <w:rPr>
                      <w:rFonts w:hint="default" w:ascii="Times New Roman" w:hAnsi="Times New Roman" w:cs="Times New Roman"/>
                      <w:lang w:val="en-US" w:eastAsia="zh-CN"/>
                    </w:rPr>
                  </w:pPr>
                </w:p>
              </w:tc>
              <w:tc>
                <w:tcPr>
                  <w:tcW w:w="562" w:type="dxa"/>
                  <w:vMerge w:val="continue"/>
                  <w:vAlign w:val="center"/>
                </w:tcPr>
                <w:p>
                  <w:pPr>
                    <w:pStyle w:val="51"/>
                    <w:bidi w:val="0"/>
                    <w:jc w:val="center"/>
                    <w:rPr>
                      <w:rFonts w:hint="default" w:ascii="Times New Roman" w:hAnsi="Times New Roman" w:cs="Times New Roman"/>
                      <w:lang w:val="en-US" w:eastAsia="zh-CN"/>
                    </w:rPr>
                  </w:pPr>
                </w:p>
              </w:tc>
              <w:tc>
                <w:tcPr>
                  <w:tcW w:w="500" w:type="dxa"/>
                  <w:vMerge w:val="continue"/>
                  <w:vAlign w:val="center"/>
                </w:tcPr>
                <w:p>
                  <w:pPr>
                    <w:pStyle w:val="51"/>
                    <w:bidi w:val="0"/>
                    <w:jc w:val="center"/>
                    <w:rPr>
                      <w:rFonts w:hint="default" w:ascii="Times New Roman" w:hAnsi="Times New Roman" w:cs="Times New Roman"/>
                      <w:lang w:val="en-US" w:eastAsia="zh-CN"/>
                    </w:rPr>
                  </w:pPr>
                </w:p>
              </w:tc>
              <w:tc>
                <w:tcPr>
                  <w:tcW w:w="862"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BOD</w:t>
                  </w:r>
                  <w:r>
                    <w:rPr>
                      <w:rFonts w:ascii="Times New Roman" w:hAnsi="Times New Roman" w:eastAsia="宋体" w:cs="Times New Roman"/>
                      <w:kern w:val="2"/>
                      <w:sz w:val="21"/>
                      <w:szCs w:val="21"/>
                      <w:vertAlign w:val="subscript"/>
                      <w:lang w:val="en-US" w:eastAsia="zh-CN" w:bidi="ar-SA"/>
                    </w:rPr>
                    <w:t>5</w:t>
                  </w:r>
                </w:p>
              </w:tc>
              <w:tc>
                <w:tcPr>
                  <w:tcW w:w="1400"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3" w:type="dxa"/>
                  <w:vMerge w:val="continue"/>
                  <w:vAlign w:val="center"/>
                </w:tcPr>
                <w:p>
                  <w:pPr>
                    <w:pStyle w:val="51"/>
                    <w:bidi w:val="0"/>
                    <w:jc w:val="center"/>
                    <w:rPr>
                      <w:rFonts w:hint="default" w:ascii="Times New Roman" w:hAnsi="Times New Roman" w:cs="Times New Roman"/>
                      <w:lang w:val="en-US" w:eastAsia="zh-CN"/>
                    </w:rPr>
                  </w:pPr>
                </w:p>
              </w:tc>
              <w:tc>
                <w:tcPr>
                  <w:tcW w:w="813" w:type="dxa"/>
                  <w:vMerge w:val="continue"/>
                  <w:vAlign w:val="center"/>
                </w:tcPr>
                <w:p>
                  <w:pPr>
                    <w:pStyle w:val="51"/>
                    <w:bidi w:val="0"/>
                    <w:jc w:val="center"/>
                    <w:rPr>
                      <w:rFonts w:hint="default" w:ascii="Times New Roman" w:hAnsi="Times New Roman" w:cs="Times New Roman"/>
                      <w:lang w:val="en-US" w:eastAsia="zh-CN"/>
                    </w:rPr>
                  </w:pPr>
                </w:p>
              </w:tc>
              <w:tc>
                <w:tcPr>
                  <w:tcW w:w="850" w:type="dxa"/>
                  <w:vMerge w:val="continue"/>
                  <w:vAlign w:val="center"/>
                </w:tcPr>
                <w:p>
                  <w:pPr>
                    <w:pStyle w:val="51"/>
                    <w:bidi w:val="0"/>
                    <w:jc w:val="center"/>
                    <w:rPr>
                      <w:rFonts w:hint="default" w:ascii="Times New Roman" w:hAnsi="Times New Roman" w:cs="Times New Roman"/>
                      <w:lang w:val="en-US" w:eastAsia="zh-CN"/>
                    </w:rPr>
                  </w:pPr>
                </w:p>
              </w:tc>
              <w:tc>
                <w:tcPr>
                  <w:tcW w:w="762" w:type="dxa"/>
                  <w:vMerge w:val="continue"/>
                  <w:vAlign w:val="center"/>
                </w:tcPr>
                <w:p>
                  <w:pPr>
                    <w:pStyle w:val="51"/>
                    <w:bidi w:val="0"/>
                    <w:jc w:val="center"/>
                    <w:rPr>
                      <w:rFonts w:hint="eastAsia" w:ascii="Times New Roman" w:hAnsi="Times New Roman" w:cs="Times New Roman"/>
                      <w:lang w:val="en-US" w:eastAsia="zh-CN"/>
                    </w:rPr>
                  </w:pPr>
                </w:p>
              </w:tc>
              <w:tc>
                <w:tcPr>
                  <w:tcW w:w="1138" w:type="dxa"/>
                  <w:vMerge w:val="continue"/>
                  <w:vAlign w:val="center"/>
                </w:tcPr>
                <w:p>
                  <w:pPr>
                    <w:pStyle w:val="51"/>
                    <w:bidi w:val="0"/>
                    <w:jc w:val="center"/>
                    <w:rPr>
                      <w:rFonts w:hint="default" w:ascii="Times New Roman" w:hAnsi="Times New Roman" w:cs="Times New Roman"/>
                      <w:lang w:val="en-US" w:eastAsia="zh-CN"/>
                    </w:rPr>
                  </w:pPr>
                </w:p>
              </w:tc>
              <w:tc>
                <w:tcPr>
                  <w:tcW w:w="562" w:type="dxa"/>
                  <w:vMerge w:val="continue"/>
                  <w:vAlign w:val="center"/>
                </w:tcPr>
                <w:p>
                  <w:pPr>
                    <w:pStyle w:val="51"/>
                    <w:bidi w:val="0"/>
                    <w:jc w:val="center"/>
                    <w:rPr>
                      <w:rFonts w:hint="default" w:ascii="Times New Roman" w:hAnsi="Times New Roman" w:cs="Times New Roman"/>
                      <w:lang w:val="en-US" w:eastAsia="zh-CN"/>
                    </w:rPr>
                  </w:pPr>
                </w:p>
              </w:tc>
              <w:tc>
                <w:tcPr>
                  <w:tcW w:w="500" w:type="dxa"/>
                  <w:vMerge w:val="continue"/>
                  <w:vAlign w:val="center"/>
                </w:tcPr>
                <w:p>
                  <w:pPr>
                    <w:pStyle w:val="51"/>
                    <w:bidi w:val="0"/>
                    <w:jc w:val="center"/>
                    <w:rPr>
                      <w:rFonts w:hint="default" w:ascii="Times New Roman" w:hAnsi="Times New Roman" w:cs="Times New Roman"/>
                      <w:lang w:val="en-US" w:eastAsia="zh-CN"/>
                    </w:rPr>
                  </w:pPr>
                </w:p>
              </w:tc>
              <w:tc>
                <w:tcPr>
                  <w:tcW w:w="862"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SS</w:t>
                  </w:r>
                </w:p>
              </w:tc>
              <w:tc>
                <w:tcPr>
                  <w:tcW w:w="1400"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3" w:type="dxa"/>
                  <w:vMerge w:val="continue"/>
                  <w:vAlign w:val="center"/>
                </w:tcPr>
                <w:p>
                  <w:pPr>
                    <w:pStyle w:val="51"/>
                    <w:bidi w:val="0"/>
                    <w:jc w:val="center"/>
                    <w:rPr>
                      <w:rFonts w:hint="default" w:ascii="Times New Roman" w:hAnsi="Times New Roman" w:cs="Times New Roman"/>
                      <w:lang w:val="en-US" w:eastAsia="zh-CN"/>
                    </w:rPr>
                  </w:pPr>
                </w:p>
              </w:tc>
              <w:tc>
                <w:tcPr>
                  <w:tcW w:w="813" w:type="dxa"/>
                  <w:vMerge w:val="continue"/>
                  <w:vAlign w:val="center"/>
                </w:tcPr>
                <w:p>
                  <w:pPr>
                    <w:pStyle w:val="51"/>
                    <w:bidi w:val="0"/>
                    <w:jc w:val="center"/>
                    <w:rPr>
                      <w:rFonts w:hint="default" w:ascii="Times New Roman" w:hAnsi="Times New Roman" w:cs="Times New Roman"/>
                      <w:lang w:val="en-US" w:eastAsia="zh-CN"/>
                    </w:rPr>
                  </w:pPr>
                </w:p>
              </w:tc>
              <w:tc>
                <w:tcPr>
                  <w:tcW w:w="850" w:type="dxa"/>
                  <w:vMerge w:val="continue"/>
                  <w:vAlign w:val="center"/>
                </w:tcPr>
                <w:p>
                  <w:pPr>
                    <w:pStyle w:val="51"/>
                    <w:bidi w:val="0"/>
                    <w:jc w:val="center"/>
                    <w:rPr>
                      <w:rFonts w:hint="default" w:ascii="Times New Roman" w:hAnsi="Times New Roman" w:cs="Times New Roman"/>
                      <w:lang w:val="en-US" w:eastAsia="zh-CN"/>
                    </w:rPr>
                  </w:pPr>
                </w:p>
              </w:tc>
              <w:tc>
                <w:tcPr>
                  <w:tcW w:w="762" w:type="dxa"/>
                  <w:vMerge w:val="continue"/>
                  <w:vAlign w:val="center"/>
                </w:tcPr>
                <w:p>
                  <w:pPr>
                    <w:pStyle w:val="51"/>
                    <w:bidi w:val="0"/>
                    <w:jc w:val="center"/>
                    <w:rPr>
                      <w:rFonts w:hint="eastAsia" w:ascii="Times New Roman" w:hAnsi="Times New Roman" w:cs="Times New Roman"/>
                      <w:lang w:val="en-US" w:eastAsia="zh-CN"/>
                    </w:rPr>
                  </w:pPr>
                </w:p>
              </w:tc>
              <w:tc>
                <w:tcPr>
                  <w:tcW w:w="1138" w:type="dxa"/>
                  <w:vMerge w:val="continue"/>
                  <w:vAlign w:val="center"/>
                </w:tcPr>
                <w:p>
                  <w:pPr>
                    <w:pStyle w:val="51"/>
                    <w:bidi w:val="0"/>
                    <w:jc w:val="center"/>
                    <w:rPr>
                      <w:rFonts w:hint="default" w:ascii="Times New Roman" w:hAnsi="Times New Roman" w:cs="Times New Roman"/>
                      <w:lang w:val="en-US" w:eastAsia="zh-CN"/>
                    </w:rPr>
                  </w:pPr>
                </w:p>
              </w:tc>
              <w:tc>
                <w:tcPr>
                  <w:tcW w:w="562" w:type="dxa"/>
                  <w:vMerge w:val="continue"/>
                  <w:vAlign w:val="center"/>
                </w:tcPr>
                <w:p>
                  <w:pPr>
                    <w:pStyle w:val="51"/>
                    <w:bidi w:val="0"/>
                    <w:jc w:val="center"/>
                    <w:rPr>
                      <w:rFonts w:hint="default" w:ascii="Times New Roman" w:hAnsi="Times New Roman" w:cs="Times New Roman"/>
                      <w:lang w:val="en-US" w:eastAsia="zh-CN"/>
                    </w:rPr>
                  </w:pPr>
                </w:p>
              </w:tc>
              <w:tc>
                <w:tcPr>
                  <w:tcW w:w="500" w:type="dxa"/>
                  <w:vMerge w:val="continue"/>
                  <w:vAlign w:val="center"/>
                </w:tcPr>
                <w:p>
                  <w:pPr>
                    <w:pStyle w:val="51"/>
                    <w:bidi w:val="0"/>
                    <w:jc w:val="center"/>
                    <w:rPr>
                      <w:rFonts w:hint="default" w:ascii="Times New Roman" w:hAnsi="Times New Roman" w:cs="Times New Roman"/>
                      <w:lang w:val="en-US" w:eastAsia="zh-CN"/>
                    </w:rPr>
                  </w:pPr>
                </w:p>
              </w:tc>
              <w:tc>
                <w:tcPr>
                  <w:tcW w:w="862"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总氮</w:t>
                  </w:r>
                </w:p>
              </w:tc>
              <w:tc>
                <w:tcPr>
                  <w:tcW w:w="1400"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3" w:type="dxa"/>
                  <w:vMerge w:val="continue"/>
                  <w:vAlign w:val="center"/>
                </w:tcPr>
                <w:p>
                  <w:pPr>
                    <w:pStyle w:val="51"/>
                    <w:bidi w:val="0"/>
                    <w:jc w:val="center"/>
                    <w:rPr>
                      <w:rFonts w:hint="default" w:ascii="Times New Roman" w:hAnsi="Times New Roman" w:cs="Times New Roman"/>
                      <w:lang w:val="en-US" w:eastAsia="zh-CN"/>
                    </w:rPr>
                  </w:pPr>
                </w:p>
              </w:tc>
              <w:tc>
                <w:tcPr>
                  <w:tcW w:w="813" w:type="dxa"/>
                  <w:vMerge w:val="continue"/>
                  <w:vAlign w:val="center"/>
                </w:tcPr>
                <w:p>
                  <w:pPr>
                    <w:pStyle w:val="51"/>
                    <w:bidi w:val="0"/>
                    <w:jc w:val="center"/>
                    <w:rPr>
                      <w:rFonts w:hint="default" w:ascii="Times New Roman" w:hAnsi="Times New Roman" w:cs="Times New Roman"/>
                      <w:lang w:val="en-US" w:eastAsia="zh-CN"/>
                    </w:rPr>
                  </w:pPr>
                </w:p>
              </w:tc>
              <w:tc>
                <w:tcPr>
                  <w:tcW w:w="850" w:type="dxa"/>
                  <w:vMerge w:val="continue"/>
                  <w:vAlign w:val="center"/>
                </w:tcPr>
                <w:p>
                  <w:pPr>
                    <w:pStyle w:val="51"/>
                    <w:bidi w:val="0"/>
                    <w:jc w:val="center"/>
                    <w:rPr>
                      <w:rFonts w:hint="default" w:ascii="Times New Roman" w:hAnsi="Times New Roman" w:cs="Times New Roman"/>
                      <w:lang w:val="en-US" w:eastAsia="zh-CN"/>
                    </w:rPr>
                  </w:pPr>
                </w:p>
              </w:tc>
              <w:tc>
                <w:tcPr>
                  <w:tcW w:w="762" w:type="dxa"/>
                  <w:vMerge w:val="continue"/>
                  <w:vAlign w:val="center"/>
                </w:tcPr>
                <w:p>
                  <w:pPr>
                    <w:pStyle w:val="51"/>
                    <w:bidi w:val="0"/>
                    <w:jc w:val="center"/>
                    <w:rPr>
                      <w:rFonts w:hint="eastAsia" w:ascii="Times New Roman" w:hAnsi="Times New Roman" w:cs="Times New Roman"/>
                      <w:lang w:val="en-US" w:eastAsia="zh-CN"/>
                    </w:rPr>
                  </w:pPr>
                </w:p>
              </w:tc>
              <w:tc>
                <w:tcPr>
                  <w:tcW w:w="1138" w:type="dxa"/>
                  <w:vMerge w:val="continue"/>
                  <w:vAlign w:val="center"/>
                </w:tcPr>
                <w:p>
                  <w:pPr>
                    <w:pStyle w:val="51"/>
                    <w:bidi w:val="0"/>
                    <w:jc w:val="center"/>
                    <w:rPr>
                      <w:rFonts w:hint="default" w:ascii="Times New Roman" w:hAnsi="Times New Roman" w:cs="Times New Roman"/>
                      <w:lang w:val="en-US" w:eastAsia="zh-CN"/>
                    </w:rPr>
                  </w:pPr>
                </w:p>
              </w:tc>
              <w:tc>
                <w:tcPr>
                  <w:tcW w:w="562" w:type="dxa"/>
                  <w:vMerge w:val="continue"/>
                  <w:vAlign w:val="center"/>
                </w:tcPr>
                <w:p>
                  <w:pPr>
                    <w:pStyle w:val="51"/>
                    <w:bidi w:val="0"/>
                    <w:jc w:val="center"/>
                    <w:rPr>
                      <w:rFonts w:hint="default" w:ascii="Times New Roman" w:hAnsi="Times New Roman" w:cs="Times New Roman"/>
                      <w:lang w:val="en-US" w:eastAsia="zh-CN"/>
                    </w:rPr>
                  </w:pPr>
                </w:p>
              </w:tc>
              <w:tc>
                <w:tcPr>
                  <w:tcW w:w="500" w:type="dxa"/>
                  <w:vMerge w:val="continue"/>
                  <w:vAlign w:val="center"/>
                </w:tcPr>
                <w:p>
                  <w:pPr>
                    <w:pStyle w:val="51"/>
                    <w:bidi w:val="0"/>
                    <w:jc w:val="center"/>
                    <w:rPr>
                      <w:rFonts w:hint="default" w:ascii="Times New Roman" w:hAnsi="Times New Roman" w:cs="Times New Roman"/>
                      <w:lang w:val="en-US" w:eastAsia="zh-CN"/>
                    </w:rPr>
                  </w:pPr>
                </w:p>
              </w:tc>
              <w:tc>
                <w:tcPr>
                  <w:tcW w:w="862"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氨氮</w:t>
                  </w:r>
                </w:p>
              </w:tc>
              <w:tc>
                <w:tcPr>
                  <w:tcW w:w="1400"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53" w:type="dxa"/>
                  <w:vMerge w:val="continue"/>
                  <w:vAlign w:val="center"/>
                </w:tcPr>
                <w:p>
                  <w:pPr>
                    <w:pStyle w:val="51"/>
                    <w:bidi w:val="0"/>
                    <w:jc w:val="center"/>
                    <w:rPr>
                      <w:rFonts w:hint="default" w:ascii="Times New Roman" w:hAnsi="Times New Roman" w:cs="Times New Roman"/>
                      <w:lang w:val="en-US" w:eastAsia="zh-CN"/>
                    </w:rPr>
                  </w:pPr>
                </w:p>
              </w:tc>
              <w:tc>
                <w:tcPr>
                  <w:tcW w:w="813" w:type="dxa"/>
                  <w:vMerge w:val="continue"/>
                  <w:vAlign w:val="center"/>
                </w:tcPr>
                <w:p>
                  <w:pPr>
                    <w:pStyle w:val="51"/>
                    <w:bidi w:val="0"/>
                    <w:jc w:val="center"/>
                    <w:rPr>
                      <w:rFonts w:hint="default" w:ascii="Times New Roman" w:hAnsi="Times New Roman" w:cs="Times New Roman"/>
                      <w:lang w:val="en-US" w:eastAsia="zh-CN"/>
                    </w:rPr>
                  </w:pPr>
                </w:p>
              </w:tc>
              <w:tc>
                <w:tcPr>
                  <w:tcW w:w="850" w:type="dxa"/>
                  <w:vMerge w:val="continue"/>
                  <w:vAlign w:val="center"/>
                </w:tcPr>
                <w:p>
                  <w:pPr>
                    <w:pStyle w:val="51"/>
                    <w:bidi w:val="0"/>
                    <w:jc w:val="center"/>
                    <w:rPr>
                      <w:rFonts w:hint="default" w:ascii="Times New Roman" w:hAnsi="Times New Roman" w:cs="Times New Roman"/>
                      <w:lang w:val="en-US" w:eastAsia="zh-CN"/>
                    </w:rPr>
                  </w:pPr>
                </w:p>
              </w:tc>
              <w:tc>
                <w:tcPr>
                  <w:tcW w:w="762" w:type="dxa"/>
                  <w:vMerge w:val="continue"/>
                  <w:vAlign w:val="center"/>
                </w:tcPr>
                <w:p>
                  <w:pPr>
                    <w:pStyle w:val="51"/>
                    <w:bidi w:val="0"/>
                    <w:jc w:val="center"/>
                    <w:rPr>
                      <w:rFonts w:hint="eastAsia" w:ascii="Times New Roman" w:hAnsi="Times New Roman" w:cs="Times New Roman"/>
                      <w:lang w:val="en-US" w:eastAsia="zh-CN"/>
                    </w:rPr>
                  </w:pPr>
                </w:p>
              </w:tc>
              <w:tc>
                <w:tcPr>
                  <w:tcW w:w="1138" w:type="dxa"/>
                  <w:vMerge w:val="continue"/>
                  <w:vAlign w:val="center"/>
                </w:tcPr>
                <w:p>
                  <w:pPr>
                    <w:pStyle w:val="51"/>
                    <w:bidi w:val="0"/>
                    <w:jc w:val="center"/>
                    <w:rPr>
                      <w:rFonts w:hint="default" w:ascii="Times New Roman" w:hAnsi="Times New Roman" w:cs="Times New Roman"/>
                      <w:lang w:val="en-US" w:eastAsia="zh-CN"/>
                    </w:rPr>
                  </w:pPr>
                </w:p>
              </w:tc>
              <w:tc>
                <w:tcPr>
                  <w:tcW w:w="562" w:type="dxa"/>
                  <w:vMerge w:val="continue"/>
                  <w:vAlign w:val="center"/>
                </w:tcPr>
                <w:p>
                  <w:pPr>
                    <w:pStyle w:val="51"/>
                    <w:bidi w:val="0"/>
                    <w:jc w:val="center"/>
                    <w:rPr>
                      <w:rFonts w:hint="default" w:ascii="Times New Roman" w:hAnsi="Times New Roman" w:cs="Times New Roman"/>
                      <w:lang w:val="en-US" w:eastAsia="zh-CN"/>
                    </w:rPr>
                  </w:pPr>
                </w:p>
              </w:tc>
              <w:tc>
                <w:tcPr>
                  <w:tcW w:w="500" w:type="dxa"/>
                  <w:vMerge w:val="continue"/>
                  <w:vAlign w:val="center"/>
                </w:tcPr>
                <w:p>
                  <w:pPr>
                    <w:pStyle w:val="51"/>
                    <w:bidi w:val="0"/>
                    <w:jc w:val="center"/>
                    <w:rPr>
                      <w:rFonts w:hint="default" w:ascii="Times New Roman" w:hAnsi="Times New Roman" w:cs="Times New Roman"/>
                      <w:lang w:val="en-US" w:eastAsia="zh-CN"/>
                    </w:rPr>
                  </w:pPr>
                </w:p>
              </w:tc>
              <w:tc>
                <w:tcPr>
                  <w:tcW w:w="862"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总磷</w:t>
                  </w:r>
                </w:p>
              </w:tc>
              <w:tc>
                <w:tcPr>
                  <w:tcW w:w="1400" w:type="dxa"/>
                  <w:vAlign w:val="center"/>
                </w:tcPr>
                <w:p>
                  <w:pPr>
                    <w:keepNext/>
                    <w:keepLines/>
                    <w:pageBreakBefore w:val="0"/>
                    <w:widowControl/>
                    <w:kinsoku/>
                    <w:wordWrap/>
                    <w:overflowPunct/>
                    <w:topLinePunct w:val="0"/>
                    <w:autoSpaceDE w:val="0"/>
                    <w:autoSpaceDN w:val="0"/>
                    <w:bidi w:val="0"/>
                    <w:adjustRightInd w:val="0"/>
                    <w:snapToGrid w:val="0"/>
                    <w:spacing w:line="240" w:lineRule="auto"/>
                    <w:ind w:left="0" w:leftChars="0" w:right="0" w:rightChars="0" w:firstLine="0" w:firstLineChars="0"/>
                    <w:jc w:val="center"/>
                    <w:rPr>
                      <w:rFonts w:hint="default" w:ascii="Times New Roman" w:hAnsi="Times New Roman" w:cs="Times New Roman"/>
                      <w:lang w:val="en-US" w:eastAsia="zh-CN"/>
                    </w:rPr>
                  </w:pPr>
                  <w:r>
                    <w:rPr>
                      <w:rFonts w:ascii="Times New Roman" w:hAnsi="Times New Roman" w:eastAsia="宋体" w:cs="Times New Roman"/>
                      <w:kern w:val="2"/>
                      <w:sz w:val="21"/>
                      <w:szCs w:val="21"/>
                      <w:lang w:val="en-US" w:eastAsia="zh-CN" w:bidi="ar-SA"/>
                    </w:rPr>
                    <w:t>1</w:t>
                  </w:r>
                </w:p>
              </w:tc>
            </w:tr>
          </w:tbl>
          <w:p>
            <w:pPr>
              <w:pStyle w:val="3"/>
              <w:bidi w:val="0"/>
              <w:rPr>
                <w:rFonts w:hint="eastAsia"/>
                <w:highlight w:val="none"/>
                <w:lang w:val="en-US" w:eastAsia="zh-CN"/>
              </w:rPr>
            </w:pPr>
            <w:r>
              <w:rPr>
                <w:rFonts w:hint="eastAsia"/>
                <w:highlight w:val="none"/>
                <w:lang w:val="en-US" w:eastAsia="zh-CN"/>
              </w:rPr>
              <w:t>2.4监测要求</w:t>
            </w:r>
          </w:p>
          <w:p>
            <w:pPr>
              <w:pStyle w:val="38"/>
              <w:bidi w:val="0"/>
              <w:rPr>
                <w:rFonts w:hint="default"/>
                <w:lang w:val="en-US" w:eastAsia="zh-CN"/>
              </w:rPr>
            </w:pPr>
            <w:r>
              <w:rPr>
                <w:rFonts w:hint="default"/>
                <w:lang w:val="en-US" w:eastAsia="zh-CN"/>
              </w:rPr>
              <w:t xml:space="preserve">参照《排污单位自行监测技术指南 总则》（HJ819-2017）以及《排污许可证申请与核发技术规范 </w:t>
            </w:r>
            <w:r>
              <w:rPr>
                <w:rFonts w:hint="eastAsia"/>
                <w:lang w:val="en-US" w:eastAsia="zh-CN"/>
              </w:rPr>
              <w:t>水泥行业</w:t>
            </w:r>
            <w:r>
              <w:rPr>
                <w:rFonts w:hint="default"/>
                <w:lang w:val="en-US" w:eastAsia="zh-CN"/>
              </w:rPr>
              <w:t>》（HJ</w:t>
            </w:r>
            <w:r>
              <w:rPr>
                <w:rFonts w:hint="eastAsia"/>
                <w:lang w:val="en-US" w:eastAsia="zh-CN"/>
              </w:rPr>
              <w:t>847-2017</w:t>
            </w:r>
            <w:r>
              <w:rPr>
                <w:rFonts w:hint="default"/>
                <w:lang w:val="en-US" w:eastAsia="zh-CN"/>
              </w:rPr>
              <w:t>）的相关要求，本项目监测计划详见下表。</w:t>
            </w:r>
          </w:p>
          <w:p>
            <w:pPr>
              <w:pStyle w:val="50"/>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表4-7    废水污染物监测计划一览表</w:t>
            </w:r>
          </w:p>
          <w:tbl>
            <w:tblPr>
              <w:tblStyle w:val="2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
              <w:gridCol w:w="751"/>
              <w:gridCol w:w="1616"/>
              <w:gridCol w:w="566"/>
              <w:gridCol w:w="1107"/>
              <w:gridCol w:w="1294"/>
              <w:gridCol w:w="850"/>
              <w:gridCol w:w="591"/>
              <w:gridCol w:w="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废水类别</w:t>
                  </w:r>
                </w:p>
              </w:tc>
              <w:tc>
                <w:tcPr>
                  <w:tcW w:w="482"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排放口编号</w:t>
                  </w:r>
                </w:p>
              </w:tc>
              <w:tc>
                <w:tcPr>
                  <w:tcW w:w="1400" w:type="pct"/>
                  <w:gridSpan w:val="2"/>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排放口基本信息</w:t>
                  </w:r>
                </w:p>
              </w:tc>
              <w:tc>
                <w:tcPr>
                  <w:tcW w:w="710"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排放去向</w:t>
                  </w:r>
                </w:p>
              </w:tc>
              <w:tc>
                <w:tcPr>
                  <w:tcW w:w="830"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污染物种类</w:t>
                  </w:r>
                </w:p>
              </w:tc>
              <w:tc>
                <w:tcPr>
                  <w:tcW w:w="545"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监测点位</w:t>
                  </w:r>
                </w:p>
              </w:tc>
              <w:tc>
                <w:tcPr>
                  <w:tcW w:w="759" w:type="pct"/>
                  <w:gridSpan w:val="2"/>
                  <w:vAlign w:val="center"/>
                </w:tcPr>
                <w:p>
                  <w:pPr>
                    <w:pStyle w:val="51"/>
                    <w:keepNext w:val="0"/>
                    <w:keepLines w:val="0"/>
                    <w:suppressLineNumbers w:val="0"/>
                    <w:bidi w:val="0"/>
                    <w:spacing w:before="0" w:beforeAutospacing="0" w:after="0" w:afterAutospacing="0"/>
                    <w:ind w:left="0" w:right="0"/>
                    <w:rPr>
                      <w:rFonts w:hint="eastAsia"/>
                      <w:lang w:val="en-US" w:eastAsia="zh-CN"/>
                    </w:rPr>
                  </w:pPr>
                  <w:r>
                    <w:rPr>
                      <w:rFonts w:hint="eastAsia"/>
                      <w:lang w:val="en-US" w:eastAsia="zh-CN"/>
                    </w:rPr>
                    <w:t>最低监测频次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69"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482"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1037"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坐标</w:t>
                  </w:r>
                </w:p>
              </w:tc>
              <w:tc>
                <w:tcPr>
                  <w:tcW w:w="363"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类型</w:t>
                  </w:r>
                </w:p>
              </w:tc>
              <w:tc>
                <w:tcPr>
                  <w:tcW w:w="710"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生活污水经化粪池处理后排入污水管网进入铁门关市污水处理厂进行集中处理</w:t>
                  </w:r>
                </w:p>
              </w:tc>
              <w:tc>
                <w:tcPr>
                  <w:tcW w:w="830"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pH值</w:t>
                  </w:r>
                </w:p>
              </w:tc>
              <w:tc>
                <w:tcPr>
                  <w:tcW w:w="545"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生活污水单独排放口</w:t>
                  </w:r>
                </w:p>
              </w:tc>
              <w:tc>
                <w:tcPr>
                  <w:tcW w:w="379"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直接排放</w:t>
                  </w:r>
                </w:p>
              </w:tc>
              <w:tc>
                <w:tcPr>
                  <w:tcW w:w="380"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生活污水</w:t>
                  </w:r>
                </w:p>
              </w:tc>
              <w:tc>
                <w:tcPr>
                  <w:tcW w:w="482"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DW001</w:t>
                  </w:r>
                </w:p>
              </w:tc>
              <w:tc>
                <w:tcPr>
                  <w:tcW w:w="1037"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default"/>
                      <w:lang w:val="en-US" w:eastAsia="zh-CN"/>
                    </w:rPr>
                    <w:t>E85°54′32.999″，N41°50′52.843″</w:t>
                  </w:r>
                </w:p>
              </w:tc>
              <w:tc>
                <w:tcPr>
                  <w:tcW w:w="363"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一般排放口</w:t>
                  </w:r>
                </w:p>
              </w:tc>
              <w:tc>
                <w:tcPr>
                  <w:tcW w:w="710"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830"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化学需氧量</w:t>
                  </w:r>
                </w:p>
              </w:tc>
              <w:tc>
                <w:tcPr>
                  <w:tcW w:w="545"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79"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半年</w:t>
                  </w:r>
                </w:p>
              </w:tc>
              <w:tc>
                <w:tcPr>
                  <w:tcW w:w="380" w:type="pct"/>
                  <w:vMerge w:val="restar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482"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1037"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63"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710"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830"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氨氮</w:t>
                  </w:r>
                </w:p>
              </w:tc>
              <w:tc>
                <w:tcPr>
                  <w:tcW w:w="545"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79"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80"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482"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1037"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63"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710"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830"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悬浮物</w:t>
                  </w:r>
                </w:p>
              </w:tc>
              <w:tc>
                <w:tcPr>
                  <w:tcW w:w="545"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79"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80"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482"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1037"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63"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710"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830"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五日生化需氧量</w:t>
                  </w:r>
                </w:p>
              </w:tc>
              <w:tc>
                <w:tcPr>
                  <w:tcW w:w="545"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79"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80"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482"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1037"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63"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710"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830" w:type="pct"/>
                  <w:vAlign w:val="center"/>
                </w:tcPr>
                <w:p>
                  <w:pPr>
                    <w:pStyle w:val="51"/>
                    <w:keepNext w:val="0"/>
                    <w:keepLines w:val="0"/>
                    <w:suppressLineNumbers w:val="0"/>
                    <w:bidi w:val="0"/>
                    <w:spacing w:before="0" w:beforeAutospacing="0" w:after="0" w:afterAutospacing="0"/>
                    <w:ind w:left="0" w:right="0"/>
                    <w:rPr>
                      <w:rFonts w:hint="default"/>
                      <w:lang w:val="en-US" w:eastAsia="zh-CN"/>
                    </w:rPr>
                  </w:pPr>
                  <w:r>
                    <w:rPr>
                      <w:rFonts w:hint="eastAsia"/>
                      <w:lang w:val="en-US" w:eastAsia="zh-CN"/>
                    </w:rPr>
                    <w:t>总磷</w:t>
                  </w:r>
                </w:p>
              </w:tc>
              <w:tc>
                <w:tcPr>
                  <w:tcW w:w="545"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79"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c>
                <w:tcPr>
                  <w:tcW w:w="380" w:type="pct"/>
                  <w:vMerge w:val="continue"/>
                  <w:vAlign w:val="center"/>
                </w:tcPr>
                <w:p>
                  <w:pPr>
                    <w:pStyle w:val="51"/>
                    <w:keepNext w:val="0"/>
                    <w:keepLines w:val="0"/>
                    <w:suppressLineNumbers w:val="0"/>
                    <w:bidi w:val="0"/>
                    <w:spacing w:before="0" w:beforeAutospacing="0" w:after="0" w:afterAutospacing="0"/>
                    <w:ind w:left="0" w:right="0"/>
                    <w:rPr>
                      <w:rFonts w:hint="default"/>
                      <w:lang w:val="en-US" w:eastAsia="zh-CN"/>
                    </w:rPr>
                  </w:pPr>
                </w:p>
              </w:tc>
            </w:tr>
          </w:tbl>
          <w:p>
            <w:pPr>
              <w:pStyle w:val="3"/>
              <w:bidi w:val="0"/>
              <w:rPr>
                <w:rFonts w:hint="eastAsia"/>
                <w:highlight w:val="none"/>
                <w:lang w:val="en-US" w:eastAsia="zh-CN"/>
              </w:rPr>
            </w:pPr>
            <w:r>
              <w:rPr>
                <w:rFonts w:hint="eastAsia"/>
                <w:highlight w:val="none"/>
                <w:lang w:val="en-US" w:eastAsia="zh-CN"/>
              </w:rPr>
              <w:t>2.5达标情况分析</w:t>
            </w:r>
          </w:p>
          <w:p>
            <w:pPr>
              <w:pStyle w:val="38"/>
              <w:bidi w:val="0"/>
              <w:rPr>
                <w:rFonts w:hint="default"/>
                <w:lang w:val="en-US" w:eastAsia="zh-CN"/>
              </w:rPr>
            </w:pPr>
            <w:r>
              <w:rPr>
                <w:rFonts w:hint="default"/>
                <w:lang w:val="en-US" w:eastAsia="zh-CN"/>
              </w:rPr>
              <w:t>经核算，本项目生活污水产生量为</w:t>
            </w:r>
            <w:r>
              <w:rPr>
                <w:rFonts w:hint="eastAsia"/>
                <w:lang w:val="en-US" w:eastAsia="zh-CN"/>
              </w:rPr>
              <w:t>100.8m</w:t>
            </w:r>
            <w:r>
              <w:rPr>
                <w:rFonts w:hint="eastAsia"/>
                <w:vertAlign w:val="superscript"/>
                <w:lang w:val="en-US" w:eastAsia="zh-CN"/>
              </w:rPr>
              <w:t>3</w:t>
            </w:r>
            <w:r>
              <w:rPr>
                <w:rFonts w:hint="default"/>
                <w:lang w:val="en-US" w:eastAsia="zh-CN"/>
              </w:rPr>
              <w:t>/a。其中，化学需氧量（COD）、生化需氧量（BO</w:t>
            </w:r>
            <w:r>
              <w:rPr>
                <w:rFonts w:hint="eastAsia"/>
                <w:lang w:val="en-US" w:eastAsia="zh-CN"/>
              </w:rPr>
              <w:t>D</w:t>
            </w:r>
            <w:r>
              <w:rPr>
                <w:rFonts w:hint="default"/>
                <w:vertAlign w:val="subscript"/>
                <w:lang w:val="en-US" w:eastAsia="zh-CN"/>
              </w:rPr>
              <w:t>5</w:t>
            </w:r>
            <w:r>
              <w:rPr>
                <w:rFonts w:hint="default"/>
                <w:lang w:val="en-US" w:eastAsia="zh-CN"/>
              </w:rPr>
              <w:t>）、悬浮物（SS）、氨氮以及动植物油的产生量分别为</w:t>
            </w:r>
            <w:r>
              <w:rPr>
                <w:rFonts w:hint="eastAsia"/>
                <w:lang w:val="en-US" w:eastAsia="zh-CN"/>
              </w:rPr>
              <w:t>0.0353</w:t>
            </w:r>
            <w:r>
              <w:rPr>
                <w:rFonts w:hint="default"/>
                <w:lang w:val="en-US" w:eastAsia="zh-CN"/>
              </w:rPr>
              <w:t>t/a、</w:t>
            </w:r>
            <w:r>
              <w:rPr>
                <w:rFonts w:hint="eastAsia"/>
                <w:lang w:val="en-US" w:eastAsia="zh-CN"/>
              </w:rPr>
              <w:t>0.0252</w:t>
            </w:r>
            <w:r>
              <w:rPr>
                <w:rFonts w:hint="default"/>
                <w:lang w:val="en-US" w:eastAsia="zh-CN"/>
              </w:rPr>
              <w:t>t/a、</w:t>
            </w:r>
            <w:r>
              <w:rPr>
                <w:rFonts w:hint="eastAsia"/>
                <w:lang w:val="en-US" w:eastAsia="zh-CN"/>
              </w:rPr>
              <w:t>0.0202</w:t>
            </w:r>
            <w:r>
              <w:rPr>
                <w:rFonts w:hint="default"/>
                <w:lang w:val="en-US" w:eastAsia="zh-CN"/>
              </w:rPr>
              <w:t>t/a、</w:t>
            </w:r>
            <w:r>
              <w:rPr>
                <w:rFonts w:hint="eastAsia"/>
                <w:lang w:val="en-US" w:eastAsia="zh-CN"/>
              </w:rPr>
              <w:t>0.003</w:t>
            </w:r>
            <w:r>
              <w:rPr>
                <w:rFonts w:hint="default"/>
                <w:lang w:val="en-US" w:eastAsia="zh-CN"/>
              </w:rPr>
              <w:t>t/a和</w:t>
            </w:r>
            <w:r>
              <w:rPr>
                <w:rFonts w:hint="eastAsia"/>
                <w:lang w:val="en-US" w:eastAsia="zh-CN"/>
              </w:rPr>
              <w:t>0.01</w:t>
            </w:r>
            <w:r>
              <w:rPr>
                <w:rFonts w:hint="default"/>
                <w:lang w:val="en-US" w:eastAsia="zh-CN"/>
              </w:rPr>
              <w:t>t/a，整体产生量相对较少。项目所产生的生活污水经化粪池处理后排入污水管网进入铁门关市污水处理厂进行集中处理。</w:t>
            </w:r>
          </w:p>
          <w:p>
            <w:pPr>
              <w:pStyle w:val="38"/>
              <w:bidi w:val="0"/>
              <w:rPr>
                <w:rFonts w:hint="default" w:ascii="Times New Roman" w:hAnsi="Times New Roman" w:eastAsia="宋体" w:cs="宋体"/>
                <w:b w:val="0"/>
                <w:bCs w:val="0"/>
                <w:color w:val="auto"/>
                <w:kern w:val="0"/>
                <w:sz w:val="24"/>
                <w:szCs w:val="24"/>
                <w:lang w:val="en-US" w:eastAsia="zh-CN" w:bidi="ar-SA"/>
              </w:rPr>
            </w:pPr>
            <w:r>
              <w:rPr>
                <w:rFonts w:hint="default" w:ascii="Times New Roman" w:hAnsi="Times New Roman" w:eastAsia="宋体" w:cs="宋体"/>
                <w:b w:val="0"/>
                <w:bCs w:val="0"/>
                <w:color w:val="auto"/>
                <w:kern w:val="0"/>
                <w:sz w:val="24"/>
                <w:szCs w:val="24"/>
                <w:lang w:val="en-US" w:eastAsia="zh-CN" w:bidi="ar-SA"/>
              </w:rPr>
              <w:t>铁门关市污水处理厂采用A</w:t>
            </w:r>
            <w:r>
              <w:rPr>
                <w:rFonts w:hint="default" w:ascii="Times New Roman" w:hAnsi="Times New Roman" w:eastAsia="宋体" w:cs="宋体"/>
                <w:b w:val="0"/>
                <w:bCs w:val="0"/>
                <w:color w:val="auto"/>
                <w:kern w:val="0"/>
                <w:sz w:val="24"/>
                <w:szCs w:val="24"/>
                <w:vertAlign w:val="subscript"/>
                <w:lang w:val="en-US" w:eastAsia="zh-CN" w:bidi="ar-SA"/>
              </w:rPr>
              <w:t>2</w:t>
            </w:r>
            <w:r>
              <w:rPr>
                <w:rFonts w:hint="default" w:ascii="Times New Roman" w:hAnsi="Times New Roman" w:eastAsia="宋体" w:cs="宋体"/>
                <w:b w:val="0"/>
                <w:bCs w:val="0"/>
                <w:color w:val="auto"/>
                <w:kern w:val="0"/>
                <w:sz w:val="24"/>
                <w:szCs w:val="24"/>
                <w:lang w:val="en-US" w:eastAsia="zh-CN" w:bidi="ar-SA"/>
              </w:rPr>
              <w:t>/O二级生化处理工艺</w:t>
            </w:r>
            <w:r>
              <w:rPr>
                <w:rFonts w:hint="eastAsia" w:ascii="Times New Roman" w:hAnsi="Times New Roman" w:eastAsia="宋体" w:cs="宋体"/>
                <w:b w:val="0"/>
                <w:bCs w:val="0"/>
                <w:color w:val="auto"/>
                <w:kern w:val="0"/>
                <w:sz w:val="24"/>
                <w:szCs w:val="24"/>
                <w:lang w:val="en-US" w:eastAsia="zh-CN" w:bidi="ar-SA"/>
              </w:rPr>
              <w:t>。</w:t>
            </w:r>
            <w:r>
              <w:rPr>
                <w:rFonts w:hint="default" w:ascii="Times New Roman" w:hAnsi="Times New Roman" w:eastAsia="宋体" w:cs="宋体"/>
                <w:b w:val="0"/>
                <w:bCs w:val="0"/>
                <w:color w:val="auto"/>
                <w:kern w:val="0"/>
                <w:sz w:val="24"/>
                <w:szCs w:val="24"/>
                <w:lang w:val="en-US" w:eastAsia="zh-CN" w:bidi="ar-SA"/>
              </w:rPr>
              <w:t>处理后的尾水水质满足《城镇污水处理厂污染物排放标准》（GB18918-2002）一级B标准限值要求及《污水再生利用 城市杂用水水质》（GB/T18920-2002）中城市绿化用水标准，灌溉期用于生态林灌溉，非灌溉期排入污水处理厂以南的戈壁荒地。</w:t>
            </w:r>
          </w:p>
          <w:p>
            <w:pPr>
              <w:pStyle w:val="3"/>
              <w:bidi w:val="0"/>
              <w:rPr>
                <w:rFonts w:hint="default"/>
                <w:lang w:val="en-US" w:eastAsia="zh-CN"/>
              </w:rPr>
            </w:pPr>
            <w:r>
              <w:rPr>
                <w:rFonts w:hint="default"/>
                <w:lang w:val="en-US" w:eastAsia="zh-CN"/>
              </w:rPr>
              <w:t>3.声环境影响和保护措施</w:t>
            </w:r>
          </w:p>
          <w:p>
            <w:pPr>
              <w:pStyle w:val="3"/>
              <w:bidi w:val="0"/>
              <w:rPr>
                <w:rFonts w:hint="default"/>
                <w:lang w:val="en-US" w:eastAsia="zh-CN"/>
              </w:rPr>
            </w:pPr>
            <w:r>
              <w:rPr>
                <w:rFonts w:hint="default"/>
                <w:lang w:val="en-US" w:eastAsia="zh-CN"/>
              </w:rPr>
              <w:t>3.1预测模型</w:t>
            </w:r>
          </w:p>
          <w:p>
            <w:pPr>
              <w:pStyle w:val="8"/>
              <w:bidi w:val="0"/>
              <w:rPr>
                <w:rFonts w:hint="default"/>
                <w:lang w:val="en-US" w:eastAsia="zh-CN"/>
              </w:rPr>
            </w:pPr>
            <w:r>
              <w:rPr>
                <w:rFonts w:hint="default"/>
                <w:lang w:val="en-US" w:eastAsia="zh-CN"/>
              </w:rPr>
              <w:t>根据项目建设内容及《环境影响评价技术导则 声环境》（HJ2.4-2021）的要求，项目环评采用的模型为《环境影响评价技术导则 声环境》（HJ2.4.2021）附录A（规范性附录）户外声传播的衰减和附录B（规范性附录）中</w:t>
            </w:r>
            <w:r>
              <w:rPr>
                <w:rFonts w:hint="eastAsia"/>
                <w:lang w:val="en-US" w:eastAsia="zh-CN"/>
              </w:rPr>
              <w:t>“</w:t>
            </w:r>
            <w:r>
              <w:rPr>
                <w:rFonts w:hint="default"/>
                <w:lang w:val="en-US" w:eastAsia="zh-CN"/>
              </w:rPr>
              <w:t>B.1工业噪声预测计算模型</w:t>
            </w:r>
            <w:r>
              <w:rPr>
                <w:rFonts w:hint="eastAsia"/>
                <w:lang w:val="en-US" w:eastAsia="zh-CN"/>
              </w:rPr>
              <w:t>”</w:t>
            </w:r>
            <w:r>
              <w:rPr>
                <w:rFonts w:hint="default"/>
                <w:lang w:val="en-US" w:eastAsia="zh-CN"/>
              </w:rPr>
              <w:t>。</w:t>
            </w:r>
          </w:p>
          <w:p>
            <w:pPr>
              <w:pStyle w:val="3"/>
              <w:bidi w:val="0"/>
              <w:rPr>
                <w:rFonts w:hint="default"/>
                <w:lang w:val="en-US" w:eastAsia="zh-CN"/>
              </w:rPr>
            </w:pPr>
            <w:r>
              <w:rPr>
                <w:rFonts w:hint="default"/>
                <w:lang w:val="en-US" w:eastAsia="zh-CN"/>
              </w:rPr>
              <w:t>3.2预测参数</w:t>
            </w:r>
          </w:p>
          <w:p>
            <w:pPr>
              <w:pStyle w:val="8"/>
              <w:bidi w:val="0"/>
              <w:rPr>
                <w:rFonts w:hint="default"/>
                <w:lang w:val="en-US" w:eastAsia="zh-CN"/>
              </w:rPr>
            </w:pPr>
            <w:r>
              <w:rPr>
                <w:rFonts w:hint="default"/>
                <w:lang w:val="en-US" w:eastAsia="zh-CN"/>
              </w:rPr>
              <w:t>噪声主要搅拌机、</w:t>
            </w:r>
            <w:r>
              <w:rPr>
                <w:rFonts w:hint="eastAsia"/>
                <w:lang w:val="en-US" w:eastAsia="zh-CN"/>
              </w:rPr>
              <w:t>切割机</w:t>
            </w:r>
            <w:r>
              <w:rPr>
                <w:rFonts w:hint="default"/>
                <w:lang w:val="en-US" w:eastAsia="zh-CN"/>
              </w:rPr>
              <w:t>等，噪声值一般为</w:t>
            </w:r>
            <w:r>
              <w:rPr>
                <w:rFonts w:hint="eastAsia"/>
                <w:lang w:val="en-US" w:eastAsia="zh-CN"/>
              </w:rPr>
              <w:t>6</w:t>
            </w:r>
            <w:r>
              <w:rPr>
                <w:rFonts w:hint="eastAsia"/>
                <w:highlight w:val="none"/>
                <w:lang w:val="en-US" w:eastAsia="zh-CN"/>
              </w:rPr>
              <w:t>5</w:t>
            </w:r>
            <w:r>
              <w:rPr>
                <w:rFonts w:hint="default"/>
                <w:highlight w:val="none"/>
                <w:lang w:val="en-US" w:eastAsia="zh-CN"/>
              </w:rPr>
              <w:t>～</w:t>
            </w:r>
            <w:r>
              <w:rPr>
                <w:rFonts w:hint="eastAsia"/>
                <w:highlight w:val="none"/>
                <w:lang w:val="en-US" w:eastAsia="zh-CN"/>
              </w:rPr>
              <w:t>83</w:t>
            </w:r>
            <w:r>
              <w:rPr>
                <w:rFonts w:hint="default"/>
                <w:lang w:val="en-US" w:eastAsia="zh-CN"/>
              </w:rPr>
              <w:t>dB（A）。设备正常运行过程中产生的噪声污染是各机械设备单台噪声值的叠加值，具体污染工序中生产设备直接噪声影响值分析及单台噪声值见下表。各生产设备噪声值详见下表。</w:t>
            </w:r>
          </w:p>
        </w:tc>
      </w:tr>
    </w:tbl>
    <w:p>
      <w:pPr>
        <w:pStyle w:val="10"/>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pPr w:leftFromText="180" w:rightFromText="180" w:vertAnchor="text" w:horzAnchor="page" w:tblpX="2506" w:tblpY="2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6" w:hRule="atLeast"/>
        </w:trPr>
        <w:tc>
          <w:tcPr>
            <w:tcW w:w="12640" w:type="dxa"/>
          </w:tcPr>
          <w:p>
            <w:pPr>
              <w:pStyle w:val="36"/>
              <w:bidi w:val="0"/>
              <w:rPr>
                <w:rFonts w:hint="default"/>
                <w:lang w:val="en-US" w:eastAsia="zh-CN"/>
              </w:rPr>
            </w:pPr>
            <w:r>
              <w:rPr>
                <w:rFonts w:hint="default"/>
                <w:lang w:val="en-US" w:eastAsia="zh-CN"/>
              </w:rPr>
              <w:t>表4-</w:t>
            </w:r>
            <w:r>
              <w:rPr>
                <w:rFonts w:hint="eastAsia"/>
                <w:lang w:val="en-US" w:eastAsia="zh-CN"/>
              </w:rPr>
              <w:t>8</w:t>
            </w:r>
            <w:r>
              <w:rPr>
                <w:rFonts w:hint="default"/>
                <w:lang w:val="en-US" w:eastAsia="zh-CN"/>
              </w:rPr>
              <w:t xml:space="preserve">    项目主要设备噪声源强（</w:t>
            </w:r>
            <w:r>
              <w:rPr>
                <w:rFonts w:hint="eastAsia"/>
                <w:lang w:val="en-US" w:eastAsia="zh-CN"/>
              </w:rPr>
              <w:t>室内声源</w:t>
            </w:r>
            <w:r>
              <w:rPr>
                <w:rFonts w:hint="default"/>
                <w:lang w:val="en-US" w:eastAsia="zh-CN"/>
              </w:rPr>
              <w:t>）</w:t>
            </w:r>
          </w:p>
          <w:tbl>
            <w:tblPr>
              <w:tblStyle w:val="19"/>
              <w:tblpPr w:leftFromText="180" w:rightFromText="180" w:vertAnchor="text" w:horzAnchor="page" w:tblpXSpec="center" w:tblpY="323"/>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42"/>
              <w:gridCol w:w="499"/>
              <w:gridCol w:w="477"/>
              <w:gridCol w:w="634"/>
              <w:gridCol w:w="492"/>
              <w:gridCol w:w="544"/>
              <w:gridCol w:w="544"/>
              <w:gridCol w:w="566"/>
              <w:gridCol w:w="452"/>
              <w:gridCol w:w="452"/>
              <w:gridCol w:w="452"/>
              <w:gridCol w:w="472"/>
              <w:gridCol w:w="447"/>
              <w:gridCol w:w="447"/>
              <w:gridCol w:w="447"/>
              <w:gridCol w:w="462"/>
              <w:gridCol w:w="442"/>
              <w:gridCol w:w="430"/>
              <w:gridCol w:w="430"/>
              <w:gridCol w:w="430"/>
              <w:gridCol w:w="455"/>
              <w:gridCol w:w="457"/>
              <w:gridCol w:w="457"/>
              <w:gridCol w:w="457"/>
              <w:gridCol w:w="458"/>
              <w:gridCol w:w="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92" w:hRule="exact"/>
                <w:jc w:val="center"/>
              </w:trPr>
              <w:tc>
                <w:tcPr>
                  <w:tcW w:w="178" w:type="pct"/>
                  <w:vMerge w:val="restart"/>
                  <w:tcBorders>
                    <w:tl2br w:val="nil"/>
                    <w:tr2bl w:val="nil"/>
                  </w:tcBorders>
                  <w:shd w:val="clear" w:color="auto" w:fill="auto"/>
                  <w:vAlign w:val="center"/>
                </w:tcPr>
                <w:p>
                  <w:pPr>
                    <w:pStyle w:val="34"/>
                    <w:bidi w:val="0"/>
                  </w:pPr>
                  <w:bookmarkStart w:id="4" w:name="PT_6"/>
                  <w:r>
                    <w:t>序号</w:t>
                  </w:r>
                </w:p>
              </w:tc>
              <w:tc>
                <w:tcPr>
                  <w:tcW w:w="201" w:type="pct"/>
                  <w:vMerge w:val="restart"/>
                  <w:tcBorders>
                    <w:tl2br w:val="nil"/>
                    <w:tr2bl w:val="nil"/>
                  </w:tcBorders>
                  <w:shd w:val="clear" w:color="auto" w:fill="auto"/>
                  <w:vAlign w:val="center"/>
                </w:tcPr>
                <w:p>
                  <w:pPr>
                    <w:pStyle w:val="34"/>
                    <w:bidi w:val="0"/>
                  </w:pPr>
                  <w:r>
                    <w:t>建筑物名称</w:t>
                  </w:r>
                </w:p>
              </w:tc>
              <w:tc>
                <w:tcPr>
                  <w:tcW w:w="192" w:type="pct"/>
                  <w:vMerge w:val="restart"/>
                  <w:tcBorders>
                    <w:tl2br w:val="nil"/>
                    <w:tr2bl w:val="nil"/>
                  </w:tcBorders>
                  <w:shd w:val="clear" w:color="auto" w:fill="auto"/>
                  <w:vAlign w:val="center"/>
                </w:tcPr>
                <w:p>
                  <w:pPr>
                    <w:pStyle w:val="34"/>
                    <w:bidi w:val="0"/>
                  </w:pPr>
                  <w:r>
                    <w:t>声源名称</w:t>
                  </w:r>
                </w:p>
              </w:tc>
              <w:tc>
                <w:tcPr>
                  <w:tcW w:w="255" w:type="pct"/>
                  <w:vMerge w:val="restart"/>
                  <w:tcBorders>
                    <w:tl2br w:val="nil"/>
                    <w:tr2bl w:val="nil"/>
                  </w:tcBorders>
                  <w:shd w:val="clear" w:color="auto" w:fill="auto"/>
                  <w:vAlign w:val="center"/>
                </w:tcPr>
                <w:p>
                  <w:pPr>
                    <w:pStyle w:val="34"/>
                    <w:bidi w:val="0"/>
                  </w:pPr>
                  <w:r>
                    <w:t>声功率级/dB(A)</w:t>
                  </w:r>
                </w:p>
              </w:tc>
              <w:tc>
                <w:tcPr>
                  <w:tcW w:w="198" w:type="pct"/>
                  <w:vMerge w:val="restart"/>
                  <w:tcBorders>
                    <w:tl2br w:val="nil"/>
                    <w:tr2bl w:val="nil"/>
                  </w:tcBorders>
                  <w:shd w:val="clear" w:color="auto" w:fill="auto"/>
                  <w:vAlign w:val="center"/>
                </w:tcPr>
                <w:p>
                  <w:pPr>
                    <w:pStyle w:val="34"/>
                    <w:bidi w:val="0"/>
                  </w:pPr>
                  <w:r>
                    <w:t>声源控制措施</w:t>
                  </w:r>
                </w:p>
              </w:tc>
              <w:tc>
                <w:tcPr>
                  <w:tcW w:w="666" w:type="pct"/>
                  <w:gridSpan w:val="3"/>
                  <w:tcBorders>
                    <w:tl2br w:val="nil"/>
                    <w:tr2bl w:val="nil"/>
                  </w:tcBorders>
                  <w:shd w:val="clear" w:color="auto" w:fill="auto"/>
                  <w:vAlign w:val="center"/>
                </w:tcPr>
                <w:p>
                  <w:pPr>
                    <w:pStyle w:val="34"/>
                    <w:bidi w:val="0"/>
                  </w:pPr>
                  <w:r>
                    <w:t>空间相对位置/m</w:t>
                  </w:r>
                </w:p>
              </w:tc>
              <w:tc>
                <w:tcPr>
                  <w:tcW w:w="736" w:type="pct"/>
                  <w:gridSpan w:val="4"/>
                  <w:tcBorders>
                    <w:tl2br w:val="nil"/>
                    <w:tr2bl w:val="nil"/>
                  </w:tcBorders>
                  <w:shd w:val="clear" w:color="auto" w:fill="auto"/>
                  <w:vAlign w:val="center"/>
                </w:tcPr>
                <w:p>
                  <w:pPr>
                    <w:pStyle w:val="34"/>
                    <w:bidi w:val="0"/>
                  </w:pPr>
                  <w:r>
                    <w:t>距室内边界距离/m</w:t>
                  </w:r>
                </w:p>
              </w:tc>
              <w:tc>
                <w:tcPr>
                  <w:tcW w:w="726" w:type="pct"/>
                  <w:gridSpan w:val="4"/>
                  <w:tcBorders>
                    <w:tl2br w:val="nil"/>
                    <w:tr2bl w:val="nil"/>
                  </w:tcBorders>
                  <w:shd w:val="clear" w:color="auto" w:fill="auto"/>
                  <w:vAlign w:val="center"/>
                </w:tcPr>
                <w:p>
                  <w:pPr>
                    <w:pStyle w:val="34"/>
                    <w:bidi w:val="0"/>
                  </w:pPr>
                  <w:r>
                    <w:t>室内边界声级/dB(A)</w:t>
                  </w:r>
                </w:p>
              </w:tc>
              <w:tc>
                <w:tcPr>
                  <w:tcW w:w="178" w:type="pct"/>
                  <w:vMerge w:val="restart"/>
                  <w:tcBorders>
                    <w:tl2br w:val="nil"/>
                    <w:tr2bl w:val="nil"/>
                  </w:tcBorders>
                  <w:shd w:val="clear" w:color="auto" w:fill="auto"/>
                  <w:vAlign w:val="center"/>
                </w:tcPr>
                <w:p>
                  <w:pPr>
                    <w:pStyle w:val="34"/>
                    <w:bidi w:val="0"/>
                  </w:pPr>
                  <w:r>
                    <w:t>运行时段</w:t>
                  </w:r>
                </w:p>
              </w:tc>
              <w:tc>
                <w:tcPr>
                  <w:tcW w:w="702" w:type="pct"/>
                  <w:gridSpan w:val="4"/>
                  <w:tcBorders>
                    <w:tl2br w:val="nil"/>
                    <w:tr2bl w:val="nil"/>
                  </w:tcBorders>
                  <w:shd w:val="clear" w:color="auto" w:fill="auto"/>
                  <w:vAlign w:val="center"/>
                </w:tcPr>
                <w:p>
                  <w:pPr>
                    <w:pStyle w:val="34"/>
                    <w:bidi w:val="0"/>
                  </w:pPr>
                  <w:r>
                    <w:t>建筑物插入损失/dB(A)</w:t>
                  </w:r>
                  <w:bookmarkStart w:id="5" w:name="PT_10"/>
                  <w:bookmarkEnd w:id="5"/>
                </w:p>
              </w:tc>
              <w:tc>
                <w:tcPr>
                  <w:tcW w:w="962" w:type="pct"/>
                  <w:gridSpan w:val="5"/>
                  <w:tcBorders>
                    <w:tl2br w:val="nil"/>
                    <w:tr2bl w:val="nil"/>
                  </w:tcBorders>
                  <w:shd w:val="clear" w:color="auto" w:fill="auto"/>
                  <w:vAlign w:val="center"/>
                </w:tcPr>
                <w:p>
                  <w:pPr>
                    <w:pStyle w:val="34"/>
                    <w:bidi w:val="0"/>
                  </w:pPr>
                  <w: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78" w:type="pct"/>
                  <w:vMerge w:val="continue"/>
                  <w:tcBorders>
                    <w:tl2br w:val="nil"/>
                    <w:tr2bl w:val="nil"/>
                  </w:tcBorders>
                  <w:shd w:val="clear" w:color="auto" w:fill="auto"/>
                  <w:tcMar>
                    <w:top w:w="0" w:type="dxa"/>
                    <w:left w:w="0" w:type="dxa"/>
                    <w:bottom w:w="0" w:type="dxa"/>
                    <w:right w:w="0" w:type="dxa"/>
                  </w:tcMar>
                  <w:vAlign w:val="center"/>
                </w:tcPr>
                <w:p>
                  <w:pPr>
                    <w:pStyle w:val="34"/>
                    <w:bidi w:val="0"/>
                    <w:rPr>
                      <w:rFonts w:hint="default"/>
                      <w:lang w:val="en-US" w:eastAsia="zh-CN"/>
                    </w:rPr>
                  </w:pPr>
                </w:p>
              </w:tc>
              <w:tc>
                <w:tcPr>
                  <w:tcW w:w="201"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192"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55"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X</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Y</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Z</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东</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南</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西</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北</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东</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南</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西</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北</w:t>
                  </w:r>
                </w:p>
              </w:tc>
              <w:tc>
                <w:tcPr>
                  <w:tcW w:w="17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东</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南</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西</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北</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东</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南</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西</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北</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1</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rPr>
                      <w:rFonts w:hint="default" w:eastAsia="宋体"/>
                      <w:lang w:val="en-US" w:eastAsia="zh-CN"/>
                    </w:rPr>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rPr>
                      <w:rFonts w:hint="eastAsia" w:eastAsia="宋体"/>
                      <w:lang w:eastAsia="zh-CN"/>
                    </w:rPr>
                  </w:pPr>
                  <w:r>
                    <w:rPr>
                      <w:rFonts w:hint="eastAsia"/>
                      <w:lang w:val="en-US" w:eastAsia="zh-CN"/>
                    </w:rPr>
                    <w:t>预混搅拌罐</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80</w:t>
                  </w:r>
                </w:p>
              </w:tc>
              <w:tc>
                <w:tcPr>
                  <w:tcW w:w="198" w:type="pct"/>
                  <w:vMerge w:val="restart"/>
                  <w:tcBorders>
                    <w:tl2br w:val="nil"/>
                    <w:tr2bl w:val="nil"/>
                  </w:tcBorders>
                  <w:shd w:val="clear" w:color="auto" w:fill="auto"/>
                  <w:tcMar>
                    <w:top w:w="0" w:type="dxa"/>
                    <w:left w:w="0" w:type="dxa"/>
                    <w:bottom w:w="0" w:type="dxa"/>
                    <w:right w:w="0" w:type="dxa"/>
                  </w:tcMar>
                  <w:vAlign w:val="center"/>
                </w:tcPr>
                <w:p>
                  <w:pPr>
                    <w:pStyle w:val="34"/>
                    <w:bidi w:val="0"/>
                  </w:pPr>
                  <w:r>
                    <w:rPr>
                      <w:rFonts w:hint="default"/>
                    </w:rPr>
                    <w:t>减振降噪和距离衰减</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-30.7</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-0.4</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75.8</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10.3</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15.6</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19.6</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65.1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65.2</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65.1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65.1</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44.1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44.2</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44.1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44.1</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2</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pPr>
                  <w:r>
                    <w:t>湿料砂浆搅拌机</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80</w:t>
                  </w: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-20.9</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-1.8</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65.9</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10.8</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25.4</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19.4</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65.1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65.2</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65.1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65.1</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44.1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44.2</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44.1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44.1</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3</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pPr>
                  <w:r>
                    <w:t>提升机</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72</w:t>
                  </w: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-11.1</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-3.1</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56.0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11.3</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35.3</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19.1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57.1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57.1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57.1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57.1</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36.1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36.1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36.1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36.1</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4</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pPr>
                  <w:r>
                    <w:t>整形机</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65</w:t>
                  </w: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-1.8</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-3.6</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46.8</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12.6</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44.5</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18.1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50.1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50.1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50.1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50.1</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29.1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29.1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29.1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29.1</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7"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5</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pPr>
                  <w:r>
                    <w:t>切割机</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83</w:t>
                  </w: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-5.8</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36.8</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12.3</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54.5</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18.6</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68.1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68.1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68.1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68.1</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47.1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47.1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47.1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47.1</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6</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pPr>
                  <w:r>
                    <w:t>打孔机</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83</w:t>
                  </w: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19.1</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-7.6</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25.5</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12.6</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65.7</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18.6</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68.1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68.1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68.1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68.1</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47.1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47.1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47.1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47.1</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7</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pPr>
                  <w:r>
                    <w:t>全自动抓板机</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68</w:t>
                  </w: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20.8</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-1.6</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24.6</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18.8</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66.2</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12.4</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53.1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53.1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53.1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53.1</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32.1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32.1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32.1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32.1</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pPr>
                  <w:r>
                    <w:t>全自动变轨拆垛机</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78</w:t>
                  </w: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10.7</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0.9</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34.9</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19.4</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55.9</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11.6</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63.1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63.1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63.1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63.1</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42.1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42.1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42.1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42.1</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9</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绞龙</w:t>
                  </w:r>
                  <w:r>
                    <w:t>输送机</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75</w:t>
                  </w: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-4</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4</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49.9</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19.6</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40.9</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10.9</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60.1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60.1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60.1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60.2</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39.1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39.1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39.1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39.2</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9" w:hRule="atLeast"/>
                <w:jc w:val="center"/>
              </w:trPr>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10</w:t>
                  </w:r>
                </w:p>
              </w:tc>
              <w:tc>
                <w:tcPr>
                  <w:tcW w:w="201" w:type="pct"/>
                  <w:tcBorders>
                    <w:tl2br w:val="nil"/>
                    <w:tr2bl w:val="nil"/>
                  </w:tcBorders>
                  <w:shd w:val="clear" w:color="auto" w:fill="auto"/>
                  <w:tcMar>
                    <w:top w:w="0" w:type="dxa"/>
                    <w:left w:w="0" w:type="dxa"/>
                    <w:bottom w:w="0" w:type="dxa"/>
                    <w:right w:w="0" w:type="dxa"/>
                  </w:tcMar>
                  <w:vAlign w:val="center"/>
                </w:tcPr>
                <w:p>
                  <w:pPr>
                    <w:pStyle w:val="34"/>
                    <w:bidi w:val="0"/>
                  </w:pPr>
                  <w:r>
                    <w:rPr>
                      <w:rFonts w:hint="eastAsia"/>
                      <w:lang w:val="en-US" w:eastAsia="zh-CN"/>
                    </w:rPr>
                    <w:t>1#厂房</w:t>
                  </w:r>
                </w:p>
              </w:tc>
              <w:tc>
                <w:tcPr>
                  <w:tcW w:w="192" w:type="pct"/>
                  <w:tcBorders>
                    <w:tl2br w:val="nil"/>
                    <w:tr2bl w:val="nil"/>
                  </w:tcBorders>
                  <w:shd w:val="clear" w:color="auto" w:fill="auto"/>
                  <w:tcMar>
                    <w:top w:w="0" w:type="dxa"/>
                    <w:left w:w="0" w:type="dxa"/>
                    <w:bottom w:w="0" w:type="dxa"/>
                    <w:right w:w="0" w:type="dxa"/>
                  </w:tcMar>
                  <w:vAlign w:val="center"/>
                </w:tcPr>
                <w:p>
                  <w:pPr>
                    <w:pStyle w:val="34"/>
                    <w:bidi w:val="0"/>
                  </w:pPr>
                  <w:r>
                    <w:t>刮平装置</w:t>
                  </w:r>
                </w:p>
              </w:tc>
              <w:tc>
                <w:tcPr>
                  <w:tcW w:w="255" w:type="pct"/>
                  <w:tcBorders>
                    <w:tl2br w:val="nil"/>
                    <w:tr2bl w:val="nil"/>
                  </w:tcBorders>
                  <w:shd w:val="clear" w:color="auto" w:fill="auto"/>
                  <w:tcMar>
                    <w:top w:w="0" w:type="dxa"/>
                    <w:left w:w="0" w:type="dxa"/>
                    <w:bottom w:w="0" w:type="dxa"/>
                    <w:right w:w="0" w:type="dxa"/>
                  </w:tcMar>
                  <w:vAlign w:val="center"/>
                </w:tcPr>
                <w:p>
                  <w:pPr>
                    <w:pStyle w:val="34"/>
                    <w:bidi w:val="0"/>
                  </w:pPr>
                  <w:r>
                    <w:t>65</w:t>
                  </w:r>
                </w:p>
              </w:tc>
              <w:tc>
                <w:tcPr>
                  <w:tcW w:w="198" w:type="pct"/>
                  <w:vMerge w:val="continue"/>
                  <w:tcBorders>
                    <w:tl2br w:val="nil"/>
                    <w:tr2bl w:val="nil"/>
                  </w:tcBorders>
                  <w:shd w:val="clear" w:color="auto" w:fill="auto"/>
                  <w:tcMar>
                    <w:top w:w="0" w:type="dxa"/>
                    <w:left w:w="0" w:type="dxa"/>
                    <w:bottom w:w="0" w:type="dxa"/>
                    <w:right w:w="0" w:type="dxa"/>
                  </w:tcMar>
                  <w:vAlign w:val="center"/>
                </w:tcPr>
                <w:p>
                  <w:pPr>
                    <w:pStyle w:val="34"/>
                    <w:bidi w:val="0"/>
                  </w:pP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-18.2</w:t>
                  </w:r>
                </w:p>
              </w:tc>
              <w:tc>
                <w:tcPr>
                  <w:tcW w:w="219" w:type="pct"/>
                  <w:tcBorders>
                    <w:tl2br w:val="nil"/>
                    <w:tr2bl w:val="nil"/>
                  </w:tcBorders>
                  <w:shd w:val="clear" w:color="auto" w:fill="auto"/>
                  <w:tcMar>
                    <w:top w:w="0" w:type="dxa"/>
                    <w:left w:w="0" w:type="dxa"/>
                    <w:bottom w:w="0" w:type="dxa"/>
                    <w:right w:w="0" w:type="dxa"/>
                  </w:tcMar>
                  <w:vAlign w:val="center"/>
                </w:tcPr>
                <w:p>
                  <w:pPr>
                    <w:pStyle w:val="34"/>
                    <w:bidi w:val="0"/>
                  </w:pPr>
                  <w:r>
                    <w:t>7.1</w:t>
                  </w:r>
                </w:p>
              </w:tc>
              <w:tc>
                <w:tcPr>
                  <w:tcW w:w="228" w:type="pct"/>
                  <w:tcBorders>
                    <w:tl2br w:val="nil"/>
                    <w:tr2bl w:val="nil"/>
                  </w:tcBorders>
                  <w:shd w:val="clear" w:color="auto" w:fill="auto"/>
                  <w:tcMar>
                    <w:top w:w="0" w:type="dxa"/>
                    <w:left w:w="0" w:type="dxa"/>
                    <w:bottom w:w="0" w:type="dxa"/>
                    <w:right w:w="0" w:type="dxa"/>
                  </w:tcMar>
                  <w:vAlign w:val="center"/>
                </w:tcPr>
                <w:p>
                  <w:pPr>
                    <w:pStyle w:val="34"/>
                    <w:bidi w:val="0"/>
                  </w:pPr>
                  <w:r>
                    <w:t>1.2</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64.3</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20.0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26.4</w:t>
                  </w:r>
                </w:p>
              </w:tc>
              <w:tc>
                <w:tcPr>
                  <w:tcW w:w="190" w:type="pct"/>
                  <w:tcBorders>
                    <w:tl2br w:val="nil"/>
                    <w:tr2bl w:val="nil"/>
                  </w:tcBorders>
                  <w:shd w:val="clear" w:color="auto" w:fill="auto"/>
                  <w:tcMar>
                    <w:top w:w="0" w:type="dxa"/>
                    <w:left w:w="0" w:type="dxa"/>
                    <w:bottom w:w="0" w:type="dxa"/>
                    <w:right w:w="0" w:type="dxa"/>
                  </w:tcMar>
                  <w:vAlign w:val="center"/>
                </w:tcPr>
                <w:p>
                  <w:pPr>
                    <w:pStyle w:val="34"/>
                    <w:bidi w:val="0"/>
                  </w:pPr>
                  <w:r>
                    <w:t>10.2</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50.1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50.1</w:t>
                  </w:r>
                </w:p>
              </w:tc>
              <w:tc>
                <w:tcPr>
                  <w:tcW w:w="180" w:type="pct"/>
                  <w:tcBorders>
                    <w:tl2br w:val="nil"/>
                    <w:tr2bl w:val="nil"/>
                  </w:tcBorders>
                  <w:shd w:val="clear" w:color="auto" w:fill="auto"/>
                  <w:tcMar>
                    <w:top w:w="0" w:type="dxa"/>
                    <w:left w:w="0" w:type="dxa"/>
                    <w:bottom w:w="0" w:type="dxa"/>
                    <w:right w:w="0" w:type="dxa"/>
                  </w:tcMar>
                  <w:vAlign w:val="center"/>
                </w:tcPr>
                <w:p>
                  <w:pPr>
                    <w:pStyle w:val="34"/>
                    <w:bidi w:val="0"/>
                  </w:pPr>
                  <w:r>
                    <w:t>50.1</w:t>
                  </w:r>
                </w:p>
              </w:tc>
              <w:tc>
                <w:tcPr>
                  <w:tcW w:w="186" w:type="pct"/>
                  <w:tcBorders>
                    <w:tl2br w:val="nil"/>
                    <w:tr2bl w:val="nil"/>
                  </w:tcBorders>
                  <w:shd w:val="clear" w:color="auto" w:fill="auto"/>
                  <w:tcMar>
                    <w:top w:w="0" w:type="dxa"/>
                    <w:left w:w="0" w:type="dxa"/>
                    <w:bottom w:w="0" w:type="dxa"/>
                    <w:right w:w="0" w:type="dxa"/>
                  </w:tcMar>
                  <w:vAlign w:val="center"/>
                </w:tcPr>
                <w:p>
                  <w:pPr>
                    <w:pStyle w:val="34"/>
                    <w:bidi w:val="0"/>
                  </w:pPr>
                  <w:r>
                    <w:t>50.2</w:t>
                  </w:r>
                </w:p>
              </w:tc>
              <w:tc>
                <w:tcPr>
                  <w:tcW w:w="178" w:type="pct"/>
                  <w:tcBorders>
                    <w:tl2br w:val="nil"/>
                    <w:tr2bl w:val="nil"/>
                  </w:tcBorders>
                  <w:shd w:val="clear" w:color="auto" w:fill="auto"/>
                  <w:tcMar>
                    <w:top w:w="0" w:type="dxa"/>
                    <w:left w:w="0" w:type="dxa"/>
                    <w:bottom w:w="0" w:type="dxa"/>
                    <w:right w:w="0" w:type="dxa"/>
                  </w:tcMar>
                  <w:vAlign w:val="center"/>
                </w:tcPr>
                <w:p>
                  <w:pPr>
                    <w:pStyle w:val="34"/>
                    <w:bidi w:val="0"/>
                  </w:pPr>
                  <w:r>
                    <w:t>8</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73"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2" w:type="pct"/>
                  <w:tcBorders>
                    <w:tl2br w:val="nil"/>
                    <w:tr2bl w:val="nil"/>
                  </w:tcBorders>
                  <w:shd w:val="clear" w:color="auto" w:fill="auto"/>
                  <w:tcMar>
                    <w:top w:w="0" w:type="dxa"/>
                    <w:left w:w="0" w:type="dxa"/>
                    <w:bottom w:w="0" w:type="dxa"/>
                    <w:right w:w="0" w:type="dxa"/>
                  </w:tcMar>
                  <w:vAlign w:val="center"/>
                </w:tcPr>
                <w:p>
                  <w:pPr>
                    <w:pStyle w:val="34"/>
                    <w:bidi w:val="0"/>
                  </w:pPr>
                  <w:r>
                    <w:t>21.0</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29.1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29.1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29.1</w:t>
                  </w:r>
                </w:p>
              </w:tc>
              <w:tc>
                <w:tcPr>
                  <w:tcW w:w="184" w:type="pct"/>
                  <w:tcBorders>
                    <w:tl2br w:val="nil"/>
                    <w:tr2bl w:val="nil"/>
                  </w:tcBorders>
                  <w:shd w:val="clear" w:color="auto" w:fill="auto"/>
                  <w:tcMar>
                    <w:top w:w="0" w:type="dxa"/>
                    <w:left w:w="0" w:type="dxa"/>
                    <w:bottom w:w="0" w:type="dxa"/>
                    <w:right w:w="0" w:type="dxa"/>
                  </w:tcMar>
                  <w:vAlign w:val="center"/>
                </w:tcPr>
                <w:p>
                  <w:pPr>
                    <w:pStyle w:val="34"/>
                    <w:bidi w:val="0"/>
                  </w:pPr>
                  <w:r>
                    <w:t>29.2</w:t>
                  </w:r>
                </w:p>
              </w:tc>
              <w:tc>
                <w:tcPr>
                  <w:tcW w:w="226" w:type="pct"/>
                  <w:tcBorders>
                    <w:tl2br w:val="nil"/>
                    <w:tr2bl w:val="nil"/>
                  </w:tcBorders>
                  <w:shd w:val="clear" w:color="auto" w:fill="auto"/>
                  <w:tcMar>
                    <w:top w:w="0" w:type="dxa"/>
                    <w:left w:w="0" w:type="dxa"/>
                    <w:bottom w:w="0" w:type="dxa"/>
                    <w:right w:w="0" w:type="dxa"/>
                  </w:tcMar>
                  <w:vAlign w:val="center"/>
                </w:tcPr>
                <w:p>
                  <w:pPr>
                    <w:pStyle w:val="34"/>
                    <w:bidi w:val="0"/>
                  </w:pPr>
                  <w:r>
                    <w:t>1</w:t>
                  </w:r>
                </w:p>
              </w:tc>
            </w:tr>
            <w:bookmarkEnd w:id="4"/>
          </w:tbl>
          <w:p>
            <w:pPr>
              <w:pStyle w:val="38"/>
              <w:bidi w:val="0"/>
              <w:rPr>
                <w:rFonts w:hint="eastAsia"/>
                <w:vertAlign w:val="baseline"/>
              </w:rPr>
            </w:pPr>
            <w:r>
              <w:rPr>
                <w:rFonts w:hint="default"/>
                <w:lang w:val="en-US" w:eastAsia="zh-CN"/>
              </w:rPr>
              <w:t>表中坐标以厂界中心（85°54′34.583″，N：41°50′52.039″）为坐标原点，正东向为X轴正方向，正北向为Y轴正方向</w:t>
            </w:r>
            <w:r>
              <w:rPr>
                <w:rFonts w:hint="eastAsia"/>
                <w:lang w:val="en-US" w:eastAsia="zh-CN"/>
              </w:rPr>
              <w:t>。</w:t>
            </w:r>
          </w:p>
        </w:tc>
      </w:tr>
    </w:tbl>
    <w:p>
      <w:pPr>
        <w:pStyle w:val="10"/>
        <w:ind w:left="0" w:leftChars="0" w:firstLine="0" w:firstLineChars="0"/>
        <w:rPr>
          <w:rFonts w:hint="eastAsia"/>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dxa"/>
          </w:tcPr>
          <w:p>
            <w:pPr>
              <w:pStyle w:val="10"/>
              <w:rPr>
                <w:rFonts w:hint="eastAsia"/>
                <w:vertAlign w:val="baseline"/>
              </w:rPr>
            </w:pPr>
          </w:p>
        </w:tc>
        <w:tc>
          <w:tcPr>
            <w:tcW w:w="8612" w:type="dxa"/>
          </w:tcPr>
          <w:p>
            <w:pPr>
              <w:pStyle w:val="3"/>
              <w:bidi w:val="0"/>
              <w:rPr>
                <w:rFonts w:hint="default"/>
                <w:lang w:val="en-US" w:eastAsia="zh-CN"/>
              </w:rPr>
            </w:pPr>
            <w:r>
              <w:rPr>
                <w:rFonts w:hint="eastAsia"/>
                <w:lang w:val="en-US" w:eastAsia="zh-CN"/>
              </w:rPr>
              <w:t>3.3预测结果</w:t>
            </w:r>
          </w:p>
          <w:p>
            <w:pPr>
              <w:pStyle w:val="8"/>
              <w:bidi w:val="0"/>
              <w:rPr>
                <w:rFonts w:hint="default"/>
                <w:lang w:val="en-US" w:eastAsia="zh-CN"/>
              </w:rPr>
            </w:pPr>
            <w:r>
              <w:rPr>
                <w:rFonts w:hint="default"/>
                <w:lang w:val="en-US" w:eastAsia="zh-CN"/>
              </w:rPr>
              <w:t>通过预测模型计算，项目厂界噪声预测结果与达标分析详见下表。</w:t>
            </w:r>
          </w:p>
          <w:p>
            <w:pPr>
              <w:pStyle w:val="36"/>
              <w:bidi w:val="0"/>
              <w:rPr>
                <w:rFonts w:hint="default"/>
                <w:lang w:val="en-US" w:eastAsia="zh-CN"/>
              </w:rPr>
            </w:pPr>
            <w:r>
              <w:rPr>
                <w:rFonts w:hint="default"/>
                <w:lang w:val="en-US" w:eastAsia="zh-CN"/>
              </w:rPr>
              <w:t>表4-</w:t>
            </w:r>
            <w:r>
              <w:rPr>
                <w:rFonts w:hint="eastAsia"/>
                <w:lang w:val="en-US" w:eastAsia="zh-CN"/>
              </w:rPr>
              <w:t>9</w:t>
            </w:r>
            <w:r>
              <w:rPr>
                <w:rFonts w:hint="default"/>
                <w:lang w:val="en-US" w:eastAsia="zh-CN"/>
              </w:rPr>
              <w:t xml:space="preserve">    厂界噪声预测结果与达标分析表</w:t>
            </w:r>
            <w:r>
              <w:rPr>
                <w:rFonts w:hint="eastAsia"/>
                <w:lang w:val="en-US" w:eastAsia="zh-CN"/>
              </w:rPr>
              <w:t xml:space="preserve">   （dB(A)）</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01"/>
              <w:gridCol w:w="713"/>
              <w:gridCol w:w="752"/>
              <w:gridCol w:w="725"/>
              <w:gridCol w:w="1012"/>
              <w:gridCol w:w="849"/>
              <w:gridCol w:w="988"/>
              <w:gridCol w:w="780"/>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449" w:type="pct"/>
                  <w:vMerge w:val="restart"/>
                  <w:noWrap w:val="0"/>
                  <w:vAlign w:val="center"/>
                </w:tcPr>
                <w:p>
                  <w:pPr>
                    <w:pStyle w:val="34"/>
                    <w:bidi w:val="0"/>
                    <w:rPr>
                      <w:rFonts w:hint="default"/>
                      <w:lang w:val="en-US" w:eastAsia="zh-CN"/>
                    </w:rPr>
                  </w:pPr>
                  <w:r>
                    <w:rPr>
                      <w:rFonts w:hint="default"/>
                      <w:lang w:val="en-US" w:eastAsia="zh-CN"/>
                    </w:rPr>
                    <w:t>预测方位</w:t>
                  </w:r>
                </w:p>
              </w:tc>
              <w:tc>
                <w:tcPr>
                  <w:tcW w:w="1350" w:type="pct"/>
                  <w:gridSpan w:val="3"/>
                  <w:noWrap w:val="0"/>
                  <w:vAlign w:val="center"/>
                </w:tcPr>
                <w:p>
                  <w:pPr>
                    <w:pStyle w:val="34"/>
                    <w:bidi w:val="0"/>
                    <w:rPr>
                      <w:rFonts w:hint="default"/>
                      <w:lang w:val="en-US" w:eastAsia="zh-CN"/>
                    </w:rPr>
                  </w:pPr>
                  <w:r>
                    <w:rPr>
                      <w:rFonts w:hint="default"/>
                      <w:lang w:val="en-US" w:eastAsia="zh-CN"/>
                    </w:rPr>
                    <w:t>最大值点空间相对位置/m</w:t>
                  </w:r>
                </w:p>
              </w:tc>
              <w:tc>
                <w:tcPr>
                  <w:tcW w:w="432" w:type="pct"/>
                  <w:vMerge w:val="restart"/>
                  <w:noWrap w:val="0"/>
                  <w:vAlign w:val="center"/>
                </w:tcPr>
                <w:p>
                  <w:pPr>
                    <w:pStyle w:val="34"/>
                    <w:bidi w:val="0"/>
                    <w:rPr>
                      <w:rFonts w:hint="default"/>
                      <w:lang w:val="en-US" w:eastAsia="zh-CN"/>
                    </w:rPr>
                  </w:pPr>
                  <w:r>
                    <w:rPr>
                      <w:rFonts w:hint="default"/>
                      <w:lang w:val="en-US" w:eastAsia="zh-CN"/>
                    </w:rPr>
                    <w:t>时段</w:t>
                  </w:r>
                </w:p>
              </w:tc>
              <w:tc>
                <w:tcPr>
                  <w:tcW w:w="603" w:type="pct"/>
                  <w:vMerge w:val="restart"/>
                  <w:noWrap w:val="0"/>
                  <w:vAlign w:val="center"/>
                </w:tcPr>
                <w:p>
                  <w:pPr>
                    <w:pStyle w:val="34"/>
                    <w:bidi w:val="0"/>
                    <w:rPr>
                      <w:rFonts w:hint="default"/>
                      <w:lang w:val="en-US" w:eastAsia="zh-CN"/>
                    </w:rPr>
                  </w:pPr>
                  <w:r>
                    <w:rPr>
                      <w:rFonts w:hint="default"/>
                      <w:lang w:val="en-US" w:eastAsia="zh-CN"/>
                    </w:rPr>
                    <w:t>贡献值</w:t>
                  </w:r>
                </w:p>
              </w:tc>
              <w:tc>
                <w:tcPr>
                  <w:tcW w:w="506" w:type="pct"/>
                  <w:vMerge w:val="restart"/>
                  <w:noWrap w:val="0"/>
                  <w:vAlign w:val="center"/>
                </w:tcPr>
                <w:p>
                  <w:pPr>
                    <w:pStyle w:val="34"/>
                    <w:bidi w:val="0"/>
                    <w:rPr>
                      <w:rFonts w:hint="default"/>
                      <w:lang w:val="en-US" w:eastAsia="zh-CN"/>
                    </w:rPr>
                  </w:pPr>
                  <w:r>
                    <w:rPr>
                      <w:rFonts w:hint="eastAsia"/>
                      <w:lang w:val="en-US" w:eastAsia="zh-CN"/>
                    </w:rPr>
                    <w:t>现状值</w:t>
                  </w:r>
                </w:p>
              </w:tc>
              <w:tc>
                <w:tcPr>
                  <w:tcW w:w="589" w:type="pct"/>
                  <w:vMerge w:val="restart"/>
                  <w:noWrap w:val="0"/>
                  <w:vAlign w:val="center"/>
                </w:tcPr>
                <w:p>
                  <w:pPr>
                    <w:pStyle w:val="34"/>
                    <w:bidi w:val="0"/>
                    <w:rPr>
                      <w:rFonts w:hint="default"/>
                      <w:lang w:val="en-US" w:eastAsia="zh-CN"/>
                    </w:rPr>
                  </w:pPr>
                  <w:r>
                    <w:rPr>
                      <w:rFonts w:hint="eastAsia"/>
                      <w:lang w:val="en-US" w:eastAsia="zh-CN"/>
                    </w:rPr>
                    <w:t>叠加值</w:t>
                  </w:r>
                </w:p>
              </w:tc>
              <w:tc>
                <w:tcPr>
                  <w:tcW w:w="465" w:type="pct"/>
                  <w:vMerge w:val="restart"/>
                  <w:noWrap w:val="0"/>
                  <w:vAlign w:val="center"/>
                </w:tcPr>
                <w:p>
                  <w:pPr>
                    <w:pStyle w:val="34"/>
                    <w:bidi w:val="0"/>
                    <w:rPr>
                      <w:rFonts w:hint="default"/>
                      <w:lang w:val="en-US" w:eastAsia="zh-CN"/>
                    </w:rPr>
                  </w:pPr>
                  <w:r>
                    <w:rPr>
                      <w:rFonts w:hint="default"/>
                      <w:lang w:val="en-US" w:eastAsia="zh-CN"/>
                    </w:rPr>
                    <w:t>标准限值</w:t>
                  </w:r>
                </w:p>
              </w:tc>
              <w:tc>
                <w:tcPr>
                  <w:tcW w:w="601" w:type="pct"/>
                  <w:vMerge w:val="restart"/>
                  <w:noWrap w:val="0"/>
                  <w:vAlign w:val="center"/>
                </w:tcPr>
                <w:p>
                  <w:pPr>
                    <w:pStyle w:val="34"/>
                    <w:bidi w:val="0"/>
                    <w:rPr>
                      <w:rFonts w:hint="default"/>
                      <w:lang w:val="en-US" w:eastAsia="zh-CN"/>
                    </w:rPr>
                  </w:pPr>
                  <w:r>
                    <w:rPr>
                      <w:rFonts w:hint="default"/>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49" w:type="pct"/>
                  <w:vMerge w:val="continue"/>
                  <w:noWrap w:val="0"/>
                  <w:vAlign w:val="center"/>
                </w:tcPr>
                <w:p>
                  <w:pPr>
                    <w:pStyle w:val="34"/>
                    <w:bidi w:val="0"/>
                    <w:rPr>
                      <w:rFonts w:hint="default"/>
                      <w:lang w:val="en-US" w:eastAsia="zh-CN"/>
                    </w:rPr>
                  </w:pPr>
                </w:p>
              </w:tc>
              <w:tc>
                <w:tcPr>
                  <w:tcW w:w="477" w:type="pct"/>
                  <w:noWrap w:val="0"/>
                  <w:vAlign w:val="center"/>
                </w:tcPr>
                <w:p>
                  <w:pPr>
                    <w:pStyle w:val="34"/>
                    <w:bidi w:val="0"/>
                    <w:rPr>
                      <w:rFonts w:hint="default"/>
                      <w:lang w:val="en-US" w:eastAsia="zh-CN"/>
                    </w:rPr>
                  </w:pPr>
                  <w:r>
                    <w:rPr>
                      <w:rFonts w:hint="default"/>
                      <w:lang w:val="en-US" w:eastAsia="zh-CN"/>
                    </w:rPr>
                    <w:t>X</w:t>
                  </w:r>
                </w:p>
              </w:tc>
              <w:tc>
                <w:tcPr>
                  <w:tcW w:w="425" w:type="pct"/>
                  <w:noWrap w:val="0"/>
                  <w:vAlign w:val="center"/>
                </w:tcPr>
                <w:p>
                  <w:pPr>
                    <w:pStyle w:val="34"/>
                    <w:bidi w:val="0"/>
                    <w:rPr>
                      <w:rFonts w:hint="default"/>
                      <w:lang w:val="en-US" w:eastAsia="zh-CN"/>
                    </w:rPr>
                  </w:pPr>
                  <w:r>
                    <w:rPr>
                      <w:rFonts w:hint="default"/>
                      <w:lang w:val="en-US" w:eastAsia="zh-CN"/>
                    </w:rPr>
                    <w:t>Y</w:t>
                  </w:r>
                </w:p>
              </w:tc>
              <w:tc>
                <w:tcPr>
                  <w:tcW w:w="448" w:type="pct"/>
                  <w:noWrap w:val="0"/>
                  <w:vAlign w:val="center"/>
                </w:tcPr>
                <w:p>
                  <w:pPr>
                    <w:pStyle w:val="34"/>
                    <w:bidi w:val="0"/>
                    <w:rPr>
                      <w:rFonts w:hint="default"/>
                      <w:lang w:val="en-US" w:eastAsia="zh-CN"/>
                    </w:rPr>
                  </w:pPr>
                  <w:r>
                    <w:rPr>
                      <w:rFonts w:hint="default"/>
                      <w:lang w:val="en-US" w:eastAsia="zh-CN"/>
                    </w:rPr>
                    <w:t>Z</w:t>
                  </w:r>
                </w:p>
              </w:tc>
              <w:tc>
                <w:tcPr>
                  <w:tcW w:w="432" w:type="pct"/>
                  <w:vMerge w:val="continue"/>
                  <w:noWrap w:val="0"/>
                  <w:vAlign w:val="center"/>
                </w:tcPr>
                <w:p>
                  <w:pPr>
                    <w:pStyle w:val="34"/>
                    <w:bidi w:val="0"/>
                    <w:rPr>
                      <w:rFonts w:hint="default"/>
                      <w:lang w:val="en-US" w:eastAsia="zh-CN"/>
                    </w:rPr>
                  </w:pPr>
                </w:p>
              </w:tc>
              <w:tc>
                <w:tcPr>
                  <w:tcW w:w="603" w:type="pct"/>
                  <w:vMerge w:val="continue"/>
                  <w:noWrap w:val="0"/>
                  <w:vAlign w:val="center"/>
                </w:tcPr>
                <w:p>
                  <w:pPr>
                    <w:pStyle w:val="34"/>
                    <w:bidi w:val="0"/>
                    <w:rPr>
                      <w:rFonts w:hint="default"/>
                      <w:lang w:val="en-US" w:eastAsia="zh-CN"/>
                    </w:rPr>
                  </w:pPr>
                </w:p>
              </w:tc>
              <w:tc>
                <w:tcPr>
                  <w:tcW w:w="506" w:type="pct"/>
                  <w:vMerge w:val="continue"/>
                  <w:noWrap w:val="0"/>
                  <w:vAlign w:val="center"/>
                </w:tcPr>
                <w:p>
                  <w:pPr>
                    <w:pStyle w:val="34"/>
                    <w:bidi w:val="0"/>
                    <w:rPr>
                      <w:rFonts w:hint="default"/>
                      <w:lang w:val="en-US" w:eastAsia="zh-CN"/>
                    </w:rPr>
                  </w:pPr>
                </w:p>
              </w:tc>
              <w:tc>
                <w:tcPr>
                  <w:tcW w:w="589" w:type="pct"/>
                  <w:vMerge w:val="continue"/>
                  <w:noWrap w:val="0"/>
                  <w:vAlign w:val="center"/>
                </w:tcPr>
                <w:p>
                  <w:pPr>
                    <w:pStyle w:val="34"/>
                    <w:bidi w:val="0"/>
                    <w:rPr>
                      <w:rFonts w:hint="default"/>
                      <w:lang w:val="en-US" w:eastAsia="zh-CN"/>
                    </w:rPr>
                  </w:pPr>
                </w:p>
              </w:tc>
              <w:tc>
                <w:tcPr>
                  <w:tcW w:w="465" w:type="pct"/>
                  <w:vMerge w:val="continue"/>
                  <w:noWrap w:val="0"/>
                  <w:vAlign w:val="center"/>
                </w:tcPr>
                <w:p>
                  <w:pPr>
                    <w:pStyle w:val="34"/>
                    <w:bidi w:val="0"/>
                    <w:rPr>
                      <w:rFonts w:hint="default"/>
                      <w:lang w:val="en-US" w:eastAsia="zh-CN"/>
                    </w:rPr>
                  </w:pPr>
                </w:p>
              </w:tc>
              <w:tc>
                <w:tcPr>
                  <w:tcW w:w="601" w:type="pct"/>
                  <w:vMerge w:val="continue"/>
                  <w:noWrap w:val="0"/>
                  <w:vAlign w:val="center"/>
                </w:tcPr>
                <w:p>
                  <w:pPr>
                    <w:pStyle w:val="34"/>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449" w:type="pct"/>
                  <w:noWrap w:val="0"/>
                  <w:vAlign w:val="center"/>
                </w:tcPr>
                <w:p>
                  <w:pPr>
                    <w:pStyle w:val="34"/>
                    <w:bidi w:val="0"/>
                    <w:rPr>
                      <w:rFonts w:hint="default"/>
                      <w:lang w:val="en-US" w:eastAsia="zh-CN"/>
                    </w:rPr>
                  </w:pPr>
                  <w:r>
                    <w:rPr>
                      <w:rFonts w:hint="default"/>
                      <w:lang w:val="en-US" w:eastAsia="zh-CN"/>
                    </w:rPr>
                    <w:t>东侧</w:t>
                  </w:r>
                </w:p>
              </w:tc>
              <w:tc>
                <w:tcPr>
                  <w:tcW w:w="477" w:type="pct"/>
                  <w:noWrap w:val="0"/>
                  <w:vAlign w:val="center"/>
                </w:tcPr>
                <w:p>
                  <w:pPr>
                    <w:pStyle w:val="34"/>
                    <w:bidi w:val="0"/>
                    <w:rPr>
                      <w:rFonts w:hint="default"/>
                      <w:lang w:val="en-US" w:eastAsia="zh-CN"/>
                    </w:rPr>
                  </w:pPr>
                  <w:r>
                    <w:t>48.4</w:t>
                  </w:r>
                </w:p>
              </w:tc>
              <w:tc>
                <w:tcPr>
                  <w:tcW w:w="425" w:type="pct"/>
                  <w:noWrap w:val="0"/>
                  <w:vAlign w:val="center"/>
                </w:tcPr>
                <w:p>
                  <w:pPr>
                    <w:pStyle w:val="34"/>
                    <w:bidi w:val="0"/>
                    <w:rPr>
                      <w:rFonts w:hint="default"/>
                      <w:lang w:val="en-US" w:eastAsia="zh-CN"/>
                    </w:rPr>
                  </w:pPr>
                  <w:r>
                    <w:t>-34</w:t>
                  </w:r>
                </w:p>
              </w:tc>
              <w:tc>
                <w:tcPr>
                  <w:tcW w:w="448" w:type="pct"/>
                  <w:noWrap w:val="0"/>
                  <w:vAlign w:val="center"/>
                </w:tcPr>
                <w:p>
                  <w:pPr>
                    <w:pStyle w:val="34"/>
                    <w:bidi w:val="0"/>
                    <w:rPr>
                      <w:rFonts w:hint="default"/>
                      <w:lang w:val="en-US" w:eastAsia="zh-CN"/>
                    </w:rPr>
                  </w:pPr>
                  <w:r>
                    <w:t>1.2</w:t>
                  </w:r>
                </w:p>
              </w:tc>
              <w:tc>
                <w:tcPr>
                  <w:tcW w:w="432" w:type="pct"/>
                  <w:noWrap w:val="0"/>
                  <w:vAlign w:val="center"/>
                </w:tcPr>
                <w:p>
                  <w:pPr>
                    <w:pStyle w:val="34"/>
                    <w:bidi w:val="0"/>
                    <w:rPr>
                      <w:rFonts w:hint="default"/>
                      <w:lang w:val="en-US" w:eastAsia="zh-CN"/>
                    </w:rPr>
                  </w:pPr>
                  <w:r>
                    <w:rPr>
                      <w:rFonts w:hint="default"/>
                      <w:lang w:val="en-US" w:eastAsia="zh-CN"/>
                    </w:rPr>
                    <w:t>昼间</w:t>
                  </w:r>
                </w:p>
              </w:tc>
              <w:tc>
                <w:tcPr>
                  <w:tcW w:w="603" w:type="pct"/>
                  <w:noWrap w:val="0"/>
                  <w:vAlign w:val="center"/>
                </w:tcPr>
                <w:p>
                  <w:pPr>
                    <w:pStyle w:val="34"/>
                    <w:bidi w:val="0"/>
                    <w:rPr>
                      <w:rFonts w:hint="default"/>
                      <w:lang w:val="en-US" w:eastAsia="zh-CN"/>
                    </w:rPr>
                  </w:pPr>
                  <w:r>
                    <w:t>45</w:t>
                  </w:r>
                </w:p>
              </w:tc>
              <w:tc>
                <w:tcPr>
                  <w:tcW w:w="506" w:type="pct"/>
                  <w:noWrap w:val="0"/>
                  <w:vAlign w:val="center"/>
                </w:tcPr>
                <w:p>
                  <w:pPr>
                    <w:pStyle w:val="52"/>
                    <w:spacing w:line="240" w:lineRule="auto"/>
                    <w:ind w:firstLine="0" w:firstLineChars="0"/>
                  </w:pPr>
                  <w:r>
                    <w:rPr>
                      <w:rFonts w:hint="eastAsia"/>
                      <w:highlight w:val="none"/>
                      <w:lang w:val="en-US" w:eastAsia="zh-CN"/>
                    </w:rPr>
                    <w:t>44</w:t>
                  </w:r>
                </w:p>
              </w:tc>
              <w:tc>
                <w:tcPr>
                  <w:tcW w:w="589" w:type="pct"/>
                  <w:noWrap w:val="0"/>
                  <w:vAlign w:val="center"/>
                </w:tcPr>
                <w:p>
                  <w:pPr>
                    <w:pStyle w:val="52"/>
                    <w:bidi w:val="0"/>
                    <w:ind w:firstLine="0" w:firstLineChars="0"/>
                    <w:rPr>
                      <w:rFonts w:hint="default"/>
                      <w:lang w:val="en-US" w:eastAsia="zh-CN"/>
                    </w:rPr>
                  </w:pPr>
                  <w:r>
                    <w:rPr>
                      <w:rFonts w:hint="eastAsia"/>
                      <w:lang w:val="en-US" w:eastAsia="zh-CN"/>
                    </w:rPr>
                    <w:t>47.5</w:t>
                  </w:r>
                </w:p>
              </w:tc>
              <w:tc>
                <w:tcPr>
                  <w:tcW w:w="465" w:type="pct"/>
                  <w:noWrap w:val="0"/>
                  <w:vAlign w:val="center"/>
                </w:tcPr>
                <w:p>
                  <w:pPr>
                    <w:pStyle w:val="34"/>
                    <w:bidi w:val="0"/>
                  </w:pPr>
                  <w:r>
                    <w:t>65</w:t>
                  </w:r>
                </w:p>
              </w:tc>
              <w:tc>
                <w:tcPr>
                  <w:tcW w:w="601" w:type="pct"/>
                  <w:noWrap w:val="0"/>
                  <w:vAlign w:val="center"/>
                </w:tcPr>
                <w:p>
                  <w:pPr>
                    <w:pStyle w:val="34"/>
                    <w:bidi w:val="0"/>
                    <w:rPr>
                      <w:rFonts w:hint="default"/>
                      <w:lang w:val="en-US" w:eastAsia="zh-CN"/>
                    </w:rP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449" w:type="pct"/>
                  <w:noWrap w:val="0"/>
                  <w:vAlign w:val="center"/>
                </w:tcPr>
                <w:p>
                  <w:pPr>
                    <w:pStyle w:val="34"/>
                    <w:bidi w:val="0"/>
                    <w:rPr>
                      <w:rFonts w:hint="default"/>
                      <w:lang w:val="en-US" w:eastAsia="zh-CN"/>
                    </w:rPr>
                  </w:pPr>
                  <w:r>
                    <w:rPr>
                      <w:rFonts w:hint="default"/>
                      <w:lang w:val="en-US" w:eastAsia="zh-CN"/>
                    </w:rPr>
                    <w:t>南侧</w:t>
                  </w:r>
                </w:p>
              </w:tc>
              <w:tc>
                <w:tcPr>
                  <w:tcW w:w="477" w:type="pct"/>
                  <w:noWrap w:val="0"/>
                  <w:vAlign w:val="center"/>
                </w:tcPr>
                <w:p>
                  <w:pPr>
                    <w:pStyle w:val="34"/>
                    <w:bidi w:val="0"/>
                    <w:rPr>
                      <w:rFonts w:hint="default"/>
                      <w:lang w:val="en-US" w:eastAsia="zh-CN"/>
                    </w:rPr>
                  </w:pPr>
                  <w:r>
                    <w:t>-34.4</w:t>
                  </w:r>
                </w:p>
              </w:tc>
              <w:tc>
                <w:tcPr>
                  <w:tcW w:w="425" w:type="pct"/>
                  <w:noWrap w:val="0"/>
                  <w:vAlign w:val="center"/>
                </w:tcPr>
                <w:p>
                  <w:pPr>
                    <w:pStyle w:val="34"/>
                    <w:bidi w:val="0"/>
                    <w:rPr>
                      <w:rFonts w:hint="default"/>
                      <w:lang w:val="en-US" w:eastAsia="zh-CN"/>
                    </w:rPr>
                  </w:pPr>
                  <w:r>
                    <w:t>-20.1</w:t>
                  </w:r>
                </w:p>
              </w:tc>
              <w:tc>
                <w:tcPr>
                  <w:tcW w:w="448" w:type="pct"/>
                  <w:noWrap w:val="0"/>
                  <w:vAlign w:val="center"/>
                </w:tcPr>
                <w:p>
                  <w:pPr>
                    <w:pStyle w:val="34"/>
                    <w:bidi w:val="0"/>
                    <w:rPr>
                      <w:rFonts w:hint="default"/>
                      <w:lang w:val="en-US" w:eastAsia="zh-CN"/>
                    </w:rPr>
                  </w:pPr>
                  <w:r>
                    <w:t>1.2</w:t>
                  </w:r>
                </w:p>
              </w:tc>
              <w:tc>
                <w:tcPr>
                  <w:tcW w:w="432" w:type="pct"/>
                  <w:noWrap w:val="0"/>
                  <w:vAlign w:val="center"/>
                </w:tcPr>
                <w:p>
                  <w:pPr>
                    <w:pStyle w:val="34"/>
                    <w:bidi w:val="0"/>
                    <w:rPr>
                      <w:rFonts w:hint="default"/>
                      <w:lang w:val="en-US" w:eastAsia="zh-CN"/>
                    </w:rPr>
                  </w:pPr>
                  <w:r>
                    <w:rPr>
                      <w:rFonts w:hint="default"/>
                      <w:lang w:val="en-US" w:eastAsia="zh-CN"/>
                    </w:rPr>
                    <w:t>昼间</w:t>
                  </w:r>
                </w:p>
              </w:tc>
              <w:tc>
                <w:tcPr>
                  <w:tcW w:w="603" w:type="pct"/>
                  <w:noWrap w:val="0"/>
                  <w:vAlign w:val="center"/>
                </w:tcPr>
                <w:p>
                  <w:pPr>
                    <w:pStyle w:val="34"/>
                    <w:bidi w:val="0"/>
                    <w:rPr>
                      <w:rFonts w:hint="default"/>
                      <w:lang w:val="en-US" w:eastAsia="zh-CN"/>
                    </w:rPr>
                  </w:pPr>
                  <w:r>
                    <w:t>61.2</w:t>
                  </w:r>
                </w:p>
              </w:tc>
              <w:tc>
                <w:tcPr>
                  <w:tcW w:w="506" w:type="pct"/>
                  <w:noWrap w:val="0"/>
                  <w:vAlign w:val="center"/>
                </w:tcPr>
                <w:p>
                  <w:pPr>
                    <w:pStyle w:val="52"/>
                    <w:spacing w:line="240" w:lineRule="auto"/>
                    <w:ind w:firstLine="0" w:firstLineChars="0"/>
                  </w:pPr>
                  <w:r>
                    <w:rPr>
                      <w:rFonts w:hint="eastAsia"/>
                      <w:highlight w:val="none"/>
                      <w:lang w:val="en-US" w:eastAsia="zh-CN"/>
                    </w:rPr>
                    <w:t>33.4</w:t>
                  </w:r>
                </w:p>
              </w:tc>
              <w:tc>
                <w:tcPr>
                  <w:tcW w:w="589" w:type="pct"/>
                  <w:noWrap w:val="0"/>
                  <w:vAlign w:val="center"/>
                </w:tcPr>
                <w:p>
                  <w:pPr>
                    <w:pStyle w:val="52"/>
                    <w:bidi w:val="0"/>
                    <w:ind w:firstLine="0" w:firstLineChars="0"/>
                    <w:rPr>
                      <w:rFonts w:hint="default"/>
                      <w:lang w:val="en-US" w:eastAsia="zh-CN"/>
                    </w:rPr>
                  </w:pPr>
                  <w:r>
                    <w:rPr>
                      <w:rFonts w:hint="eastAsia"/>
                      <w:lang w:val="en-US" w:eastAsia="zh-CN"/>
                    </w:rPr>
                    <w:t>61.2</w:t>
                  </w:r>
                </w:p>
              </w:tc>
              <w:tc>
                <w:tcPr>
                  <w:tcW w:w="465" w:type="pct"/>
                  <w:noWrap w:val="0"/>
                  <w:vAlign w:val="center"/>
                </w:tcPr>
                <w:p>
                  <w:pPr>
                    <w:pStyle w:val="34"/>
                    <w:bidi w:val="0"/>
                  </w:pPr>
                  <w:r>
                    <w:t>65</w:t>
                  </w:r>
                </w:p>
              </w:tc>
              <w:tc>
                <w:tcPr>
                  <w:tcW w:w="601" w:type="pct"/>
                  <w:noWrap w:val="0"/>
                  <w:vAlign w:val="center"/>
                </w:tcPr>
                <w:p>
                  <w:pPr>
                    <w:pStyle w:val="34"/>
                    <w:bidi w:val="0"/>
                    <w:rPr>
                      <w:rFonts w:hint="default"/>
                      <w:lang w:val="en-US" w:eastAsia="zh-CN"/>
                    </w:rP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449" w:type="pct"/>
                  <w:noWrap w:val="0"/>
                  <w:vAlign w:val="center"/>
                </w:tcPr>
                <w:p>
                  <w:pPr>
                    <w:pStyle w:val="34"/>
                    <w:bidi w:val="0"/>
                    <w:rPr>
                      <w:rFonts w:hint="default"/>
                      <w:lang w:val="en-US" w:eastAsia="zh-CN"/>
                    </w:rPr>
                  </w:pPr>
                  <w:r>
                    <w:rPr>
                      <w:rFonts w:hint="default"/>
                      <w:lang w:val="en-US" w:eastAsia="zh-CN"/>
                    </w:rPr>
                    <w:t>西侧</w:t>
                  </w:r>
                </w:p>
              </w:tc>
              <w:tc>
                <w:tcPr>
                  <w:tcW w:w="477" w:type="pct"/>
                  <w:noWrap w:val="0"/>
                  <w:vAlign w:val="center"/>
                </w:tcPr>
                <w:p>
                  <w:pPr>
                    <w:pStyle w:val="34"/>
                    <w:bidi w:val="0"/>
                    <w:rPr>
                      <w:rFonts w:hint="default"/>
                      <w:lang w:val="en-US" w:eastAsia="zh-CN"/>
                    </w:rPr>
                  </w:pPr>
                  <w:r>
                    <w:t>-106.7</w:t>
                  </w:r>
                </w:p>
              </w:tc>
              <w:tc>
                <w:tcPr>
                  <w:tcW w:w="425" w:type="pct"/>
                  <w:noWrap w:val="0"/>
                  <w:vAlign w:val="center"/>
                </w:tcPr>
                <w:p>
                  <w:pPr>
                    <w:pStyle w:val="34"/>
                    <w:bidi w:val="0"/>
                    <w:rPr>
                      <w:rFonts w:hint="default"/>
                      <w:lang w:val="en-US" w:eastAsia="zh-CN"/>
                    </w:rPr>
                  </w:pPr>
                  <w:r>
                    <w:t>-7.9</w:t>
                  </w:r>
                </w:p>
              </w:tc>
              <w:tc>
                <w:tcPr>
                  <w:tcW w:w="448" w:type="pct"/>
                  <w:noWrap w:val="0"/>
                  <w:vAlign w:val="center"/>
                </w:tcPr>
                <w:p>
                  <w:pPr>
                    <w:pStyle w:val="34"/>
                    <w:bidi w:val="0"/>
                    <w:rPr>
                      <w:rFonts w:hint="default"/>
                      <w:lang w:val="en-US" w:eastAsia="zh-CN"/>
                    </w:rPr>
                  </w:pPr>
                  <w:r>
                    <w:t>1.2</w:t>
                  </w:r>
                </w:p>
              </w:tc>
              <w:tc>
                <w:tcPr>
                  <w:tcW w:w="432" w:type="pct"/>
                  <w:noWrap w:val="0"/>
                  <w:vAlign w:val="center"/>
                </w:tcPr>
                <w:p>
                  <w:pPr>
                    <w:pStyle w:val="34"/>
                    <w:bidi w:val="0"/>
                    <w:rPr>
                      <w:rFonts w:hint="default"/>
                      <w:lang w:val="en-US" w:eastAsia="zh-CN"/>
                    </w:rPr>
                  </w:pPr>
                  <w:r>
                    <w:rPr>
                      <w:rFonts w:hint="default"/>
                      <w:lang w:val="en-US" w:eastAsia="zh-CN"/>
                    </w:rPr>
                    <w:t>昼间</w:t>
                  </w:r>
                </w:p>
              </w:tc>
              <w:tc>
                <w:tcPr>
                  <w:tcW w:w="603" w:type="pct"/>
                  <w:noWrap w:val="0"/>
                  <w:vAlign w:val="center"/>
                </w:tcPr>
                <w:p>
                  <w:pPr>
                    <w:pStyle w:val="34"/>
                    <w:bidi w:val="0"/>
                    <w:rPr>
                      <w:rFonts w:hint="default"/>
                      <w:lang w:val="en-US" w:eastAsia="zh-CN"/>
                    </w:rPr>
                  </w:pPr>
                  <w:r>
                    <w:t>36.5</w:t>
                  </w:r>
                </w:p>
              </w:tc>
              <w:tc>
                <w:tcPr>
                  <w:tcW w:w="506" w:type="pct"/>
                  <w:noWrap w:val="0"/>
                  <w:vAlign w:val="center"/>
                </w:tcPr>
                <w:p>
                  <w:pPr>
                    <w:pStyle w:val="52"/>
                    <w:spacing w:line="240" w:lineRule="auto"/>
                    <w:ind w:firstLine="0" w:firstLineChars="0"/>
                  </w:pPr>
                  <w:r>
                    <w:rPr>
                      <w:rFonts w:hint="eastAsia"/>
                      <w:highlight w:val="none"/>
                      <w:lang w:val="en-US" w:eastAsia="zh-CN"/>
                    </w:rPr>
                    <w:t>38.6</w:t>
                  </w:r>
                </w:p>
              </w:tc>
              <w:tc>
                <w:tcPr>
                  <w:tcW w:w="589" w:type="pct"/>
                  <w:noWrap w:val="0"/>
                  <w:vAlign w:val="center"/>
                </w:tcPr>
                <w:p>
                  <w:pPr>
                    <w:pStyle w:val="52"/>
                    <w:bidi w:val="0"/>
                    <w:ind w:firstLine="0" w:firstLineChars="0"/>
                    <w:rPr>
                      <w:rFonts w:hint="default"/>
                      <w:lang w:val="en-US" w:eastAsia="zh-CN"/>
                    </w:rPr>
                  </w:pPr>
                  <w:r>
                    <w:rPr>
                      <w:rFonts w:hint="eastAsia"/>
                      <w:lang w:val="en-US" w:eastAsia="zh-CN"/>
                    </w:rPr>
                    <w:t>40.7</w:t>
                  </w:r>
                </w:p>
              </w:tc>
              <w:tc>
                <w:tcPr>
                  <w:tcW w:w="465" w:type="pct"/>
                  <w:noWrap w:val="0"/>
                  <w:vAlign w:val="center"/>
                </w:tcPr>
                <w:p>
                  <w:pPr>
                    <w:pStyle w:val="34"/>
                    <w:bidi w:val="0"/>
                  </w:pPr>
                  <w:r>
                    <w:t>65</w:t>
                  </w:r>
                </w:p>
              </w:tc>
              <w:tc>
                <w:tcPr>
                  <w:tcW w:w="601" w:type="pct"/>
                  <w:noWrap w:val="0"/>
                  <w:vAlign w:val="center"/>
                </w:tcPr>
                <w:p>
                  <w:pPr>
                    <w:pStyle w:val="34"/>
                    <w:bidi w:val="0"/>
                    <w:rPr>
                      <w:rFonts w:hint="default"/>
                      <w:lang w:val="en-US" w:eastAsia="zh-CN"/>
                    </w:rPr>
                  </w:pPr>
                  <w: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449" w:type="pct"/>
                  <w:noWrap w:val="0"/>
                  <w:vAlign w:val="center"/>
                </w:tcPr>
                <w:p>
                  <w:pPr>
                    <w:pStyle w:val="34"/>
                    <w:bidi w:val="0"/>
                    <w:rPr>
                      <w:rFonts w:hint="default"/>
                      <w:lang w:val="en-US" w:eastAsia="zh-CN"/>
                    </w:rPr>
                  </w:pPr>
                  <w:r>
                    <w:rPr>
                      <w:rFonts w:hint="default"/>
                      <w:lang w:val="en-US" w:eastAsia="zh-CN"/>
                    </w:rPr>
                    <w:t>北侧</w:t>
                  </w:r>
                </w:p>
              </w:tc>
              <w:tc>
                <w:tcPr>
                  <w:tcW w:w="477" w:type="pct"/>
                  <w:noWrap w:val="0"/>
                  <w:vAlign w:val="center"/>
                </w:tcPr>
                <w:p>
                  <w:pPr>
                    <w:pStyle w:val="34"/>
                    <w:bidi w:val="0"/>
                    <w:rPr>
                      <w:rFonts w:hint="default"/>
                      <w:lang w:val="en-US" w:eastAsia="zh-CN"/>
                    </w:rPr>
                  </w:pPr>
                  <w:r>
                    <w:t>14.2</w:t>
                  </w:r>
                </w:p>
              </w:tc>
              <w:tc>
                <w:tcPr>
                  <w:tcW w:w="425" w:type="pct"/>
                  <w:noWrap w:val="0"/>
                  <w:vAlign w:val="center"/>
                </w:tcPr>
                <w:p>
                  <w:pPr>
                    <w:pStyle w:val="34"/>
                    <w:bidi w:val="0"/>
                    <w:rPr>
                      <w:rFonts w:hint="default"/>
                      <w:lang w:val="en-US" w:eastAsia="zh-CN"/>
                    </w:rPr>
                  </w:pPr>
                  <w:r>
                    <w:t>73.6</w:t>
                  </w:r>
                </w:p>
              </w:tc>
              <w:tc>
                <w:tcPr>
                  <w:tcW w:w="448" w:type="pct"/>
                  <w:noWrap w:val="0"/>
                  <w:vAlign w:val="center"/>
                </w:tcPr>
                <w:p>
                  <w:pPr>
                    <w:pStyle w:val="34"/>
                    <w:bidi w:val="0"/>
                    <w:rPr>
                      <w:rFonts w:hint="default"/>
                      <w:lang w:val="en-US" w:eastAsia="zh-CN"/>
                    </w:rPr>
                  </w:pPr>
                  <w:r>
                    <w:t>1.2</w:t>
                  </w:r>
                </w:p>
              </w:tc>
              <w:tc>
                <w:tcPr>
                  <w:tcW w:w="432" w:type="pct"/>
                  <w:noWrap w:val="0"/>
                  <w:vAlign w:val="center"/>
                </w:tcPr>
                <w:p>
                  <w:pPr>
                    <w:pStyle w:val="34"/>
                    <w:bidi w:val="0"/>
                    <w:rPr>
                      <w:rFonts w:hint="default"/>
                      <w:lang w:val="en-US" w:eastAsia="zh-CN"/>
                    </w:rPr>
                  </w:pPr>
                  <w:r>
                    <w:rPr>
                      <w:rFonts w:hint="default"/>
                      <w:lang w:val="en-US" w:eastAsia="zh-CN"/>
                    </w:rPr>
                    <w:t>昼间</w:t>
                  </w:r>
                </w:p>
              </w:tc>
              <w:tc>
                <w:tcPr>
                  <w:tcW w:w="603" w:type="pct"/>
                  <w:noWrap w:val="0"/>
                  <w:vAlign w:val="center"/>
                </w:tcPr>
                <w:p>
                  <w:pPr>
                    <w:pStyle w:val="34"/>
                    <w:bidi w:val="0"/>
                    <w:rPr>
                      <w:rFonts w:hint="default"/>
                      <w:lang w:val="en-US" w:eastAsia="zh-CN"/>
                    </w:rPr>
                  </w:pPr>
                  <w:r>
                    <w:t>43.3</w:t>
                  </w:r>
                </w:p>
              </w:tc>
              <w:tc>
                <w:tcPr>
                  <w:tcW w:w="506" w:type="pct"/>
                  <w:noWrap w:val="0"/>
                  <w:vAlign w:val="center"/>
                </w:tcPr>
                <w:p>
                  <w:pPr>
                    <w:pStyle w:val="52"/>
                    <w:spacing w:line="240" w:lineRule="auto"/>
                    <w:ind w:firstLine="0" w:firstLineChars="0"/>
                  </w:pPr>
                  <w:r>
                    <w:rPr>
                      <w:rFonts w:hint="eastAsia"/>
                      <w:highlight w:val="none"/>
                      <w:lang w:val="en-US" w:eastAsia="zh-CN"/>
                    </w:rPr>
                    <w:t>53.1</w:t>
                  </w:r>
                </w:p>
              </w:tc>
              <w:tc>
                <w:tcPr>
                  <w:tcW w:w="589" w:type="pct"/>
                  <w:noWrap w:val="0"/>
                  <w:vAlign w:val="center"/>
                </w:tcPr>
                <w:p>
                  <w:pPr>
                    <w:pStyle w:val="52"/>
                    <w:bidi w:val="0"/>
                    <w:ind w:firstLine="0" w:firstLineChars="0"/>
                    <w:rPr>
                      <w:rFonts w:hint="default"/>
                      <w:lang w:val="en-US" w:eastAsia="zh-CN"/>
                    </w:rPr>
                  </w:pPr>
                  <w:r>
                    <w:rPr>
                      <w:rFonts w:hint="eastAsia"/>
                      <w:lang w:val="en-US" w:eastAsia="zh-CN"/>
                    </w:rPr>
                    <w:t>53.5</w:t>
                  </w:r>
                </w:p>
              </w:tc>
              <w:tc>
                <w:tcPr>
                  <w:tcW w:w="465" w:type="pct"/>
                  <w:noWrap w:val="0"/>
                  <w:vAlign w:val="center"/>
                </w:tcPr>
                <w:p>
                  <w:pPr>
                    <w:pStyle w:val="34"/>
                    <w:bidi w:val="0"/>
                  </w:pPr>
                  <w:r>
                    <w:t>65</w:t>
                  </w:r>
                </w:p>
              </w:tc>
              <w:tc>
                <w:tcPr>
                  <w:tcW w:w="601" w:type="pct"/>
                  <w:noWrap w:val="0"/>
                  <w:vAlign w:val="center"/>
                </w:tcPr>
                <w:p>
                  <w:pPr>
                    <w:pStyle w:val="34"/>
                    <w:bidi w:val="0"/>
                    <w:rPr>
                      <w:rFonts w:hint="default"/>
                      <w:lang w:val="en-US" w:eastAsia="zh-CN"/>
                    </w:rPr>
                  </w:pPr>
                  <w:r>
                    <w:t>达标</w:t>
                  </w:r>
                </w:p>
              </w:tc>
            </w:tr>
          </w:tbl>
          <w:p>
            <w:pPr>
              <w:pStyle w:val="8"/>
              <w:bidi w:val="0"/>
              <w:rPr>
                <w:rFonts w:hint="default"/>
                <w:lang w:val="en-US" w:eastAsia="zh-CN"/>
              </w:rPr>
            </w:pPr>
            <w:r>
              <w:rPr>
                <w:rFonts w:hint="default"/>
                <w:lang w:val="en-US" w:eastAsia="zh-CN"/>
              </w:rPr>
              <w:t>由上表可知，正常工况下，项目厂界噪声满足《工业企业厂界环境噪声排放标准》</w:t>
            </w:r>
            <w:bookmarkStart w:id="6" w:name="PO_3"/>
            <w:r>
              <w:rPr>
                <w:rFonts w:hint="eastAsia"/>
                <w:lang w:val="en-US" w:eastAsia="zh-CN"/>
              </w:rPr>
              <w:t>（</w:t>
            </w:r>
            <w:r>
              <w:rPr>
                <w:rFonts w:hint="default"/>
                <w:lang w:val="en-US" w:eastAsia="zh-CN"/>
              </w:rPr>
              <w:t>GB12348.2008</w:t>
            </w:r>
            <w:r>
              <w:rPr>
                <w:rFonts w:hint="eastAsia"/>
                <w:lang w:val="en-US" w:eastAsia="zh-CN"/>
              </w:rPr>
              <w:t>）</w:t>
            </w:r>
            <w:r>
              <w:rPr>
                <w:rFonts w:hint="default"/>
                <w:lang w:val="en-US" w:eastAsia="zh-CN"/>
              </w:rPr>
              <w:t>3</w:t>
            </w:r>
            <w:bookmarkEnd w:id="6"/>
            <w:r>
              <w:rPr>
                <w:rFonts w:hint="default"/>
                <w:lang w:val="en-US" w:eastAsia="zh-CN"/>
              </w:rPr>
              <w:t>类标准（夜间不生产）。</w:t>
            </w:r>
          </w:p>
          <w:p>
            <w:pPr>
              <w:pStyle w:val="8"/>
              <w:bidi w:val="0"/>
              <w:rPr>
                <w:rFonts w:hint="default"/>
                <w:lang w:val="en-US" w:eastAsia="zh-CN"/>
              </w:rPr>
            </w:pPr>
            <w:r>
              <w:rPr>
                <w:rFonts w:hint="default"/>
                <w:lang w:val="en-US" w:eastAsia="zh-CN"/>
              </w:rPr>
              <w:t>本项目周边无环境敏感目标，因此本项目运营期噪声影响主要表现为对厂区员工的影响。</w:t>
            </w:r>
          </w:p>
          <w:p>
            <w:pPr>
              <w:pStyle w:val="8"/>
              <w:bidi w:val="0"/>
              <w:rPr>
                <w:rFonts w:hint="default"/>
                <w:lang w:val="en-US" w:eastAsia="zh-CN"/>
              </w:rPr>
            </w:pPr>
            <w:r>
              <w:rPr>
                <w:rFonts w:hint="default"/>
                <w:lang w:val="en-US" w:eastAsia="zh-CN"/>
              </w:rPr>
              <w:t>本环评要求采取以下措施：</w:t>
            </w:r>
          </w:p>
          <w:p>
            <w:pPr>
              <w:pStyle w:val="8"/>
              <w:bidi w:val="0"/>
              <w:rPr>
                <w:rFonts w:hint="default"/>
                <w:lang w:val="en-US" w:eastAsia="zh-CN"/>
              </w:rPr>
            </w:pPr>
            <w:r>
              <w:rPr>
                <w:rFonts w:hint="default"/>
                <w:lang w:val="en-US" w:eastAsia="zh-CN"/>
              </w:rPr>
              <w:t>（1）在设备的选型中要注意选用低噪声的设备，以降低声源噪声。</w:t>
            </w:r>
          </w:p>
          <w:p>
            <w:pPr>
              <w:pStyle w:val="8"/>
              <w:bidi w:val="0"/>
              <w:rPr>
                <w:rFonts w:hint="default"/>
                <w:lang w:val="en-US" w:eastAsia="zh-CN"/>
              </w:rPr>
            </w:pPr>
            <w:r>
              <w:rPr>
                <w:rFonts w:hint="default"/>
                <w:lang w:val="en-US" w:eastAsia="zh-CN"/>
              </w:rPr>
              <w:t>（2）在总图布局上根据工艺流程要求，尽可能将高噪设备集中，还应根据高噪声设备所在位置，充分利用噪声的指向性，利用建筑物的阻隔效应，科学布置以保证厂界噪声达标。</w:t>
            </w:r>
          </w:p>
          <w:p>
            <w:pPr>
              <w:pStyle w:val="8"/>
              <w:bidi w:val="0"/>
              <w:rPr>
                <w:rFonts w:hint="default"/>
                <w:lang w:val="en-US" w:eastAsia="zh-CN"/>
              </w:rPr>
            </w:pPr>
            <w:r>
              <w:rPr>
                <w:rFonts w:hint="default"/>
                <w:lang w:val="en-US" w:eastAsia="zh-CN"/>
              </w:rPr>
              <w:t>（3）对高噪声设备采用基础减振、消声器、隔声罩等措施，以降低噪声。</w:t>
            </w:r>
          </w:p>
          <w:p>
            <w:pPr>
              <w:pStyle w:val="8"/>
              <w:bidi w:val="0"/>
              <w:rPr>
                <w:rFonts w:hint="default"/>
                <w:lang w:val="en-US" w:eastAsia="zh-CN"/>
              </w:rPr>
            </w:pPr>
            <w:r>
              <w:rPr>
                <w:rFonts w:hint="default"/>
                <w:lang w:val="en-US" w:eastAsia="zh-CN"/>
              </w:rPr>
              <w:t>（4）加强管理，经常对产噪设备的性能进行检查，保持设备平衡，以减少</w:t>
            </w:r>
            <w:r>
              <w:rPr>
                <w:rFonts w:hint="eastAsia"/>
                <w:lang w:val="en-US" w:eastAsia="zh-CN"/>
              </w:rPr>
              <w:t>振动</w:t>
            </w:r>
            <w:r>
              <w:rPr>
                <w:rFonts w:hint="default"/>
                <w:lang w:val="en-US" w:eastAsia="zh-CN"/>
              </w:rPr>
              <w:t>的产生，平时要对防噪设施经常维护，确保其发挥正常功能。</w:t>
            </w:r>
          </w:p>
          <w:p>
            <w:pPr>
              <w:pStyle w:val="3"/>
              <w:bidi w:val="0"/>
              <w:rPr>
                <w:rFonts w:hint="eastAsia"/>
                <w:lang w:val="en-US" w:eastAsia="zh-CN"/>
              </w:rPr>
            </w:pPr>
            <w:r>
              <w:rPr>
                <w:rFonts w:hint="eastAsia"/>
                <w:lang w:val="en-US" w:eastAsia="zh-CN"/>
              </w:rPr>
              <w:t>3.4监测要求</w:t>
            </w:r>
          </w:p>
          <w:p>
            <w:pPr>
              <w:pStyle w:val="8"/>
              <w:bidi w:val="0"/>
              <w:rPr>
                <w:rFonts w:hint="default"/>
                <w:lang w:val="en-US" w:eastAsia="zh-CN"/>
              </w:rPr>
            </w:pPr>
            <w:r>
              <w:rPr>
                <w:rFonts w:hint="default"/>
                <w:lang w:val="en-US" w:eastAsia="zh-CN"/>
              </w:rPr>
              <w:t>参照《排污单位自行监测技术指南 总则》（HJ819-2017）的相关要求，本项目噪声监测计划详见下表。</w:t>
            </w:r>
          </w:p>
          <w:p>
            <w:pPr>
              <w:pStyle w:val="36"/>
              <w:bidi w:val="0"/>
              <w:rPr>
                <w:rFonts w:hint="default"/>
                <w:lang w:val="en-US" w:eastAsia="zh-CN"/>
              </w:rPr>
            </w:pPr>
            <w:r>
              <w:rPr>
                <w:rFonts w:hint="default"/>
                <w:lang w:val="en-US" w:eastAsia="zh-CN"/>
              </w:rPr>
              <w:t>表</w:t>
            </w:r>
            <w:r>
              <w:rPr>
                <w:rFonts w:hint="eastAsia"/>
                <w:highlight w:val="none"/>
                <w:lang w:val="en-US" w:eastAsia="zh-CN"/>
              </w:rPr>
              <w:t>4-10</w:t>
            </w:r>
            <w:r>
              <w:rPr>
                <w:rFonts w:hint="default"/>
                <w:highlight w:val="none"/>
                <w:lang w:val="en-US" w:eastAsia="zh-CN"/>
              </w:rPr>
              <w:t xml:space="preserve"> </w:t>
            </w:r>
            <w:r>
              <w:rPr>
                <w:rFonts w:hint="default"/>
                <w:lang w:val="en-US" w:eastAsia="zh-CN"/>
              </w:rPr>
              <w:t xml:space="preserve">   噪声环境监测计划</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664"/>
              <w:gridCol w:w="1375"/>
              <w:gridCol w:w="1573"/>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 w:type="pct"/>
                  <w:shd w:val="clear" w:color="auto" w:fill="auto"/>
                  <w:noWrap w:val="0"/>
                  <w:vAlign w:val="center"/>
                </w:tcPr>
                <w:p>
                  <w:pPr>
                    <w:pStyle w:val="34"/>
                    <w:bidi w:val="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项目</w:t>
                  </w:r>
                </w:p>
              </w:tc>
              <w:tc>
                <w:tcPr>
                  <w:tcW w:w="992" w:type="pct"/>
                  <w:shd w:val="clear" w:color="auto" w:fill="auto"/>
                  <w:noWrap w:val="0"/>
                  <w:vAlign w:val="center"/>
                </w:tcPr>
                <w:p>
                  <w:pPr>
                    <w:pStyle w:val="34"/>
                    <w:bidi w:val="0"/>
                    <w:rPr>
                      <w:rFonts w:hint="eastAsia" w:ascii="Times New Roman" w:hAnsi="Times New Roman" w:eastAsia="宋体" w:cs="Times New Roman"/>
                      <w:kern w:val="2"/>
                      <w:sz w:val="21"/>
                      <w:szCs w:val="21"/>
                      <w:lang w:val="en-US" w:eastAsia="zh-CN" w:bidi="ar-SA"/>
                    </w:rPr>
                  </w:pPr>
                  <w:r>
                    <w:rPr>
                      <w:rFonts w:hint="eastAsia"/>
                      <w:lang w:val="en-US" w:eastAsia="zh-CN"/>
                    </w:rPr>
                    <w:t>指标</w:t>
                  </w:r>
                </w:p>
              </w:tc>
              <w:tc>
                <w:tcPr>
                  <w:tcW w:w="820" w:type="pct"/>
                  <w:shd w:val="clear" w:color="auto" w:fill="auto"/>
                  <w:noWrap w:val="0"/>
                  <w:vAlign w:val="center"/>
                </w:tcPr>
                <w:p>
                  <w:pPr>
                    <w:pStyle w:val="34"/>
                    <w:bidi w:val="0"/>
                    <w:rPr>
                      <w:rFonts w:hint="eastAsia" w:ascii="Times New Roman" w:hAnsi="Times New Roman" w:eastAsia="宋体" w:cs="Times New Roman"/>
                      <w:kern w:val="2"/>
                      <w:sz w:val="21"/>
                      <w:szCs w:val="21"/>
                      <w:lang w:val="en-US" w:eastAsia="zh-CN" w:bidi="ar-SA"/>
                    </w:rPr>
                  </w:pPr>
                  <w:r>
                    <w:rPr>
                      <w:rFonts w:hint="eastAsia"/>
                      <w:lang w:val="en-US" w:eastAsia="zh-CN"/>
                    </w:rPr>
                    <w:t>点位</w:t>
                  </w:r>
                </w:p>
              </w:tc>
              <w:tc>
                <w:tcPr>
                  <w:tcW w:w="938" w:type="pct"/>
                  <w:noWrap w:val="0"/>
                  <w:vAlign w:val="center"/>
                </w:tcPr>
                <w:p>
                  <w:pPr>
                    <w:pStyle w:val="34"/>
                    <w:bidi w:val="0"/>
                    <w:rPr>
                      <w:rFonts w:hint="default"/>
                    </w:rPr>
                  </w:pPr>
                  <w:r>
                    <w:rPr>
                      <w:rFonts w:hint="default"/>
                    </w:rPr>
                    <w:t>监测频次</w:t>
                  </w:r>
                </w:p>
              </w:tc>
              <w:tc>
                <w:tcPr>
                  <w:tcW w:w="1779" w:type="pct"/>
                  <w:noWrap w:val="0"/>
                  <w:vAlign w:val="center"/>
                </w:tcPr>
                <w:p>
                  <w:pPr>
                    <w:pStyle w:val="34"/>
                    <w:bidi w:val="0"/>
                    <w:rPr>
                      <w:rFonts w:hint="default"/>
                    </w:rPr>
                  </w:pPr>
                  <w:r>
                    <w:rPr>
                      <w:rFonts w:hint="default"/>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9" w:type="pct"/>
                  <w:shd w:val="clear" w:color="auto" w:fill="auto"/>
                  <w:noWrap w:val="0"/>
                  <w:vAlign w:val="center"/>
                </w:tcPr>
                <w:p>
                  <w:pPr>
                    <w:pStyle w:val="34"/>
                    <w:bidi w:val="0"/>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噪声</w:t>
                  </w:r>
                </w:p>
              </w:tc>
              <w:tc>
                <w:tcPr>
                  <w:tcW w:w="992" w:type="pct"/>
                  <w:shd w:val="clear" w:color="auto" w:fill="auto"/>
                  <w:noWrap w:val="0"/>
                  <w:vAlign w:val="center"/>
                </w:tcPr>
                <w:p>
                  <w:pPr>
                    <w:pStyle w:val="34"/>
                    <w:bidi w:val="0"/>
                    <w:rPr>
                      <w:rFonts w:hint="eastAsia" w:ascii="Times New Roman" w:hAnsi="Times New Roman" w:eastAsia="宋体" w:cs="Times New Roman"/>
                      <w:kern w:val="2"/>
                      <w:sz w:val="21"/>
                      <w:szCs w:val="21"/>
                      <w:lang w:val="en-US" w:eastAsia="zh-CN" w:bidi="ar-SA"/>
                    </w:rPr>
                  </w:pPr>
                  <w:r>
                    <w:rPr>
                      <w:rFonts w:hint="eastAsia"/>
                    </w:rPr>
                    <w:t>连续等效A声级</w:t>
                  </w:r>
                </w:p>
              </w:tc>
              <w:tc>
                <w:tcPr>
                  <w:tcW w:w="820" w:type="pct"/>
                  <w:shd w:val="clear" w:color="auto" w:fill="auto"/>
                  <w:noWrap w:val="0"/>
                  <w:vAlign w:val="center"/>
                </w:tcPr>
                <w:p>
                  <w:pPr>
                    <w:pStyle w:val="34"/>
                    <w:bidi w:val="0"/>
                    <w:rPr>
                      <w:rFonts w:hint="default" w:ascii="Times New Roman" w:hAnsi="Times New Roman" w:eastAsia="宋体" w:cs="Times New Roman"/>
                      <w:kern w:val="2"/>
                      <w:sz w:val="21"/>
                      <w:szCs w:val="21"/>
                      <w:lang w:val="en-US" w:eastAsia="zh-CN" w:bidi="ar-SA"/>
                    </w:rPr>
                  </w:pPr>
                  <w:r>
                    <w:rPr>
                      <w:rFonts w:hint="eastAsia"/>
                      <w:lang w:val="en-US" w:eastAsia="zh-CN"/>
                    </w:rPr>
                    <w:t>四周</w:t>
                  </w:r>
                  <w:r>
                    <w:rPr>
                      <w:rFonts w:hint="eastAsia"/>
                    </w:rPr>
                    <w:t>厂界外1米</w:t>
                  </w:r>
                </w:p>
              </w:tc>
              <w:tc>
                <w:tcPr>
                  <w:tcW w:w="938" w:type="pct"/>
                  <w:noWrap w:val="0"/>
                  <w:vAlign w:val="center"/>
                </w:tcPr>
                <w:p>
                  <w:pPr>
                    <w:pStyle w:val="34"/>
                    <w:bidi w:val="0"/>
                    <w:rPr>
                      <w:rFonts w:hint="default"/>
                    </w:rPr>
                  </w:pPr>
                  <w:r>
                    <w:rPr>
                      <w:rFonts w:hint="default"/>
                    </w:rPr>
                    <w:t>1次/</w:t>
                  </w:r>
                  <w:r>
                    <w:rPr>
                      <w:rFonts w:hint="eastAsia"/>
                    </w:rPr>
                    <w:t>季度</w:t>
                  </w:r>
                </w:p>
              </w:tc>
              <w:tc>
                <w:tcPr>
                  <w:tcW w:w="1779" w:type="pct"/>
                  <w:noWrap w:val="0"/>
                  <w:vAlign w:val="center"/>
                </w:tcPr>
                <w:p>
                  <w:pPr>
                    <w:pStyle w:val="34"/>
                    <w:bidi w:val="0"/>
                    <w:rPr>
                      <w:rFonts w:hint="default"/>
                    </w:rPr>
                  </w:pPr>
                  <w:r>
                    <w:rPr>
                      <w:rFonts w:hint="default"/>
                    </w:rPr>
                    <w:t>《工业企业厂界环境噪声排放标准》（GB12348-2008）中</w:t>
                  </w:r>
                  <w:r>
                    <w:rPr>
                      <w:rFonts w:hint="eastAsia"/>
                    </w:rPr>
                    <w:t>3</w:t>
                  </w:r>
                  <w:r>
                    <w:rPr>
                      <w:rFonts w:hint="default"/>
                    </w:rPr>
                    <w:t>类标准</w:t>
                  </w:r>
                </w:p>
              </w:tc>
            </w:tr>
          </w:tbl>
          <w:p>
            <w:pPr>
              <w:pStyle w:val="3"/>
              <w:bidi w:val="0"/>
              <w:rPr>
                <w:rFonts w:hint="default"/>
                <w:lang w:val="en-US" w:eastAsia="zh-CN"/>
              </w:rPr>
            </w:pPr>
            <w:r>
              <w:rPr>
                <w:rFonts w:hint="default"/>
                <w:lang w:val="en-US" w:eastAsia="zh-CN"/>
              </w:rPr>
              <w:t>4.固体废物环境影响和保护措施</w:t>
            </w:r>
          </w:p>
          <w:p>
            <w:pPr>
              <w:pStyle w:val="3"/>
              <w:bidi w:val="0"/>
              <w:rPr>
                <w:rFonts w:hint="default"/>
                <w:lang w:val="en-US" w:eastAsia="zh-CN"/>
              </w:rPr>
            </w:pPr>
            <w:r>
              <w:rPr>
                <w:rFonts w:hint="default"/>
                <w:lang w:val="en-US" w:eastAsia="zh-CN"/>
              </w:rPr>
              <w:t>4.1固体废物产生及处置情况</w:t>
            </w:r>
          </w:p>
          <w:p>
            <w:pPr>
              <w:pStyle w:val="8"/>
              <w:bidi w:val="0"/>
              <w:rPr>
                <w:rFonts w:hint="default"/>
                <w:lang w:val="en-US" w:eastAsia="zh-CN"/>
              </w:rPr>
            </w:pPr>
            <w:r>
              <w:rPr>
                <w:rFonts w:hint="default"/>
                <w:lang w:val="en-US" w:eastAsia="zh-CN"/>
              </w:rPr>
              <w:t>本项目固体废弃物主要来源有除尘系统收集的粉尘</w:t>
            </w:r>
            <w:r>
              <w:rPr>
                <w:rFonts w:hint="eastAsia"/>
                <w:lang w:val="en-US" w:eastAsia="zh-CN"/>
              </w:rPr>
              <w:t>、生产过程中产生的边角料、不合格产品、废包装袋、废布袋，</w:t>
            </w:r>
            <w:r>
              <w:rPr>
                <w:rFonts w:hint="default"/>
                <w:lang w:val="en-US" w:eastAsia="zh-CN"/>
              </w:rPr>
              <w:t>设备维护产生的废润滑油</w:t>
            </w:r>
            <w:r>
              <w:rPr>
                <w:rFonts w:hint="eastAsia"/>
                <w:lang w:val="en-US" w:eastAsia="zh-CN"/>
              </w:rPr>
              <w:t>和</w:t>
            </w:r>
            <w:r>
              <w:rPr>
                <w:rFonts w:hint="default"/>
                <w:lang w:val="en-US" w:eastAsia="zh-CN"/>
              </w:rPr>
              <w:t>废润滑油桶</w:t>
            </w:r>
            <w:r>
              <w:rPr>
                <w:rFonts w:hint="eastAsia"/>
                <w:lang w:val="en-US" w:eastAsia="zh-CN"/>
              </w:rPr>
              <w:t>，</w:t>
            </w:r>
            <w:r>
              <w:rPr>
                <w:rFonts w:hint="default"/>
                <w:lang w:val="en-US" w:eastAsia="zh-CN"/>
              </w:rPr>
              <w:t>员工生活垃圾等。</w:t>
            </w:r>
          </w:p>
          <w:p>
            <w:pPr>
              <w:pStyle w:val="8"/>
              <w:bidi w:val="0"/>
              <w:rPr>
                <w:rFonts w:hint="default"/>
                <w:lang w:val="en-US" w:eastAsia="zh-CN"/>
              </w:rPr>
            </w:pPr>
            <w:r>
              <w:rPr>
                <w:rFonts w:hint="default"/>
                <w:lang w:val="en-US" w:eastAsia="zh-CN"/>
              </w:rPr>
              <w:t>（1）一般固废</w:t>
            </w:r>
          </w:p>
          <w:p>
            <w:pPr>
              <w:pStyle w:val="8"/>
              <w:bidi w:val="0"/>
              <w:rPr>
                <w:rFonts w:hint="default"/>
                <w:lang w:val="en-US" w:eastAsia="zh-CN"/>
              </w:rPr>
            </w:pPr>
            <w:r>
              <w:rPr>
                <w:rFonts w:hint="default"/>
                <w:lang w:val="en-US" w:eastAsia="zh-CN"/>
              </w:rPr>
              <w:t>①除尘器收集的粉尘</w:t>
            </w:r>
          </w:p>
          <w:p>
            <w:pPr>
              <w:pStyle w:val="8"/>
              <w:bidi w:val="0"/>
              <w:rPr>
                <w:rFonts w:hint="default"/>
                <w:lang w:val="en-US" w:eastAsia="zh-CN"/>
              </w:rPr>
            </w:pPr>
            <w:r>
              <w:rPr>
                <w:rFonts w:hint="default"/>
                <w:lang w:val="en-US" w:eastAsia="zh-CN"/>
              </w:rPr>
              <w:t>本项目各布袋除尘器收集的粉尘量约为</w:t>
            </w:r>
            <w:r>
              <w:rPr>
                <w:rFonts w:hint="eastAsia"/>
                <w:lang w:val="en-US" w:eastAsia="zh-CN"/>
              </w:rPr>
              <w:t>2.13</w:t>
            </w:r>
            <w:r>
              <w:rPr>
                <w:rFonts w:hint="default"/>
                <w:highlight w:val="none"/>
                <w:lang w:val="en-US" w:eastAsia="zh-CN"/>
              </w:rPr>
              <w:t>t/a</w:t>
            </w:r>
            <w:r>
              <w:rPr>
                <w:rFonts w:hint="default"/>
                <w:lang w:val="en-US" w:eastAsia="zh-CN"/>
              </w:rPr>
              <w:t>，除尘器收集的粉尘全部回用于生产，不外排。</w:t>
            </w:r>
          </w:p>
          <w:p>
            <w:pPr>
              <w:pStyle w:val="8"/>
              <w:bidi w:val="0"/>
              <w:rPr>
                <w:rFonts w:hint="default"/>
                <w:lang w:val="en-US" w:eastAsia="zh-CN"/>
              </w:rPr>
            </w:pPr>
            <w:r>
              <w:rPr>
                <w:rFonts w:hint="default"/>
                <w:lang w:val="en-US" w:eastAsia="zh-CN"/>
              </w:rPr>
              <w:t>②边角料及不合格产品</w:t>
            </w:r>
          </w:p>
          <w:p>
            <w:pPr>
              <w:pStyle w:val="8"/>
              <w:bidi w:val="0"/>
              <w:rPr>
                <w:rFonts w:hint="default"/>
                <w:lang w:val="en-US" w:eastAsia="zh-CN"/>
              </w:rPr>
            </w:pPr>
            <w:r>
              <w:rPr>
                <w:rFonts w:hint="default"/>
                <w:lang w:val="en-US" w:eastAsia="zh-CN"/>
              </w:rPr>
              <w:t>本项目产生的不合格产品及边角料主要为压制成型及切割过程产生的，产生量约为</w:t>
            </w:r>
            <w:r>
              <w:rPr>
                <w:rFonts w:hint="eastAsia"/>
                <w:lang w:val="en-US" w:eastAsia="zh-CN"/>
              </w:rPr>
              <w:t>5</w:t>
            </w:r>
            <w:r>
              <w:rPr>
                <w:rFonts w:hint="default"/>
                <w:lang w:val="en-US" w:eastAsia="zh-CN"/>
              </w:rPr>
              <w:t>t/a，收集储存</w:t>
            </w:r>
            <w:r>
              <w:rPr>
                <w:rFonts w:hint="eastAsia"/>
                <w:lang w:val="en-US" w:eastAsia="zh-CN"/>
              </w:rPr>
              <w:t>后交由物资回收单位回收处理</w:t>
            </w:r>
            <w:r>
              <w:rPr>
                <w:rFonts w:hint="default"/>
                <w:lang w:val="en-US" w:eastAsia="zh-CN"/>
              </w:rPr>
              <w:t>。</w:t>
            </w:r>
          </w:p>
          <w:p>
            <w:pPr>
              <w:pStyle w:val="8"/>
              <w:bidi w:val="0"/>
              <w:rPr>
                <w:rFonts w:hint="eastAsia"/>
                <w:lang w:val="en-US" w:eastAsia="zh-CN"/>
              </w:rPr>
            </w:pPr>
            <w:r>
              <w:rPr>
                <w:rFonts w:hint="eastAsia"/>
                <w:lang w:val="en-US" w:eastAsia="zh-CN"/>
              </w:rPr>
              <w:t>③废包装袋</w:t>
            </w:r>
          </w:p>
          <w:p>
            <w:pPr>
              <w:pStyle w:val="8"/>
              <w:bidi w:val="0"/>
              <w:rPr>
                <w:rFonts w:hint="eastAsia"/>
                <w:lang w:val="en-US" w:eastAsia="zh-CN"/>
              </w:rPr>
            </w:pPr>
            <w:r>
              <w:rPr>
                <w:rFonts w:hint="eastAsia"/>
                <w:lang w:val="en-US" w:eastAsia="zh-CN"/>
              </w:rPr>
              <w:t>本项目生产过程中会产生少量原料废包装袋，</w:t>
            </w:r>
            <w:r>
              <w:rPr>
                <w:rFonts w:hint="eastAsia"/>
                <w:highlight w:val="none"/>
                <w:lang w:val="en-US" w:eastAsia="zh-CN"/>
              </w:rPr>
              <w:t>本项目胶粉、纤维素为袋装，产生量约为0.2t/a，</w:t>
            </w:r>
            <w:r>
              <w:rPr>
                <w:rFonts w:hint="eastAsia"/>
                <w:lang w:val="en-US" w:eastAsia="zh-CN"/>
              </w:rPr>
              <w:t>集中收集后定期交由物资回收单位回收处理。</w:t>
            </w:r>
          </w:p>
          <w:p>
            <w:pPr>
              <w:pStyle w:val="8"/>
              <w:bidi w:val="0"/>
              <w:rPr>
                <w:rFonts w:hint="default"/>
                <w:lang w:val="en-US" w:eastAsia="zh-CN"/>
              </w:rPr>
            </w:pPr>
            <w:r>
              <w:rPr>
                <w:rFonts w:hint="eastAsia"/>
                <w:lang w:val="en-US" w:eastAsia="zh-CN"/>
              </w:rPr>
              <w:t>④</w:t>
            </w:r>
            <w:r>
              <w:rPr>
                <w:rFonts w:hint="default"/>
                <w:lang w:val="en-US" w:eastAsia="zh-CN"/>
              </w:rPr>
              <w:t>废布袋</w:t>
            </w:r>
          </w:p>
          <w:p>
            <w:pPr>
              <w:pStyle w:val="8"/>
              <w:bidi w:val="0"/>
              <w:rPr>
                <w:rFonts w:hint="default"/>
                <w:lang w:val="en-US" w:eastAsia="zh-CN"/>
              </w:rPr>
            </w:pPr>
            <w:r>
              <w:rPr>
                <w:rFonts w:hint="default"/>
                <w:lang w:val="en-US" w:eastAsia="zh-CN"/>
              </w:rPr>
              <w:t>本项目使用布袋除尘器为末端治理设施，布袋除尘器中的布袋需定期更换，废布袋产生量约为0.1t/a，集中收集后定期由设备厂家进行回收</w:t>
            </w:r>
            <w:r>
              <w:rPr>
                <w:rFonts w:hint="eastAsia"/>
                <w:lang w:val="en-US" w:eastAsia="zh-CN"/>
              </w:rPr>
              <w:t>处理</w:t>
            </w:r>
            <w:r>
              <w:rPr>
                <w:rFonts w:hint="default"/>
                <w:lang w:val="en-US" w:eastAsia="zh-CN"/>
              </w:rPr>
              <w:t>。</w:t>
            </w:r>
          </w:p>
          <w:p>
            <w:pPr>
              <w:pStyle w:val="8"/>
              <w:bidi w:val="0"/>
              <w:rPr>
                <w:rFonts w:hint="default"/>
                <w:highlight w:val="none"/>
                <w:lang w:val="en-US" w:eastAsia="zh-CN"/>
              </w:rPr>
            </w:pPr>
            <w:r>
              <w:rPr>
                <w:rFonts w:hint="eastAsia"/>
                <w:highlight w:val="none"/>
                <w:lang w:val="en-US" w:eastAsia="zh-CN"/>
              </w:rPr>
              <w:t>⑤</w:t>
            </w:r>
            <w:r>
              <w:rPr>
                <w:rFonts w:hint="default"/>
                <w:highlight w:val="none"/>
                <w:lang w:val="en-US" w:eastAsia="zh-CN"/>
              </w:rPr>
              <w:t>沉淀池沉渣</w:t>
            </w:r>
          </w:p>
          <w:p>
            <w:pPr>
              <w:pStyle w:val="8"/>
              <w:bidi w:val="0"/>
              <w:rPr>
                <w:rFonts w:hint="default"/>
                <w:lang w:val="en-US" w:eastAsia="zh-CN"/>
              </w:rPr>
            </w:pPr>
            <w:r>
              <w:rPr>
                <w:rFonts w:hint="default"/>
                <w:highlight w:val="none"/>
                <w:lang w:val="en-US" w:eastAsia="zh-CN"/>
              </w:rPr>
              <w:t>本项目各类</w:t>
            </w:r>
            <w:r>
              <w:rPr>
                <w:rFonts w:hint="eastAsia"/>
                <w:highlight w:val="none"/>
                <w:lang w:val="en-US" w:eastAsia="zh-CN"/>
              </w:rPr>
              <w:t>切割打孔用水</w:t>
            </w:r>
            <w:r>
              <w:rPr>
                <w:rFonts w:hint="default"/>
                <w:highlight w:val="none"/>
                <w:lang w:val="en-US" w:eastAsia="zh-CN"/>
              </w:rPr>
              <w:t>经沉淀池沉淀后会产生沉淀池沉渣，其产生量约为0.</w:t>
            </w:r>
            <w:r>
              <w:rPr>
                <w:rFonts w:hint="eastAsia"/>
                <w:highlight w:val="none"/>
                <w:lang w:val="en-US" w:eastAsia="zh-CN"/>
              </w:rPr>
              <w:t>2</w:t>
            </w:r>
            <w:r>
              <w:rPr>
                <w:rFonts w:hint="default"/>
                <w:highlight w:val="none"/>
                <w:lang w:val="en-US" w:eastAsia="zh-CN"/>
              </w:rPr>
              <w:t>t/a，这些沉淀池沉渣将回用于生产。</w:t>
            </w:r>
          </w:p>
          <w:p>
            <w:pPr>
              <w:pStyle w:val="8"/>
              <w:numPr>
                <w:ilvl w:val="0"/>
                <w:numId w:val="0"/>
              </w:numPr>
              <w:bidi w:val="0"/>
              <w:ind w:leftChars="200" w:right="0" w:rightChars="0"/>
              <w:rPr>
                <w:rFonts w:hint="eastAsia"/>
                <w:lang w:val="en-US" w:eastAsia="zh-CN"/>
              </w:rPr>
            </w:pPr>
            <w:r>
              <w:rPr>
                <w:rFonts w:hint="eastAsia"/>
                <w:lang w:val="en-US" w:eastAsia="zh-CN"/>
              </w:rPr>
              <w:t>（2）危险废物</w:t>
            </w:r>
          </w:p>
          <w:p>
            <w:pPr>
              <w:pStyle w:val="8"/>
              <w:bidi w:val="0"/>
              <w:rPr>
                <w:rFonts w:hint="default"/>
                <w:lang w:val="en-US" w:eastAsia="zh-CN"/>
              </w:rPr>
            </w:pPr>
            <w:r>
              <w:rPr>
                <w:rFonts w:hint="eastAsia"/>
                <w:lang w:val="en-US" w:eastAsia="zh-CN"/>
              </w:rPr>
              <w:t>①</w:t>
            </w:r>
            <w:r>
              <w:rPr>
                <w:rFonts w:hint="default"/>
                <w:lang w:val="en-US" w:eastAsia="zh-CN"/>
              </w:rPr>
              <w:t>废润滑油及废润滑油桶</w:t>
            </w:r>
          </w:p>
          <w:p>
            <w:pPr>
              <w:pStyle w:val="8"/>
              <w:bidi w:val="0"/>
              <w:rPr>
                <w:rFonts w:hint="default"/>
                <w:lang w:val="en-US" w:eastAsia="zh-CN"/>
              </w:rPr>
            </w:pPr>
            <w:r>
              <w:rPr>
                <w:rFonts w:hint="eastAsia"/>
                <w:lang w:val="en-US" w:eastAsia="zh-CN"/>
              </w:rPr>
              <w:t>本</w:t>
            </w:r>
            <w:r>
              <w:rPr>
                <w:rFonts w:hint="default"/>
                <w:lang w:val="en-US" w:eastAsia="zh-CN"/>
              </w:rPr>
              <w:t>项目设备</w:t>
            </w:r>
            <w:r>
              <w:rPr>
                <w:rFonts w:hint="eastAsia"/>
                <w:lang w:val="en-US" w:eastAsia="zh-CN"/>
              </w:rPr>
              <w:t>较多，在设备运行维护过程中</w:t>
            </w:r>
            <w:r>
              <w:rPr>
                <w:rFonts w:hint="default"/>
                <w:lang w:val="en-US" w:eastAsia="zh-CN"/>
              </w:rPr>
              <w:t>会产生少量废润滑油（HW08 900-214-08），</w:t>
            </w:r>
            <w:r>
              <w:rPr>
                <w:rFonts w:hint="eastAsia"/>
                <w:lang w:val="en-US" w:eastAsia="zh-CN"/>
              </w:rPr>
              <w:t>产生量约为0.5t/a，废润滑油桶（HW08 900-249-08）产生量约为0.005t/a。经收集后</w:t>
            </w:r>
            <w:r>
              <w:rPr>
                <w:rFonts w:hint="default"/>
                <w:lang w:val="en-US" w:eastAsia="zh-CN"/>
              </w:rPr>
              <w:t>暂存于危废暂存间内，定期交由有资质单位进行无害化处置。</w:t>
            </w:r>
          </w:p>
          <w:p>
            <w:pPr>
              <w:pStyle w:val="8"/>
              <w:numPr>
                <w:ilvl w:val="0"/>
                <w:numId w:val="0"/>
              </w:numPr>
              <w:bidi w:val="0"/>
              <w:ind w:leftChars="200" w:right="0" w:rightChars="0"/>
              <w:rPr>
                <w:rFonts w:hint="eastAsia"/>
                <w:lang w:val="en-US" w:eastAsia="zh-CN"/>
              </w:rPr>
            </w:pPr>
            <w:r>
              <w:rPr>
                <w:rFonts w:hint="eastAsia"/>
                <w:lang w:val="en-US" w:eastAsia="zh-CN"/>
              </w:rPr>
              <w:t>（3）生活垃圾</w:t>
            </w:r>
          </w:p>
          <w:p>
            <w:pPr>
              <w:pStyle w:val="8"/>
              <w:bidi w:val="0"/>
              <w:rPr>
                <w:rFonts w:hint="default"/>
                <w:lang w:val="en-US" w:eastAsia="zh-CN"/>
              </w:rPr>
            </w:pPr>
            <w:r>
              <w:rPr>
                <w:rFonts w:hint="default"/>
                <w:lang w:val="en-US" w:eastAsia="zh-CN"/>
              </w:rPr>
              <w:t>本项目职工人数</w:t>
            </w:r>
            <w:r>
              <w:rPr>
                <w:rFonts w:hint="eastAsia"/>
                <w:lang w:val="en-US" w:eastAsia="zh-CN"/>
              </w:rPr>
              <w:t>6</w:t>
            </w:r>
            <w:r>
              <w:rPr>
                <w:rFonts w:hint="default"/>
                <w:lang w:val="en-US" w:eastAsia="zh-CN"/>
              </w:rPr>
              <w:t>人，生活垃圾按每人每天产生0.5kg/d计，则产生量为</w:t>
            </w:r>
            <w:r>
              <w:rPr>
                <w:rFonts w:hint="eastAsia"/>
                <w:lang w:val="en-US" w:eastAsia="zh-CN"/>
              </w:rPr>
              <w:t>0.9</w:t>
            </w:r>
            <w:r>
              <w:rPr>
                <w:rFonts w:hint="default"/>
                <w:lang w:val="en-US" w:eastAsia="zh-CN"/>
              </w:rPr>
              <w:t>t/a，生活垃圾集中收集后交由环卫部门统一清运至垃圾处理站处理。</w:t>
            </w:r>
          </w:p>
          <w:p>
            <w:pPr>
              <w:pStyle w:val="8"/>
              <w:bidi w:val="0"/>
              <w:rPr>
                <w:rFonts w:hint="default"/>
                <w:lang w:val="en-US" w:eastAsia="zh-CN"/>
              </w:rPr>
            </w:pPr>
            <w:r>
              <w:rPr>
                <w:rFonts w:hint="default"/>
                <w:lang w:val="en-US" w:eastAsia="zh-CN"/>
              </w:rPr>
              <w:t>本项目固废产生明细见下表。</w:t>
            </w:r>
          </w:p>
          <w:p>
            <w:pPr>
              <w:pStyle w:val="36"/>
              <w:bidi w:val="0"/>
              <w:rPr>
                <w:rFonts w:hint="default"/>
                <w:lang w:val="en-US" w:eastAsia="zh-CN"/>
              </w:rPr>
            </w:pPr>
            <w:r>
              <w:rPr>
                <w:rFonts w:hint="default"/>
                <w:highlight w:val="none"/>
                <w:lang w:val="en-US" w:eastAsia="zh-CN"/>
              </w:rPr>
              <w:t>表4-</w:t>
            </w:r>
            <w:r>
              <w:rPr>
                <w:rFonts w:hint="eastAsia"/>
                <w:highlight w:val="none"/>
                <w:lang w:val="en-US" w:eastAsia="zh-CN"/>
              </w:rPr>
              <w:t>11</w:t>
            </w:r>
            <w:r>
              <w:rPr>
                <w:rFonts w:hint="default"/>
                <w:highlight w:val="none"/>
                <w:lang w:val="en-US" w:eastAsia="zh-CN"/>
              </w:rPr>
              <w:t xml:space="preserve"> </w:t>
            </w:r>
            <w:r>
              <w:rPr>
                <w:rFonts w:hint="default"/>
                <w:lang w:val="en-US" w:eastAsia="zh-CN"/>
              </w:rPr>
              <w:t xml:space="preserve">   项目固体废物产生情况明细</w:t>
            </w:r>
          </w:p>
          <w:tbl>
            <w:tblPr>
              <w:tblStyle w:val="20"/>
              <w:tblW w:w="8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925"/>
              <w:gridCol w:w="812"/>
              <w:gridCol w:w="1338"/>
              <w:gridCol w:w="850"/>
              <w:gridCol w:w="700"/>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noWrap w:val="0"/>
                  <w:vAlign w:val="center"/>
                </w:tcPr>
                <w:p>
                  <w:pPr>
                    <w:pStyle w:val="34"/>
                    <w:bidi w:val="0"/>
                    <w:rPr>
                      <w:rFonts w:hint="default"/>
                      <w:highlight w:val="none"/>
                      <w:lang w:val="en-US" w:eastAsia="zh-CN"/>
                    </w:rPr>
                  </w:pPr>
                  <w:r>
                    <w:rPr>
                      <w:rFonts w:hint="default"/>
                      <w:highlight w:val="none"/>
                      <w:lang w:val="en-US" w:eastAsia="zh-CN"/>
                    </w:rPr>
                    <w:t>废物属性</w:t>
                  </w:r>
                </w:p>
              </w:tc>
              <w:tc>
                <w:tcPr>
                  <w:tcW w:w="1138" w:type="pct"/>
                  <w:noWrap w:val="0"/>
                  <w:vAlign w:val="center"/>
                </w:tcPr>
                <w:p>
                  <w:pPr>
                    <w:pStyle w:val="34"/>
                    <w:bidi w:val="0"/>
                    <w:rPr>
                      <w:rFonts w:hint="default"/>
                      <w:highlight w:val="none"/>
                      <w:lang w:val="en-US" w:eastAsia="zh-CN"/>
                    </w:rPr>
                  </w:pPr>
                  <w:r>
                    <w:rPr>
                      <w:rFonts w:hint="default"/>
                      <w:highlight w:val="none"/>
                      <w:lang w:val="en-US" w:eastAsia="zh-CN"/>
                    </w:rPr>
                    <w:t>名称</w:t>
                  </w:r>
                </w:p>
              </w:tc>
              <w:tc>
                <w:tcPr>
                  <w:tcW w:w="480" w:type="pct"/>
                  <w:noWrap w:val="0"/>
                  <w:vAlign w:val="center"/>
                </w:tcPr>
                <w:p>
                  <w:pPr>
                    <w:pStyle w:val="34"/>
                    <w:bidi w:val="0"/>
                    <w:rPr>
                      <w:rFonts w:hint="default"/>
                      <w:highlight w:val="none"/>
                      <w:lang w:val="en-US" w:eastAsia="zh-CN"/>
                    </w:rPr>
                  </w:pPr>
                  <w:r>
                    <w:rPr>
                      <w:rFonts w:hint="default"/>
                      <w:highlight w:val="none"/>
                      <w:lang w:val="en-US" w:eastAsia="zh-CN"/>
                    </w:rPr>
                    <w:t>废物类别</w:t>
                  </w:r>
                </w:p>
              </w:tc>
              <w:tc>
                <w:tcPr>
                  <w:tcW w:w="791" w:type="pct"/>
                  <w:noWrap w:val="0"/>
                  <w:vAlign w:val="center"/>
                </w:tcPr>
                <w:p>
                  <w:pPr>
                    <w:pStyle w:val="34"/>
                    <w:bidi w:val="0"/>
                    <w:rPr>
                      <w:rFonts w:hint="default"/>
                      <w:highlight w:val="none"/>
                      <w:lang w:val="en-US" w:eastAsia="zh-CN"/>
                    </w:rPr>
                  </w:pPr>
                  <w:r>
                    <w:rPr>
                      <w:rFonts w:hint="default"/>
                      <w:highlight w:val="none"/>
                      <w:lang w:val="en-US" w:eastAsia="zh-CN"/>
                    </w:rPr>
                    <w:t>废物代码</w:t>
                  </w:r>
                </w:p>
              </w:tc>
              <w:tc>
                <w:tcPr>
                  <w:tcW w:w="502" w:type="pct"/>
                  <w:noWrap w:val="0"/>
                  <w:vAlign w:val="center"/>
                </w:tcPr>
                <w:p>
                  <w:pPr>
                    <w:pStyle w:val="34"/>
                    <w:bidi w:val="0"/>
                    <w:rPr>
                      <w:rFonts w:hint="default"/>
                      <w:highlight w:val="none"/>
                      <w:lang w:val="en-US" w:eastAsia="zh-CN"/>
                    </w:rPr>
                  </w:pPr>
                  <w:r>
                    <w:rPr>
                      <w:rFonts w:hint="default"/>
                      <w:highlight w:val="none"/>
                      <w:lang w:val="en-US" w:eastAsia="zh-CN"/>
                    </w:rPr>
                    <w:t>产生量（t/a）</w:t>
                  </w:r>
                </w:p>
              </w:tc>
              <w:tc>
                <w:tcPr>
                  <w:tcW w:w="413" w:type="pct"/>
                  <w:noWrap w:val="0"/>
                  <w:vAlign w:val="center"/>
                </w:tcPr>
                <w:p>
                  <w:pPr>
                    <w:pStyle w:val="34"/>
                    <w:bidi w:val="0"/>
                    <w:rPr>
                      <w:rFonts w:hint="default"/>
                      <w:highlight w:val="none"/>
                      <w:lang w:val="en-US" w:eastAsia="zh-CN"/>
                    </w:rPr>
                  </w:pPr>
                  <w:r>
                    <w:rPr>
                      <w:rFonts w:hint="default"/>
                      <w:highlight w:val="none"/>
                      <w:lang w:val="en-US" w:eastAsia="zh-CN"/>
                    </w:rPr>
                    <w:t>危险特性</w:t>
                  </w:r>
                </w:p>
              </w:tc>
              <w:tc>
                <w:tcPr>
                  <w:tcW w:w="1263" w:type="pct"/>
                  <w:noWrap w:val="0"/>
                  <w:vAlign w:val="center"/>
                </w:tcPr>
                <w:p>
                  <w:pPr>
                    <w:pStyle w:val="34"/>
                    <w:bidi w:val="0"/>
                    <w:rPr>
                      <w:rFonts w:hint="default"/>
                      <w:highlight w:val="none"/>
                      <w:lang w:val="en-US" w:eastAsia="zh-CN"/>
                    </w:rPr>
                  </w:pPr>
                  <w:r>
                    <w:rPr>
                      <w:rFonts w:hint="default"/>
                      <w:highlight w:val="none"/>
                      <w:lang w:val="en-US" w:eastAsia="zh-CN"/>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409" w:type="pct"/>
                  <w:vMerge w:val="restart"/>
                  <w:noWrap w:val="0"/>
                  <w:vAlign w:val="center"/>
                </w:tcPr>
                <w:p>
                  <w:pPr>
                    <w:pStyle w:val="34"/>
                    <w:bidi w:val="0"/>
                    <w:rPr>
                      <w:rFonts w:hint="default"/>
                      <w:highlight w:val="none"/>
                      <w:lang w:val="en-US" w:eastAsia="zh-CN"/>
                    </w:rPr>
                  </w:pPr>
                  <w:r>
                    <w:rPr>
                      <w:rFonts w:hint="default"/>
                      <w:highlight w:val="none"/>
                      <w:lang w:val="en-US" w:eastAsia="zh-CN"/>
                    </w:rPr>
                    <w:t>一般固废</w:t>
                  </w:r>
                </w:p>
              </w:tc>
              <w:tc>
                <w:tcPr>
                  <w:tcW w:w="1138" w:type="pct"/>
                  <w:noWrap w:val="0"/>
                  <w:vAlign w:val="center"/>
                </w:tcPr>
                <w:p>
                  <w:pPr>
                    <w:pStyle w:val="34"/>
                    <w:bidi w:val="0"/>
                    <w:rPr>
                      <w:rFonts w:hint="default"/>
                      <w:highlight w:val="none"/>
                      <w:lang w:val="en-US" w:eastAsia="zh-CN"/>
                    </w:rPr>
                  </w:pPr>
                  <w:r>
                    <w:rPr>
                      <w:rFonts w:hint="default"/>
                      <w:highlight w:val="none"/>
                      <w:lang w:val="en-US" w:eastAsia="zh-CN"/>
                    </w:rPr>
                    <w:t>除尘器收集的粉尘</w:t>
                  </w:r>
                </w:p>
              </w:tc>
              <w:tc>
                <w:tcPr>
                  <w:tcW w:w="480" w:type="pct"/>
                  <w:vMerge w:val="restart"/>
                  <w:noWrap w:val="0"/>
                  <w:vAlign w:val="center"/>
                </w:tcPr>
                <w:p>
                  <w:pPr>
                    <w:pStyle w:val="34"/>
                    <w:bidi w:val="0"/>
                    <w:rPr>
                      <w:rFonts w:hint="default"/>
                      <w:highlight w:val="none"/>
                      <w:lang w:val="en-US" w:eastAsia="zh-CN"/>
                    </w:rPr>
                  </w:pPr>
                  <w:r>
                    <w:rPr>
                      <w:rFonts w:hint="default"/>
                      <w:highlight w:val="none"/>
                      <w:lang w:val="en-US" w:eastAsia="zh-CN"/>
                    </w:rPr>
                    <w:t>SW17</w:t>
                  </w:r>
                </w:p>
              </w:tc>
              <w:tc>
                <w:tcPr>
                  <w:tcW w:w="791" w:type="pct"/>
                  <w:vMerge w:val="restart"/>
                  <w:noWrap w:val="0"/>
                  <w:vAlign w:val="center"/>
                </w:tcPr>
                <w:p>
                  <w:pPr>
                    <w:pStyle w:val="34"/>
                    <w:bidi w:val="0"/>
                    <w:rPr>
                      <w:rFonts w:hint="default"/>
                      <w:highlight w:val="none"/>
                      <w:lang w:val="en-US" w:eastAsia="zh-CN"/>
                    </w:rPr>
                  </w:pPr>
                  <w:r>
                    <w:rPr>
                      <w:rFonts w:hint="default"/>
                      <w:highlight w:val="none"/>
                      <w:lang w:val="en-US" w:eastAsia="zh-CN"/>
                    </w:rPr>
                    <w:t>900-099-S17</w:t>
                  </w:r>
                </w:p>
              </w:tc>
              <w:tc>
                <w:tcPr>
                  <w:tcW w:w="502" w:type="pct"/>
                  <w:noWrap w:val="0"/>
                  <w:vAlign w:val="center"/>
                </w:tcPr>
                <w:p>
                  <w:pPr>
                    <w:pStyle w:val="34"/>
                    <w:bidi w:val="0"/>
                    <w:rPr>
                      <w:rFonts w:hint="default"/>
                      <w:highlight w:val="none"/>
                      <w:lang w:val="en-US" w:eastAsia="zh-CN"/>
                    </w:rPr>
                  </w:pPr>
                  <w:r>
                    <w:rPr>
                      <w:rFonts w:hint="eastAsia"/>
                      <w:highlight w:val="none"/>
                      <w:lang w:val="en-US" w:eastAsia="zh-CN"/>
                    </w:rPr>
                    <w:t>2.13</w:t>
                  </w:r>
                </w:p>
              </w:tc>
              <w:tc>
                <w:tcPr>
                  <w:tcW w:w="413" w:type="pct"/>
                  <w:noWrap w:val="0"/>
                  <w:vAlign w:val="center"/>
                </w:tcPr>
                <w:p>
                  <w:pPr>
                    <w:pStyle w:val="34"/>
                    <w:bidi w:val="0"/>
                    <w:rPr>
                      <w:rFonts w:hint="default"/>
                      <w:highlight w:val="none"/>
                      <w:lang w:val="en-US" w:eastAsia="zh-CN"/>
                    </w:rPr>
                  </w:pPr>
                  <w:r>
                    <w:rPr>
                      <w:rFonts w:hint="default"/>
                      <w:highlight w:val="none"/>
                      <w:lang w:val="en-US" w:eastAsia="zh-CN"/>
                    </w:rPr>
                    <w:t>/</w:t>
                  </w:r>
                </w:p>
              </w:tc>
              <w:tc>
                <w:tcPr>
                  <w:tcW w:w="1263" w:type="pct"/>
                  <w:noWrap w:val="0"/>
                  <w:vAlign w:val="center"/>
                </w:tcPr>
                <w:p>
                  <w:pPr>
                    <w:pStyle w:val="34"/>
                    <w:bidi w:val="0"/>
                    <w:rPr>
                      <w:rFonts w:hint="default"/>
                      <w:highlight w:val="none"/>
                      <w:lang w:val="en-US" w:eastAsia="zh-CN"/>
                    </w:rPr>
                  </w:pPr>
                  <w:r>
                    <w:rPr>
                      <w:rFonts w:hint="default"/>
                      <w:highlight w:val="none"/>
                      <w:lang w:val="en-US" w:eastAsia="zh-CN"/>
                    </w:rPr>
                    <w:t>收集后作为原料回收利用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9" w:type="pct"/>
                  <w:vMerge w:val="continue"/>
                  <w:noWrap w:val="0"/>
                  <w:vAlign w:val="center"/>
                </w:tcPr>
                <w:p>
                  <w:pPr>
                    <w:pStyle w:val="34"/>
                    <w:bidi w:val="0"/>
                    <w:rPr>
                      <w:rFonts w:hint="default"/>
                      <w:highlight w:val="none"/>
                      <w:lang w:val="en-US" w:eastAsia="zh-CN"/>
                    </w:rPr>
                  </w:pPr>
                </w:p>
              </w:tc>
              <w:tc>
                <w:tcPr>
                  <w:tcW w:w="1138" w:type="pct"/>
                  <w:noWrap w:val="0"/>
                  <w:vAlign w:val="center"/>
                </w:tcPr>
                <w:p>
                  <w:pPr>
                    <w:pStyle w:val="34"/>
                    <w:bidi w:val="0"/>
                    <w:rPr>
                      <w:rFonts w:hint="default"/>
                      <w:highlight w:val="none"/>
                      <w:lang w:val="en-US" w:eastAsia="zh-CN"/>
                    </w:rPr>
                  </w:pPr>
                  <w:r>
                    <w:rPr>
                      <w:rFonts w:hint="default"/>
                      <w:highlight w:val="none"/>
                      <w:lang w:val="en-US" w:eastAsia="zh-CN"/>
                    </w:rPr>
                    <w:t>边角料及不合格产品</w:t>
                  </w:r>
                </w:p>
              </w:tc>
              <w:tc>
                <w:tcPr>
                  <w:tcW w:w="480" w:type="pct"/>
                  <w:vMerge w:val="continue"/>
                  <w:noWrap w:val="0"/>
                  <w:vAlign w:val="center"/>
                </w:tcPr>
                <w:p>
                  <w:pPr>
                    <w:pStyle w:val="34"/>
                    <w:bidi w:val="0"/>
                    <w:rPr>
                      <w:rFonts w:hint="default"/>
                      <w:highlight w:val="none"/>
                      <w:lang w:val="en-US" w:eastAsia="zh-CN"/>
                    </w:rPr>
                  </w:pPr>
                </w:p>
              </w:tc>
              <w:tc>
                <w:tcPr>
                  <w:tcW w:w="791" w:type="pct"/>
                  <w:vMerge w:val="continue"/>
                  <w:noWrap w:val="0"/>
                  <w:vAlign w:val="center"/>
                </w:tcPr>
                <w:p>
                  <w:pPr>
                    <w:pStyle w:val="34"/>
                    <w:bidi w:val="0"/>
                    <w:rPr>
                      <w:rFonts w:hint="default"/>
                      <w:highlight w:val="none"/>
                      <w:lang w:val="en-US" w:eastAsia="zh-CN"/>
                    </w:rPr>
                  </w:pPr>
                </w:p>
              </w:tc>
              <w:tc>
                <w:tcPr>
                  <w:tcW w:w="502" w:type="pct"/>
                  <w:noWrap w:val="0"/>
                  <w:vAlign w:val="center"/>
                </w:tcPr>
                <w:p>
                  <w:pPr>
                    <w:pStyle w:val="34"/>
                    <w:bidi w:val="0"/>
                    <w:rPr>
                      <w:rFonts w:hint="default"/>
                      <w:highlight w:val="none"/>
                      <w:lang w:val="en-US" w:eastAsia="zh-CN"/>
                    </w:rPr>
                  </w:pPr>
                  <w:r>
                    <w:rPr>
                      <w:rFonts w:hint="eastAsia"/>
                      <w:highlight w:val="none"/>
                      <w:lang w:val="en-US" w:eastAsia="zh-CN"/>
                    </w:rPr>
                    <w:t>5</w:t>
                  </w:r>
                </w:p>
              </w:tc>
              <w:tc>
                <w:tcPr>
                  <w:tcW w:w="413" w:type="pct"/>
                  <w:noWrap w:val="0"/>
                  <w:vAlign w:val="center"/>
                </w:tcPr>
                <w:p>
                  <w:pPr>
                    <w:pStyle w:val="34"/>
                    <w:bidi w:val="0"/>
                    <w:rPr>
                      <w:rFonts w:hint="default"/>
                      <w:highlight w:val="none"/>
                      <w:lang w:val="en-US" w:eastAsia="zh-CN"/>
                    </w:rPr>
                  </w:pPr>
                  <w:r>
                    <w:rPr>
                      <w:rFonts w:hint="eastAsia"/>
                      <w:highlight w:val="none"/>
                      <w:lang w:val="en-US" w:eastAsia="zh-CN"/>
                    </w:rPr>
                    <w:t>/</w:t>
                  </w:r>
                </w:p>
              </w:tc>
              <w:tc>
                <w:tcPr>
                  <w:tcW w:w="1263" w:type="pct"/>
                  <w:vMerge w:val="restart"/>
                  <w:noWrap w:val="0"/>
                  <w:vAlign w:val="center"/>
                </w:tcPr>
                <w:p>
                  <w:pPr>
                    <w:pStyle w:val="34"/>
                    <w:bidi w:val="0"/>
                    <w:rPr>
                      <w:rFonts w:hint="default"/>
                      <w:highlight w:val="none"/>
                      <w:lang w:val="en-US" w:eastAsia="zh-CN"/>
                    </w:rPr>
                  </w:pPr>
                  <w:r>
                    <w:rPr>
                      <w:rFonts w:hint="default"/>
                      <w:highlight w:val="none"/>
                      <w:lang w:val="en-US" w:eastAsia="zh-CN"/>
                    </w:rPr>
                    <w:t>交由物资回收单位回收处理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09" w:type="pct"/>
                  <w:vMerge w:val="continue"/>
                  <w:noWrap w:val="0"/>
                  <w:vAlign w:val="center"/>
                </w:tcPr>
                <w:p>
                  <w:pPr>
                    <w:pStyle w:val="34"/>
                    <w:bidi w:val="0"/>
                    <w:rPr>
                      <w:rFonts w:hint="default"/>
                      <w:highlight w:val="none"/>
                      <w:lang w:val="en-US" w:eastAsia="zh-CN"/>
                    </w:rPr>
                  </w:pPr>
                </w:p>
              </w:tc>
              <w:tc>
                <w:tcPr>
                  <w:tcW w:w="1138" w:type="pct"/>
                  <w:noWrap w:val="0"/>
                  <w:vAlign w:val="center"/>
                </w:tcPr>
                <w:p>
                  <w:pPr>
                    <w:pStyle w:val="34"/>
                    <w:bidi w:val="0"/>
                    <w:rPr>
                      <w:rFonts w:hint="default"/>
                      <w:highlight w:val="none"/>
                      <w:lang w:val="en-US" w:eastAsia="zh-CN"/>
                    </w:rPr>
                  </w:pPr>
                  <w:r>
                    <w:rPr>
                      <w:rFonts w:hint="default"/>
                      <w:highlight w:val="none"/>
                      <w:lang w:val="en-US" w:eastAsia="zh-CN"/>
                    </w:rPr>
                    <w:t>废包装袋</w:t>
                  </w:r>
                </w:p>
              </w:tc>
              <w:tc>
                <w:tcPr>
                  <w:tcW w:w="480" w:type="pct"/>
                  <w:vMerge w:val="continue"/>
                  <w:noWrap w:val="0"/>
                  <w:vAlign w:val="center"/>
                </w:tcPr>
                <w:p>
                  <w:pPr>
                    <w:pStyle w:val="34"/>
                    <w:bidi w:val="0"/>
                    <w:rPr>
                      <w:rFonts w:hint="default"/>
                      <w:highlight w:val="none"/>
                      <w:lang w:val="en-US" w:eastAsia="zh-CN"/>
                    </w:rPr>
                  </w:pPr>
                </w:p>
              </w:tc>
              <w:tc>
                <w:tcPr>
                  <w:tcW w:w="791" w:type="pct"/>
                  <w:vMerge w:val="continue"/>
                  <w:noWrap w:val="0"/>
                  <w:vAlign w:val="center"/>
                </w:tcPr>
                <w:p>
                  <w:pPr>
                    <w:pStyle w:val="34"/>
                    <w:bidi w:val="0"/>
                    <w:rPr>
                      <w:rFonts w:hint="default"/>
                      <w:highlight w:val="none"/>
                      <w:lang w:val="en-US" w:eastAsia="zh-CN"/>
                    </w:rPr>
                  </w:pPr>
                </w:p>
              </w:tc>
              <w:tc>
                <w:tcPr>
                  <w:tcW w:w="502" w:type="pct"/>
                  <w:noWrap w:val="0"/>
                  <w:vAlign w:val="center"/>
                </w:tcPr>
                <w:p>
                  <w:pPr>
                    <w:pStyle w:val="34"/>
                    <w:bidi w:val="0"/>
                    <w:rPr>
                      <w:rFonts w:hint="default"/>
                      <w:highlight w:val="none"/>
                      <w:lang w:val="en-US" w:eastAsia="zh-CN"/>
                    </w:rPr>
                  </w:pPr>
                  <w:r>
                    <w:rPr>
                      <w:rFonts w:hint="eastAsia"/>
                      <w:highlight w:val="none"/>
                      <w:lang w:val="en-US" w:eastAsia="zh-CN"/>
                    </w:rPr>
                    <w:t>0.2</w:t>
                  </w:r>
                </w:p>
              </w:tc>
              <w:tc>
                <w:tcPr>
                  <w:tcW w:w="413" w:type="pct"/>
                  <w:noWrap w:val="0"/>
                  <w:vAlign w:val="center"/>
                </w:tcPr>
                <w:p>
                  <w:pPr>
                    <w:pStyle w:val="34"/>
                    <w:bidi w:val="0"/>
                    <w:rPr>
                      <w:rFonts w:hint="default"/>
                      <w:highlight w:val="none"/>
                      <w:lang w:val="en-US" w:eastAsia="zh-CN"/>
                    </w:rPr>
                  </w:pPr>
                  <w:r>
                    <w:rPr>
                      <w:rFonts w:hint="eastAsia"/>
                      <w:highlight w:val="none"/>
                      <w:lang w:val="en-US" w:eastAsia="zh-CN"/>
                    </w:rPr>
                    <w:t>/</w:t>
                  </w:r>
                </w:p>
              </w:tc>
              <w:tc>
                <w:tcPr>
                  <w:tcW w:w="1263" w:type="pct"/>
                  <w:vMerge w:val="continue"/>
                  <w:noWrap w:val="0"/>
                  <w:vAlign w:val="center"/>
                </w:tcPr>
                <w:p>
                  <w:pPr>
                    <w:pStyle w:val="34"/>
                    <w:bidi w:val="0"/>
                    <w:rPr>
                      <w:rFonts w:hint="default"/>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409" w:type="pct"/>
                  <w:vMerge w:val="continue"/>
                  <w:noWrap w:val="0"/>
                  <w:vAlign w:val="center"/>
                </w:tcPr>
                <w:p>
                  <w:pPr>
                    <w:pStyle w:val="34"/>
                    <w:bidi w:val="0"/>
                    <w:rPr>
                      <w:rFonts w:hint="default"/>
                      <w:highlight w:val="none"/>
                      <w:lang w:val="en-US" w:eastAsia="zh-CN"/>
                    </w:rPr>
                  </w:pPr>
                </w:p>
              </w:tc>
              <w:tc>
                <w:tcPr>
                  <w:tcW w:w="1138" w:type="pct"/>
                  <w:noWrap w:val="0"/>
                  <w:vAlign w:val="center"/>
                </w:tcPr>
                <w:p>
                  <w:pPr>
                    <w:pStyle w:val="34"/>
                    <w:bidi w:val="0"/>
                    <w:rPr>
                      <w:rFonts w:hint="default"/>
                      <w:highlight w:val="none"/>
                      <w:lang w:val="en-US" w:eastAsia="zh-CN"/>
                    </w:rPr>
                  </w:pPr>
                  <w:r>
                    <w:rPr>
                      <w:rFonts w:hint="default"/>
                      <w:highlight w:val="none"/>
                      <w:lang w:val="en-US" w:eastAsia="zh-CN"/>
                    </w:rPr>
                    <w:t>废布袋</w:t>
                  </w:r>
                </w:p>
              </w:tc>
              <w:tc>
                <w:tcPr>
                  <w:tcW w:w="480"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SW59</w:t>
                  </w:r>
                </w:p>
              </w:tc>
              <w:tc>
                <w:tcPr>
                  <w:tcW w:w="791"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900-099-S59</w:t>
                  </w:r>
                </w:p>
              </w:tc>
              <w:tc>
                <w:tcPr>
                  <w:tcW w:w="502" w:type="pct"/>
                  <w:noWrap w:val="0"/>
                  <w:vAlign w:val="center"/>
                </w:tcPr>
                <w:p>
                  <w:pPr>
                    <w:pStyle w:val="34"/>
                    <w:bidi w:val="0"/>
                    <w:rPr>
                      <w:rFonts w:hint="default"/>
                      <w:highlight w:val="none"/>
                      <w:lang w:val="en-US" w:eastAsia="zh-CN"/>
                    </w:rPr>
                  </w:pPr>
                  <w:r>
                    <w:rPr>
                      <w:rFonts w:hint="eastAsia"/>
                      <w:highlight w:val="none"/>
                      <w:lang w:val="en-US" w:eastAsia="zh-CN"/>
                    </w:rPr>
                    <w:t>0.1</w:t>
                  </w:r>
                </w:p>
              </w:tc>
              <w:tc>
                <w:tcPr>
                  <w:tcW w:w="413" w:type="pct"/>
                  <w:noWrap w:val="0"/>
                  <w:vAlign w:val="center"/>
                </w:tcPr>
                <w:p>
                  <w:pPr>
                    <w:pStyle w:val="34"/>
                    <w:bidi w:val="0"/>
                    <w:rPr>
                      <w:rFonts w:hint="default"/>
                      <w:highlight w:val="none"/>
                      <w:lang w:val="en-US" w:eastAsia="zh-CN"/>
                    </w:rPr>
                  </w:pPr>
                  <w:r>
                    <w:rPr>
                      <w:rFonts w:hint="eastAsia"/>
                      <w:highlight w:val="none"/>
                      <w:lang w:val="en-US" w:eastAsia="zh-CN"/>
                    </w:rPr>
                    <w:t>/</w:t>
                  </w:r>
                </w:p>
              </w:tc>
              <w:tc>
                <w:tcPr>
                  <w:tcW w:w="1263" w:type="pct"/>
                  <w:noWrap w:val="0"/>
                  <w:vAlign w:val="center"/>
                </w:tcPr>
                <w:p>
                  <w:pPr>
                    <w:pStyle w:val="34"/>
                    <w:bidi w:val="0"/>
                    <w:rPr>
                      <w:rFonts w:hint="default"/>
                      <w:highlight w:val="none"/>
                      <w:lang w:val="en-US" w:eastAsia="zh-CN"/>
                    </w:rPr>
                  </w:pPr>
                  <w:r>
                    <w:rPr>
                      <w:rFonts w:hint="default"/>
                      <w:highlight w:val="none"/>
                      <w:lang w:val="en-US" w:eastAsia="zh-CN"/>
                    </w:rPr>
                    <w:t>定期由设备厂家进行回收处理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continue"/>
                  <w:noWrap w:val="0"/>
                  <w:vAlign w:val="center"/>
                </w:tcPr>
                <w:p>
                  <w:pPr>
                    <w:pStyle w:val="34"/>
                    <w:bidi w:val="0"/>
                    <w:rPr>
                      <w:rFonts w:hint="default"/>
                      <w:highlight w:val="none"/>
                      <w:lang w:val="en-US" w:eastAsia="zh-CN"/>
                    </w:rPr>
                  </w:pPr>
                </w:p>
              </w:tc>
              <w:tc>
                <w:tcPr>
                  <w:tcW w:w="1138" w:type="pct"/>
                  <w:noWrap w:val="0"/>
                  <w:vAlign w:val="center"/>
                </w:tcPr>
                <w:p>
                  <w:pPr>
                    <w:pStyle w:val="34"/>
                    <w:bidi w:val="0"/>
                    <w:rPr>
                      <w:rFonts w:hint="default"/>
                      <w:highlight w:val="none"/>
                      <w:lang w:val="en-US" w:eastAsia="zh-CN"/>
                    </w:rPr>
                  </w:pPr>
                  <w:r>
                    <w:rPr>
                      <w:rFonts w:hint="default"/>
                      <w:highlight w:val="none"/>
                      <w:lang w:val="en-US" w:eastAsia="zh-CN"/>
                    </w:rPr>
                    <w:t>沉淀池沉渣</w:t>
                  </w:r>
                </w:p>
              </w:tc>
              <w:tc>
                <w:tcPr>
                  <w:tcW w:w="480" w:type="pct"/>
                  <w:noWrap w:val="0"/>
                  <w:vAlign w:val="center"/>
                </w:tcPr>
                <w:p>
                  <w:pPr>
                    <w:pStyle w:val="40"/>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lang w:val="en-US" w:eastAsia="zh-CN"/>
                    </w:rPr>
                    <w:t>SW07</w:t>
                  </w:r>
                </w:p>
              </w:tc>
              <w:tc>
                <w:tcPr>
                  <w:tcW w:w="791" w:type="pct"/>
                  <w:noWrap w:val="0"/>
                  <w:vAlign w:val="center"/>
                </w:tcPr>
                <w:p>
                  <w:pPr>
                    <w:pStyle w:val="40"/>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lang w:val="en-US" w:eastAsia="zh-CN"/>
                    </w:rPr>
                    <w:t>900-099-S07</w:t>
                  </w:r>
                </w:p>
              </w:tc>
              <w:tc>
                <w:tcPr>
                  <w:tcW w:w="502" w:type="pct"/>
                  <w:noWrap w:val="0"/>
                  <w:vAlign w:val="center"/>
                </w:tcPr>
                <w:p>
                  <w:pPr>
                    <w:pStyle w:val="34"/>
                    <w:bidi w:val="0"/>
                    <w:rPr>
                      <w:rFonts w:hint="default"/>
                      <w:highlight w:val="none"/>
                      <w:lang w:val="en-US" w:eastAsia="zh-CN"/>
                    </w:rPr>
                  </w:pPr>
                  <w:r>
                    <w:rPr>
                      <w:rFonts w:hint="eastAsia"/>
                      <w:highlight w:val="none"/>
                      <w:lang w:val="en-US" w:eastAsia="zh-CN"/>
                    </w:rPr>
                    <w:t>0.2</w:t>
                  </w:r>
                </w:p>
              </w:tc>
              <w:tc>
                <w:tcPr>
                  <w:tcW w:w="413" w:type="pct"/>
                  <w:noWrap w:val="0"/>
                  <w:vAlign w:val="center"/>
                </w:tcPr>
                <w:p>
                  <w:pPr>
                    <w:pStyle w:val="34"/>
                    <w:bidi w:val="0"/>
                    <w:rPr>
                      <w:rFonts w:hint="default"/>
                      <w:highlight w:val="none"/>
                      <w:lang w:val="en-US" w:eastAsia="zh-CN"/>
                    </w:rPr>
                  </w:pPr>
                  <w:r>
                    <w:rPr>
                      <w:rFonts w:hint="eastAsia"/>
                      <w:highlight w:val="none"/>
                      <w:lang w:val="en-US" w:eastAsia="zh-CN"/>
                    </w:rPr>
                    <w:t>/</w:t>
                  </w:r>
                </w:p>
              </w:tc>
              <w:tc>
                <w:tcPr>
                  <w:tcW w:w="1263" w:type="pct"/>
                  <w:noWrap w:val="0"/>
                  <w:vAlign w:val="center"/>
                </w:tcPr>
                <w:p>
                  <w:pPr>
                    <w:pStyle w:val="34"/>
                    <w:bidi w:val="0"/>
                    <w:rPr>
                      <w:rFonts w:hint="default"/>
                      <w:highlight w:val="none"/>
                      <w:lang w:val="en-US" w:eastAsia="zh-CN"/>
                    </w:rPr>
                  </w:pPr>
                  <w:r>
                    <w:rPr>
                      <w:rFonts w:hint="default"/>
                      <w:highlight w:val="none"/>
                      <w:lang w:val="en-US" w:eastAsia="zh-CN"/>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09" w:type="pct"/>
                  <w:vMerge w:val="restart"/>
                  <w:noWrap w:val="0"/>
                  <w:vAlign w:val="center"/>
                </w:tcPr>
                <w:p>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危险废物</w:t>
                  </w:r>
                </w:p>
              </w:tc>
              <w:tc>
                <w:tcPr>
                  <w:tcW w:w="1138"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废润滑油</w:t>
                  </w:r>
                </w:p>
              </w:tc>
              <w:tc>
                <w:tcPr>
                  <w:tcW w:w="480"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default" w:cs="Times New Roman"/>
                      <w:highlight w:val="none"/>
                      <w:lang w:val="en-US" w:eastAsia="zh-CN"/>
                    </w:rPr>
                    <w:t>HW08</w:t>
                  </w:r>
                </w:p>
              </w:tc>
              <w:tc>
                <w:tcPr>
                  <w:tcW w:w="791"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default" w:cs="Times New Roman"/>
                      <w:highlight w:val="none"/>
                      <w:lang w:val="en-US" w:eastAsia="zh-CN"/>
                    </w:rPr>
                    <w:t>900-214-08</w:t>
                  </w:r>
                </w:p>
              </w:tc>
              <w:tc>
                <w:tcPr>
                  <w:tcW w:w="502"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0.5</w:t>
                  </w:r>
                </w:p>
              </w:tc>
              <w:tc>
                <w:tcPr>
                  <w:tcW w:w="413"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highlight w:val="none"/>
                      <w:lang w:val="en-US" w:eastAsia="zh-CN"/>
                    </w:rPr>
                  </w:pPr>
                  <w:r>
                    <w:rPr>
                      <w:rFonts w:hint="default" w:ascii="Times New Roman" w:hAnsi="Times New Roman" w:eastAsia="宋体" w:cs="Times New Roman"/>
                      <w:color w:val="000000"/>
                      <w:kern w:val="0"/>
                      <w:sz w:val="21"/>
                      <w:szCs w:val="21"/>
                      <w:highlight w:val="none"/>
                      <w:lang w:val="en-US" w:eastAsia="zh-CN" w:bidi="ar"/>
                    </w:rPr>
                    <w:t>T</w:t>
                  </w:r>
                  <w:r>
                    <w:rPr>
                      <w:rFonts w:hint="eastAsia"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I</w:t>
                  </w:r>
                </w:p>
              </w:tc>
              <w:tc>
                <w:tcPr>
                  <w:tcW w:w="1263" w:type="pct"/>
                  <w:vMerge w:val="restart"/>
                  <w:noWrap w:val="0"/>
                  <w:vAlign w:val="center"/>
                </w:tcPr>
                <w:p>
                  <w:pPr>
                    <w:keepNext w:val="0"/>
                    <w:keepLines w:val="0"/>
                    <w:suppressLineNumbers w:val="0"/>
                    <w:bidi w:val="0"/>
                    <w:spacing w:before="0" w:beforeAutospacing="0" w:after="0" w:afterAutospacing="0"/>
                    <w:ind w:left="0" w:leftChars="0" w:right="0" w:rightChars="0"/>
                    <w:jc w:val="center"/>
                    <w:rPr>
                      <w:rFonts w:hint="default"/>
                      <w:highlight w:val="none"/>
                      <w:lang w:val="en-US" w:eastAsia="zh-CN"/>
                    </w:rPr>
                  </w:pPr>
                  <w:r>
                    <w:rPr>
                      <w:rFonts w:hint="eastAsia" w:cs="Times New Roman"/>
                      <w:highlight w:val="none"/>
                      <w:lang w:val="en-US" w:eastAsia="zh-CN"/>
                    </w:rPr>
                    <w:t>暂存于危险废物暂存间，定期交由有资质单位进行无害化处置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9" w:type="pct"/>
                  <w:vMerge w:val="continue"/>
                  <w:noWrap w:val="0"/>
                  <w:vAlign w:val="center"/>
                </w:tcPr>
                <w:p>
                  <w:pPr>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p>
              </w:tc>
              <w:tc>
                <w:tcPr>
                  <w:tcW w:w="1138" w:type="pct"/>
                  <w:noWrap w:val="0"/>
                  <w:vAlign w:val="center"/>
                </w:tcPr>
                <w:p>
                  <w:pPr>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r>
                    <w:rPr>
                      <w:rFonts w:hint="eastAsia" w:cs="Times New Roman"/>
                      <w:highlight w:val="none"/>
                      <w:lang w:val="en-US" w:eastAsia="zh-CN"/>
                    </w:rPr>
                    <w:t>废润滑油桶</w:t>
                  </w:r>
                </w:p>
              </w:tc>
              <w:tc>
                <w:tcPr>
                  <w:tcW w:w="480"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cs="Times New Roman"/>
                      <w:highlight w:val="none"/>
                      <w:lang w:val="en-US" w:eastAsia="zh-CN"/>
                    </w:rPr>
                  </w:pPr>
                  <w:r>
                    <w:rPr>
                      <w:rFonts w:hint="default" w:cs="Times New Roman"/>
                      <w:highlight w:val="none"/>
                      <w:lang w:val="en-US" w:eastAsia="zh-CN"/>
                    </w:rPr>
                    <w:t>HW08</w:t>
                  </w:r>
                </w:p>
              </w:tc>
              <w:tc>
                <w:tcPr>
                  <w:tcW w:w="791"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900-249-08</w:t>
                  </w:r>
                </w:p>
              </w:tc>
              <w:tc>
                <w:tcPr>
                  <w:tcW w:w="502" w:type="pct"/>
                  <w:noWrap w:val="0"/>
                  <w:vAlign w:val="center"/>
                </w:tcPr>
                <w:p>
                  <w:pPr>
                    <w:keepNext w:val="0"/>
                    <w:keepLines w:val="0"/>
                    <w:suppressLineNumbers w:val="0"/>
                    <w:bidi w:val="0"/>
                    <w:spacing w:before="0" w:beforeAutospacing="0" w:after="0" w:afterAutospacing="0"/>
                    <w:ind w:left="0" w:leftChars="0" w:right="0" w:rightChars="0"/>
                    <w:jc w:val="center"/>
                    <w:rPr>
                      <w:rFonts w:hint="default" w:cs="Times New Roman"/>
                      <w:highlight w:val="none"/>
                      <w:lang w:val="en-US" w:eastAsia="zh-CN"/>
                    </w:rPr>
                  </w:pPr>
                  <w:r>
                    <w:rPr>
                      <w:rFonts w:hint="eastAsia" w:cs="Times New Roman"/>
                      <w:highlight w:val="none"/>
                      <w:lang w:val="en-US" w:eastAsia="zh-CN"/>
                    </w:rPr>
                    <w:t>0.005</w:t>
                  </w:r>
                </w:p>
              </w:tc>
              <w:tc>
                <w:tcPr>
                  <w:tcW w:w="413" w:type="pct"/>
                  <w:noWrap w:val="0"/>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T</w:t>
                  </w:r>
                  <w:r>
                    <w:rPr>
                      <w:rFonts w:hint="eastAsia"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I</w:t>
                  </w:r>
                </w:p>
              </w:tc>
              <w:tc>
                <w:tcPr>
                  <w:tcW w:w="1263" w:type="pct"/>
                  <w:vMerge w:val="continue"/>
                  <w:noWrap w:val="0"/>
                  <w:vAlign w:val="center"/>
                </w:tcPr>
                <w:p>
                  <w:pPr>
                    <w:keepNext w:val="0"/>
                    <w:keepLines w:val="0"/>
                    <w:suppressLineNumbers w:val="0"/>
                    <w:bidi w:val="0"/>
                    <w:spacing w:before="0" w:beforeAutospacing="0" w:after="0" w:afterAutospacing="0"/>
                    <w:ind w:left="0" w:leftChars="0" w:right="0" w:rightChars="0"/>
                    <w:jc w:val="center"/>
                    <w:rPr>
                      <w:rFonts w:hint="eastAsia" w:cs="Times New Roman"/>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jc w:val="center"/>
              </w:trPr>
              <w:tc>
                <w:tcPr>
                  <w:tcW w:w="409" w:type="pct"/>
                  <w:noWrap w:val="0"/>
                  <w:vAlign w:val="center"/>
                </w:tcPr>
                <w:p>
                  <w:pPr>
                    <w:pStyle w:val="34"/>
                    <w:bidi w:val="0"/>
                    <w:rPr>
                      <w:rFonts w:hint="default"/>
                      <w:highlight w:val="none"/>
                      <w:lang w:val="en-US" w:eastAsia="zh-CN"/>
                    </w:rPr>
                  </w:pPr>
                  <w:r>
                    <w:rPr>
                      <w:rFonts w:hint="default"/>
                      <w:highlight w:val="none"/>
                      <w:lang w:val="en-US" w:eastAsia="zh-CN"/>
                    </w:rPr>
                    <w:t>生活垃圾</w:t>
                  </w:r>
                </w:p>
              </w:tc>
              <w:tc>
                <w:tcPr>
                  <w:tcW w:w="1138" w:type="pct"/>
                  <w:noWrap w:val="0"/>
                  <w:vAlign w:val="center"/>
                </w:tcPr>
                <w:p>
                  <w:pPr>
                    <w:pStyle w:val="34"/>
                    <w:bidi w:val="0"/>
                    <w:rPr>
                      <w:rFonts w:hint="default"/>
                      <w:highlight w:val="none"/>
                      <w:lang w:val="en-US" w:eastAsia="zh-CN"/>
                    </w:rPr>
                  </w:pPr>
                  <w:r>
                    <w:rPr>
                      <w:rFonts w:hint="default"/>
                      <w:highlight w:val="none"/>
                      <w:lang w:val="en-US" w:eastAsia="zh-CN"/>
                    </w:rPr>
                    <w:t>生活垃圾</w:t>
                  </w:r>
                </w:p>
              </w:tc>
              <w:tc>
                <w:tcPr>
                  <w:tcW w:w="480" w:type="pct"/>
                  <w:noWrap w:val="0"/>
                  <w:vAlign w:val="center"/>
                </w:tcPr>
                <w:p>
                  <w:pPr>
                    <w:pStyle w:val="34"/>
                    <w:bidi w:val="0"/>
                    <w:rPr>
                      <w:rFonts w:hint="default"/>
                      <w:highlight w:val="none"/>
                      <w:lang w:val="en-US" w:eastAsia="zh-CN"/>
                    </w:rPr>
                  </w:pPr>
                  <w:r>
                    <w:rPr>
                      <w:rFonts w:hint="default"/>
                      <w:highlight w:val="none"/>
                      <w:lang w:val="en-US" w:eastAsia="zh-CN"/>
                    </w:rPr>
                    <w:t>SW61</w:t>
                  </w:r>
                </w:p>
                <w:p>
                  <w:pPr>
                    <w:pStyle w:val="34"/>
                    <w:bidi w:val="0"/>
                    <w:rPr>
                      <w:rFonts w:hint="default"/>
                      <w:highlight w:val="none"/>
                      <w:lang w:val="en-US" w:eastAsia="zh-CN"/>
                    </w:rPr>
                  </w:pPr>
                  <w:r>
                    <w:rPr>
                      <w:rFonts w:hint="default"/>
                      <w:highlight w:val="none"/>
                      <w:lang w:val="en-US" w:eastAsia="zh-CN"/>
                    </w:rPr>
                    <w:t>SW62</w:t>
                  </w:r>
                </w:p>
              </w:tc>
              <w:tc>
                <w:tcPr>
                  <w:tcW w:w="791" w:type="pct"/>
                  <w:noWrap w:val="0"/>
                  <w:vAlign w:val="center"/>
                </w:tcPr>
                <w:p>
                  <w:pPr>
                    <w:pStyle w:val="34"/>
                    <w:bidi w:val="0"/>
                    <w:rPr>
                      <w:rFonts w:hint="default"/>
                      <w:highlight w:val="none"/>
                      <w:lang w:val="en-US" w:eastAsia="zh-CN"/>
                    </w:rPr>
                  </w:pPr>
                  <w:r>
                    <w:rPr>
                      <w:rFonts w:hint="default"/>
                      <w:highlight w:val="none"/>
                      <w:lang w:val="en-US" w:eastAsia="zh-CN"/>
                    </w:rPr>
                    <w:t>900-001-S61</w:t>
                  </w:r>
                </w:p>
                <w:p>
                  <w:pPr>
                    <w:pStyle w:val="34"/>
                    <w:bidi w:val="0"/>
                    <w:rPr>
                      <w:rFonts w:hint="default"/>
                      <w:highlight w:val="none"/>
                      <w:lang w:val="en-US" w:eastAsia="zh-CN"/>
                    </w:rPr>
                  </w:pPr>
                  <w:r>
                    <w:rPr>
                      <w:rFonts w:hint="default"/>
                      <w:highlight w:val="none"/>
                      <w:lang w:val="en-US" w:eastAsia="zh-CN"/>
                    </w:rPr>
                    <w:t>900-001-S62</w:t>
                  </w:r>
                </w:p>
                <w:p>
                  <w:pPr>
                    <w:pStyle w:val="34"/>
                    <w:bidi w:val="0"/>
                    <w:rPr>
                      <w:rFonts w:hint="default"/>
                      <w:highlight w:val="none"/>
                      <w:lang w:val="en-US" w:eastAsia="zh-CN"/>
                    </w:rPr>
                  </w:pPr>
                  <w:r>
                    <w:rPr>
                      <w:rFonts w:hint="default"/>
                      <w:highlight w:val="none"/>
                      <w:lang w:val="en-US" w:eastAsia="zh-CN"/>
                    </w:rPr>
                    <w:t>900-002-S62</w:t>
                  </w:r>
                </w:p>
              </w:tc>
              <w:tc>
                <w:tcPr>
                  <w:tcW w:w="502" w:type="pct"/>
                  <w:noWrap w:val="0"/>
                  <w:vAlign w:val="center"/>
                </w:tcPr>
                <w:p>
                  <w:pPr>
                    <w:pStyle w:val="34"/>
                    <w:bidi w:val="0"/>
                    <w:rPr>
                      <w:rFonts w:hint="default"/>
                      <w:highlight w:val="none"/>
                      <w:lang w:val="en-US" w:eastAsia="zh-CN"/>
                    </w:rPr>
                  </w:pPr>
                  <w:r>
                    <w:rPr>
                      <w:rFonts w:hint="eastAsia"/>
                      <w:highlight w:val="none"/>
                      <w:lang w:val="en-US" w:eastAsia="zh-CN"/>
                    </w:rPr>
                    <w:t>0.9</w:t>
                  </w:r>
                </w:p>
              </w:tc>
              <w:tc>
                <w:tcPr>
                  <w:tcW w:w="413" w:type="pct"/>
                  <w:noWrap w:val="0"/>
                  <w:vAlign w:val="center"/>
                </w:tcPr>
                <w:p>
                  <w:pPr>
                    <w:pStyle w:val="34"/>
                    <w:bidi w:val="0"/>
                    <w:rPr>
                      <w:rFonts w:hint="default"/>
                      <w:highlight w:val="none"/>
                      <w:lang w:val="en-US" w:eastAsia="zh-CN"/>
                    </w:rPr>
                  </w:pPr>
                  <w:r>
                    <w:rPr>
                      <w:rFonts w:hint="default"/>
                      <w:highlight w:val="none"/>
                      <w:lang w:val="en-US" w:eastAsia="zh-CN"/>
                    </w:rPr>
                    <w:t>/</w:t>
                  </w:r>
                </w:p>
              </w:tc>
              <w:tc>
                <w:tcPr>
                  <w:tcW w:w="1263" w:type="pct"/>
                  <w:noWrap w:val="0"/>
                  <w:vAlign w:val="center"/>
                </w:tcPr>
                <w:p>
                  <w:pPr>
                    <w:pStyle w:val="34"/>
                    <w:bidi w:val="0"/>
                    <w:rPr>
                      <w:rFonts w:hint="default"/>
                      <w:highlight w:val="none"/>
                      <w:lang w:val="en-US" w:eastAsia="zh-CN"/>
                    </w:rPr>
                  </w:pPr>
                  <w:r>
                    <w:rPr>
                      <w:rFonts w:hint="default"/>
                      <w:highlight w:val="none"/>
                      <w:lang w:val="en-US" w:eastAsia="zh-CN"/>
                    </w:rPr>
                    <w:t>交环卫部门定时清运处理</w:t>
                  </w:r>
                </w:p>
              </w:tc>
            </w:tr>
          </w:tbl>
          <w:p>
            <w:pPr>
              <w:pStyle w:val="3"/>
              <w:bidi w:val="0"/>
              <w:rPr>
                <w:rFonts w:hint="default"/>
                <w:lang w:val="en-US" w:eastAsia="zh-CN"/>
              </w:rPr>
            </w:pPr>
            <w:r>
              <w:rPr>
                <w:rFonts w:hint="default"/>
                <w:lang w:val="en-US" w:eastAsia="zh-CN"/>
              </w:rPr>
              <w:t>4.2危险固废包装及储存场所环境影响分析</w:t>
            </w:r>
          </w:p>
          <w:p>
            <w:pPr>
              <w:pStyle w:val="8"/>
              <w:bidi w:val="0"/>
              <w:rPr>
                <w:rFonts w:hint="default"/>
                <w:lang w:val="en-US" w:eastAsia="zh-CN"/>
              </w:rPr>
            </w:pPr>
            <w:r>
              <w:rPr>
                <w:rFonts w:hint="default"/>
                <w:lang w:val="en-US" w:eastAsia="zh-CN"/>
              </w:rPr>
              <w:t>厂区拟建一座10m</w:t>
            </w:r>
            <w:r>
              <w:rPr>
                <w:rFonts w:hint="default"/>
                <w:vertAlign w:val="superscript"/>
                <w:lang w:val="en-US" w:eastAsia="zh-CN"/>
              </w:rPr>
              <w:t>2</w:t>
            </w:r>
            <w:r>
              <w:rPr>
                <w:rFonts w:hint="default"/>
                <w:lang w:val="en-US" w:eastAsia="zh-CN"/>
              </w:rPr>
              <w:t>危险废物</w:t>
            </w:r>
            <w:r>
              <w:rPr>
                <w:rFonts w:hint="eastAsia"/>
                <w:lang w:val="en-US" w:eastAsia="zh-CN"/>
              </w:rPr>
              <w:t>暂</w:t>
            </w:r>
            <w:r>
              <w:rPr>
                <w:rFonts w:hint="default"/>
                <w:lang w:val="en-US" w:eastAsia="zh-CN"/>
              </w:rPr>
              <w:t>存间用于危险废物的收集暂存。厂区产生的固体废物将按环评提出的污染防治措施进行收集、暂存、处置或利用。</w:t>
            </w:r>
          </w:p>
          <w:p>
            <w:pPr>
              <w:pStyle w:val="8"/>
              <w:bidi w:val="0"/>
              <w:rPr>
                <w:rFonts w:hint="default"/>
                <w:lang w:val="en-US" w:eastAsia="zh-CN"/>
              </w:rPr>
            </w:pPr>
            <w:r>
              <w:rPr>
                <w:rFonts w:hint="default"/>
                <w:lang w:val="en-US" w:eastAsia="zh-CN"/>
              </w:rPr>
              <w:t>（1）危险废物运行环境管理要求</w:t>
            </w:r>
          </w:p>
          <w:p>
            <w:pPr>
              <w:pStyle w:val="8"/>
              <w:bidi w:val="0"/>
              <w:rPr>
                <w:rFonts w:hint="default"/>
                <w:lang w:val="en-US" w:eastAsia="zh-CN"/>
              </w:rPr>
            </w:pPr>
            <w:r>
              <w:rPr>
                <w:rFonts w:hint="default"/>
                <w:lang w:val="en-US" w:eastAsia="zh-CN"/>
              </w:rPr>
              <w:t>危险废物临时存放于指定的危废暂存间，不得露天堆放，危险废物的地坪要符合防腐防渗要求，避免产生渗透、雨水淋溶</w:t>
            </w:r>
            <w:r>
              <w:rPr>
                <w:rFonts w:hint="eastAsia"/>
                <w:lang w:val="en-US" w:eastAsia="zh-CN"/>
              </w:rPr>
              <w:t>、</w:t>
            </w:r>
            <w:r>
              <w:rPr>
                <w:rFonts w:hint="default"/>
                <w:lang w:val="en-US" w:eastAsia="zh-CN"/>
              </w:rPr>
              <w:t>大风吹扬等二次污染；危废暂存间的设置须满足《危险废物贮存污染控制标准》（GB18597-2023）、《危险废物收集贮存 运输技术规范》（HJ2025-2012）中相关要求。</w:t>
            </w:r>
          </w:p>
          <w:p>
            <w:pPr>
              <w:pStyle w:val="8"/>
              <w:keepNext w:val="0"/>
              <w:keepLines w:val="0"/>
              <w:pageBreakBefore w:val="0"/>
              <w:widowControl/>
              <w:kinsoku/>
              <w:wordWrap w:val="0"/>
              <w:overflowPunct/>
              <w:topLinePunct w:val="0"/>
              <w:autoSpaceDE/>
              <w:autoSpaceDN/>
              <w:bidi w:val="0"/>
              <w:adjustRightInd/>
              <w:snapToGrid w:val="0"/>
              <w:textAlignment w:val="auto"/>
              <w:rPr>
                <w:rFonts w:hint="default"/>
                <w:lang w:val="en-US" w:eastAsia="zh-CN"/>
              </w:rPr>
            </w:pPr>
            <w:r>
              <w:rPr>
                <w:rFonts w:hint="default"/>
                <w:lang w:val="en-US" w:eastAsia="zh-CN"/>
              </w:rPr>
              <w:t>①危险废物</w:t>
            </w:r>
            <w:r>
              <w:rPr>
                <w:rFonts w:hint="eastAsia"/>
                <w:lang w:val="en-US" w:eastAsia="zh-CN"/>
              </w:rPr>
              <w:t>暂</w:t>
            </w:r>
            <w:r>
              <w:rPr>
                <w:rFonts w:hint="default"/>
                <w:lang w:val="en-US" w:eastAsia="zh-CN"/>
              </w:rPr>
              <w:t>存间应按照《危险废物贮存污染控制标准》（GB18597-2023）的要求进行建设，贮存的危险废物直接接触地面的，还应进行基础防渗，防渗层为至少1m厚黏土层（渗透系数不大于10</w:t>
            </w:r>
            <w:r>
              <w:rPr>
                <w:rFonts w:hint="default"/>
                <w:vertAlign w:val="superscript"/>
                <w:lang w:val="en-US" w:eastAsia="zh-CN"/>
              </w:rPr>
              <w:t>-7</w:t>
            </w:r>
            <w:r>
              <w:rPr>
                <w:rFonts w:hint="default"/>
                <w:lang w:val="en-US" w:eastAsia="zh-CN"/>
              </w:rPr>
              <w:t>cm/s），或至少2mm厚高密度聚乙烯膜等人工防渗材料（渗透系数不大于10</w:t>
            </w:r>
            <w:r>
              <w:rPr>
                <w:rFonts w:hint="default"/>
                <w:vertAlign w:val="superscript"/>
                <w:lang w:val="en-US" w:eastAsia="zh-CN"/>
              </w:rPr>
              <w:t>-10</w:t>
            </w:r>
            <w:r>
              <w:rPr>
                <w:rFonts w:hint="default"/>
                <w:lang w:val="en-US" w:eastAsia="zh-CN"/>
              </w:rPr>
              <w:t>cm/s），或其他防渗性能等效的材料。</w:t>
            </w:r>
          </w:p>
          <w:p>
            <w:pPr>
              <w:pStyle w:val="8"/>
              <w:bidi w:val="0"/>
              <w:rPr>
                <w:rFonts w:hint="default"/>
                <w:lang w:val="en-US" w:eastAsia="zh-CN"/>
              </w:rPr>
            </w:pPr>
            <w:r>
              <w:rPr>
                <w:rFonts w:hint="default"/>
                <w:lang w:val="en-US" w:eastAsia="zh-CN"/>
              </w:rPr>
              <w:t>②应定期检查危险废物的贮存状况，及时清理贮存设施地面，更换破损泄漏的危险废物贮存容器和包装物，保证堆存危险废物的防雨、防风、防扬尘等设施功能完好。</w:t>
            </w:r>
          </w:p>
          <w:p>
            <w:pPr>
              <w:pStyle w:val="8"/>
              <w:bidi w:val="0"/>
              <w:rPr>
                <w:rFonts w:hint="default"/>
                <w:lang w:val="en-US" w:eastAsia="zh-CN"/>
              </w:rPr>
            </w:pPr>
            <w:r>
              <w:rPr>
                <w:rFonts w:hint="default"/>
                <w:lang w:val="en-US" w:eastAsia="zh-CN"/>
              </w:rPr>
              <w:t>③作业设备及车辆等结束作业离开贮存设施时，应对其残留的危险废物进行清理，清理的废物或清洗废水应收集处理。</w:t>
            </w:r>
          </w:p>
          <w:p>
            <w:pPr>
              <w:pStyle w:val="8"/>
              <w:bidi w:val="0"/>
              <w:rPr>
                <w:rFonts w:hint="default"/>
                <w:lang w:val="en-US" w:eastAsia="zh-CN"/>
              </w:rPr>
            </w:pPr>
            <w:r>
              <w:rPr>
                <w:rFonts w:hint="default"/>
                <w:lang w:val="en-US" w:eastAsia="zh-CN"/>
              </w:rPr>
              <w:t>④贮存设施运行期间，应按国家有关标准和规定建立危险废物管理台账并保存。</w:t>
            </w:r>
          </w:p>
          <w:p>
            <w:pPr>
              <w:pStyle w:val="8"/>
              <w:bidi w:val="0"/>
              <w:rPr>
                <w:rFonts w:hint="default"/>
                <w:lang w:val="en-US" w:eastAsia="zh-CN"/>
              </w:rPr>
            </w:pPr>
            <w:r>
              <w:rPr>
                <w:rFonts w:hint="default"/>
                <w:lang w:val="en-US" w:eastAsia="zh-CN"/>
              </w:rPr>
              <w:t>⑤贮存设施所有者或运营者应建立贮存设施环境管理制度、管理人员岗位职责制度、设施运行操作制度、人员岗位培训制度等。</w:t>
            </w:r>
          </w:p>
          <w:p>
            <w:pPr>
              <w:pStyle w:val="8"/>
              <w:bidi w:val="0"/>
              <w:rPr>
                <w:rFonts w:hint="default"/>
                <w:lang w:val="en-US" w:eastAsia="zh-CN"/>
              </w:rPr>
            </w:pPr>
            <w:r>
              <w:rPr>
                <w:rFonts w:hint="default"/>
                <w:lang w:val="en-US" w:eastAsia="zh-CN"/>
              </w:rPr>
              <w:t>（2）危险废物转运要求</w:t>
            </w:r>
          </w:p>
          <w:p>
            <w:pPr>
              <w:pStyle w:val="8"/>
              <w:bidi w:val="0"/>
              <w:rPr>
                <w:rFonts w:hint="default"/>
                <w:lang w:val="en-US" w:eastAsia="zh-CN"/>
              </w:rPr>
            </w:pPr>
            <w:r>
              <w:rPr>
                <w:rFonts w:hint="default"/>
                <w:lang w:val="en-US" w:eastAsia="zh-CN"/>
              </w:rPr>
              <w:t>根据《危险废物转移管理办法》（2021年11月30日生态环境部、公安部、交通运输部令第23号公布 自2022年1月1日起施行）可知，危险废物转移应当遵循就近原则，转移危险废物的，应当执行危险废物转移联单制度，并依照国家有关规定公开危险废物转移相关污染环境防治信息。运输危险废物的，应当遵守国家有关危险货物运输管理的规定。未经公安机关批准，危险废物运输车辆不得进入危险货物运输车辆限制通行的区域。</w:t>
            </w:r>
          </w:p>
          <w:p>
            <w:pPr>
              <w:pStyle w:val="8"/>
              <w:bidi w:val="0"/>
              <w:rPr>
                <w:rFonts w:hint="default"/>
                <w:lang w:val="en-US" w:eastAsia="zh-CN"/>
              </w:rPr>
            </w:pPr>
            <w:r>
              <w:rPr>
                <w:rFonts w:hint="default"/>
                <w:lang w:val="en-US" w:eastAsia="zh-CN"/>
              </w:rPr>
              <w:t>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pPr>
              <w:pStyle w:val="8"/>
              <w:bidi w:val="0"/>
              <w:rPr>
                <w:rFonts w:hint="default"/>
                <w:lang w:val="en-US" w:eastAsia="zh-CN"/>
              </w:rPr>
            </w:pPr>
            <w:r>
              <w:rPr>
                <w:rFonts w:hint="default"/>
                <w:lang w:val="en-US" w:eastAsia="zh-CN"/>
              </w:rPr>
              <w:t>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pPr>
              <w:pStyle w:val="3"/>
              <w:bidi w:val="0"/>
              <w:rPr>
                <w:rFonts w:hint="default"/>
                <w:lang w:val="en-US" w:eastAsia="zh-CN"/>
              </w:rPr>
            </w:pPr>
            <w:r>
              <w:rPr>
                <w:rFonts w:hint="default"/>
                <w:lang w:val="en-US" w:eastAsia="zh-CN"/>
              </w:rPr>
              <w:t>5.地下水、土壤环境影响和保护措施</w:t>
            </w:r>
          </w:p>
          <w:p>
            <w:pPr>
              <w:pStyle w:val="8"/>
              <w:bidi w:val="0"/>
            </w:pPr>
            <w:r>
              <w:t>本项目</w:t>
            </w:r>
            <w:r>
              <w:rPr>
                <w:rFonts w:hint="eastAsia"/>
              </w:rPr>
              <w:t>正常工况下不存在污染途径，</w:t>
            </w:r>
            <w:r>
              <w:rPr>
                <w:rFonts w:hint="eastAsia"/>
                <w:lang w:eastAsia="zh-CN"/>
              </w:rPr>
              <w:t>非正常</w:t>
            </w:r>
            <w:r>
              <w:rPr>
                <w:rFonts w:hint="eastAsia"/>
              </w:rPr>
              <w:t>工况下</w:t>
            </w:r>
            <w:r>
              <w:t>可能对地下水</w:t>
            </w:r>
            <w:r>
              <w:rPr>
                <w:rFonts w:hint="eastAsia"/>
                <w:lang w:eastAsia="zh-CN"/>
              </w:rPr>
              <w:t>、</w:t>
            </w:r>
            <w:r>
              <w:rPr>
                <w:rFonts w:hint="eastAsia"/>
                <w:lang w:val="en-US" w:eastAsia="zh-CN"/>
              </w:rPr>
              <w:t>土壤</w:t>
            </w:r>
            <w:r>
              <w:t>环境产生的影响为生活</w:t>
            </w:r>
            <w:r>
              <w:rPr>
                <w:rFonts w:hint="eastAsia"/>
              </w:rPr>
              <w:t>污水收集处置</w:t>
            </w:r>
            <w:r>
              <w:t>过程中未做好地下水污染防护措施</w:t>
            </w:r>
            <w:r>
              <w:rPr>
                <w:rFonts w:hint="eastAsia"/>
              </w:rPr>
              <w:t>及危险废物泄漏</w:t>
            </w:r>
            <w:r>
              <w:t>，防治地下水</w:t>
            </w:r>
            <w:r>
              <w:rPr>
                <w:rFonts w:hint="eastAsia"/>
                <w:lang w:eastAsia="zh-CN"/>
              </w:rPr>
              <w:t>、</w:t>
            </w:r>
            <w:r>
              <w:rPr>
                <w:rFonts w:hint="eastAsia"/>
                <w:lang w:val="en-US" w:eastAsia="zh-CN"/>
              </w:rPr>
              <w:t>土壤</w:t>
            </w:r>
            <w:r>
              <w:t>污染控制措施的原则如下：</w:t>
            </w:r>
          </w:p>
          <w:p>
            <w:pPr>
              <w:pStyle w:val="8"/>
              <w:bidi w:val="0"/>
            </w:pPr>
            <w:r>
              <w:t>（1）主动控制即源头控制措施，主要包括在废水管道、设备、污水储存采取相应措施，防止和降低污水处理站及污水收集、排放管道的滴、漏，将污染物泄漏的环境风险事故降到最低程度。</w:t>
            </w:r>
          </w:p>
          <w:p>
            <w:pPr>
              <w:pStyle w:val="8"/>
              <w:bidi w:val="0"/>
            </w:pPr>
            <w:r>
              <w:t>（2）被动控制即末端控制措施，主要包括</w:t>
            </w:r>
            <w:r>
              <w:rPr>
                <w:rFonts w:hint="eastAsia"/>
              </w:rPr>
              <w:t>防渗化粪池、危废暂存间</w:t>
            </w:r>
            <w:r>
              <w:t>的防渗措施和泄漏、渗漏污染物收集措施，即在废水处理收集、储存</w:t>
            </w:r>
            <w:r>
              <w:rPr>
                <w:rFonts w:hint="eastAsia"/>
                <w:lang w:val="en-US" w:eastAsia="zh-CN"/>
              </w:rPr>
              <w:t>区</w:t>
            </w:r>
            <w:r>
              <w:t>进行防渗处理，防止污染物渗入地下。</w:t>
            </w:r>
          </w:p>
          <w:p>
            <w:pPr>
              <w:pStyle w:val="8"/>
              <w:bidi w:val="0"/>
            </w:pPr>
            <w:r>
              <w:t>根据以上原则，本项目地下水污染的控制措施为：</w:t>
            </w:r>
            <w:r>
              <w:rPr>
                <w:rFonts w:hint="eastAsia"/>
              </w:rPr>
              <w:t>危险废物暂存间作</w:t>
            </w:r>
            <w:r>
              <w:t>为重点防渗区，</w:t>
            </w:r>
            <w:r>
              <w:rPr>
                <w:rFonts w:hint="eastAsia"/>
              </w:rPr>
              <w:t>按照《环境影响评价技术导则 地下水环境》（HJ 610-2016）</w:t>
            </w:r>
            <w:r>
              <w:t>要求制定防渗措施</w:t>
            </w:r>
            <w:r>
              <w:rPr>
                <w:rFonts w:hint="eastAsia"/>
              </w:rPr>
              <w:t>，重点防渗区</w:t>
            </w:r>
            <w:r>
              <w:t>地面硬化处理并设防渗层，确保等效黏土防渗层Mb≥6.0m，渗透系数K≤1.0×10</w:t>
            </w:r>
            <w:r>
              <w:rPr>
                <w:vertAlign w:val="superscript"/>
              </w:rPr>
              <w:t>-</w:t>
            </w:r>
            <w:r>
              <w:rPr>
                <w:rFonts w:hint="eastAsia"/>
                <w:vertAlign w:val="superscript"/>
              </w:rPr>
              <w:t>7</w:t>
            </w:r>
            <w:r>
              <w:t>cm/s</w:t>
            </w:r>
            <w:r>
              <w:rPr>
                <w:rFonts w:hint="eastAsia"/>
              </w:rPr>
              <w:t>，危险废物暂存间防渗要求同时满足《危险废物贮存污染控制标准》（GB18597-20</w:t>
            </w:r>
            <w:r>
              <w:rPr>
                <w:rFonts w:hint="eastAsia"/>
                <w:lang w:val="en-US" w:eastAsia="zh-CN"/>
              </w:rPr>
              <w:t>23</w:t>
            </w:r>
            <w:r>
              <w:rPr>
                <w:rFonts w:hint="eastAsia"/>
              </w:rPr>
              <w:t>）：基础防渗层至少为1m厚黏土层（渗透系数≤</w:t>
            </w:r>
            <w:r>
              <w:t>1.0×10</w:t>
            </w:r>
            <w:r>
              <w:rPr>
                <w:vertAlign w:val="superscript"/>
              </w:rPr>
              <w:t>-</w:t>
            </w:r>
            <w:r>
              <w:rPr>
                <w:rFonts w:hint="eastAsia"/>
                <w:vertAlign w:val="superscript"/>
              </w:rPr>
              <w:t>7</w:t>
            </w:r>
            <w:r>
              <w:t>cm/s</w:t>
            </w:r>
            <w:r>
              <w:rPr>
                <w:rFonts w:hint="eastAsia"/>
              </w:rPr>
              <w:t>），或2mm厚高密度聚乙烯，或至少2mm厚的其他人工材料，渗透系数≤</w:t>
            </w:r>
            <w:r>
              <w:t>1.0×10</w:t>
            </w:r>
            <w:r>
              <w:rPr>
                <w:vertAlign w:val="superscript"/>
              </w:rPr>
              <w:t>-</w:t>
            </w:r>
            <w:r>
              <w:rPr>
                <w:rFonts w:hint="eastAsia"/>
                <w:vertAlign w:val="superscript"/>
              </w:rPr>
              <w:t>10</w:t>
            </w:r>
            <w:r>
              <w:t>cm/s。</w:t>
            </w:r>
          </w:p>
          <w:p>
            <w:pPr>
              <w:pStyle w:val="8"/>
              <w:bidi w:val="0"/>
            </w:pPr>
            <w:r>
              <w:rPr>
                <w:rFonts w:hint="eastAsia"/>
              </w:rPr>
              <w:t>生产车间</w:t>
            </w:r>
            <w:r>
              <w:t>为一般防渗，严格按照</w:t>
            </w:r>
            <w:r>
              <w:rPr>
                <w:rFonts w:hint="eastAsia"/>
              </w:rPr>
              <w:t>《环境影响评价技术导则 地下水环境》（HJ 610-2016）</w:t>
            </w:r>
            <w:r>
              <w:t>要求制定防渗措施；地面硬化处理设防渗层，可使一般防渗区域的等效黏土防渗层Mb≥</w:t>
            </w:r>
            <w:r>
              <w:rPr>
                <w:rFonts w:hint="eastAsia"/>
              </w:rPr>
              <w:t>1.5</w:t>
            </w:r>
            <w:r>
              <w:t>m，渗透系数K≤</w:t>
            </w:r>
            <w:r>
              <w:rPr>
                <w:rFonts w:hint="eastAsia"/>
              </w:rPr>
              <w:t>1</w:t>
            </w:r>
            <w:r>
              <w:t>×10</w:t>
            </w:r>
            <w:r>
              <w:rPr>
                <w:vertAlign w:val="superscript"/>
              </w:rPr>
              <w:t>-</w:t>
            </w:r>
            <w:r>
              <w:rPr>
                <w:rFonts w:hint="eastAsia"/>
                <w:vertAlign w:val="superscript"/>
              </w:rPr>
              <w:t>7</w:t>
            </w:r>
            <w:r>
              <w:t>cm/s。</w:t>
            </w:r>
          </w:p>
          <w:p>
            <w:pPr>
              <w:pStyle w:val="36"/>
              <w:bidi w:val="0"/>
            </w:pPr>
            <w:r>
              <w:t>表</w:t>
            </w:r>
            <w:r>
              <w:rPr>
                <w:rFonts w:hint="eastAsia"/>
                <w:lang w:val="en-US" w:eastAsia="zh-CN"/>
              </w:rPr>
              <w:t>4-12</w:t>
            </w:r>
            <w:r>
              <w:t xml:space="preserve">    分区防渗情况一览表</w:t>
            </w:r>
          </w:p>
          <w:tbl>
            <w:tblPr>
              <w:tblStyle w:val="19"/>
              <w:tblW w:w="4998"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1"/>
              <w:gridCol w:w="1935"/>
              <w:gridCol w:w="1551"/>
              <w:gridCol w:w="42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407" w:type="pct"/>
                  <w:tcBorders>
                    <w:tl2br w:val="nil"/>
                    <w:tr2bl w:val="nil"/>
                  </w:tcBorders>
                  <w:noWrap w:val="0"/>
                  <w:vAlign w:val="center"/>
                </w:tcPr>
                <w:p>
                  <w:pPr>
                    <w:pStyle w:val="34"/>
                    <w:bidi w:val="0"/>
                  </w:pPr>
                  <w:r>
                    <w:t>序号</w:t>
                  </w:r>
                </w:p>
              </w:tc>
              <w:tc>
                <w:tcPr>
                  <w:tcW w:w="1155" w:type="pct"/>
                  <w:tcBorders>
                    <w:tl2br w:val="nil"/>
                    <w:tr2bl w:val="nil"/>
                  </w:tcBorders>
                  <w:noWrap w:val="0"/>
                  <w:vAlign w:val="center"/>
                </w:tcPr>
                <w:p>
                  <w:pPr>
                    <w:pStyle w:val="34"/>
                    <w:bidi w:val="0"/>
                  </w:pPr>
                  <w:r>
                    <w:t>区域名称</w:t>
                  </w:r>
                </w:p>
              </w:tc>
              <w:tc>
                <w:tcPr>
                  <w:tcW w:w="926" w:type="pct"/>
                  <w:tcBorders>
                    <w:tl2br w:val="nil"/>
                    <w:tr2bl w:val="nil"/>
                  </w:tcBorders>
                  <w:noWrap w:val="0"/>
                  <w:vAlign w:val="center"/>
                </w:tcPr>
                <w:p>
                  <w:pPr>
                    <w:pStyle w:val="34"/>
                    <w:bidi w:val="0"/>
                  </w:pPr>
                  <w:r>
                    <w:t>分区类别</w:t>
                  </w:r>
                </w:p>
              </w:tc>
              <w:tc>
                <w:tcPr>
                  <w:tcW w:w="2511" w:type="pct"/>
                  <w:tcBorders>
                    <w:tl2br w:val="nil"/>
                    <w:tr2bl w:val="nil"/>
                  </w:tcBorders>
                  <w:noWrap w:val="0"/>
                  <w:vAlign w:val="center"/>
                </w:tcPr>
                <w:p>
                  <w:pPr>
                    <w:pStyle w:val="34"/>
                    <w:bidi w:val="0"/>
                  </w:pPr>
                  <w:r>
                    <w:t>防渗措施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07" w:type="pct"/>
                  <w:tcBorders>
                    <w:tl2br w:val="nil"/>
                    <w:tr2bl w:val="nil"/>
                  </w:tcBorders>
                  <w:noWrap w:val="0"/>
                  <w:vAlign w:val="center"/>
                </w:tcPr>
                <w:p>
                  <w:pPr>
                    <w:pStyle w:val="34"/>
                    <w:bidi w:val="0"/>
                  </w:pPr>
                  <w:r>
                    <w:t>1</w:t>
                  </w:r>
                </w:p>
              </w:tc>
              <w:tc>
                <w:tcPr>
                  <w:tcW w:w="1155" w:type="pct"/>
                  <w:tcBorders>
                    <w:tl2br w:val="nil"/>
                    <w:tr2bl w:val="nil"/>
                  </w:tcBorders>
                  <w:noWrap w:val="0"/>
                  <w:vAlign w:val="center"/>
                </w:tcPr>
                <w:p>
                  <w:pPr>
                    <w:pStyle w:val="34"/>
                    <w:bidi w:val="0"/>
                  </w:pPr>
                  <w:r>
                    <w:t>危险废物暂存间</w:t>
                  </w:r>
                </w:p>
              </w:tc>
              <w:tc>
                <w:tcPr>
                  <w:tcW w:w="926" w:type="pct"/>
                  <w:tcBorders>
                    <w:tl2br w:val="nil"/>
                    <w:tr2bl w:val="nil"/>
                  </w:tcBorders>
                  <w:noWrap w:val="0"/>
                  <w:vAlign w:val="center"/>
                </w:tcPr>
                <w:p>
                  <w:pPr>
                    <w:pStyle w:val="34"/>
                    <w:bidi w:val="0"/>
                  </w:pPr>
                  <w:r>
                    <w:t>重点防渗区</w:t>
                  </w:r>
                </w:p>
              </w:tc>
              <w:tc>
                <w:tcPr>
                  <w:tcW w:w="2511" w:type="pct"/>
                  <w:tcBorders>
                    <w:tl2br w:val="nil"/>
                    <w:tr2bl w:val="nil"/>
                  </w:tcBorders>
                  <w:noWrap w:val="0"/>
                  <w:vAlign w:val="center"/>
                </w:tcPr>
                <w:p>
                  <w:pPr>
                    <w:pStyle w:val="34"/>
                    <w:bidi w:val="0"/>
                    <w:rPr>
                      <w:rFonts w:hint="eastAsia"/>
                    </w:rPr>
                  </w:pPr>
                  <w:r>
                    <w:rPr>
                      <w:rFonts w:hint="eastAsia"/>
                      <w:lang w:val="en-US" w:eastAsia="zh-CN"/>
                    </w:rPr>
                    <w:t>防渗层为至少1m厚黏土层（渗透系数不大于10</w:t>
                  </w:r>
                  <w:r>
                    <w:rPr>
                      <w:rFonts w:hint="eastAsia"/>
                      <w:vertAlign w:val="superscript"/>
                      <w:lang w:val="en-US" w:eastAsia="zh-CN"/>
                    </w:rPr>
                    <w:t>-7</w:t>
                  </w:r>
                  <w:r>
                    <w:rPr>
                      <w:rFonts w:hint="eastAsia"/>
                      <w:lang w:val="en-US" w:eastAsia="zh-CN"/>
                    </w:rPr>
                    <w:t>cm/s）或至少2mm厚高密度聚乙烯膜等人工防渗材料（渗透系数不大于10</w:t>
                  </w:r>
                  <w:r>
                    <w:rPr>
                      <w:rFonts w:hint="eastAsia"/>
                      <w:vertAlign w:val="superscript"/>
                      <w:lang w:val="en-US" w:eastAsia="zh-CN"/>
                    </w:rPr>
                    <w:t>-10</w:t>
                  </w:r>
                  <w:r>
                    <w:rPr>
                      <w:rFonts w:hint="eastAsia"/>
                      <w:lang w:val="en-US" w:eastAsia="zh-CN"/>
                    </w:rPr>
                    <w:t>cm/s）或其他防渗性能等效的材料。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407" w:type="pct"/>
                  <w:tcBorders>
                    <w:tl2br w:val="nil"/>
                    <w:tr2bl w:val="nil"/>
                  </w:tcBorders>
                  <w:noWrap w:val="0"/>
                  <w:vAlign w:val="center"/>
                </w:tcPr>
                <w:p>
                  <w:pPr>
                    <w:pStyle w:val="34"/>
                    <w:bidi w:val="0"/>
                  </w:pPr>
                  <w:r>
                    <w:t>2</w:t>
                  </w:r>
                </w:p>
              </w:tc>
              <w:tc>
                <w:tcPr>
                  <w:tcW w:w="1155" w:type="pct"/>
                  <w:tcBorders>
                    <w:tl2br w:val="nil"/>
                    <w:tr2bl w:val="nil"/>
                  </w:tcBorders>
                  <w:noWrap w:val="0"/>
                  <w:vAlign w:val="center"/>
                </w:tcPr>
                <w:p>
                  <w:pPr>
                    <w:pStyle w:val="34"/>
                    <w:bidi w:val="0"/>
                    <w:rPr>
                      <w:rFonts w:hint="eastAsia"/>
                    </w:rPr>
                  </w:pPr>
                  <w:r>
                    <w:rPr>
                      <w:rFonts w:hint="eastAsia"/>
                    </w:rPr>
                    <w:t>生产车间</w:t>
                  </w:r>
                </w:p>
              </w:tc>
              <w:tc>
                <w:tcPr>
                  <w:tcW w:w="926" w:type="pct"/>
                  <w:tcBorders>
                    <w:tl2br w:val="nil"/>
                    <w:tr2bl w:val="nil"/>
                  </w:tcBorders>
                  <w:noWrap w:val="0"/>
                  <w:vAlign w:val="center"/>
                </w:tcPr>
                <w:p>
                  <w:pPr>
                    <w:pStyle w:val="34"/>
                    <w:bidi w:val="0"/>
                  </w:pPr>
                  <w:r>
                    <w:t>一般防渗区</w:t>
                  </w:r>
                </w:p>
              </w:tc>
              <w:tc>
                <w:tcPr>
                  <w:tcW w:w="2511" w:type="pct"/>
                  <w:tcBorders>
                    <w:tl2br w:val="nil"/>
                    <w:tr2bl w:val="nil"/>
                  </w:tcBorders>
                  <w:noWrap w:val="0"/>
                  <w:vAlign w:val="center"/>
                </w:tcPr>
                <w:p>
                  <w:pPr>
                    <w:pStyle w:val="34"/>
                    <w:bidi w:val="0"/>
                    <w:rPr>
                      <w:rFonts w:hint="eastAsia"/>
                    </w:rPr>
                  </w:pPr>
                  <w:r>
                    <w:t>防渗</w:t>
                  </w:r>
                  <w:r>
                    <w:rPr>
                      <w:rFonts w:hint="eastAsia"/>
                      <w:lang w:eastAsia="zh-CN"/>
                    </w:rPr>
                    <w:t>混凝土</w:t>
                  </w:r>
                  <w:r>
                    <w:t>表层防渗</w:t>
                  </w:r>
                  <w:r>
                    <w:rPr>
                      <w:rFonts w:hint="eastAsia"/>
                    </w:rPr>
                    <w:t>，一般防渗区域的等效黏土防渗层Mb≥1.5m，渗透系数K≤1×10</w:t>
                  </w:r>
                  <w:r>
                    <w:rPr>
                      <w:rFonts w:hint="eastAsia"/>
                      <w:vertAlign w:val="superscript"/>
                    </w:rPr>
                    <w:t>-7</w:t>
                  </w:r>
                  <w:r>
                    <w:rPr>
                      <w:rFonts w:hint="eastAsia"/>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07" w:type="pct"/>
                  <w:tcBorders>
                    <w:tl2br w:val="nil"/>
                    <w:tr2bl w:val="nil"/>
                  </w:tcBorders>
                  <w:noWrap w:val="0"/>
                  <w:vAlign w:val="center"/>
                </w:tcPr>
                <w:p>
                  <w:pPr>
                    <w:pStyle w:val="34"/>
                    <w:bidi w:val="0"/>
                  </w:pPr>
                  <w:r>
                    <w:t>3</w:t>
                  </w:r>
                </w:p>
              </w:tc>
              <w:tc>
                <w:tcPr>
                  <w:tcW w:w="1155" w:type="pct"/>
                  <w:tcBorders>
                    <w:tl2br w:val="nil"/>
                    <w:tr2bl w:val="nil"/>
                  </w:tcBorders>
                  <w:noWrap w:val="0"/>
                  <w:vAlign w:val="center"/>
                </w:tcPr>
                <w:p>
                  <w:pPr>
                    <w:pStyle w:val="34"/>
                    <w:bidi w:val="0"/>
                  </w:pPr>
                  <w:r>
                    <w:t>其他区域</w:t>
                  </w:r>
                </w:p>
              </w:tc>
              <w:tc>
                <w:tcPr>
                  <w:tcW w:w="926" w:type="pct"/>
                  <w:tcBorders>
                    <w:tl2br w:val="nil"/>
                    <w:tr2bl w:val="nil"/>
                  </w:tcBorders>
                  <w:noWrap w:val="0"/>
                  <w:vAlign w:val="center"/>
                </w:tcPr>
                <w:p>
                  <w:pPr>
                    <w:pStyle w:val="34"/>
                    <w:bidi w:val="0"/>
                  </w:pPr>
                  <w:r>
                    <w:t>简单防渗区</w:t>
                  </w:r>
                </w:p>
              </w:tc>
              <w:tc>
                <w:tcPr>
                  <w:tcW w:w="2511" w:type="pct"/>
                  <w:tcBorders>
                    <w:tl2br w:val="nil"/>
                    <w:tr2bl w:val="nil"/>
                  </w:tcBorders>
                  <w:noWrap w:val="0"/>
                  <w:vAlign w:val="center"/>
                </w:tcPr>
                <w:p>
                  <w:pPr>
                    <w:pStyle w:val="34"/>
                    <w:bidi w:val="0"/>
                  </w:pPr>
                  <w:r>
                    <w:t>一般地面水泥硬化</w:t>
                  </w:r>
                </w:p>
              </w:tc>
            </w:tr>
          </w:tbl>
          <w:p>
            <w:pPr>
              <w:pStyle w:val="8"/>
              <w:bidi w:val="0"/>
              <w:rPr>
                <w:rFonts w:hint="default"/>
                <w:lang w:val="en-US" w:eastAsia="zh-CN"/>
              </w:rPr>
            </w:pPr>
            <w:r>
              <w:rPr>
                <w:rFonts w:hint="default"/>
                <w:lang w:val="en-US" w:eastAsia="zh-CN"/>
              </w:rPr>
              <w:t>跟踪监测要求：本项目在采取落实上述防控措施后，基本不会通过渗透的途径进入地下水、土壤环境。因此，本</w:t>
            </w:r>
            <w:r>
              <w:rPr>
                <w:rFonts w:hint="eastAsia"/>
                <w:lang w:val="en-US" w:eastAsia="zh-CN"/>
              </w:rPr>
              <w:t>次</w:t>
            </w:r>
            <w:r>
              <w:rPr>
                <w:rFonts w:hint="default"/>
                <w:lang w:val="en-US" w:eastAsia="zh-CN"/>
              </w:rPr>
              <w:t>评价不提出地下水、土壤跟踪监测要求。</w:t>
            </w:r>
          </w:p>
          <w:p>
            <w:pPr>
              <w:pStyle w:val="3"/>
              <w:bidi w:val="0"/>
              <w:rPr>
                <w:rFonts w:hint="default"/>
                <w:lang w:val="en-US" w:eastAsia="zh-CN"/>
              </w:rPr>
            </w:pPr>
            <w:r>
              <w:rPr>
                <w:rFonts w:hint="default"/>
                <w:lang w:val="en-US" w:eastAsia="zh-CN"/>
              </w:rPr>
              <w:t>6.生态环境影响和保护措施</w:t>
            </w:r>
          </w:p>
          <w:p>
            <w:pPr>
              <w:pStyle w:val="8"/>
              <w:bidi w:val="0"/>
              <w:rPr>
                <w:rFonts w:hint="default"/>
                <w:lang w:val="en-US" w:eastAsia="zh-CN"/>
              </w:rPr>
            </w:pPr>
            <w:r>
              <w:rPr>
                <w:rFonts w:hint="default"/>
                <w:lang w:val="en-US" w:eastAsia="zh-CN"/>
              </w:rPr>
              <w:t>根据《建设项目环境影响报告表编制技术指南（污染影响类）（试行）》，本项目在园区内且用地范围内不含有生态环境保护目标，因此不开展生态调查和评价。</w:t>
            </w:r>
          </w:p>
          <w:p>
            <w:pPr>
              <w:pStyle w:val="3"/>
              <w:bidi w:val="0"/>
              <w:rPr>
                <w:rFonts w:hint="default"/>
                <w:lang w:val="en-US" w:eastAsia="zh-CN"/>
              </w:rPr>
            </w:pPr>
            <w:r>
              <w:rPr>
                <w:rFonts w:hint="default"/>
                <w:lang w:val="en-US" w:eastAsia="zh-CN"/>
              </w:rPr>
              <w:t>7.环境风险分析</w:t>
            </w:r>
          </w:p>
          <w:p>
            <w:pPr>
              <w:pStyle w:val="3"/>
              <w:bidi w:val="0"/>
              <w:rPr>
                <w:rFonts w:hint="default"/>
                <w:lang w:val="en-US" w:eastAsia="zh-CN"/>
              </w:rPr>
            </w:pPr>
            <w:r>
              <w:rPr>
                <w:rFonts w:hint="default"/>
                <w:lang w:val="en-US" w:eastAsia="zh-CN"/>
              </w:rPr>
              <w:t>7.1物质风险识别范围</w:t>
            </w:r>
          </w:p>
          <w:p>
            <w:pPr>
              <w:pStyle w:val="8"/>
              <w:bidi w:val="0"/>
              <w:rPr>
                <w:rFonts w:hint="default"/>
                <w:lang w:val="en-US" w:eastAsia="zh-CN"/>
              </w:rPr>
            </w:pPr>
            <w:r>
              <w:rPr>
                <w:rFonts w:hint="default"/>
                <w:lang w:val="en-US" w:eastAsia="zh-CN"/>
              </w:rPr>
              <w:t>物质风险调查包括主要原材料及辅助材料、最终产品、</w:t>
            </w:r>
            <w:r>
              <w:rPr>
                <w:rFonts w:hint="eastAsia"/>
                <w:lang w:val="en-US" w:eastAsia="zh-CN"/>
              </w:rPr>
              <w:t>“</w:t>
            </w:r>
            <w:r>
              <w:rPr>
                <w:rFonts w:hint="default"/>
                <w:lang w:val="en-US" w:eastAsia="zh-CN"/>
              </w:rPr>
              <w:t>三废</w:t>
            </w:r>
            <w:r>
              <w:rPr>
                <w:rFonts w:hint="eastAsia"/>
                <w:lang w:val="en-US" w:eastAsia="zh-CN"/>
              </w:rPr>
              <w:t>”</w:t>
            </w:r>
            <w:r>
              <w:rPr>
                <w:rFonts w:hint="default"/>
                <w:lang w:val="en-US" w:eastAsia="zh-CN"/>
              </w:rPr>
              <w:t>污染物、火灾和爆炸等伴生/次生的危险物质。本项目涉及的风险物质主要为废润滑油，属于《建设项目环境风险评价技术导则》（HJ169-2018）中</w:t>
            </w:r>
            <w:r>
              <w:rPr>
                <w:rFonts w:hint="eastAsia"/>
                <w:lang w:val="en-US" w:eastAsia="zh-CN"/>
              </w:rPr>
              <w:t>风险物质</w:t>
            </w:r>
            <w:r>
              <w:rPr>
                <w:rFonts w:hint="default"/>
                <w:lang w:val="en-US" w:eastAsia="zh-CN"/>
              </w:rPr>
              <w:t>。危险化学品中重大危险源辨识调查结果见下表。</w:t>
            </w:r>
          </w:p>
          <w:p>
            <w:pPr>
              <w:pStyle w:val="36"/>
              <w:bidi w:val="0"/>
              <w:rPr>
                <w:rFonts w:hint="default"/>
                <w:lang w:val="en-US" w:eastAsia="zh-CN"/>
              </w:rPr>
            </w:pPr>
            <w:r>
              <w:rPr>
                <w:rFonts w:hint="default"/>
                <w:lang w:val="en-US" w:eastAsia="zh-CN"/>
              </w:rPr>
              <w:t>表4-1</w:t>
            </w:r>
            <w:r>
              <w:rPr>
                <w:rFonts w:hint="eastAsia"/>
                <w:lang w:val="en-US" w:eastAsia="zh-CN"/>
              </w:rPr>
              <w:t>3</w:t>
            </w:r>
            <w:r>
              <w:rPr>
                <w:rFonts w:hint="default"/>
                <w:lang w:val="en-US" w:eastAsia="zh-CN"/>
              </w:rPr>
              <w:t xml:space="preserve">    风险源调查结果一览表</w:t>
            </w:r>
          </w:p>
          <w:tbl>
            <w:tblPr>
              <w:tblStyle w:val="19"/>
              <w:tblW w:w="49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176"/>
              <w:gridCol w:w="868"/>
              <w:gridCol w:w="1224"/>
              <w:gridCol w:w="995"/>
              <w:gridCol w:w="1411"/>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0" w:type="dxa"/>
                  <w:noWrap w:val="0"/>
                  <w:vAlign w:val="center"/>
                </w:tcPr>
                <w:p>
                  <w:pPr>
                    <w:pStyle w:val="34"/>
                    <w:bidi w:val="0"/>
                    <w:rPr>
                      <w:rFonts w:hint="default"/>
                      <w:lang w:val="en-US" w:eastAsia="zh-CN"/>
                    </w:rPr>
                  </w:pPr>
                  <w:r>
                    <w:rPr>
                      <w:rFonts w:hint="eastAsia"/>
                      <w:lang w:val="en-US" w:eastAsia="zh-CN"/>
                    </w:rPr>
                    <w:t>序号</w:t>
                  </w:r>
                </w:p>
              </w:tc>
              <w:tc>
                <w:tcPr>
                  <w:tcW w:w="1093" w:type="dxa"/>
                  <w:noWrap w:val="0"/>
                  <w:vAlign w:val="center"/>
                </w:tcPr>
                <w:p>
                  <w:pPr>
                    <w:pStyle w:val="34"/>
                    <w:bidi w:val="0"/>
                    <w:rPr>
                      <w:rFonts w:hint="default"/>
                      <w:lang w:val="en-US" w:eastAsia="zh-CN"/>
                    </w:rPr>
                  </w:pPr>
                  <w:r>
                    <w:rPr>
                      <w:rFonts w:hint="eastAsia"/>
                      <w:lang w:val="en-US" w:eastAsia="zh-CN"/>
                    </w:rPr>
                    <w:t>名称</w:t>
                  </w:r>
                </w:p>
              </w:tc>
              <w:tc>
                <w:tcPr>
                  <w:tcW w:w="807" w:type="dxa"/>
                  <w:noWrap w:val="0"/>
                  <w:vAlign w:val="center"/>
                </w:tcPr>
                <w:p>
                  <w:pPr>
                    <w:pStyle w:val="34"/>
                    <w:bidi w:val="0"/>
                    <w:rPr>
                      <w:rFonts w:hint="default"/>
                      <w:lang w:val="en-US" w:eastAsia="zh-CN"/>
                    </w:rPr>
                  </w:pPr>
                  <w:r>
                    <w:rPr>
                      <w:rFonts w:hint="eastAsia"/>
                      <w:lang w:val="en-US" w:eastAsia="zh-CN"/>
                    </w:rPr>
                    <w:t>危险特性</w:t>
                  </w:r>
                </w:p>
              </w:tc>
              <w:tc>
                <w:tcPr>
                  <w:tcW w:w="1138" w:type="dxa"/>
                  <w:noWrap w:val="0"/>
                  <w:vAlign w:val="center"/>
                </w:tcPr>
                <w:p>
                  <w:pPr>
                    <w:pStyle w:val="34"/>
                    <w:bidi w:val="0"/>
                    <w:rPr>
                      <w:rFonts w:hint="default"/>
                      <w:lang w:val="en-US" w:eastAsia="zh-CN"/>
                    </w:rPr>
                  </w:pPr>
                  <w:r>
                    <w:rPr>
                      <w:rFonts w:hint="eastAsia"/>
                      <w:lang w:val="en-US" w:eastAsia="zh-CN"/>
                    </w:rPr>
                    <w:t>储存能力（t/a）</w:t>
                  </w:r>
                </w:p>
              </w:tc>
              <w:tc>
                <w:tcPr>
                  <w:tcW w:w="925" w:type="dxa"/>
                  <w:noWrap w:val="0"/>
                  <w:vAlign w:val="center"/>
                </w:tcPr>
                <w:p>
                  <w:pPr>
                    <w:pStyle w:val="34"/>
                    <w:bidi w:val="0"/>
                    <w:rPr>
                      <w:rFonts w:hint="default"/>
                      <w:lang w:val="en-US" w:eastAsia="zh-CN"/>
                    </w:rPr>
                  </w:pPr>
                  <w:r>
                    <w:rPr>
                      <w:rFonts w:hint="eastAsia"/>
                      <w:lang w:val="en-US" w:eastAsia="zh-CN"/>
                    </w:rPr>
                    <w:t>临界量（t/a）</w:t>
                  </w:r>
                </w:p>
              </w:tc>
              <w:tc>
                <w:tcPr>
                  <w:tcW w:w="1312" w:type="dxa"/>
                  <w:noWrap w:val="0"/>
                  <w:vAlign w:val="center"/>
                </w:tcPr>
                <w:p>
                  <w:pPr>
                    <w:pStyle w:val="34"/>
                    <w:bidi w:val="0"/>
                    <w:rPr>
                      <w:rFonts w:hint="default"/>
                      <w:lang w:val="en-US" w:eastAsia="zh-CN"/>
                    </w:rPr>
                  </w:pPr>
                  <w:r>
                    <w:rPr>
                      <w:rFonts w:hint="eastAsia"/>
                      <w:lang w:val="en-US" w:eastAsia="zh-CN"/>
                    </w:rPr>
                    <w:t>Q值</w:t>
                  </w:r>
                </w:p>
              </w:tc>
              <w:tc>
                <w:tcPr>
                  <w:tcW w:w="1700" w:type="dxa"/>
                  <w:noWrap w:val="0"/>
                  <w:vAlign w:val="center"/>
                </w:tcPr>
                <w:p>
                  <w:pPr>
                    <w:pStyle w:val="34"/>
                    <w:bidi w:val="0"/>
                    <w:rPr>
                      <w:rFonts w:hint="default"/>
                      <w:lang w:val="en-US" w:eastAsia="zh-CN"/>
                    </w:rPr>
                  </w:pPr>
                  <w:r>
                    <w:rPr>
                      <w:rFonts w:hint="eastAsia"/>
                      <w:lang w:val="en-US" w:eastAsia="zh-CN"/>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730" w:type="dxa"/>
                  <w:noWrap w:val="0"/>
                  <w:vAlign w:val="center"/>
                </w:tcPr>
                <w:p>
                  <w:pPr>
                    <w:pStyle w:val="34"/>
                    <w:bidi w:val="0"/>
                    <w:rPr>
                      <w:rFonts w:hint="default"/>
                      <w:lang w:val="en-US" w:eastAsia="zh-CN"/>
                    </w:rPr>
                  </w:pPr>
                  <w:r>
                    <w:rPr>
                      <w:rFonts w:hint="eastAsia"/>
                      <w:lang w:val="en-US" w:eastAsia="zh-CN"/>
                    </w:rPr>
                    <w:t>1</w:t>
                  </w:r>
                </w:p>
              </w:tc>
              <w:tc>
                <w:tcPr>
                  <w:tcW w:w="1093" w:type="dxa"/>
                  <w:noWrap w:val="0"/>
                  <w:vAlign w:val="center"/>
                </w:tcPr>
                <w:p>
                  <w:pPr>
                    <w:pStyle w:val="34"/>
                    <w:bidi w:val="0"/>
                    <w:rPr>
                      <w:rFonts w:hint="default"/>
                      <w:lang w:val="en-US" w:eastAsia="zh-CN"/>
                    </w:rPr>
                  </w:pPr>
                  <w:r>
                    <w:rPr>
                      <w:rFonts w:hint="eastAsia"/>
                      <w:lang w:val="en-US" w:eastAsia="zh-CN"/>
                    </w:rPr>
                    <w:t>废润滑油</w:t>
                  </w:r>
                </w:p>
              </w:tc>
              <w:tc>
                <w:tcPr>
                  <w:tcW w:w="807" w:type="dxa"/>
                  <w:noWrap w:val="0"/>
                  <w:vAlign w:val="center"/>
                </w:tcPr>
                <w:p>
                  <w:pPr>
                    <w:pStyle w:val="34"/>
                    <w:bidi w:val="0"/>
                    <w:rPr>
                      <w:rFonts w:hint="default"/>
                      <w:lang w:val="en-US" w:eastAsia="zh-CN"/>
                    </w:rPr>
                  </w:pPr>
                  <w:r>
                    <w:rPr>
                      <w:rFonts w:hint="eastAsia"/>
                      <w:lang w:val="en-US" w:eastAsia="zh-CN"/>
                    </w:rPr>
                    <w:t>易燃</w:t>
                  </w:r>
                </w:p>
              </w:tc>
              <w:tc>
                <w:tcPr>
                  <w:tcW w:w="1138" w:type="dxa"/>
                  <w:noWrap w:val="0"/>
                  <w:vAlign w:val="center"/>
                </w:tcPr>
                <w:p>
                  <w:pPr>
                    <w:pStyle w:val="34"/>
                    <w:bidi w:val="0"/>
                    <w:rPr>
                      <w:rFonts w:hint="default"/>
                      <w:lang w:val="en-US" w:eastAsia="zh-CN"/>
                    </w:rPr>
                  </w:pPr>
                  <w:r>
                    <w:rPr>
                      <w:rFonts w:hint="eastAsia"/>
                      <w:lang w:val="en-US" w:eastAsia="zh-CN"/>
                    </w:rPr>
                    <w:t>0.5</w:t>
                  </w:r>
                </w:p>
              </w:tc>
              <w:tc>
                <w:tcPr>
                  <w:tcW w:w="925" w:type="dxa"/>
                  <w:noWrap w:val="0"/>
                  <w:vAlign w:val="center"/>
                </w:tcPr>
                <w:p>
                  <w:pPr>
                    <w:pStyle w:val="34"/>
                    <w:bidi w:val="0"/>
                    <w:rPr>
                      <w:rFonts w:hint="default"/>
                      <w:lang w:val="en-US" w:eastAsia="zh-CN"/>
                    </w:rPr>
                  </w:pPr>
                  <w:r>
                    <w:rPr>
                      <w:rFonts w:hint="eastAsia"/>
                      <w:lang w:val="en-US" w:eastAsia="zh-CN"/>
                    </w:rPr>
                    <w:t>2500</w:t>
                  </w:r>
                </w:p>
              </w:tc>
              <w:tc>
                <w:tcPr>
                  <w:tcW w:w="1312" w:type="dxa"/>
                  <w:noWrap w:val="0"/>
                  <w:vAlign w:val="center"/>
                </w:tcPr>
                <w:p>
                  <w:pPr>
                    <w:pStyle w:val="34"/>
                    <w:bidi w:val="0"/>
                    <w:rPr>
                      <w:rFonts w:hint="default"/>
                      <w:lang w:val="en-US" w:eastAsia="zh-CN"/>
                    </w:rPr>
                  </w:pPr>
                  <w:r>
                    <w:rPr>
                      <w:rFonts w:hint="eastAsia"/>
                      <w:lang w:val="en-US" w:eastAsia="zh-CN"/>
                    </w:rPr>
                    <w:t>2</w:t>
                  </w:r>
                  <w:r>
                    <w:rPr>
                      <w:rFonts w:hint="default"/>
                      <w:lang w:val="en-US" w:eastAsia="zh-CN"/>
                    </w:rPr>
                    <w:t>×</w:t>
                  </w:r>
                  <w:r>
                    <w:rPr>
                      <w:rFonts w:hint="eastAsia"/>
                      <w:lang w:val="en-US" w:eastAsia="zh-CN"/>
                    </w:rPr>
                    <w:t>10</w:t>
                  </w:r>
                  <w:r>
                    <w:rPr>
                      <w:rFonts w:hint="eastAsia"/>
                      <w:vertAlign w:val="superscript"/>
                      <w:lang w:val="en-US" w:eastAsia="zh-CN"/>
                    </w:rPr>
                    <w:t>-4</w:t>
                  </w:r>
                </w:p>
              </w:tc>
              <w:tc>
                <w:tcPr>
                  <w:tcW w:w="1700" w:type="dxa"/>
                  <w:noWrap w:val="0"/>
                  <w:vAlign w:val="center"/>
                </w:tcPr>
                <w:p>
                  <w:pPr>
                    <w:pStyle w:val="34"/>
                    <w:bidi w:val="0"/>
                    <w:rPr>
                      <w:rFonts w:hint="default"/>
                      <w:lang w:val="en-US" w:eastAsia="zh-CN"/>
                    </w:rPr>
                  </w:pPr>
                  <w:r>
                    <w:rPr>
                      <w:rFonts w:hint="eastAsia"/>
                      <w:lang w:val="en-US" w:eastAsia="zh-CN"/>
                    </w:rPr>
                    <w:t>危险废物暂存间</w:t>
                  </w:r>
                </w:p>
              </w:tc>
            </w:tr>
          </w:tbl>
          <w:p>
            <w:pPr>
              <w:pStyle w:val="8"/>
              <w:bidi w:val="0"/>
              <w:rPr>
                <w:rFonts w:hint="default"/>
                <w:lang w:val="en-US" w:eastAsia="zh-CN"/>
              </w:rPr>
            </w:pPr>
            <w:r>
              <w:rPr>
                <w:rFonts w:hint="default"/>
                <w:lang w:val="en-US" w:eastAsia="zh-CN"/>
              </w:rPr>
              <w:t>由上表可知，本项目危险物质的数量与临界量比值Q为2×10</w:t>
            </w:r>
            <w:r>
              <w:rPr>
                <w:rFonts w:hint="default"/>
                <w:vertAlign w:val="superscript"/>
                <w:lang w:val="en-US" w:eastAsia="zh-CN"/>
              </w:rPr>
              <w:t>-</w:t>
            </w:r>
            <w:r>
              <w:rPr>
                <w:rFonts w:hint="eastAsia"/>
                <w:vertAlign w:val="superscript"/>
                <w:lang w:val="en-US" w:eastAsia="zh-CN"/>
              </w:rPr>
              <w:t>4</w:t>
            </w:r>
            <w:r>
              <w:rPr>
                <w:rFonts w:hint="default"/>
                <w:lang w:val="en-US" w:eastAsia="zh-CN"/>
              </w:rPr>
              <w:t>＜1，该项目环境风险潜势为I。</w:t>
            </w:r>
          </w:p>
          <w:p>
            <w:pPr>
              <w:pStyle w:val="3"/>
              <w:bidi w:val="0"/>
              <w:rPr>
                <w:rFonts w:hint="default"/>
                <w:lang w:val="en-US" w:eastAsia="zh-CN"/>
              </w:rPr>
            </w:pPr>
            <w:r>
              <w:rPr>
                <w:rFonts w:hint="default"/>
                <w:lang w:val="en-US" w:eastAsia="zh-CN"/>
              </w:rPr>
              <w:t>7.2环境风险源影响途径</w:t>
            </w:r>
          </w:p>
          <w:p>
            <w:pPr>
              <w:pStyle w:val="8"/>
              <w:bidi w:val="0"/>
              <w:rPr>
                <w:rFonts w:hint="default"/>
                <w:lang w:val="en-US" w:eastAsia="zh-CN"/>
              </w:rPr>
            </w:pPr>
            <w:r>
              <w:rPr>
                <w:rFonts w:hint="default"/>
                <w:lang w:val="en-US" w:eastAsia="zh-CN"/>
              </w:rPr>
              <w:t>油品泄漏事故：项目生产过程中涉及的危险品有废润滑油。当储存设施发生破损造成泄漏，可能会污染周围土壤和地下水，污染的土壤不仅会造成植物的死亡，而且土壤层吸附的油品还会随着下渗补充到地下水。</w:t>
            </w:r>
          </w:p>
          <w:p>
            <w:pPr>
              <w:pStyle w:val="8"/>
              <w:bidi w:val="0"/>
              <w:rPr>
                <w:rFonts w:hint="default"/>
                <w:lang w:val="en-US" w:eastAsia="zh-CN"/>
              </w:rPr>
            </w:pPr>
            <w:r>
              <w:rPr>
                <w:rFonts w:hint="default"/>
                <w:lang w:val="en-US" w:eastAsia="zh-CN"/>
              </w:rPr>
              <w:t>环保设施危险性：本项目配套废气系统出现故障而导致不能正常运作，导致非甲烷总烃未经处理而直接向大气排放。</w:t>
            </w:r>
          </w:p>
          <w:p>
            <w:pPr>
              <w:pStyle w:val="8"/>
              <w:bidi w:val="0"/>
              <w:rPr>
                <w:rFonts w:hint="default"/>
                <w:lang w:val="en-US" w:eastAsia="zh-CN"/>
              </w:rPr>
            </w:pPr>
            <w:r>
              <w:rPr>
                <w:rFonts w:hint="default"/>
                <w:lang w:val="en-US" w:eastAsia="zh-CN"/>
              </w:rPr>
              <w:t>危险废物</w:t>
            </w:r>
            <w:r>
              <w:rPr>
                <w:rFonts w:hint="eastAsia"/>
                <w:lang w:val="en-US" w:eastAsia="zh-CN"/>
              </w:rPr>
              <w:t>暂</w:t>
            </w:r>
            <w:r>
              <w:rPr>
                <w:rFonts w:hint="default"/>
                <w:lang w:val="en-US" w:eastAsia="zh-CN"/>
              </w:rPr>
              <w:t>存间管理风险：危险废物</w:t>
            </w:r>
            <w:r>
              <w:rPr>
                <w:rFonts w:hint="eastAsia"/>
                <w:lang w:val="en-US" w:eastAsia="zh-CN"/>
              </w:rPr>
              <w:t>暂</w:t>
            </w:r>
            <w:r>
              <w:rPr>
                <w:rFonts w:hint="default"/>
                <w:lang w:val="en-US" w:eastAsia="zh-CN"/>
              </w:rPr>
              <w:t>存间防渗层破损或破裂，且在收集和转运过程中若管理不当，容易导致危险废物渗漏和洒落至地面，并可能进入地表及地下水体，对土壤和水环境造成污染。</w:t>
            </w:r>
          </w:p>
          <w:p>
            <w:pPr>
              <w:pStyle w:val="8"/>
              <w:bidi w:val="0"/>
              <w:rPr>
                <w:rFonts w:hint="default"/>
                <w:lang w:val="en-US" w:eastAsia="zh-CN"/>
              </w:rPr>
            </w:pPr>
            <w:r>
              <w:rPr>
                <w:rFonts w:hint="default"/>
                <w:lang w:val="en-US" w:eastAsia="zh-CN"/>
              </w:rPr>
              <w:t>火灾爆炸事故引发的伴生/次生污染：废润滑油具有易燃易爆的危险特性，发生火灾爆炸事故后随着燃烧氧化，会产生伴生/次生产物，主要为不完全燃烧产生的CO和烟尘等污染物会对大气造成较大影响，从而造成二次污染。</w:t>
            </w:r>
          </w:p>
          <w:p>
            <w:pPr>
              <w:pStyle w:val="3"/>
              <w:bidi w:val="0"/>
              <w:rPr>
                <w:rFonts w:hint="default"/>
                <w:lang w:val="en-US" w:eastAsia="zh-CN"/>
              </w:rPr>
            </w:pPr>
            <w:r>
              <w:rPr>
                <w:rFonts w:hint="default"/>
                <w:lang w:val="en-US" w:eastAsia="zh-CN"/>
              </w:rPr>
              <w:t>7.3环境风险防范措施</w:t>
            </w:r>
          </w:p>
          <w:p>
            <w:pPr>
              <w:pStyle w:val="8"/>
              <w:bidi w:val="0"/>
              <w:rPr>
                <w:rFonts w:hint="default"/>
                <w:lang w:val="en-US" w:eastAsia="zh-CN"/>
              </w:rPr>
            </w:pPr>
            <w:r>
              <w:rPr>
                <w:rFonts w:hint="default"/>
                <w:lang w:val="en-US" w:eastAsia="zh-CN"/>
              </w:rPr>
              <w:t>为减少油类物质泄漏等引起的火灾事故，提出以下环境风险防范措施及应急要求：</w:t>
            </w:r>
          </w:p>
          <w:p>
            <w:pPr>
              <w:pStyle w:val="8"/>
              <w:bidi w:val="0"/>
              <w:rPr>
                <w:rFonts w:hint="default"/>
                <w:lang w:val="en-US" w:eastAsia="zh-CN"/>
              </w:rPr>
            </w:pPr>
            <w:r>
              <w:rPr>
                <w:rFonts w:hint="default"/>
                <w:lang w:val="en-US" w:eastAsia="zh-CN"/>
              </w:rPr>
              <w:t>①成立专门的责任机构，保证事故发生时组织相关力量及时控制事故的危害，在第一时间，有序有效地控制事故污染，把事故危害减小到最小。</w:t>
            </w:r>
          </w:p>
          <w:p>
            <w:pPr>
              <w:pStyle w:val="8"/>
              <w:bidi w:val="0"/>
              <w:rPr>
                <w:rFonts w:hint="default"/>
                <w:lang w:val="en-US" w:eastAsia="zh-CN"/>
              </w:rPr>
            </w:pPr>
            <w:r>
              <w:rPr>
                <w:rFonts w:hint="default"/>
                <w:lang w:val="en-US" w:eastAsia="zh-CN"/>
              </w:rPr>
              <w:t>②健全各项制度，强化安全管理意识，加强用电设备及线路的检修和管理。</w:t>
            </w:r>
          </w:p>
          <w:p>
            <w:pPr>
              <w:pStyle w:val="8"/>
              <w:bidi w:val="0"/>
              <w:rPr>
                <w:rFonts w:hint="default"/>
                <w:lang w:val="en-US" w:eastAsia="zh-CN"/>
              </w:rPr>
            </w:pPr>
            <w:r>
              <w:rPr>
                <w:rFonts w:hint="default"/>
                <w:lang w:val="en-US" w:eastAsia="zh-CN"/>
              </w:rPr>
              <w:t>③严格按照消防安全部门要求，配置消防设施。</w:t>
            </w:r>
          </w:p>
          <w:p>
            <w:pPr>
              <w:pStyle w:val="8"/>
              <w:bidi w:val="0"/>
              <w:rPr>
                <w:rFonts w:hint="default"/>
                <w:lang w:val="en-US" w:eastAsia="zh-CN"/>
              </w:rPr>
            </w:pPr>
            <w:r>
              <w:rPr>
                <w:rFonts w:hint="default"/>
                <w:lang w:val="en-US" w:eastAsia="zh-CN"/>
              </w:rPr>
              <w:t>④油类物质等易燃易爆物品存储远离火源。在采取以上措施后，可有效降低风险发生的概率。</w:t>
            </w:r>
          </w:p>
          <w:p>
            <w:pPr>
              <w:pStyle w:val="8"/>
              <w:bidi w:val="0"/>
              <w:rPr>
                <w:rFonts w:hint="default"/>
                <w:lang w:val="en-US" w:eastAsia="zh-CN"/>
              </w:rPr>
            </w:pPr>
            <w:r>
              <w:rPr>
                <w:rFonts w:hint="default"/>
                <w:lang w:val="en-US" w:eastAsia="zh-CN"/>
              </w:rPr>
              <w:t>为减少项目废气处理设施非正常工况导致颗粒物超标排放对周边环境的影响，提出以下环境风险防范措施及应急要求：</w:t>
            </w:r>
          </w:p>
          <w:p>
            <w:pPr>
              <w:pStyle w:val="8"/>
              <w:bidi w:val="0"/>
              <w:rPr>
                <w:rFonts w:hint="default"/>
                <w:lang w:val="en-US" w:eastAsia="zh-CN"/>
              </w:rPr>
            </w:pPr>
            <w:r>
              <w:rPr>
                <w:rFonts w:hint="default"/>
                <w:lang w:val="en-US" w:eastAsia="zh-CN"/>
              </w:rPr>
              <w:t>（1）制定环保设备运行维护制度，并派专人进行管理，定期对环保设备进行点检维护。</w:t>
            </w:r>
          </w:p>
          <w:p>
            <w:pPr>
              <w:pStyle w:val="8"/>
              <w:bidi w:val="0"/>
              <w:rPr>
                <w:rFonts w:hint="default"/>
                <w:lang w:val="en-US" w:eastAsia="zh-CN"/>
              </w:rPr>
            </w:pPr>
            <w:r>
              <w:rPr>
                <w:rFonts w:hint="default"/>
                <w:lang w:val="en-US" w:eastAsia="zh-CN"/>
              </w:rPr>
              <w:t>（2）定期对风机的运行情况进行检查记录，一旦发现运行异常，立即对相应的生产设备进行停产，并对风机设备进行维修。</w:t>
            </w:r>
          </w:p>
          <w:p>
            <w:pPr>
              <w:pStyle w:val="8"/>
              <w:bidi w:val="0"/>
              <w:rPr>
                <w:rFonts w:hint="default"/>
                <w:lang w:val="en-US" w:eastAsia="zh-CN"/>
              </w:rPr>
            </w:pPr>
            <w:r>
              <w:rPr>
                <w:rFonts w:hint="default"/>
                <w:lang w:val="en-US" w:eastAsia="zh-CN"/>
              </w:rPr>
              <w:t>（3）对布袋除尘器装置进行定期检查，确保废气处理效率，若发现破损、损坏或堵塞严重，应立即进行更换，确保其处理效率。</w:t>
            </w:r>
          </w:p>
          <w:p>
            <w:pPr>
              <w:pStyle w:val="8"/>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（4）对布袋除尘器进行定期检查，确保废气处理效率，若发现异常应立即停产进行维修。</w:t>
            </w: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default" w:ascii="Times New Roman" w:hAnsi="Times New Roman" w:eastAsia="宋体" w:cs="Times New Roman"/>
                <w:lang w:val="en-US" w:eastAsia="zh-CN"/>
              </w:rPr>
            </w:pPr>
          </w:p>
          <w:p>
            <w:pPr>
              <w:pStyle w:val="8"/>
              <w:rPr>
                <w:rFonts w:hint="eastAsia" w:ascii="Times New Roman" w:hAnsi="Times New Roman" w:eastAsia="宋体" w:cs="Times New Roman"/>
                <w:lang w:val="en-US" w:eastAsia="zh-CN"/>
              </w:rPr>
            </w:pPr>
          </w:p>
        </w:tc>
      </w:tr>
    </w:tbl>
    <w:p>
      <w:pPr>
        <w:pStyle w:val="10"/>
        <w:ind w:left="0" w:leftChars="0" w:firstLine="0" w:firstLineChars="0"/>
        <w:rPr>
          <w:rFonts w:hint="eastAsia"/>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7" w:name="_Hlk54167917"/>
      <w:r>
        <w:rPr>
          <w:rFonts w:hint="eastAsia" w:ascii="黑体" w:hAnsi="黑体" w:eastAsia="黑体"/>
          <w:snapToGrid w:val="0"/>
          <w:sz w:val="30"/>
          <w:szCs w:val="30"/>
        </w:rPr>
        <w:t>环境保护措施监督检查清单</w:t>
      </w:r>
      <w:bookmarkEnd w:id="7"/>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778"/>
        <w:gridCol w:w="1518"/>
        <w:gridCol w:w="15"/>
        <w:gridCol w:w="1600"/>
        <w:gridCol w:w="10"/>
        <w:gridCol w:w="1765"/>
        <w:gridCol w:w="60"/>
        <w:gridCol w:w="205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4" w:hRule="atLeast"/>
          <w:jc w:val="center"/>
        </w:trPr>
        <w:tc>
          <w:tcPr>
            <w:tcW w:w="1778" w:type="dxa"/>
            <w:tcBorders>
              <w:tl2br w:val="nil"/>
              <w:tr2bl w:val="nil"/>
            </w:tcBorders>
            <w:noWrap w:val="0"/>
            <w:vAlign w:val="top"/>
            <mc:AlternateContent>
              <mc:Choice Requires="wpsCustomData">
                <wpsCustomData:diagonals>
                  <wpsCustomData:diagonal from="30000" to="10000">
                    <wpsCustomData:border w:val="single" w:color="auto" w:sz="8" w:space="0"/>
                  </wpsCustomData:diagonal>
                </wpsCustomData:diagonals>
              </mc:Choice>
            </mc:AlternateContent>
          </w:tcPr>
          <w:p>
            <w:pPr>
              <w:pStyle w:val="34"/>
              <w:bidi w:val="0"/>
              <w:rPr>
                <w:rFonts w:hint="eastAsia"/>
              </w:rPr>
            </w:pPr>
          </w:p>
          <w:p>
            <w:pPr>
              <w:pStyle w:val="34"/>
              <w:bidi w:val="0"/>
              <w:rPr>
                <w:rFonts w:hint="eastAsia"/>
              </w:rPr>
            </w:pPr>
          </w:p>
          <w:p>
            <w:pPr>
              <w:pStyle w:val="34"/>
              <w:bidi w:val="0"/>
              <mc:AlternateContent>
                <mc:Choice Requires="wpsCustomData">
                  <wpsCustomData:diagonalParaType/>
                </mc:Choice>
              </mc:AlternateContent>
              <w:rPr>
                <w:rFonts w:hint="eastAsia" w:eastAsia="宋体"/>
                <w:lang w:val="en-US" w:eastAsia="zh-CN"/>
              </w:rPr>
            </w:pPr>
            <w:r>
              <w:rPr>
                <w:rFonts w:hint="eastAsia"/>
                <w:lang w:val="en-US" w:eastAsia="zh-CN"/>
              </w:rPr>
              <w:t>要素</w:t>
            </w:r>
          </w:p>
          <w:p>
            <w:pPr>
              <w:pStyle w:val="34"/>
              <w:bidi w:val="0"/>
              <w:rPr>
                <w:rFonts w:hint="eastAsia"/>
              </w:rPr>
            </w:pPr>
            <w:r>
              <w:rPr>
                <w:rFonts w:hint="eastAsia"/>
              </w:rPr>
              <w:t>内容</w:t>
            </w:r>
          </w:p>
          <w:p>
            <w:pPr>
              <w:pStyle w:val="34"/>
              <w:bidi w:val="0"/>
              <w:rPr>
                <w:rFonts w:hint="eastAsia"/>
              </w:rPr>
            </w:pPr>
          </w:p>
        </w:tc>
        <w:tc>
          <w:tcPr>
            <w:tcW w:w="1533" w:type="dxa"/>
            <w:gridSpan w:val="2"/>
            <w:tcBorders>
              <w:tl2br w:val="nil"/>
              <w:tr2bl w:val="nil"/>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排放口(编号、</w:t>
            </w:r>
          </w:p>
          <w:p>
            <w:pPr>
              <w:adjustRightInd w:val="0"/>
              <w:snapToGrid w:val="0"/>
              <w:jc w:val="center"/>
              <w:rPr>
                <w:rFonts w:hint="eastAsia" w:ascii="宋体" w:hAnsi="宋体" w:cs="宋体"/>
                <w:szCs w:val="21"/>
              </w:rPr>
            </w:pPr>
            <w:r>
              <w:rPr>
                <w:rFonts w:hint="eastAsia" w:ascii="宋体" w:hAnsi="宋体" w:cs="宋体"/>
                <w:szCs w:val="21"/>
              </w:rPr>
              <w:t>名称)/污染源</w:t>
            </w:r>
          </w:p>
        </w:tc>
        <w:tc>
          <w:tcPr>
            <w:tcW w:w="1600" w:type="dxa"/>
            <w:tcBorders>
              <w:tl2br w:val="nil"/>
              <w:tr2bl w:val="nil"/>
            </w:tcBorders>
            <w:noWrap w:val="0"/>
            <w:vAlign w:val="center"/>
          </w:tcPr>
          <w:p>
            <w:pPr>
              <w:pStyle w:val="34"/>
              <w:bidi w:val="0"/>
              <w:rPr>
                <w:rFonts w:hint="eastAsia"/>
              </w:rPr>
            </w:pPr>
            <w:r>
              <w:rPr>
                <w:rFonts w:hint="eastAsia"/>
              </w:rPr>
              <w:t>污染物项目</w:t>
            </w:r>
          </w:p>
        </w:tc>
        <w:tc>
          <w:tcPr>
            <w:tcW w:w="1775" w:type="dxa"/>
            <w:gridSpan w:val="2"/>
            <w:tcBorders>
              <w:tl2br w:val="nil"/>
              <w:tr2bl w:val="nil"/>
            </w:tcBorders>
            <w:noWrap w:val="0"/>
            <w:vAlign w:val="center"/>
          </w:tcPr>
          <w:p>
            <w:pPr>
              <w:adjustRightInd w:val="0"/>
              <w:snapToGrid w:val="0"/>
              <w:jc w:val="center"/>
              <w:rPr>
                <w:rFonts w:hint="eastAsia" w:ascii="宋体" w:hAnsi="宋体" w:cs="宋体"/>
                <w:szCs w:val="21"/>
              </w:rPr>
            </w:pPr>
            <w:r>
              <w:rPr>
                <w:rStyle w:val="35"/>
                <w:rFonts w:hint="eastAsia"/>
              </w:rPr>
              <w:t>环境保护措</w:t>
            </w:r>
            <w:r>
              <w:rPr>
                <w:rFonts w:hint="eastAsia" w:ascii="宋体" w:hAnsi="宋体" w:cs="宋体"/>
                <w:szCs w:val="21"/>
              </w:rPr>
              <w:t>施</w:t>
            </w:r>
          </w:p>
        </w:tc>
        <w:tc>
          <w:tcPr>
            <w:tcW w:w="2114" w:type="dxa"/>
            <w:gridSpan w:val="2"/>
            <w:tcBorders>
              <w:tl2br w:val="nil"/>
              <w:tr2bl w:val="nil"/>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778" w:type="dxa"/>
            <w:vMerge w:val="restart"/>
            <w:tcBorders>
              <w:tl2br w:val="nil"/>
              <w:tr2bl w:val="nil"/>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大气环境</w:t>
            </w:r>
          </w:p>
        </w:tc>
        <w:tc>
          <w:tcPr>
            <w:tcW w:w="1533"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default"/>
                <w:lang w:val="en-US" w:eastAsia="zh-CN"/>
              </w:rPr>
            </w:pPr>
            <w:r>
              <w:rPr>
                <w:rFonts w:hint="eastAsia"/>
                <w:lang w:val="en-US" w:eastAsia="zh-CN"/>
              </w:rPr>
              <w:t>DA001</w:t>
            </w:r>
          </w:p>
        </w:tc>
        <w:tc>
          <w:tcPr>
            <w:tcW w:w="1600" w:type="dxa"/>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颗粒物</w:t>
            </w:r>
          </w:p>
        </w:tc>
        <w:tc>
          <w:tcPr>
            <w:tcW w:w="1775"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eastAsia"/>
                <w:lang w:val="en-US" w:eastAsia="zh-CN"/>
              </w:rPr>
              <w:t>布袋除尘器+15m排气筒</w:t>
            </w:r>
          </w:p>
        </w:tc>
        <w:tc>
          <w:tcPr>
            <w:tcW w:w="2114"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eastAsia"/>
                <w:lang w:val="en-US" w:eastAsia="zh-CN"/>
              </w:rPr>
              <w:t>《水泥工业大气污染物排放标准》（GB4915-2013）表2大气污染物特别排放限值要求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33"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DA002</w:t>
            </w:r>
          </w:p>
        </w:tc>
        <w:tc>
          <w:tcPr>
            <w:tcW w:w="1600" w:type="dxa"/>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油烟废气</w:t>
            </w:r>
          </w:p>
        </w:tc>
        <w:tc>
          <w:tcPr>
            <w:tcW w:w="1775"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抽油烟机</w:t>
            </w:r>
          </w:p>
        </w:tc>
        <w:tc>
          <w:tcPr>
            <w:tcW w:w="2114"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lang w:val="en-US" w:eastAsia="zh-CN"/>
              </w:rPr>
            </w:pPr>
            <w:r>
              <w:rPr>
                <w:rFonts w:hint="eastAsia"/>
                <w:lang w:val="en-US" w:eastAsia="zh-CN"/>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33"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default"/>
                <w:lang w:val="en-US" w:eastAsia="zh-CN"/>
              </w:rPr>
            </w:pPr>
            <w:r>
              <w:rPr>
                <w:rFonts w:hint="eastAsia"/>
                <w:lang w:val="en-US" w:eastAsia="zh-CN"/>
              </w:rPr>
              <w:t>厂界</w:t>
            </w:r>
          </w:p>
        </w:tc>
        <w:tc>
          <w:tcPr>
            <w:tcW w:w="1600" w:type="dxa"/>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t>颗粒物</w:t>
            </w:r>
          </w:p>
        </w:tc>
        <w:tc>
          <w:tcPr>
            <w:tcW w:w="1775"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t>密闭厂房</w:t>
            </w:r>
          </w:p>
        </w:tc>
        <w:tc>
          <w:tcPr>
            <w:tcW w:w="2114"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eastAsia"/>
              </w:rPr>
              <w:t>《水泥工业大气污染物排放标准》（GB4915-2013）</w:t>
            </w:r>
            <w:r>
              <w:rPr>
                <w:rFonts w:hint="eastAsia"/>
                <w:lang w:eastAsia="zh-CN"/>
              </w:rPr>
              <w:t>中</w:t>
            </w:r>
            <w:r>
              <w:rPr>
                <w:rFonts w:hint="eastAsia"/>
              </w:rPr>
              <w:t>表</w:t>
            </w:r>
            <w:r>
              <w:rPr>
                <w:rFonts w:hint="eastAsia"/>
                <w:lang w:val="en-US" w:eastAsia="zh-CN"/>
              </w:rPr>
              <w:t>3大气污染物无组织排放限值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778" w:type="dxa"/>
            <w:vMerge w:val="restart"/>
            <w:tcBorders>
              <w:tl2br w:val="nil"/>
              <w:tr2bl w:val="nil"/>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地表水环境</w:t>
            </w:r>
          </w:p>
        </w:tc>
        <w:tc>
          <w:tcPr>
            <w:tcW w:w="1533"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eastAsia"/>
                <w:lang w:val="en-US" w:eastAsia="zh-CN"/>
              </w:rPr>
              <w:t>生活污水</w:t>
            </w:r>
          </w:p>
        </w:tc>
        <w:tc>
          <w:tcPr>
            <w:tcW w:w="1600" w:type="dxa"/>
            <w:tcBorders>
              <w:tl2br w:val="nil"/>
              <w:tr2bl w:val="nil"/>
            </w:tcBorders>
            <w:noWrap w:val="0"/>
            <w:vAlign w:val="center"/>
          </w:tcPr>
          <w:p>
            <w:pPr>
              <w:pStyle w:val="34"/>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lang w:val="en-US" w:eastAsia="zh-CN"/>
              </w:rPr>
              <w:t>COD</w:t>
            </w:r>
            <w:r>
              <w:rPr>
                <w:rFonts w:hint="eastAsia"/>
                <w:lang w:val="en-US" w:eastAsia="zh-CN"/>
              </w:rPr>
              <w:t>、</w:t>
            </w:r>
            <w:r>
              <w:rPr>
                <w:lang w:val="en-US" w:eastAsia="zh-CN"/>
              </w:rPr>
              <w:t>BOD</w:t>
            </w:r>
            <w:r>
              <w:rPr>
                <w:rFonts w:hint="eastAsia"/>
                <w:vertAlign w:val="subscript"/>
                <w:lang w:val="en-US" w:eastAsia="zh-CN"/>
              </w:rPr>
              <w:t>5</w:t>
            </w:r>
            <w:r>
              <w:rPr>
                <w:rFonts w:hint="eastAsia"/>
                <w:lang w:val="en-US" w:eastAsia="zh-CN"/>
              </w:rPr>
              <w:t>、</w:t>
            </w:r>
            <w:r>
              <w:rPr>
                <w:lang w:val="en-US" w:eastAsia="zh-CN"/>
              </w:rPr>
              <w:t>SS</w:t>
            </w:r>
            <w:r>
              <w:rPr>
                <w:rFonts w:hint="eastAsia"/>
                <w:lang w:val="en-US" w:eastAsia="zh-CN"/>
              </w:rPr>
              <w:t>、</w:t>
            </w:r>
            <w:r>
              <w:rPr>
                <w:lang w:val="en-US" w:eastAsia="zh-CN"/>
              </w:rPr>
              <w:t>氨氮</w:t>
            </w:r>
            <w:r>
              <w:rPr>
                <w:rFonts w:hint="eastAsia"/>
                <w:lang w:val="en-US" w:eastAsia="zh-CN"/>
              </w:rPr>
              <w:t>、动植物油</w:t>
            </w:r>
          </w:p>
        </w:tc>
        <w:tc>
          <w:tcPr>
            <w:tcW w:w="1775"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eastAsia"/>
                <w:lang w:val="en-US" w:eastAsia="zh-CN"/>
              </w:rPr>
              <w:t>经化粪池处理后排入污水管网</w:t>
            </w:r>
          </w:p>
        </w:tc>
        <w:tc>
          <w:tcPr>
            <w:tcW w:w="2114" w:type="dxa"/>
            <w:gridSpan w:val="2"/>
            <w:tcBorders>
              <w:tl2br w:val="nil"/>
              <w:tr2bl w:val="nil"/>
            </w:tcBorders>
            <w:noWrap w:val="0"/>
            <w:vAlign w:val="center"/>
          </w:tcPr>
          <w:p>
            <w:pPr>
              <w:pStyle w:val="34"/>
              <w:keepNext w:val="0"/>
              <w:keepLines w:val="0"/>
              <w:pageBreakBefore w:val="0"/>
              <w:widowControl w:val="0"/>
              <w:kinsoku/>
              <w:wordWrap w:val="0"/>
              <w:overflowPunct/>
              <w:topLinePunct w:val="0"/>
              <w:autoSpaceDE/>
              <w:autoSpaceDN/>
              <w:bidi w:val="0"/>
              <w:adjustRightInd/>
              <w:snapToGrid/>
              <w:jc w:val="center"/>
              <w:textAlignment w:val="auto"/>
              <w:rPr>
                <w:rFonts w:hint="eastAsia"/>
              </w:rPr>
            </w:pPr>
            <w:r>
              <w:rPr>
                <w:rFonts w:hint="default"/>
              </w:rPr>
              <w:t>《污水综合排放标准》（GB8978-1996）三级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33" w:type="dxa"/>
            <w:gridSpan w:val="2"/>
            <w:tcBorders>
              <w:tl2br w:val="nil"/>
              <w:tr2bl w:val="nil"/>
            </w:tcBorders>
            <w:noWrap w:val="0"/>
            <w:vAlign w:val="center"/>
          </w:tcPr>
          <w:p>
            <w:pPr>
              <w:pStyle w:val="34"/>
              <w:bidi w:val="0"/>
              <w:rPr>
                <w:rFonts w:hint="eastAsia"/>
              </w:rPr>
            </w:pPr>
            <w:r>
              <w:rPr>
                <w:rFonts w:hint="eastAsia"/>
                <w:lang w:val="en-US" w:eastAsia="zh-CN"/>
              </w:rPr>
              <w:t>生产废水</w:t>
            </w:r>
          </w:p>
        </w:tc>
        <w:tc>
          <w:tcPr>
            <w:tcW w:w="1600" w:type="dxa"/>
            <w:tcBorders>
              <w:tl2br w:val="nil"/>
              <w:tr2bl w:val="nil"/>
            </w:tcBorders>
            <w:noWrap w:val="0"/>
            <w:vAlign w:val="center"/>
          </w:tcPr>
          <w:p>
            <w:pPr>
              <w:pStyle w:val="34"/>
              <w:bidi w:val="0"/>
              <w:rPr>
                <w:rFonts w:hint="eastAsia"/>
              </w:rPr>
            </w:pPr>
            <w:r>
              <w:rPr>
                <w:rFonts w:hint="eastAsia"/>
                <w:lang w:val="en-US" w:eastAsia="zh-CN"/>
              </w:rPr>
              <w:t>设备清洗废水、切割打孔用水</w:t>
            </w:r>
          </w:p>
        </w:tc>
        <w:tc>
          <w:tcPr>
            <w:tcW w:w="1775" w:type="dxa"/>
            <w:gridSpan w:val="2"/>
            <w:tcBorders>
              <w:tl2br w:val="nil"/>
              <w:tr2bl w:val="nil"/>
            </w:tcBorders>
            <w:noWrap w:val="0"/>
            <w:vAlign w:val="center"/>
          </w:tcPr>
          <w:p>
            <w:pPr>
              <w:pStyle w:val="34"/>
              <w:bidi w:val="0"/>
              <w:rPr>
                <w:rFonts w:hint="eastAsia"/>
              </w:rPr>
            </w:pPr>
            <w:r>
              <w:rPr>
                <w:rFonts w:hint="eastAsia"/>
                <w:lang w:val="en-US" w:eastAsia="zh-CN"/>
              </w:rPr>
              <w:t>设备清洗水回用于产品；切割打孔用水经沉淀收集后，循环利用，不外排</w:t>
            </w:r>
          </w:p>
        </w:tc>
        <w:tc>
          <w:tcPr>
            <w:tcW w:w="2114" w:type="dxa"/>
            <w:gridSpan w:val="2"/>
            <w:tcBorders>
              <w:tl2br w:val="nil"/>
              <w:tr2bl w:val="nil"/>
            </w:tcBorders>
            <w:noWrap w:val="0"/>
            <w:vAlign w:val="center"/>
          </w:tcPr>
          <w:p>
            <w:pPr>
              <w:pStyle w:val="34"/>
              <w:bidi w:val="0"/>
              <w:rPr>
                <w:rFonts w:hint="eastAsia"/>
              </w:rPr>
            </w:pPr>
            <w:r>
              <w:rPr>
                <w:rFonts w:hint="default"/>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778" w:type="dxa"/>
            <w:tcBorders>
              <w:tl2br w:val="nil"/>
              <w:tr2bl w:val="nil"/>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声环境</w:t>
            </w:r>
          </w:p>
        </w:tc>
        <w:tc>
          <w:tcPr>
            <w:tcW w:w="1533" w:type="dxa"/>
            <w:gridSpan w:val="2"/>
            <w:tcBorders>
              <w:tl2br w:val="nil"/>
              <w:tr2bl w:val="nil"/>
            </w:tcBorders>
            <w:noWrap w:val="0"/>
            <w:vAlign w:val="center"/>
          </w:tcPr>
          <w:p>
            <w:pPr>
              <w:pStyle w:val="34"/>
              <w:bidi w:val="0"/>
              <w:rPr>
                <w:rFonts w:hint="eastAsia"/>
              </w:rPr>
            </w:pPr>
            <w:r>
              <w:rPr>
                <w:rFonts w:hint="default"/>
              </w:rPr>
              <w:t>生产设备</w:t>
            </w:r>
          </w:p>
        </w:tc>
        <w:tc>
          <w:tcPr>
            <w:tcW w:w="1600" w:type="dxa"/>
            <w:tcBorders>
              <w:tl2br w:val="nil"/>
              <w:tr2bl w:val="nil"/>
            </w:tcBorders>
            <w:noWrap w:val="0"/>
            <w:vAlign w:val="center"/>
          </w:tcPr>
          <w:p>
            <w:pPr>
              <w:pStyle w:val="34"/>
              <w:bidi w:val="0"/>
              <w:rPr>
                <w:rFonts w:hint="eastAsia"/>
              </w:rPr>
            </w:pPr>
            <w:r>
              <w:rPr>
                <w:rFonts w:hint="default"/>
              </w:rPr>
              <w:t>生产设备运行噪声</w:t>
            </w:r>
          </w:p>
        </w:tc>
        <w:tc>
          <w:tcPr>
            <w:tcW w:w="1775" w:type="dxa"/>
            <w:gridSpan w:val="2"/>
            <w:tcBorders>
              <w:tl2br w:val="nil"/>
              <w:tr2bl w:val="nil"/>
            </w:tcBorders>
            <w:noWrap w:val="0"/>
            <w:vAlign w:val="center"/>
          </w:tcPr>
          <w:p>
            <w:pPr>
              <w:pStyle w:val="34"/>
              <w:bidi w:val="0"/>
              <w:rPr>
                <w:rFonts w:hint="eastAsia"/>
              </w:rPr>
            </w:pPr>
            <w:r>
              <w:rPr>
                <w:rFonts w:hint="default"/>
              </w:rPr>
              <w:t>对各类主要噪声源采用低噪声源设备、并采取减振、隔声等措施</w:t>
            </w:r>
          </w:p>
        </w:tc>
        <w:tc>
          <w:tcPr>
            <w:tcW w:w="2114" w:type="dxa"/>
            <w:gridSpan w:val="2"/>
            <w:tcBorders>
              <w:tl2br w:val="nil"/>
              <w:tr2bl w:val="nil"/>
            </w:tcBorders>
            <w:noWrap w:val="0"/>
            <w:vAlign w:val="center"/>
          </w:tcPr>
          <w:p>
            <w:pPr>
              <w:pStyle w:val="34"/>
              <w:bidi w:val="0"/>
              <w:rPr>
                <w:rFonts w:hint="eastAsia"/>
              </w:rPr>
            </w:pPr>
            <w:r>
              <w:rPr>
                <w:rFonts w:hint="default"/>
              </w:rPr>
              <w:t>《工业企业厂界环境噪声排放标准》（GB12348-2008）3类标准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25" w:hRule="atLeast"/>
          <w:jc w:val="center"/>
        </w:trPr>
        <w:tc>
          <w:tcPr>
            <w:tcW w:w="1778" w:type="dxa"/>
            <w:tcBorders>
              <w:tl2br w:val="nil"/>
              <w:tr2bl w:val="nil"/>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电磁辐射</w:t>
            </w:r>
          </w:p>
        </w:tc>
        <w:tc>
          <w:tcPr>
            <w:tcW w:w="7022" w:type="dxa"/>
            <w:gridSpan w:val="7"/>
            <w:tcBorders>
              <w:tl2br w:val="nil"/>
              <w:tr2bl w:val="nil"/>
            </w:tcBorders>
            <w:noWrap w:val="0"/>
            <w:vAlign w:val="center"/>
          </w:tcPr>
          <w:p>
            <w:pPr>
              <w:pStyle w:val="34"/>
              <w:bidi w:val="0"/>
              <w:rPr>
                <w:rFonts w:hint="eastAsia"/>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1" w:hRule="atLeast"/>
          <w:jc w:val="center"/>
        </w:trPr>
        <w:tc>
          <w:tcPr>
            <w:tcW w:w="1778" w:type="dxa"/>
            <w:vMerge w:val="restart"/>
            <w:tcBorders>
              <w:tl2br w:val="nil"/>
              <w:tr2bl w:val="nil"/>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固体废物</w:t>
            </w:r>
          </w:p>
        </w:tc>
        <w:tc>
          <w:tcPr>
            <w:tcW w:w="1518" w:type="dxa"/>
            <w:vMerge w:val="restart"/>
            <w:tcBorders>
              <w:tl2br w:val="nil"/>
              <w:tr2bl w:val="nil"/>
            </w:tcBorders>
            <w:noWrap w:val="0"/>
            <w:vAlign w:val="center"/>
          </w:tcPr>
          <w:p>
            <w:pPr>
              <w:pStyle w:val="34"/>
              <w:bidi w:val="0"/>
              <w:rPr>
                <w:rFonts w:hint="eastAsia"/>
              </w:rPr>
            </w:pPr>
            <w:r>
              <w:rPr>
                <w:rFonts w:hint="default"/>
                <w:lang w:val="en-US" w:eastAsia="zh-CN"/>
              </w:rPr>
              <w:t>一般固废</w:t>
            </w:r>
          </w:p>
        </w:tc>
        <w:tc>
          <w:tcPr>
            <w:tcW w:w="1625" w:type="dxa"/>
            <w:gridSpan w:val="3"/>
            <w:tcBorders>
              <w:tl2br w:val="nil"/>
              <w:tr2bl w:val="nil"/>
            </w:tcBorders>
            <w:noWrap w:val="0"/>
            <w:vAlign w:val="center"/>
          </w:tcPr>
          <w:p>
            <w:pPr>
              <w:pStyle w:val="34"/>
              <w:bidi w:val="0"/>
              <w:rPr>
                <w:rFonts w:hint="eastAsia"/>
              </w:rPr>
            </w:pPr>
            <w:r>
              <w:rPr>
                <w:rFonts w:hint="default"/>
                <w:lang w:val="en-US" w:eastAsia="zh-CN"/>
              </w:rPr>
              <w:t>除尘器收集的粉尘</w:t>
            </w:r>
          </w:p>
        </w:tc>
        <w:tc>
          <w:tcPr>
            <w:tcW w:w="1825" w:type="dxa"/>
            <w:gridSpan w:val="2"/>
            <w:tcBorders>
              <w:tl2br w:val="nil"/>
              <w:tr2bl w:val="nil"/>
            </w:tcBorders>
            <w:noWrap w:val="0"/>
            <w:vAlign w:val="center"/>
          </w:tcPr>
          <w:p>
            <w:pPr>
              <w:pStyle w:val="34"/>
              <w:bidi w:val="0"/>
              <w:rPr>
                <w:rFonts w:hint="eastAsia"/>
              </w:rPr>
            </w:pPr>
            <w:r>
              <w:rPr>
                <w:rFonts w:hint="eastAsia"/>
                <w:lang w:val="en-US" w:eastAsia="zh-CN"/>
              </w:rPr>
              <w:t>收集后作为原料回收利用</w:t>
            </w:r>
          </w:p>
        </w:tc>
        <w:tc>
          <w:tcPr>
            <w:tcW w:w="2054" w:type="dxa"/>
            <w:vMerge w:val="restart"/>
            <w:tcBorders>
              <w:tl2br w:val="nil"/>
              <w:tr2bl w:val="nil"/>
            </w:tcBorders>
            <w:noWrap w:val="0"/>
            <w:vAlign w:val="center"/>
          </w:tcPr>
          <w:p>
            <w:pPr>
              <w:pStyle w:val="34"/>
              <w:bidi w:val="0"/>
              <w:rPr>
                <w:rFonts w:hint="default"/>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9"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18" w:type="dxa"/>
            <w:vMerge w:val="continue"/>
            <w:tcBorders>
              <w:tl2br w:val="nil"/>
              <w:tr2bl w:val="nil"/>
            </w:tcBorders>
            <w:noWrap w:val="0"/>
            <w:vAlign w:val="center"/>
          </w:tcPr>
          <w:p>
            <w:pPr>
              <w:pStyle w:val="34"/>
              <w:bidi w:val="0"/>
              <w:rPr>
                <w:rFonts w:hint="eastAsia"/>
              </w:rPr>
            </w:pPr>
          </w:p>
        </w:tc>
        <w:tc>
          <w:tcPr>
            <w:tcW w:w="1625" w:type="dxa"/>
            <w:gridSpan w:val="3"/>
            <w:tcBorders>
              <w:tl2br w:val="nil"/>
              <w:tr2bl w:val="nil"/>
            </w:tcBorders>
            <w:noWrap w:val="0"/>
            <w:vAlign w:val="center"/>
          </w:tcPr>
          <w:p>
            <w:pPr>
              <w:pStyle w:val="34"/>
              <w:bidi w:val="0"/>
              <w:rPr>
                <w:rFonts w:hint="eastAsia"/>
              </w:rPr>
            </w:pPr>
            <w:r>
              <w:rPr>
                <w:rFonts w:hint="default"/>
                <w:lang w:val="en-US" w:eastAsia="zh-CN"/>
              </w:rPr>
              <w:t>边角料及不合格产品</w:t>
            </w:r>
          </w:p>
        </w:tc>
        <w:tc>
          <w:tcPr>
            <w:tcW w:w="1825" w:type="dxa"/>
            <w:gridSpan w:val="2"/>
            <w:vMerge w:val="restart"/>
            <w:tcBorders>
              <w:tl2br w:val="nil"/>
              <w:tr2bl w:val="nil"/>
            </w:tcBorders>
            <w:noWrap w:val="0"/>
            <w:vAlign w:val="center"/>
          </w:tcPr>
          <w:p>
            <w:pPr>
              <w:pStyle w:val="34"/>
              <w:bidi w:val="0"/>
              <w:rPr>
                <w:rFonts w:hint="eastAsia"/>
              </w:rPr>
            </w:pPr>
            <w:r>
              <w:rPr>
                <w:rFonts w:hint="default"/>
                <w:lang w:val="en-US" w:eastAsia="zh-CN"/>
              </w:rPr>
              <w:t>交由物资回收单位回收处理</w:t>
            </w:r>
          </w:p>
        </w:tc>
        <w:tc>
          <w:tcPr>
            <w:tcW w:w="2054" w:type="dxa"/>
            <w:vMerge w:val="continue"/>
            <w:tcBorders>
              <w:tl2br w:val="nil"/>
              <w:tr2bl w:val="nil"/>
            </w:tcBorders>
            <w:noWrap w:val="0"/>
            <w:vAlign w:val="center"/>
          </w:tcPr>
          <w:p>
            <w:pPr>
              <w:pStyle w:val="34"/>
              <w:bidi w:val="0"/>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10"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18" w:type="dxa"/>
            <w:vMerge w:val="continue"/>
            <w:tcBorders>
              <w:tl2br w:val="nil"/>
              <w:tr2bl w:val="nil"/>
            </w:tcBorders>
            <w:noWrap w:val="0"/>
            <w:vAlign w:val="center"/>
          </w:tcPr>
          <w:p>
            <w:pPr>
              <w:pStyle w:val="34"/>
              <w:bidi w:val="0"/>
              <w:rPr>
                <w:rFonts w:hint="eastAsia"/>
              </w:rPr>
            </w:pPr>
          </w:p>
        </w:tc>
        <w:tc>
          <w:tcPr>
            <w:tcW w:w="1625" w:type="dxa"/>
            <w:gridSpan w:val="3"/>
            <w:tcBorders>
              <w:tl2br w:val="nil"/>
              <w:tr2bl w:val="nil"/>
            </w:tcBorders>
            <w:noWrap w:val="0"/>
            <w:vAlign w:val="center"/>
          </w:tcPr>
          <w:p>
            <w:pPr>
              <w:pStyle w:val="34"/>
              <w:bidi w:val="0"/>
              <w:rPr>
                <w:rFonts w:hint="eastAsia"/>
              </w:rPr>
            </w:pPr>
            <w:r>
              <w:rPr>
                <w:rFonts w:hint="default"/>
                <w:lang w:val="en-US" w:eastAsia="zh-CN"/>
              </w:rPr>
              <w:t>废包装袋</w:t>
            </w:r>
          </w:p>
        </w:tc>
        <w:tc>
          <w:tcPr>
            <w:tcW w:w="1825" w:type="dxa"/>
            <w:gridSpan w:val="2"/>
            <w:vMerge w:val="continue"/>
            <w:tcBorders>
              <w:tl2br w:val="nil"/>
              <w:tr2bl w:val="nil"/>
            </w:tcBorders>
            <w:noWrap w:val="0"/>
            <w:vAlign w:val="center"/>
          </w:tcPr>
          <w:p>
            <w:pPr>
              <w:pStyle w:val="34"/>
              <w:bidi w:val="0"/>
              <w:rPr>
                <w:rFonts w:hint="eastAsia"/>
              </w:rPr>
            </w:pPr>
          </w:p>
        </w:tc>
        <w:tc>
          <w:tcPr>
            <w:tcW w:w="2054" w:type="dxa"/>
            <w:vMerge w:val="continue"/>
            <w:tcBorders>
              <w:tl2br w:val="nil"/>
              <w:tr2bl w:val="nil"/>
            </w:tcBorders>
            <w:noWrap w:val="0"/>
            <w:vAlign w:val="center"/>
          </w:tcPr>
          <w:p>
            <w:pPr>
              <w:pStyle w:val="34"/>
              <w:bidi w:val="0"/>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18" w:type="dxa"/>
            <w:vMerge w:val="continue"/>
            <w:tcBorders>
              <w:tl2br w:val="nil"/>
              <w:tr2bl w:val="nil"/>
            </w:tcBorders>
            <w:noWrap w:val="0"/>
            <w:vAlign w:val="center"/>
          </w:tcPr>
          <w:p>
            <w:pPr>
              <w:pStyle w:val="34"/>
              <w:bidi w:val="0"/>
              <w:rPr>
                <w:rFonts w:hint="eastAsia"/>
              </w:rPr>
            </w:pPr>
          </w:p>
        </w:tc>
        <w:tc>
          <w:tcPr>
            <w:tcW w:w="1625" w:type="dxa"/>
            <w:gridSpan w:val="3"/>
            <w:tcBorders>
              <w:tl2br w:val="nil"/>
              <w:tr2bl w:val="nil"/>
            </w:tcBorders>
            <w:noWrap w:val="0"/>
            <w:vAlign w:val="center"/>
          </w:tcPr>
          <w:p>
            <w:pPr>
              <w:pStyle w:val="34"/>
              <w:bidi w:val="0"/>
              <w:rPr>
                <w:rFonts w:hint="eastAsia"/>
              </w:rPr>
            </w:pPr>
            <w:r>
              <w:rPr>
                <w:rFonts w:hint="default"/>
                <w:lang w:val="en-US" w:eastAsia="zh-CN"/>
              </w:rPr>
              <w:t>废布袋</w:t>
            </w:r>
          </w:p>
        </w:tc>
        <w:tc>
          <w:tcPr>
            <w:tcW w:w="1825" w:type="dxa"/>
            <w:gridSpan w:val="2"/>
            <w:tcBorders>
              <w:tl2br w:val="nil"/>
              <w:tr2bl w:val="nil"/>
            </w:tcBorders>
            <w:noWrap w:val="0"/>
            <w:vAlign w:val="center"/>
          </w:tcPr>
          <w:p>
            <w:pPr>
              <w:pStyle w:val="34"/>
              <w:bidi w:val="0"/>
              <w:rPr>
                <w:rFonts w:hint="eastAsia"/>
              </w:rPr>
            </w:pPr>
            <w:r>
              <w:rPr>
                <w:rFonts w:hint="default"/>
                <w:lang w:val="en-US" w:eastAsia="zh-CN"/>
              </w:rPr>
              <w:t>定期由设备厂家进行回收处理</w:t>
            </w:r>
          </w:p>
        </w:tc>
        <w:tc>
          <w:tcPr>
            <w:tcW w:w="2054" w:type="dxa"/>
            <w:vMerge w:val="continue"/>
            <w:tcBorders>
              <w:tl2br w:val="nil"/>
              <w:tr2bl w:val="nil"/>
            </w:tcBorders>
            <w:noWrap w:val="0"/>
            <w:vAlign w:val="center"/>
          </w:tcPr>
          <w:p>
            <w:pPr>
              <w:pStyle w:val="34"/>
              <w:bidi w:val="0"/>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55"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18" w:type="dxa"/>
            <w:vMerge w:val="continue"/>
            <w:tcBorders>
              <w:tl2br w:val="nil"/>
              <w:tr2bl w:val="nil"/>
            </w:tcBorders>
            <w:noWrap w:val="0"/>
            <w:vAlign w:val="center"/>
          </w:tcPr>
          <w:p>
            <w:pPr>
              <w:pStyle w:val="34"/>
              <w:bidi w:val="0"/>
              <w:rPr>
                <w:rFonts w:hint="eastAsia"/>
              </w:rPr>
            </w:pPr>
          </w:p>
        </w:tc>
        <w:tc>
          <w:tcPr>
            <w:tcW w:w="1625" w:type="dxa"/>
            <w:gridSpan w:val="3"/>
            <w:tcBorders>
              <w:tl2br w:val="nil"/>
              <w:tr2bl w:val="nil"/>
            </w:tcBorders>
            <w:noWrap w:val="0"/>
            <w:vAlign w:val="center"/>
          </w:tcPr>
          <w:p>
            <w:pPr>
              <w:pStyle w:val="34"/>
              <w:bidi w:val="0"/>
              <w:rPr>
                <w:rFonts w:hint="default"/>
                <w:lang w:val="en-US" w:eastAsia="zh-CN"/>
              </w:rPr>
            </w:pPr>
            <w:r>
              <w:rPr>
                <w:rFonts w:hint="default"/>
                <w:highlight w:val="none"/>
                <w:lang w:val="en-US" w:eastAsia="zh-CN"/>
              </w:rPr>
              <w:t>沉淀池沉渣</w:t>
            </w:r>
          </w:p>
        </w:tc>
        <w:tc>
          <w:tcPr>
            <w:tcW w:w="1825" w:type="dxa"/>
            <w:gridSpan w:val="2"/>
            <w:tcBorders>
              <w:tl2br w:val="nil"/>
              <w:tr2bl w:val="nil"/>
            </w:tcBorders>
            <w:noWrap w:val="0"/>
            <w:vAlign w:val="center"/>
          </w:tcPr>
          <w:p>
            <w:pPr>
              <w:pStyle w:val="34"/>
              <w:bidi w:val="0"/>
              <w:rPr>
                <w:rFonts w:hint="default"/>
                <w:lang w:val="en-US" w:eastAsia="zh-CN"/>
              </w:rPr>
            </w:pPr>
            <w:r>
              <w:rPr>
                <w:rFonts w:hint="default"/>
                <w:highlight w:val="none"/>
                <w:lang w:val="en-US" w:eastAsia="zh-CN"/>
              </w:rPr>
              <w:t>回用于生产</w:t>
            </w:r>
          </w:p>
        </w:tc>
        <w:tc>
          <w:tcPr>
            <w:tcW w:w="2054" w:type="dxa"/>
            <w:vMerge w:val="continue"/>
            <w:tcBorders>
              <w:tl2br w:val="nil"/>
              <w:tr2bl w:val="nil"/>
            </w:tcBorders>
            <w:noWrap w:val="0"/>
            <w:vAlign w:val="center"/>
          </w:tcPr>
          <w:p>
            <w:pPr>
              <w:pStyle w:val="34"/>
              <w:bidi w:val="0"/>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2"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18" w:type="dxa"/>
            <w:vMerge w:val="restart"/>
            <w:tcBorders>
              <w:tl2br w:val="nil"/>
              <w:tr2bl w:val="nil"/>
            </w:tcBorders>
            <w:noWrap w:val="0"/>
            <w:vAlign w:val="center"/>
          </w:tcPr>
          <w:p>
            <w:pPr>
              <w:pStyle w:val="34"/>
              <w:bidi w:val="0"/>
              <w:rPr>
                <w:rFonts w:hint="eastAsia"/>
              </w:rPr>
            </w:pPr>
            <w:r>
              <w:rPr>
                <w:rFonts w:hint="eastAsia"/>
                <w:lang w:val="en-US" w:eastAsia="zh-CN"/>
              </w:rPr>
              <w:t>危险废物</w:t>
            </w:r>
          </w:p>
        </w:tc>
        <w:tc>
          <w:tcPr>
            <w:tcW w:w="1625" w:type="dxa"/>
            <w:gridSpan w:val="3"/>
            <w:tcBorders>
              <w:tl2br w:val="nil"/>
              <w:tr2bl w:val="nil"/>
            </w:tcBorders>
            <w:noWrap w:val="0"/>
            <w:vAlign w:val="center"/>
          </w:tcPr>
          <w:p>
            <w:pPr>
              <w:pStyle w:val="34"/>
              <w:bidi w:val="0"/>
              <w:rPr>
                <w:rFonts w:hint="eastAsia"/>
              </w:rPr>
            </w:pPr>
            <w:r>
              <w:rPr>
                <w:rFonts w:hint="eastAsia"/>
                <w:lang w:val="en-US" w:eastAsia="zh-CN"/>
              </w:rPr>
              <w:t>废润滑油</w:t>
            </w:r>
          </w:p>
        </w:tc>
        <w:tc>
          <w:tcPr>
            <w:tcW w:w="1825" w:type="dxa"/>
            <w:gridSpan w:val="2"/>
            <w:vMerge w:val="restart"/>
            <w:tcBorders>
              <w:tl2br w:val="nil"/>
              <w:tr2bl w:val="nil"/>
            </w:tcBorders>
            <w:noWrap w:val="0"/>
            <w:vAlign w:val="center"/>
          </w:tcPr>
          <w:p>
            <w:pPr>
              <w:pStyle w:val="34"/>
              <w:bidi w:val="0"/>
              <w:rPr>
                <w:rFonts w:hint="eastAsia"/>
              </w:rPr>
            </w:pPr>
            <w:r>
              <w:rPr>
                <w:rFonts w:hint="eastAsia"/>
                <w:lang w:val="en-US" w:eastAsia="zh-CN"/>
              </w:rPr>
              <w:t>暂存于危险废物暂存间，定期交由有资质单位进行无害化处置</w:t>
            </w:r>
          </w:p>
        </w:tc>
        <w:tc>
          <w:tcPr>
            <w:tcW w:w="2054" w:type="dxa"/>
            <w:vMerge w:val="restart"/>
            <w:tcBorders>
              <w:tl2br w:val="nil"/>
              <w:tr2bl w:val="nil"/>
            </w:tcBorders>
            <w:noWrap w:val="0"/>
            <w:vAlign w:val="center"/>
          </w:tcPr>
          <w:p>
            <w:pPr>
              <w:pStyle w:val="34"/>
              <w:bidi w:val="0"/>
              <w:rPr>
                <w:rFonts w:hint="eastAsia"/>
              </w:rPr>
            </w:pPr>
            <w:r>
              <w:rPr>
                <w:rFonts w:hint="eastAsia"/>
                <w:lang w:val="en-US" w:eastAsia="zh-CN"/>
              </w:rPr>
              <w:t>《危险废物贮存污染控制标准》（GB18597—2023）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9"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18" w:type="dxa"/>
            <w:vMerge w:val="continue"/>
            <w:tcBorders>
              <w:tl2br w:val="nil"/>
              <w:tr2bl w:val="nil"/>
            </w:tcBorders>
            <w:noWrap w:val="0"/>
            <w:vAlign w:val="center"/>
          </w:tcPr>
          <w:p>
            <w:pPr>
              <w:pStyle w:val="34"/>
              <w:bidi w:val="0"/>
              <w:rPr>
                <w:rFonts w:hint="eastAsia"/>
              </w:rPr>
            </w:pPr>
          </w:p>
        </w:tc>
        <w:tc>
          <w:tcPr>
            <w:tcW w:w="1625" w:type="dxa"/>
            <w:gridSpan w:val="3"/>
            <w:tcBorders>
              <w:tl2br w:val="nil"/>
              <w:tr2bl w:val="nil"/>
            </w:tcBorders>
            <w:noWrap w:val="0"/>
            <w:vAlign w:val="center"/>
          </w:tcPr>
          <w:p>
            <w:pPr>
              <w:pStyle w:val="34"/>
              <w:bidi w:val="0"/>
              <w:rPr>
                <w:rFonts w:hint="eastAsia"/>
              </w:rPr>
            </w:pPr>
            <w:r>
              <w:rPr>
                <w:rFonts w:hint="eastAsia"/>
                <w:lang w:val="en-US" w:eastAsia="zh-CN"/>
              </w:rPr>
              <w:t>废润滑油桶</w:t>
            </w:r>
          </w:p>
        </w:tc>
        <w:tc>
          <w:tcPr>
            <w:tcW w:w="1825" w:type="dxa"/>
            <w:gridSpan w:val="2"/>
            <w:vMerge w:val="continue"/>
            <w:tcBorders>
              <w:tl2br w:val="nil"/>
              <w:tr2bl w:val="nil"/>
            </w:tcBorders>
            <w:noWrap w:val="0"/>
            <w:vAlign w:val="center"/>
          </w:tcPr>
          <w:p>
            <w:pPr>
              <w:pStyle w:val="34"/>
              <w:bidi w:val="0"/>
              <w:rPr>
                <w:rFonts w:hint="eastAsia"/>
              </w:rPr>
            </w:pPr>
          </w:p>
        </w:tc>
        <w:tc>
          <w:tcPr>
            <w:tcW w:w="2054" w:type="dxa"/>
            <w:vMerge w:val="continue"/>
            <w:tcBorders>
              <w:tl2br w:val="nil"/>
              <w:tr2bl w:val="nil"/>
            </w:tcBorders>
            <w:noWrap w:val="0"/>
            <w:vAlign w:val="center"/>
          </w:tcPr>
          <w:p>
            <w:pPr>
              <w:pStyle w:val="34"/>
              <w:bidi w:val="0"/>
              <w:rPr>
                <w:rFonts w:hint="eastAsia"/>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1778" w:type="dxa"/>
            <w:vMerge w:val="continue"/>
            <w:tcBorders>
              <w:tl2br w:val="nil"/>
              <w:tr2bl w:val="nil"/>
            </w:tcBorders>
            <w:noWrap w:val="0"/>
            <w:vAlign w:val="center"/>
          </w:tcPr>
          <w:p>
            <w:pPr>
              <w:adjustRightInd w:val="0"/>
              <w:snapToGrid w:val="0"/>
              <w:jc w:val="center"/>
              <w:rPr>
                <w:rFonts w:hint="eastAsia" w:ascii="宋体" w:hAnsi="宋体" w:cs="宋体"/>
                <w:szCs w:val="21"/>
              </w:rPr>
            </w:pPr>
          </w:p>
        </w:tc>
        <w:tc>
          <w:tcPr>
            <w:tcW w:w="1518" w:type="dxa"/>
            <w:tcBorders>
              <w:tl2br w:val="nil"/>
              <w:tr2bl w:val="nil"/>
            </w:tcBorders>
            <w:noWrap w:val="0"/>
            <w:vAlign w:val="center"/>
          </w:tcPr>
          <w:p>
            <w:pPr>
              <w:pStyle w:val="34"/>
              <w:bidi w:val="0"/>
              <w:rPr>
                <w:rFonts w:hint="eastAsia"/>
              </w:rPr>
            </w:pPr>
            <w:r>
              <w:rPr>
                <w:rFonts w:hint="default"/>
                <w:lang w:val="en-US" w:eastAsia="zh-CN"/>
              </w:rPr>
              <w:t>生活垃圾</w:t>
            </w:r>
          </w:p>
        </w:tc>
        <w:tc>
          <w:tcPr>
            <w:tcW w:w="1625" w:type="dxa"/>
            <w:gridSpan w:val="3"/>
            <w:tcBorders>
              <w:tl2br w:val="nil"/>
              <w:tr2bl w:val="nil"/>
            </w:tcBorders>
            <w:noWrap w:val="0"/>
            <w:vAlign w:val="center"/>
          </w:tcPr>
          <w:p>
            <w:pPr>
              <w:pStyle w:val="34"/>
              <w:bidi w:val="0"/>
              <w:rPr>
                <w:rFonts w:hint="eastAsia"/>
              </w:rPr>
            </w:pPr>
            <w:r>
              <w:rPr>
                <w:rFonts w:hint="default"/>
                <w:lang w:val="en-US" w:eastAsia="zh-CN"/>
              </w:rPr>
              <w:t>生活垃圾</w:t>
            </w:r>
          </w:p>
        </w:tc>
        <w:tc>
          <w:tcPr>
            <w:tcW w:w="1825" w:type="dxa"/>
            <w:gridSpan w:val="2"/>
            <w:tcBorders>
              <w:tl2br w:val="nil"/>
              <w:tr2bl w:val="nil"/>
            </w:tcBorders>
            <w:noWrap w:val="0"/>
            <w:vAlign w:val="center"/>
          </w:tcPr>
          <w:p>
            <w:pPr>
              <w:pStyle w:val="34"/>
              <w:bidi w:val="0"/>
              <w:rPr>
                <w:rFonts w:hint="eastAsia"/>
              </w:rPr>
            </w:pPr>
            <w:r>
              <w:rPr>
                <w:rFonts w:hint="default"/>
                <w:lang w:val="en-US" w:eastAsia="zh-CN"/>
              </w:rPr>
              <w:t>交环卫部门定时清运处理</w:t>
            </w:r>
          </w:p>
        </w:tc>
        <w:tc>
          <w:tcPr>
            <w:tcW w:w="2054" w:type="dxa"/>
            <w:tcBorders>
              <w:tl2br w:val="nil"/>
              <w:tr2bl w:val="nil"/>
            </w:tcBorders>
            <w:noWrap w:val="0"/>
            <w:vAlign w:val="center"/>
          </w:tcPr>
          <w:p>
            <w:pPr>
              <w:pStyle w:val="34"/>
              <w:bidi w:val="0"/>
              <w:rPr>
                <w:rFonts w:hint="eastAsia"/>
                <w:lang w:val="en-US" w:eastAsia="zh-CN"/>
              </w:rPr>
            </w:pP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6" w:hRule="atLeast"/>
          <w:jc w:val="center"/>
        </w:trPr>
        <w:tc>
          <w:tcPr>
            <w:tcW w:w="1778" w:type="dxa"/>
            <w:tcBorders>
              <w:tl2br w:val="nil"/>
              <w:tr2bl w:val="nil"/>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土壤及地下水</w:t>
            </w:r>
          </w:p>
          <w:p>
            <w:pPr>
              <w:adjustRightInd w:val="0"/>
              <w:snapToGrid w:val="0"/>
              <w:jc w:val="center"/>
              <w:rPr>
                <w:rFonts w:hint="eastAsia" w:ascii="宋体" w:hAnsi="宋体" w:cs="宋体"/>
                <w:szCs w:val="21"/>
              </w:rPr>
            </w:pPr>
            <w:r>
              <w:rPr>
                <w:rFonts w:hint="eastAsia" w:ascii="宋体" w:hAnsi="宋体" w:cs="宋体"/>
                <w:szCs w:val="21"/>
              </w:rPr>
              <w:t>污染防治措施</w:t>
            </w:r>
          </w:p>
        </w:tc>
        <w:tc>
          <w:tcPr>
            <w:tcW w:w="7022" w:type="dxa"/>
            <w:gridSpan w:val="7"/>
            <w:tcBorders>
              <w:tl2br w:val="nil"/>
              <w:tr2bl w:val="nil"/>
            </w:tcBorders>
            <w:noWrap w:val="0"/>
            <w:vAlign w:val="center"/>
          </w:tcPr>
          <w:p>
            <w:pPr>
              <w:pStyle w:val="8"/>
              <w:bidi w:val="0"/>
              <w:rPr>
                <w:rFonts w:hint="eastAsia"/>
              </w:rPr>
            </w:pPr>
            <w:r>
              <w:rPr>
                <w:rFonts w:hint="eastAsia"/>
              </w:rPr>
              <w:t>分区防控，生产车间</w:t>
            </w:r>
            <w:r>
              <w:rPr>
                <w:rFonts w:hint="eastAsia"/>
                <w:lang w:val="en-US" w:eastAsia="zh-CN"/>
              </w:rPr>
              <w:t>为</w:t>
            </w:r>
            <w:r>
              <w:rPr>
                <w:rFonts w:hint="eastAsia"/>
              </w:rPr>
              <w:t>一般防渗区</w:t>
            </w:r>
            <w:r>
              <w:rPr>
                <w:rFonts w:hint="eastAsia"/>
                <w:lang w:eastAsia="zh-CN"/>
              </w:rPr>
              <w:t>；</w:t>
            </w:r>
            <w:r>
              <w:rPr>
                <w:rFonts w:hint="eastAsia"/>
                <w:lang w:val="en-US" w:eastAsia="zh-CN"/>
              </w:rPr>
              <w:t>危险废物暂存间</w:t>
            </w:r>
            <w:r>
              <w:rPr>
                <w:rFonts w:hint="eastAsia"/>
              </w:rPr>
              <w:t>为重点防渗区</w:t>
            </w:r>
            <w:r>
              <w:rPr>
                <w:rFonts w:hint="eastAsia"/>
                <w:lang w:eastAsia="zh-CN"/>
              </w:rPr>
              <w:t>；</w:t>
            </w:r>
            <w:r>
              <w:rPr>
                <w:rFonts w:hint="eastAsia"/>
              </w:rPr>
              <w:t>办公室、厂区道路为简单防渗</w:t>
            </w:r>
            <w:r>
              <w:rPr>
                <w:rFonts w:hint="eastAsia"/>
                <w:lang w:eastAsia="zh-CN"/>
              </w:rPr>
              <w:t>；</w:t>
            </w:r>
            <w:r>
              <w:rPr>
                <w:rFonts w:hint="eastAsia"/>
              </w:rPr>
              <w:t>满足相关防渗要求后，本项目对周边土壤环境、地下水环境影响较小。</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6" w:hRule="atLeast"/>
          <w:jc w:val="center"/>
        </w:trPr>
        <w:tc>
          <w:tcPr>
            <w:tcW w:w="1778" w:type="dxa"/>
            <w:tcBorders>
              <w:tl2br w:val="nil"/>
              <w:tr2bl w:val="nil"/>
            </w:tcBorders>
            <w:noWrap w:val="0"/>
            <w:vAlign w:val="center"/>
          </w:tcPr>
          <w:p>
            <w:pPr>
              <w:adjustRightInd w:val="0"/>
              <w:snapToGrid w:val="0"/>
              <w:jc w:val="center"/>
              <w:rPr>
                <w:rFonts w:hint="eastAsia" w:ascii="宋体" w:hAnsi="宋体" w:cs="宋体"/>
                <w:szCs w:val="21"/>
              </w:rPr>
            </w:pPr>
            <w:r>
              <w:rPr>
                <w:rFonts w:hint="eastAsia" w:ascii="宋体" w:hAnsi="宋体" w:cs="宋体"/>
                <w:szCs w:val="21"/>
              </w:rPr>
              <w:t>生态保护措施</w:t>
            </w:r>
          </w:p>
        </w:tc>
        <w:tc>
          <w:tcPr>
            <w:tcW w:w="7022" w:type="dxa"/>
            <w:gridSpan w:val="7"/>
            <w:tcBorders>
              <w:tl2br w:val="nil"/>
              <w:tr2bl w:val="nil"/>
            </w:tcBorders>
            <w:noWrap w:val="0"/>
            <w:vAlign w:val="center"/>
          </w:tcPr>
          <w:p>
            <w:pPr>
              <w:pStyle w:val="8"/>
              <w:bidi w:val="0"/>
              <w:jc w:val="center"/>
              <w:rPr>
                <w:rFonts w:hint="eastAsia"/>
              </w:rPr>
            </w:pPr>
            <w:r>
              <w:rPr>
                <w:rFonts w:hint="eastAsia"/>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6" w:hRule="atLeast"/>
          <w:jc w:val="center"/>
        </w:trPr>
        <w:tc>
          <w:tcPr>
            <w:tcW w:w="1778" w:type="dxa"/>
            <w:tcBorders>
              <w:tl2br w:val="nil"/>
              <w:tr2bl w:val="nil"/>
            </w:tcBorders>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环境风险</w:t>
            </w:r>
          </w:p>
          <w:p>
            <w:pPr>
              <w:adjustRightInd w:val="0"/>
              <w:snapToGrid w:val="0"/>
              <w:jc w:val="center"/>
              <w:rPr>
                <w:rFonts w:hint="eastAsia" w:ascii="宋体" w:hAnsi="宋体" w:cs="宋体"/>
                <w:spacing w:val="-8"/>
                <w:szCs w:val="21"/>
              </w:rPr>
            </w:pPr>
            <w:r>
              <w:rPr>
                <w:rFonts w:hint="eastAsia" w:ascii="宋体" w:hAnsi="宋体" w:cs="宋体"/>
                <w:spacing w:val="-8"/>
                <w:szCs w:val="21"/>
              </w:rPr>
              <w:t>防范措施</w:t>
            </w:r>
          </w:p>
        </w:tc>
        <w:tc>
          <w:tcPr>
            <w:tcW w:w="7022" w:type="dxa"/>
            <w:gridSpan w:val="7"/>
            <w:tcBorders>
              <w:tl2br w:val="nil"/>
              <w:tr2bl w:val="nil"/>
            </w:tcBorders>
            <w:noWrap w:val="0"/>
            <w:vAlign w:val="center"/>
          </w:tcPr>
          <w:p>
            <w:pPr>
              <w:pStyle w:val="8"/>
              <w:bidi w:val="0"/>
              <w:rPr>
                <w:rFonts w:hint="eastAsia"/>
              </w:rPr>
            </w:pPr>
            <w:r>
              <w:rPr>
                <w:rFonts w:hint="eastAsia"/>
              </w:rPr>
              <w:t>为减少项目事故对周边环境的影响，本次评价建议单位做好如下防范措施：</w:t>
            </w:r>
          </w:p>
          <w:p>
            <w:pPr>
              <w:pStyle w:val="8"/>
              <w:bidi w:val="0"/>
              <w:rPr>
                <w:rFonts w:hint="eastAsia"/>
              </w:rPr>
            </w:pPr>
            <w:r>
              <w:rPr>
                <w:rFonts w:hint="eastAsia"/>
              </w:rPr>
              <w:t>（1）成立专门的责任机构，保证事故发生时组织相关力量及时控制事故的危害，在第一时间，有序有效地控制事故污染，把事故危害减小到</w:t>
            </w:r>
            <w:r>
              <w:rPr>
                <w:rFonts w:hint="eastAsia"/>
                <w:lang w:eastAsia="zh-CN"/>
              </w:rPr>
              <w:t>最小</w:t>
            </w:r>
            <w:r>
              <w:rPr>
                <w:rFonts w:hint="eastAsia"/>
              </w:rPr>
              <w:t>。</w:t>
            </w:r>
          </w:p>
          <w:p>
            <w:pPr>
              <w:pStyle w:val="8"/>
              <w:bidi w:val="0"/>
              <w:rPr>
                <w:rFonts w:hint="eastAsia"/>
              </w:rPr>
            </w:pPr>
            <w:r>
              <w:rPr>
                <w:rFonts w:hint="eastAsia"/>
              </w:rPr>
              <w:t>（2）健全各项制度，强化安全管理意识，加强用电设备及线路的检修和管理。</w:t>
            </w:r>
          </w:p>
          <w:p>
            <w:pPr>
              <w:pStyle w:val="8"/>
              <w:bidi w:val="0"/>
              <w:rPr>
                <w:rFonts w:hint="eastAsia"/>
              </w:rPr>
            </w:pPr>
            <w:r>
              <w:rPr>
                <w:rFonts w:hint="eastAsia"/>
              </w:rPr>
              <w:t>（3）严格按照消防安全部门要求，配置消防设施。</w:t>
            </w:r>
          </w:p>
          <w:p>
            <w:pPr>
              <w:pStyle w:val="8"/>
              <w:bidi w:val="0"/>
              <w:rPr>
                <w:rFonts w:hint="eastAsia"/>
              </w:rPr>
            </w:pPr>
            <w:r>
              <w:rPr>
                <w:rFonts w:hint="eastAsia"/>
              </w:rPr>
              <w:t>（4）油类物质等易燃易爆物品存储远离火源。</w:t>
            </w:r>
          </w:p>
          <w:p>
            <w:pPr>
              <w:pStyle w:val="8"/>
              <w:bidi w:val="0"/>
              <w:rPr>
                <w:rFonts w:hint="eastAsia"/>
              </w:rPr>
            </w:pPr>
            <w:r>
              <w:rPr>
                <w:rFonts w:hint="eastAsia"/>
              </w:rPr>
              <w:t>（5）制定环保设备运行维护制度，并派专人进行管理，定期对环保设备进行点检维护。</w:t>
            </w:r>
          </w:p>
          <w:p>
            <w:pPr>
              <w:pStyle w:val="8"/>
              <w:bidi w:val="0"/>
              <w:rPr>
                <w:rFonts w:hint="eastAsia"/>
              </w:rPr>
            </w:pPr>
            <w:r>
              <w:rPr>
                <w:rFonts w:hint="eastAsia"/>
              </w:rPr>
              <w:t>（6）定期对风机的运行情况进行检查记录，一旦发现运行异常，立即对相应的生产设备进行停产，并对风机设备进行维修。</w:t>
            </w:r>
          </w:p>
          <w:p>
            <w:pPr>
              <w:pStyle w:val="8"/>
              <w:bidi w:val="0"/>
              <w:rPr>
                <w:rFonts w:hint="eastAsia"/>
              </w:rPr>
            </w:pPr>
            <w:r>
              <w:rPr>
                <w:rFonts w:hint="eastAsia"/>
              </w:rPr>
              <w:t>（7）对布袋除尘器装置进行定期检查，确保废气处理效率，若发现破损、损坏或堵塞严重，应立即进行更换，确保其处理效率。</w:t>
            </w:r>
          </w:p>
          <w:p>
            <w:pPr>
              <w:pStyle w:val="8"/>
              <w:bidi w:val="0"/>
              <w:rPr>
                <w:rFonts w:hint="eastAsia"/>
              </w:rPr>
            </w:pPr>
            <w:r>
              <w:rPr>
                <w:rFonts w:hint="eastAsia"/>
              </w:rPr>
              <w:t>采取以上措施后，可有效降低事故发生的概率。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02" w:hRule="atLeast"/>
          <w:jc w:val="center"/>
        </w:trPr>
        <w:tc>
          <w:tcPr>
            <w:tcW w:w="1778" w:type="dxa"/>
            <w:tcBorders>
              <w:tl2br w:val="nil"/>
              <w:tr2bl w:val="nil"/>
            </w:tcBorders>
            <w:noWrap w:val="0"/>
            <w:vAlign w:val="center"/>
          </w:tcPr>
          <w:p>
            <w:pPr>
              <w:adjustRightInd w:val="0"/>
              <w:snapToGrid w:val="0"/>
              <w:jc w:val="center"/>
              <w:rPr>
                <w:rFonts w:ascii="宋体" w:hAnsi="宋体" w:cs="宋体"/>
                <w:spacing w:val="-8"/>
                <w:szCs w:val="21"/>
              </w:rPr>
            </w:pPr>
            <w:r>
              <w:rPr>
                <w:rFonts w:hint="eastAsia" w:ascii="宋体" w:hAnsi="宋体" w:cs="宋体"/>
                <w:spacing w:val="-8"/>
                <w:szCs w:val="21"/>
              </w:rPr>
              <w:t>其他环境</w:t>
            </w:r>
          </w:p>
          <w:p>
            <w:pPr>
              <w:adjustRightInd w:val="0"/>
              <w:snapToGrid w:val="0"/>
              <w:jc w:val="center"/>
              <w:rPr>
                <w:rFonts w:hint="eastAsia" w:ascii="宋体" w:hAnsi="宋体" w:cs="宋体"/>
                <w:spacing w:val="-8"/>
                <w:szCs w:val="21"/>
              </w:rPr>
            </w:pPr>
            <w:r>
              <w:rPr>
                <w:rFonts w:hint="eastAsia" w:ascii="宋体" w:hAnsi="宋体" w:cs="宋体"/>
                <w:spacing w:val="-8"/>
                <w:szCs w:val="21"/>
              </w:rPr>
              <w:t>管理要求</w:t>
            </w:r>
          </w:p>
        </w:tc>
        <w:tc>
          <w:tcPr>
            <w:tcW w:w="7022" w:type="dxa"/>
            <w:gridSpan w:val="7"/>
            <w:tcBorders>
              <w:tl2br w:val="nil"/>
              <w:tr2bl w:val="nil"/>
            </w:tcBorders>
            <w:noWrap w:val="0"/>
            <w:vAlign w:val="center"/>
          </w:tcPr>
          <w:p>
            <w:pPr>
              <w:pStyle w:val="3"/>
              <w:bidi w:val="0"/>
              <w:rPr>
                <w:rFonts w:hint="eastAsia"/>
              </w:rPr>
            </w:pPr>
            <w:r>
              <w:rPr>
                <w:rFonts w:hint="eastAsia"/>
              </w:rPr>
              <w:t>1</w:t>
            </w:r>
            <w:r>
              <w:rPr>
                <w:rFonts w:hint="eastAsia"/>
                <w:lang w:val="en-US" w:eastAsia="zh-CN"/>
              </w:rPr>
              <w:t>.</w:t>
            </w:r>
            <w:r>
              <w:rPr>
                <w:rFonts w:hint="eastAsia"/>
              </w:rPr>
              <w:t>管理制度</w:t>
            </w:r>
          </w:p>
          <w:p>
            <w:pPr>
              <w:pStyle w:val="8"/>
              <w:bidi w:val="0"/>
              <w:rPr>
                <w:rFonts w:hint="eastAsia"/>
              </w:rPr>
            </w:pPr>
            <w:r>
              <w:rPr>
                <w:rFonts w:hint="eastAsia"/>
              </w:rPr>
              <w:t>为了缓解建设项目生产运行期对环境构成的不良影响，在采取环保治理工程措施解决建设项目环境影响的同时，必须制定全面的企业环境管理计划，配备专职环保人员1-2名，负责环境监督管理工作，同时要加强对管理人员的环保培训，不断提高管理水平</w:t>
            </w:r>
            <w:r>
              <w:rPr>
                <w:rFonts w:hint="eastAsia"/>
                <w:lang w:eastAsia="zh-CN"/>
              </w:rPr>
              <w:t>。</w:t>
            </w:r>
            <w:r>
              <w:rPr>
                <w:rFonts w:hint="eastAsia"/>
              </w:rPr>
              <w:t>企业排污发生重大变化、污染治理设施改变或生产运行计划改变等都必须向当地</w:t>
            </w:r>
            <w:r>
              <w:rPr>
                <w:rFonts w:hint="eastAsia"/>
                <w:lang w:val="en-US" w:eastAsia="zh-CN"/>
              </w:rPr>
              <w:t>生态环境主管部门</w:t>
            </w:r>
            <w:r>
              <w:rPr>
                <w:rFonts w:hint="eastAsia"/>
              </w:rPr>
              <w:t>申报，经审批同意后方可实施。对污染治理设施和管理必须与生产经营活动一起纳入企业的日常管理中，要建立岗位责任制，制定操作规程，建立</w:t>
            </w:r>
            <w:r>
              <w:rPr>
                <w:rFonts w:hint="eastAsia"/>
                <w:lang w:eastAsia="zh-CN"/>
              </w:rPr>
              <w:t>管理台账</w:t>
            </w:r>
            <w:r>
              <w:rPr>
                <w:rFonts w:hint="eastAsia"/>
              </w:rPr>
              <w:t>。</w:t>
            </w:r>
          </w:p>
          <w:p>
            <w:pPr>
              <w:pStyle w:val="3"/>
              <w:bidi w:val="0"/>
              <w:rPr>
                <w:rFonts w:hint="eastAsia"/>
              </w:rPr>
            </w:pPr>
            <w:r>
              <w:rPr>
                <w:rFonts w:hint="eastAsia"/>
                <w:lang w:val="en-US" w:eastAsia="zh-CN"/>
              </w:rPr>
              <w:t>2.</w:t>
            </w:r>
            <w:r>
              <w:rPr>
                <w:rFonts w:hint="eastAsia"/>
              </w:rPr>
              <w:t>排放口信息化、规范化</w:t>
            </w:r>
          </w:p>
          <w:p>
            <w:pPr>
              <w:pStyle w:val="8"/>
              <w:bidi w:val="0"/>
              <w:rPr>
                <w:rFonts w:hint="eastAsia"/>
              </w:rPr>
            </w:pPr>
            <w:r>
              <w:rPr>
                <w:rFonts w:hint="eastAsia"/>
              </w:rPr>
              <w:t>建设项目排气筒采样平台、采样口等内容须按照《排污单位污染物排放口监测点位设置技术规范》（HJ1405-2024）要求设置。</w:t>
            </w:r>
          </w:p>
          <w:p>
            <w:pPr>
              <w:pStyle w:val="8"/>
              <w:bidi w:val="0"/>
              <w:ind w:left="0" w:leftChars="0" w:firstLine="0" w:firstLineChars="0"/>
              <w:rPr>
                <w:rFonts w:hint="eastAsia" w:ascii="Times New Roman" w:hAnsi="Times New Roman" w:eastAsia="宋体" w:cs="Times New Roman"/>
                <w:b/>
                <w:bCs/>
                <w:color w:val="000000"/>
                <w:kern w:val="44"/>
                <w:sz w:val="24"/>
                <w:szCs w:val="30"/>
                <w:lang w:val="en-US" w:eastAsia="zh-CN" w:bidi="ar-SA"/>
              </w:rPr>
            </w:pPr>
            <w:r>
              <w:rPr>
                <w:rFonts w:hint="eastAsia" w:ascii="Times New Roman" w:hAnsi="Times New Roman" w:eastAsia="宋体" w:cs="Times New Roman"/>
                <w:b/>
                <w:bCs/>
                <w:color w:val="000000"/>
                <w:kern w:val="44"/>
                <w:sz w:val="24"/>
                <w:szCs w:val="30"/>
                <w:lang w:val="en-US" w:eastAsia="zh-CN" w:bidi="ar-SA"/>
              </w:rPr>
              <w:t>3.排污申报</w:t>
            </w:r>
          </w:p>
          <w:p>
            <w:pPr>
              <w:pStyle w:val="8"/>
              <w:bidi w:val="0"/>
              <w:rPr>
                <w:rFonts w:hint="default"/>
                <w:lang w:val="en-US" w:eastAsia="zh-CN"/>
              </w:rPr>
            </w:pPr>
            <w:r>
              <w:rPr>
                <w:rFonts w:hint="eastAsia"/>
                <w:lang w:val="en-US" w:eastAsia="zh-CN"/>
              </w:rPr>
              <w:t>对照《固定污染源排污许可分类管理名录（2019年版）》，本项目属于“二十五、非金属矿物制品业-63石膏、水泥制品及类似制品制造-水泥制品制造3021”，实施登记管理，因此本项目不需要申请取得排污许可证。应当在全国排污许可证管理信息平台填报排污登记表，登记基本信息、污染物排放去向、执行的污染物排放标准以及采取的污染防治措施等信息。</w:t>
            </w:r>
          </w:p>
          <w:p>
            <w:pPr>
              <w:pStyle w:val="3"/>
              <w:bidi w:val="0"/>
              <w:rPr>
                <w:rFonts w:hint="eastAsia"/>
              </w:rPr>
            </w:pPr>
            <w:r>
              <w:rPr>
                <w:rFonts w:hint="eastAsia"/>
                <w:lang w:val="en-US" w:eastAsia="zh-CN"/>
              </w:rPr>
              <w:t>4.环境管理台账</w:t>
            </w:r>
          </w:p>
          <w:p>
            <w:pPr>
              <w:pStyle w:val="8"/>
              <w:bidi w:val="0"/>
              <w:rPr>
                <w:rFonts w:hint="eastAsia"/>
              </w:rPr>
            </w:pPr>
            <w:r>
              <w:rPr>
                <w:rFonts w:hint="eastAsia"/>
                <w:lang w:val="en-US" w:eastAsia="zh-CN"/>
              </w:rPr>
              <w:t>企业应按照行业排污许可管理要求制度管理台账，落实环境管理台账记录的责任部门和责任人，明确工作职责，包括台账的记录、整理、维护和管理等，并对台账记录结果的真实性、完整性和规范性负责，台账保存期限不得少于5年。</w:t>
            </w:r>
          </w:p>
          <w:p>
            <w:pPr>
              <w:pStyle w:val="3"/>
              <w:bidi w:val="0"/>
              <w:rPr>
                <w:rFonts w:hint="eastAsia"/>
                <w:lang w:val="en-US" w:eastAsia="zh-CN"/>
              </w:rPr>
            </w:pPr>
            <w:r>
              <w:rPr>
                <w:rFonts w:hint="eastAsia"/>
                <w:lang w:val="en-US" w:eastAsia="zh-CN"/>
              </w:rPr>
              <w:t>5.环保信息公开</w:t>
            </w:r>
          </w:p>
          <w:p>
            <w:pPr>
              <w:pStyle w:val="8"/>
              <w:bidi w:val="0"/>
              <w:rPr>
                <w:rFonts w:hint="eastAsia"/>
              </w:rPr>
            </w:pPr>
            <w:r>
              <w:rPr>
                <w:rFonts w:hint="eastAsia"/>
              </w:rPr>
              <w:t>要求根据《企业事业单位环境信息公开办法》</w:t>
            </w:r>
            <w:r>
              <w:rPr>
                <w:rFonts w:hint="eastAsia"/>
                <w:lang w:eastAsia="zh-CN"/>
              </w:rPr>
              <w:t>（</w:t>
            </w:r>
            <w:r>
              <w:rPr>
                <w:rFonts w:hint="eastAsia"/>
              </w:rPr>
              <w:t>环境保护部令第31号</w:t>
            </w:r>
            <w:r>
              <w:rPr>
                <w:rFonts w:hint="eastAsia"/>
                <w:lang w:eastAsia="zh-CN"/>
              </w:rPr>
              <w:t>）</w:t>
            </w:r>
            <w:r>
              <w:rPr>
                <w:rFonts w:hint="eastAsia"/>
              </w:rPr>
              <w:t>，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pPr>
              <w:pStyle w:val="8"/>
              <w:bidi w:val="0"/>
              <w:rPr>
                <w:rFonts w:hint="eastAsia"/>
                <w:lang w:eastAsia="zh-CN"/>
              </w:rPr>
            </w:pPr>
            <w:r>
              <w:rPr>
                <w:rFonts w:hint="eastAsia"/>
                <w:lang w:eastAsia="zh-CN"/>
              </w:rPr>
              <w:t>（</w:t>
            </w:r>
            <w:r>
              <w:rPr>
                <w:rFonts w:hint="eastAsia"/>
                <w:lang w:val="en-US" w:eastAsia="zh-CN"/>
              </w:rPr>
              <w:t>1</w:t>
            </w:r>
            <w:r>
              <w:rPr>
                <w:rFonts w:hint="eastAsia"/>
                <w:lang w:eastAsia="zh-CN"/>
              </w:rPr>
              <w:t>）</w:t>
            </w:r>
            <w:r>
              <w:rPr>
                <w:rFonts w:hint="eastAsia"/>
              </w:rPr>
              <w:t>基础信息，包括单位名称、组织机构代码、法定代表人、生产地址、联系方式以及生产经营和管理服务的主要内容、产品及规模</w:t>
            </w:r>
            <w:r>
              <w:rPr>
                <w:rFonts w:hint="eastAsia"/>
                <w:lang w:eastAsia="zh-CN"/>
              </w:rPr>
              <w:t>。</w:t>
            </w:r>
          </w:p>
          <w:p>
            <w:pPr>
              <w:pStyle w:val="8"/>
              <w:bidi w:val="0"/>
              <w:rPr>
                <w:rFonts w:hint="eastAsia"/>
                <w:lang w:eastAsia="zh-CN"/>
              </w:rPr>
            </w:pPr>
            <w:r>
              <w:rPr>
                <w:rFonts w:hint="eastAsia"/>
                <w:lang w:eastAsia="zh-CN"/>
              </w:rPr>
              <w:t>（</w:t>
            </w:r>
            <w:r>
              <w:rPr>
                <w:rFonts w:hint="eastAsia"/>
                <w:lang w:val="en-US" w:eastAsia="zh-CN"/>
              </w:rPr>
              <w:t>2</w:t>
            </w:r>
            <w:r>
              <w:rPr>
                <w:rFonts w:hint="eastAsia"/>
                <w:lang w:eastAsia="zh-CN"/>
              </w:rPr>
              <w:t>）</w:t>
            </w:r>
            <w:r>
              <w:rPr>
                <w:rFonts w:hint="eastAsia"/>
              </w:rPr>
              <w:t>排污信息，包括主要污染物及其他污染物的名称、排放方式、排放口数量和分布情况、排放浓度和总量、超标情况以及执行的污染物排放标准、核定的排放总量</w:t>
            </w:r>
            <w:r>
              <w:rPr>
                <w:rFonts w:hint="eastAsia"/>
                <w:lang w:eastAsia="zh-CN"/>
              </w:rPr>
              <w:t>。</w:t>
            </w:r>
          </w:p>
          <w:p>
            <w:pPr>
              <w:pStyle w:val="8"/>
              <w:bidi w:val="0"/>
              <w:rPr>
                <w:rFonts w:hint="eastAsia"/>
                <w:lang w:eastAsia="zh-CN"/>
              </w:rPr>
            </w:pPr>
            <w:r>
              <w:rPr>
                <w:rFonts w:hint="eastAsia"/>
                <w:lang w:eastAsia="zh-CN"/>
              </w:rPr>
              <w:t>（</w:t>
            </w:r>
            <w:r>
              <w:rPr>
                <w:rFonts w:hint="eastAsia"/>
                <w:lang w:val="en-US" w:eastAsia="zh-CN"/>
              </w:rPr>
              <w:t>3</w:t>
            </w:r>
            <w:r>
              <w:rPr>
                <w:rFonts w:hint="eastAsia"/>
                <w:lang w:eastAsia="zh-CN"/>
              </w:rPr>
              <w:t>）</w:t>
            </w:r>
            <w:r>
              <w:rPr>
                <w:rFonts w:hint="eastAsia"/>
              </w:rPr>
              <w:t>防治污染设施的建设和运行情况</w:t>
            </w:r>
            <w:r>
              <w:rPr>
                <w:rFonts w:hint="eastAsia"/>
                <w:lang w:eastAsia="zh-CN"/>
              </w:rPr>
              <w:t>。</w:t>
            </w:r>
          </w:p>
          <w:p>
            <w:pPr>
              <w:pStyle w:val="8"/>
              <w:bidi w:val="0"/>
              <w:rPr>
                <w:rFonts w:hint="eastAsia"/>
                <w:lang w:eastAsia="zh-CN"/>
              </w:rPr>
            </w:pPr>
            <w:r>
              <w:rPr>
                <w:rFonts w:hint="eastAsia"/>
                <w:lang w:eastAsia="zh-CN"/>
              </w:rPr>
              <w:t>（</w:t>
            </w:r>
            <w:r>
              <w:rPr>
                <w:rFonts w:hint="eastAsia"/>
                <w:lang w:val="en-US" w:eastAsia="zh-CN"/>
              </w:rPr>
              <w:t>4</w:t>
            </w:r>
            <w:r>
              <w:rPr>
                <w:rFonts w:hint="eastAsia"/>
                <w:lang w:eastAsia="zh-CN"/>
              </w:rPr>
              <w:t>）</w:t>
            </w:r>
            <w:r>
              <w:rPr>
                <w:rFonts w:hint="eastAsia"/>
              </w:rPr>
              <w:t>建设项目环境影响评价及其他环境保护行政许可情况</w:t>
            </w:r>
            <w:r>
              <w:rPr>
                <w:rFonts w:hint="eastAsia"/>
                <w:lang w:eastAsia="zh-CN"/>
              </w:rPr>
              <w:t>。</w:t>
            </w:r>
          </w:p>
          <w:p>
            <w:pPr>
              <w:pStyle w:val="8"/>
              <w:bidi w:val="0"/>
              <w:rPr>
                <w:rFonts w:hint="eastAsia"/>
                <w:lang w:eastAsia="zh-CN"/>
              </w:rPr>
            </w:pPr>
            <w:r>
              <w:rPr>
                <w:rFonts w:hint="eastAsia"/>
                <w:lang w:eastAsia="zh-CN"/>
              </w:rPr>
              <w:t>（</w:t>
            </w:r>
            <w:r>
              <w:rPr>
                <w:rFonts w:hint="eastAsia"/>
                <w:lang w:val="en-US" w:eastAsia="zh-CN"/>
              </w:rPr>
              <w:t>5</w:t>
            </w:r>
            <w:r>
              <w:rPr>
                <w:rFonts w:hint="eastAsia"/>
                <w:lang w:eastAsia="zh-CN"/>
              </w:rPr>
              <w:t>）</w:t>
            </w:r>
            <w:r>
              <w:rPr>
                <w:rFonts w:hint="eastAsia"/>
              </w:rPr>
              <w:t>其他应当公开的环境信息</w:t>
            </w:r>
            <w:r>
              <w:rPr>
                <w:rFonts w:hint="eastAsia"/>
                <w:lang w:eastAsia="zh-CN"/>
              </w:rPr>
              <w:t>。</w:t>
            </w:r>
          </w:p>
          <w:p>
            <w:pPr>
              <w:pStyle w:val="3"/>
              <w:bidi w:val="0"/>
              <w:rPr>
                <w:rFonts w:hint="eastAsia"/>
              </w:rPr>
            </w:pPr>
            <w:r>
              <w:rPr>
                <w:rFonts w:hint="eastAsia"/>
                <w:lang w:val="en-US" w:eastAsia="zh-CN"/>
              </w:rPr>
              <w:t>6.竣工环境保护验收要求</w:t>
            </w:r>
          </w:p>
          <w:p>
            <w:pPr>
              <w:pStyle w:val="8"/>
              <w:bidi w:val="0"/>
              <w:rPr>
                <w:rFonts w:hint="eastAsia"/>
                <w:lang w:val="en-US" w:eastAsia="zh-CN"/>
              </w:rPr>
            </w:pPr>
            <w:r>
              <w:rPr>
                <w:rFonts w:hint="eastAsia"/>
                <w:lang w:val="en-US" w:eastAsia="zh-CN"/>
              </w:rPr>
              <w:t>根据《建设项目竣工环境保护验收暂行办法》，本项目竣工后，建设单位应及时组织竣工环境保护验收，经验收合格后，本项目方可投入正式运行。</w:t>
            </w:r>
          </w:p>
          <w:p>
            <w:pPr>
              <w:pStyle w:val="8"/>
              <w:bidi w:val="0"/>
              <w:rPr>
                <w:rFonts w:hint="eastAsia"/>
                <w:lang w:val="en-US" w:eastAsia="zh-CN"/>
              </w:rPr>
            </w:pPr>
          </w:p>
          <w:p>
            <w:pPr>
              <w:pStyle w:val="8"/>
              <w:bidi w:val="0"/>
              <w:rPr>
                <w:rFonts w:hint="eastAsia"/>
                <w:lang w:val="en-US" w:eastAsia="zh-CN"/>
              </w:rPr>
            </w:pPr>
          </w:p>
          <w:p>
            <w:pPr>
              <w:pStyle w:val="8"/>
              <w:bidi w:val="0"/>
              <w:rPr>
                <w:rFonts w:hint="eastAsia"/>
                <w:lang w:val="en-US" w:eastAsia="zh-CN"/>
              </w:rPr>
            </w:pPr>
          </w:p>
          <w:p>
            <w:pPr>
              <w:pStyle w:val="8"/>
              <w:bidi w:val="0"/>
              <w:rPr>
                <w:rFonts w:hint="eastAsia"/>
                <w:lang w:val="en-US" w:eastAsia="zh-CN"/>
              </w:rPr>
            </w:pPr>
          </w:p>
          <w:p>
            <w:pPr>
              <w:pStyle w:val="8"/>
              <w:bidi w:val="0"/>
              <w:rPr>
                <w:rFonts w:hint="eastAsia"/>
                <w:lang w:val="en-US" w:eastAsia="zh-CN"/>
              </w:rPr>
            </w:pPr>
          </w:p>
          <w:p>
            <w:pPr>
              <w:pStyle w:val="8"/>
              <w:bidi w:val="0"/>
              <w:rPr>
                <w:rFonts w:hint="eastAsia"/>
                <w:lang w:val="en-US" w:eastAsia="zh-CN"/>
              </w:rPr>
            </w:pPr>
          </w:p>
          <w:p>
            <w:pPr>
              <w:pStyle w:val="8"/>
              <w:bidi w:val="0"/>
              <w:rPr>
                <w:rFonts w:hint="eastAsia"/>
                <w:lang w:val="en-US" w:eastAsia="zh-CN"/>
              </w:rPr>
            </w:pPr>
          </w:p>
          <w:p>
            <w:pPr>
              <w:pStyle w:val="8"/>
              <w:bidi w:val="0"/>
              <w:rPr>
                <w:rFonts w:hint="eastAsia"/>
                <w:lang w:val="en-US" w:eastAsia="zh-CN"/>
              </w:rPr>
            </w:pPr>
          </w:p>
          <w:p>
            <w:pPr>
              <w:pStyle w:val="8"/>
              <w:bidi w:val="0"/>
              <w:rPr>
                <w:rFonts w:hint="eastAsia"/>
                <w:lang w:val="en-US" w:eastAsia="zh-CN"/>
              </w:rPr>
            </w:pPr>
          </w:p>
        </w:tc>
      </w:tr>
    </w:tbl>
    <w:p>
      <w:pPr>
        <w:pStyle w:val="16"/>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1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pStyle w:val="8"/>
              <w:bidi w:val="0"/>
              <w:jc w:val="both"/>
            </w:pPr>
            <w:r>
              <w:rPr>
                <w:rFonts w:hint="eastAsia"/>
              </w:rPr>
              <w:t>根据上述分析，本项目建成后对周围环境造成废水、废气、噪声污染较小，建设单位若能在建成后切实落实本环评提出的各项环境污染防治措施，落实</w:t>
            </w:r>
            <w:r>
              <w:rPr>
                <w:rFonts w:hint="eastAsia"/>
                <w:lang w:eastAsia="zh-CN"/>
              </w:rPr>
              <w:t>“</w:t>
            </w:r>
            <w:r>
              <w:rPr>
                <w:rFonts w:hint="eastAsia"/>
              </w:rPr>
              <w:t>三同时</w:t>
            </w:r>
            <w:r>
              <w:rPr>
                <w:rFonts w:hint="eastAsia"/>
                <w:lang w:eastAsia="zh-CN"/>
              </w:rPr>
              <w:t>”</w:t>
            </w:r>
            <w:r>
              <w:rPr>
                <w:rFonts w:hint="eastAsia"/>
              </w:rPr>
              <w:t>制度，加强环境管理，确保污染物达标排放，则本项目建成投入使用后，对环境的影响是可以接受的。建设单位须严格遵守环保</w:t>
            </w:r>
            <w:r>
              <w:rPr>
                <w:rFonts w:hint="eastAsia"/>
                <w:lang w:eastAsia="zh-CN"/>
              </w:rPr>
              <w:t>“</w:t>
            </w:r>
            <w:r>
              <w:rPr>
                <w:rFonts w:hint="eastAsia"/>
              </w:rPr>
              <w:t>三同时</w:t>
            </w:r>
            <w:r>
              <w:rPr>
                <w:rFonts w:hint="eastAsia"/>
                <w:lang w:eastAsia="zh-CN"/>
              </w:rPr>
              <w:t>”</w:t>
            </w:r>
            <w:r>
              <w:rPr>
                <w:rFonts w:hint="eastAsia"/>
              </w:rPr>
              <w:t>制度，各项治理措施需自主验收合格后方可正式投入使用，在此前提下，本项目是可行的。</w:t>
            </w: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16"/>
        <w:adjustRightInd w:val="0"/>
        <w:snapToGrid w:val="0"/>
        <w:spacing w:before="0" w:beforeAutospacing="0" w:after="0" w:afterAutospacing="0" w:line="552" w:lineRule="auto"/>
        <w:jc w:val="center"/>
        <w:outlineLvl w:val="0"/>
        <w:rPr>
          <w:rFonts w:hint="eastAsia" w:ascii="方正小标宋_GBK" w:hAnsi="黑体" w:eastAsia="方正小标宋_GBK"/>
          <w:snapToGrid w:val="0"/>
          <w:sz w:val="38"/>
          <w:szCs w:val="38"/>
          <w:highlight w:val="none"/>
        </w:rPr>
      </w:pPr>
      <w:r>
        <w:rPr>
          <w:rFonts w:hint="eastAsia" w:ascii="方正小标宋_GBK" w:hAnsi="黑体" w:eastAsia="方正小标宋_GBK"/>
          <w:snapToGrid w:val="0"/>
          <w:sz w:val="38"/>
          <w:szCs w:val="38"/>
          <w:highlight w:val="none"/>
        </w:rPr>
        <w:t>建设项目污染物排放量汇总表</w:t>
      </w:r>
    </w:p>
    <w:tbl>
      <w:tblPr>
        <w:tblStyle w:val="1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117"/>
        <w:gridCol w:w="1600"/>
        <w:gridCol w:w="1487"/>
        <w:gridCol w:w="1825"/>
        <w:gridCol w:w="1850"/>
        <w:gridCol w:w="12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noWrap w:val="0"/>
            <w:tcMar>
              <w:left w:w="28" w:type="dxa"/>
              <w:right w:w="28" w:type="dxa"/>
            </w:tcMar>
            <w:vAlign w:val="center"/>
          </w:tcPr>
          <w:p>
            <w:pPr>
              <w:spacing w:beforeLines="0" w:afterLines="0" w:line="240" w:lineRule="auto"/>
              <w:jc w:val="center"/>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noWrap w:val="0"/>
            <w:tcMar>
              <w:left w:w="28" w:type="dxa"/>
              <w:right w:w="28" w:type="dxa"/>
            </w:tcMar>
            <w:vAlign w:val="center"/>
          </w:tcPr>
          <w:p>
            <w:pPr>
              <w:spacing w:beforeLines="0" w:afterLines="0" w:line="240" w:lineRule="auto"/>
              <w:jc w:val="center"/>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117" w:type="dxa"/>
            <w:noWrap w:val="0"/>
            <w:tcMar>
              <w:left w:w="28" w:type="dxa"/>
              <w:right w:w="28" w:type="dxa"/>
            </w:tcMar>
            <w:vAlign w:val="center"/>
          </w:tcPr>
          <w:p>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spacing w:beforeLines="0" w:afterLines="0"/>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600" w:type="dxa"/>
            <w:noWrap w:val="0"/>
            <w:tcMar>
              <w:left w:w="28" w:type="dxa"/>
              <w:right w:w="28" w:type="dxa"/>
            </w:tcMar>
            <w:vAlign w:val="center"/>
          </w:tcPr>
          <w:p>
            <w:pPr>
              <w:spacing w:beforeLines="0" w:afterLines="0" w:line="240" w:lineRule="auto"/>
              <w:jc w:val="center"/>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487" w:type="dxa"/>
            <w:noWrap w:val="0"/>
            <w:tcMar>
              <w:left w:w="28" w:type="dxa"/>
              <w:right w:w="28" w:type="dxa"/>
            </w:tcMar>
            <w:vAlign w:val="center"/>
          </w:tcPr>
          <w:p>
            <w:pPr>
              <w:spacing w:beforeLines="0" w:afterLines="0" w:line="240" w:lineRule="auto"/>
              <w:jc w:val="center"/>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825" w:type="dxa"/>
            <w:noWrap w:val="0"/>
            <w:tcMar>
              <w:left w:w="28" w:type="dxa"/>
              <w:right w:w="28" w:type="dxa"/>
            </w:tcMar>
            <w:vAlign w:val="center"/>
          </w:tcPr>
          <w:p>
            <w:pPr>
              <w:spacing w:beforeLines="0" w:afterLines="0" w:line="240" w:lineRule="auto"/>
              <w:jc w:val="center"/>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spacing w:beforeLines="0" w:afterLines="0" w:line="240" w:lineRule="auto"/>
              <w:jc w:val="center"/>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850" w:type="dxa"/>
            <w:noWrap w:val="0"/>
            <w:tcMar>
              <w:left w:w="28" w:type="dxa"/>
              <w:right w:w="28" w:type="dxa"/>
            </w:tcMar>
            <w:vAlign w:val="center"/>
          </w:tcPr>
          <w:p>
            <w:pPr>
              <w:spacing w:beforeLines="0" w:afterLines="0" w:line="240" w:lineRule="auto"/>
              <w:jc w:val="center"/>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pPr>
              <w:spacing w:beforeLines="0" w:afterLines="0" w:line="240" w:lineRule="auto"/>
              <w:jc w:val="center"/>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1203" w:type="dxa"/>
            <w:noWrap w:val="0"/>
            <w:tcMar>
              <w:left w:w="28" w:type="dxa"/>
              <w:right w:w="28" w:type="dxa"/>
            </w:tcMar>
            <w:vAlign w:val="center"/>
          </w:tcPr>
          <w:p>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spacing w:beforeLines="0" w:afterLines="0" w:line="240" w:lineRule="auto"/>
              <w:jc w:val="center"/>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spacing w:beforeLines="0" w:afterLines="0" w:line="240" w:lineRule="auto"/>
              <w:jc w:val="center"/>
              <w:rPr>
                <w:rFonts w:hint="eastAsia" w:hAnsi="宋体" w:cs="宋体"/>
                <w:snapToGrid w:val="0"/>
                <w:color w:val="000000"/>
                <w:kern w:val="21"/>
                <w:szCs w:val="21"/>
              </w:rPr>
            </w:pPr>
            <w:r>
              <w:rPr>
                <w:rFonts w:hint="eastAsia" w:hAnsi="宋体" w:cs="宋体"/>
                <w:snapToGrid w:val="0"/>
                <w:color w:val="000000"/>
                <w:kern w:val="21"/>
                <w:szCs w:val="21"/>
              </w:rPr>
              <w:t>废气</w:t>
            </w:r>
          </w:p>
        </w:tc>
        <w:tc>
          <w:tcPr>
            <w:tcW w:w="1417" w:type="dxa"/>
            <w:noWrap w:val="0"/>
            <w:vAlign w:val="center"/>
          </w:tcPr>
          <w:p>
            <w:pPr>
              <w:pStyle w:val="34"/>
              <w:bidi w:val="0"/>
              <w:rPr>
                <w:rFonts w:hint="eastAsia"/>
                <w:lang w:val="en-US" w:eastAsia="zh-CN"/>
              </w:rPr>
            </w:pPr>
            <w:r>
              <w:rPr>
                <w:rFonts w:hint="eastAsia"/>
                <w:lang w:val="en-US" w:eastAsia="zh-CN"/>
              </w:rPr>
              <w:t>颗粒物</w:t>
            </w:r>
          </w:p>
        </w:tc>
        <w:tc>
          <w:tcPr>
            <w:tcW w:w="1701" w:type="dxa"/>
            <w:noWrap w:val="0"/>
            <w:vAlign w:val="center"/>
          </w:tcPr>
          <w:p>
            <w:pPr>
              <w:pStyle w:val="34"/>
              <w:bidi w:val="0"/>
              <w:jc w:val="center"/>
              <w:rPr>
                <w:rFonts w:hint="default"/>
                <w:lang w:val="en-US" w:eastAsia="zh-CN"/>
              </w:rPr>
            </w:pPr>
            <w:r>
              <w:rPr>
                <w:rFonts w:hint="eastAsia"/>
                <w:lang w:val="en-US" w:eastAsia="zh-CN"/>
              </w:rPr>
              <w:t>/</w:t>
            </w:r>
          </w:p>
        </w:tc>
        <w:tc>
          <w:tcPr>
            <w:tcW w:w="1117" w:type="dxa"/>
            <w:noWrap w:val="0"/>
            <w:vAlign w:val="center"/>
          </w:tcPr>
          <w:p>
            <w:pPr>
              <w:pStyle w:val="34"/>
              <w:bidi w:val="0"/>
              <w:jc w:val="center"/>
            </w:pPr>
            <w:r>
              <w:rPr>
                <w:rFonts w:hint="eastAsia"/>
                <w:lang w:val="en-US" w:eastAsia="zh-CN"/>
              </w:rPr>
              <w:t>/</w:t>
            </w:r>
          </w:p>
        </w:tc>
        <w:tc>
          <w:tcPr>
            <w:tcW w:w="1600" w:type="dxa"/>
            <w:noWrap w:val="0"/>
            <w:vAlign w:val="center"/>
          </w:tcPr>
          <w:p>
            <w:pPr>
              <w:pStyle w:val="34"/>
              <w:bidi w:val="0"/>
              <w:jc w:val="center"/>
            </w:pPr>
            <w:r>
              <w:rPr>
                <w:rFonts w:hint="eastAsia"/>
                <w:lang w:val="en-US" w:eastAsia="zh-CN"/>
              </w:rPr>
              <w:t>/</w:t>
            </w:r>
          </w:p>
        </w:tc>
        <w:tc>
          <w:tcPr>
            <w:tcW w:w="1487" w:type="dxa"/>
            <w:shd w:val="clear" w:color="auto" w:fill="auto"/>
            <w:noWrap w:val="0"/>
            <w:vAlign w:val="center"/>
          </w:tcPr>
          <w:p>
            <w:pPr>
              <w:pStyle w:val="34"/>
              <w:bidi w:val="0"/>
              <w:rPr>
                <w:rFonts w:hint="default"/>
                <w:lang w:val="en-US" w:eastAsia="zh-CN"/>
              </w:rPr>
            </w:pPr>
            <w:r>
              <w:rPr>
                <w:rFonts w:hint="eastAsia"/>
                <w:lang w:val="en-US" w:eastAsia="zh-CN"/>
              </w:rPr>
              <w:t>0.122t/a</w:t>
            </w:r>
          </w:p>
        </w:tc>
        <w:tc>
          <w:tcPr>
            <w:tcW w:w="1825" w:type="dxa"/>
            <w:noWrap w:val="0"/>
            <w:vAlign w:val="center"/>
          </w:tcPr>
          <w:p>
            <w:pPr>
              <w:pStyle w:val="34"/>
              <w:bidi w:val="0"/>
              <w:jc w:val="center"/>
            </w:pPr>
            <w:r>
              <w:rPr>
                <w:rFonts w:hint="eastAsia"/>
                <w:lang w:val="en-US" w:eastAsia="zh-CN"/>
              </w:rPr>
              <w:t>/</w:t>
            </w:r>
          </w:p>
        </w:tc>
        <w:tc>
          <w:tcPr>
            <w:tcW w:w="1850" w:type="dxa"/>
            <w:noWrap w:val="0"/>
            <w:vAlign w:val="center"/>
          </w:tcPr>
          <w:p>
            <w:pPr>
              <w:pStyle w:val="34"/>
              <w:bidi w:val="0"/>
            </w:pPr>
            <w:r>
              <w:rPr>
                <w:rFonts w:hint="eastAsia"/>
                <w:lang w:val="en-US" w:eastAsia="zh-CN"/>
              </w:rPr>
              <w:t>0.122t/a</w:t>
            </w:r>
          </w:p>
        </w:tc>
        <w:tc>
          <w:tcPr>
            <w:tcW w:w="1203" w:type="dxa"/>
            <w:noWrap w:val="0"/>
            <w:vAlign w:val="center"/>
          </w:tcPr>
          <w:p>
            <w:pPr>
              <w:pStyle w:val="34"/>
              <w:bidi w:val="0"/>
            </w:pPr>
            <w:r>
              <w:rPr>
                <w:rFonts w:hint="eastAsia"/>
                <w:lang w:val="en-US" w:eastAsia="zh-CN"/>
              </w:rPr>
              <w:t>0.122t/a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rPr>
                <w:rFonts w:hint="eastAsia" w:hAnsi="宋体" w:cs="宋体"/>
                <w:snapToGrid w:val="0"/>
                <w:color w:val="000000"/>
                <w:kern w:val="21"/>
                <w:szCs w:val="21"/>
              </w:rPr>
            </w:pPr>
          </w:p>
        </w:tc>
        <w:tc>
          <w:tcPr>
            <w:tcW w:w="1417" w:type="dxa"/>
            <w:noWrap w:val="0"/>
            <w:vAlign w:val="center"/>
          </w:tcPr>
          <w:p>
            <w:pPr>
              <w:pStyle w:val="34"/>
              <w:bidi w:val="0"/>
              <w:rPr>
                <w:rFonts w:hint="eastAsia"/>
                <w:lang w:val="en-US" w:eastAsia="zh-CN"/>
              </w:rPr>
            </w:pPr>
            <w:r>
              <w:rPr>
                <w:rFonts w:hint="eastAsia"/>
                <w:lang w:val="en-US" w:eastAsia="zh-CN"/>
              </w:rPr>
              <w:t>食堂油烟</w:t>
            </w:r>
          </w:p>
        </w:tc>
        <w:tc>
          <w:tcPr>
            <w:tcW w:w="1701" w:type="dxa"/>
            <w:noWrap w:val="0"/>
            <w:vAlign w:val="center"/>
          </w:tcPr>
          <w:p>
            <w:pPr>
              <w:pStyle w:val="34"/>
              <w:bidi w:val="0"/>
              <w:jc w:val="center"/>
              <w:rPr>
                <w:rFonts w:hint="default"/>
                <w:lang w:val="en-US" w:eastAsia="zh-CN"/>
              </w:rPr>
            </w:pPr>
            <w:r>
              <w:rPr>
                <w:rFonts w:hint="eastAsia"/>
                <w:lang w:val="en-US" w:eastAsia="zh-CN"/>
              </w:rPr>
              <w:t>/</w:t>
            </w:r>
          </w:p>
        </w:tc>
        <w:tc>
          <w:tcPr>
            <w:tcW w:w="1117" w:type="dxa"/>
            <w:noWrap w:val="0"/>
            <w:vAlign w:val="center"/>
          </w:tcPr>
          <w:p>
            <w:pPr>
              <w:pStyle w:val="34"/>
              <w:bidi w:val="0"/>
              <w:jc w:val="center"/>
            </w:pPr>
            <w:r>
              <w:rPr>
                <w:rFonts w:hint="eastAsia"/>
                <w:lang w:val="en-US" w:eastAsia="zh-CN"/>
              </w:rPr>
              <w:t>/</w:t>
            </w:r>
          </w:p>
        </w:tc>
        <w:tc>
          <w:tcPr>
            <w:tcW w:w="1600" w:type="dxa"/>
            <w:noWrap w:val="0"/>
            <w:vAlign w:val="center"/>
          </w:tcPr>
          <w:p>
            <w:pPr>
              <w:pStyle w:val="34"/>
              <w:bidi w:val="0"/>
              <w:jc w:val="center"/>
            </w:pPr>
            <w:r>
              <w:rPr>
                <w:rFonts w:hint="eastAsia"/>
                <w:lang w:val="en-US" w:eastAsia="zh-CN"/>
              </w:rPr>
              <w:t>/</w:t>
            </w:r>
          </w:p>
        </w:tc>
        <w:tc>
          <w:tcPr>
            <w:tcW w:w="1487" w:type="dxa"/>
            <w:shd w:val="clear" w:color="auto" w:fill="auto"/>
            <w:noWrap w:val="0"/>
            <w:vAlign w:val="center"/>
          </w:tcPr>
          <w:p>
            <w:pPr>
              <w:pStyle w:val="34"/>
              <w:bidi w:val="0"/>
              <w:rPr>
                <w:rFonts w:hint="default"/>
                <w:lang w:val="en-US" w:eastAsia="zh-CN"/>
              </w:rPr>
            </w:pPr>
            <w:r>
              <w:rPr>
                <w:rFonts w:hint="eastAsia"/>
                <w:lang w:val="en-US" w:eastAsia="zh-CN"/>
              </w:rPr>
              <w:t>0.001t/a</w:t>
            </w:r>
          </w:p>
        </w:tc>
        <w:tc>
          <w:tcPr>
            <w:tcW w:w="1825" w:type="dxa"/>
            <w:noWrap w:val="0"/>
            <w:vAlign w:val="center"/>
          </w:tcPr>
          <w:p>
            <w:pPr>
              <w:pStyle w:val="34"/>
              <w:bidi w:val="0"/>
              <w:jc w:val="center"/>
            </w:pPr>
            <w:r>
              <w:rPr>
                <w:rFonts w:hint="eastAsia"/>
                <w:lang w:val="en-US" w:eastAsia="zh-CN"/>
              </w:rPr>
              <w:t>/</w:t>
            </w:r>
          </w:p>
        </w:tc>
        <w:tc>
          <w:tcPr>
            <w:tcW w:w="1850" w:type="dxa"/>
            <w:noWrap w:val="0"/>
            <w:vAlign w:val="center"/>
          </w:tcPr>
          <w:p>
            <w:pPr>
              <w:pStyle w:val="34"/>
              <w:bidi w:val="0"/>
            </w:pPr>
            <w:r>
              <w:rPr>
                <w:rFonts w:hint="eastAsia"/>
                <w:lang w:val="en-US" w:eastAsia="zh-CN"/>
              </w:rPr>
              <w:t>0.001t/a</w:t>
            </w:r>
          </w:p>
        </w:tc>
        <w:tc>
          <w:tcPr>
            <w:tcW w:w="1203" w:type="dxa"/>
            <w:noWrap w:val="0"/>
            <w:vAlign w:val="center"/>
          </w:tcPr>
          <w:p>
            <w:pPr>
              <w:pStyle w:val="34"/>
              <w:bidi w:val="0"/>
            </w:pPr>
            <w:r>
              <w:rPr>
                <w:rFonts w:hint="eastAsia"/>
                <w:lang w:val="en-US" w:eastAsia="zh-CN"/>
              </w:rPr>
              <w:t>0.001t/a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spacing w:beforeLines="0" w:afterLines="0" w:line="240" w:lineRule="auto"/>
              <w:jc w:val="center"/>
              <w:rPr>
                <w:rFonts w:hint="eastAsia" w:hAnsi="宋体" w:cs="宋体"/>
                <w:snapToGrid w:val="0"/>
                <w:color w:val="000000"/>
                <w:kern w:val="21"/>
                <w:szCs w:val="21"/>
              </w:rPr>
            </w:pPr>
            <w:r>
              <w:rPr>
                <w:rFonts w:hint="eastAsia" w:hAnsi="宋体" w:cs="宋体"/>
                <w:snapToGrid w:val="0"/>
                <w:color w:val="000000"/>
                <w:kern w:val="21"/>
                <w:szCs w:val="21"/>
              </w:rPr>
              <w:t>废水</w:t>
            </w:r>
          </w:p>
        </w:tc>
        <w:tc>
          <w:tcPr>
            <w:tcW w:w="1417" w:type="dxa"/>
            <w:noWrap w:val="0"/>
            <w:vAlign w:val="center"/>
          </w:tcPr>
          <w:p>
            <w:pPr>
              <w:keepNext w:val="0"/>
              <w:keepLines w:val="0"/>
              <w:suppressLineNumbers w:val="0"/>
              <w:spacing w:before="0" w:beforeAutospacing="0" w:after="0" w:afterAutospacing="0"/>
              <w:ind w:left="0" w:leftChars="0" w:right="0" w:rightChars="0"/>
              <w:jc w:val="center"/>
              <w:rPr>
                <w:rFonts w:hAnsi="宋体" w:cs="宋体"/>
                <w:snapToGrid w:val="0"/>
                <w:color w:val="000000"/>
                <w:kern w:val="21"/>
                <w:szCs w:val="21"/>
              </w:rPr>
            </w:pPr>
            <w:r>
              <w:rPr>
                <w:rFonts w:hint="default" w:ascii="Times New Roman" w:hAnsi="Times New Roman" w:eastAsia="宋体" w:cs="Times New Roman"/>
                <w:szCs w:val="21"/>
                <w:highlight w:val="none"/>
              </w:rPr>
              <w:t>COD</w:t>
            </w:r>
          </w:p>
        </w:tc>
        <w:tc>
          <w:tcPr>
            <w:tcW w:w="1701" w:type="dxa"/>
            <w:noWrap w:val="0"/>
            <w:vAlign w:val="center"/>
          </w:tcPr>
          <w:p>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pPr>
              <w:pStyle w:val="34"/>
              <w:bidi w:val="0"/>
              <w:rPr>
                <w:rFonts w:hAnsi="宋体" w:cs="宋体"/>
                <w:snapToGrid w:val="0"/>
                <w:color w:val="000000"/>
                <w:kern w:val="21"/>
                <w:szCs w:val="21"/>
              </w:rPr>
            </w:pPr>
            <w:r>
              <w:rPr>
                <w:rFonts w:hint="eastAsia"/>
                <w:lang w:val="en-US" w:eastAsia="zh-CN"/>
              </w:rPr>
              <w:t>0.0353t/a</w:t>
            </w:r>
          </w:p>
        </w:tc>
        <w:tc>
          <w:tcPr>
            <w:tcW w:w="1825"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pPr>
              <w:pStyle w:val="34"/>
              <w:bidi w:val="0"/>
              <w:rPr>
                <w:rFonts w:hAnsi="宋体" w:cs="宋体"/>
                <w:snapToGrid w:val="0"/>
                <w:color w:val="000000"/>
                <w:kern w:val="21"/>
                <w:szCs w:val="21"/>
              </w:rPr>
            </w:pPr>
            <w:r>
              <w:rPr>
                <w:rFonts w:hint="eastAsia"/>
                <w:lang w:val="en-US" w:eastAsia="zh-CN"/>
              </w:rPr>
              <w:t>0.0353t/a</w:t>
            </w:r>
          </w:p>
        </w:tc>
        <w:tc>
          <w:tcPr>
            <w:tcW w:w="1203" w:type="dxa"/>
            <w:noWrap w:val="0"/>
            <w:vAlign w:val="center"/>
          </w:tcPr>
          <w:p>
            <w:pPr>
              <w:pStyle w:val="34"/>
              <w:bidi w:val="0"/>
              <w:rPr>
                <w:rFonts w:hAnsi="宋体" w:cs="宋体"/>
                <w:snapToGrid w:val="0"/>
                <w:color w:val="000000"/>
                <w:kern w:val="21"/>
                <w:szCs w:val="21"/>
              </w:rPr>
            </w:pPr>
            <w:r>
              <w:rPr>
                <w:rFonts w:hint="eastAsia"/>
                <w:lang w:val="en-US" w:eastAsia="zh-CN"/>
              </w:rPr>
              <w:t>0.0353t/a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jc w:val="center"/>
              <w:rPr>
                <w:rFonts w:hint="eastAsia" w:hAnsi="宋体" w:cs="宋体"/>
                <w:snapToGrid w:val="0"/>
                <w:color w:val="000000"/>
                <w:kern w:val="21"/>
                <w:szCs w:val="21"/>
              </w:rPr>
            </w:pPr>
          </w:p>
        </w:tc>
        <w:tc>
          <w:tcPr>
            <w:tcW w:w="1417" w:type="dxa"/>
            <w:noWrap w:val="0"/>
            <w:vAlign w:val="center"/>
          </w:tcPr>
          <w:p>
            <w:pPr>
              <w:keepNext w:val="0"/>
              <w:keepLines w:val="0"/>
              <w:suppressLineNumbers w:val="0"/>
              <w:spacing w:before="0" w:beforeAutospacing="0" w:after="0" w:afterAutospacing="0"/>
              <w:ind w:left="0" w:leftChars="0" w:right="0" w:rightChars="0"/>
              <w:jc w:val="center"/>
              <w:rPr>
                <w:rFonts w:hint="eastAsia" w:hAnsi="宋体" w:cs="宋体"/>
                <w:snapToGrid w:val="0"/>
                <w:color w:val="000000"/>
                <w:kern w:val="21"/>
                <w:szCs w:val="21"/>
              </w:rPr>
            </w:pPr>
            <w:r>
              <w:rPr>
                <w:rFonts w:hint="default" w:ascii="Times New Roman" w:hAnsi="Times New Roman" w:eastAsia="宋体" w:cs="Times New Roman"/>
                <w:szCs w:val="21"/>
                <w:highlight w:val="none"/>
              </w:rPr>
              <w:t>BOD</w:t>
            </w:r>
          </w:p>
        </w:tc>
        <w:tc>
          <w:tcPr>
            <w:tcW w:w="1701" w:type="dxa"/>
            <w:noWrap w:val="0"/>
            <w:vAlign w:val="center"/>
          </w:tcPr>
          <w:p>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pPr>
              <w:pStyle w:val="34"/>
              <w:bidi w:val="0"/>
              <w:rPr>
                <w:rFonts w:hAnsi="宋体" w:cs="宋体"/>
                <w:snapToGrid w:val="0"/>
                <w:color w:val="000000"/>
                <w:kern w:val="21"/>
                <w:szCs w:val="21"/>
              </w:rPr>
            </w:pPr>
            <w:r>
              <w:rPr>
                <w:rFonts w:hint="eastAsia"/>
                <w:lang w:val="en-US" w:eastAsia="zh-CN"/>
              </w:rPr>
              <w:t>0.0252t/a</w:t>
            </w:r>
          </w:p>
        </w:tc>
        <w:tc>
          <w:tcPr>
            <w:tcW w:w="1825"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pPr>
              <w:pStyle w:val="34"/>
              <w:bidi w:val="0"/>
              <w:rPr>
                <w:rFonts w:hAnsi="宋体" w:cs="宋体"/>
                <w:snapToGrid w:val="0"/>
                <w:color w:val="000000"/>
                <w:kern w:val="21"/>
                <w:szCs w:val="21"/>
              </w:rPr>
            </w:pPr>
            <w:r>
              <w:rPr>
                <w:rFonts w:hint="eastAsia"/>
                <w:lang w:val="en-US" w:eastAsia="zh-CN"/>
              </w:rPr>
              <w:t>0.0252t/a</w:t>
            </w:r>
          </w:p>
        </w:tc>
        <w:tc>
          <w:tcPr>
            <w:tcW w:w="1203" w:type="dxa"/>
            <w:noWrap w:val="0"/>
            <w:vAlign w:val="center"/>
          </w:tcPr>
          <w:p>
            <w:pPr>
              <w:pStyle w:val="34"/>
              <w:bidi w:val="0"/>
              <w:rPr>
                <w:rFonts w:hAnsi="宋体" w:cs="宋体"/>
                <w:snapToGrid w:val="0"/>
                <w:color w:val="000000"/>
                <w:kern w:val="21"/>
                <w:szCs w:val="21"/>
              </w:rPr>
            </w:pPr>
            <w:r>
              <w:rPr>
                <w:rFonts w:hint="eastAsia"/>
                <w:lang w:val="en-US" w:eastAsia="zh-CN"/>
              </w:rPr>
              <w:t>0.0252t/a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jc w:val="center"/>
              <w:rPr>
                <w:rFonts w:hint="eastAsia" w:hAnsi="宋体" w:cs="宋体"/>
                <w:snapToGrid w:val="0"/>
                <w:color w:val="000000"/>
                <w:kern w:val="21"/>
                <w:szCs w:val="21"/>
              </w:rPr>
            </w:pPr>
          </w:p>
        </w:tc>
        <w:tc>
          <w:tcPr>
            <w:tcW w:w="1417" w:type="dxa"/>
            <w:noWrap w:val="0"/>
            <w:vAlign w:val="center"/>
          </w:tcPr>
          <w:p>
            <w:pPr>
              <w:keepNext w:val="0"/>
              <w:keepLines w:val="0"/>
              <w:suppressLineNumbers w:val="0"/>
              <w:spacing w:before="0" w:beforeAutospacing="0" w:after="0" w:afterAutospacing="0"/>
              <w:ind w:left="0" w:leftChars="0" w:right="0" w:rightChars="0"/>
              <w:jc w:val="center"/>
              <w:rPr>
                <w:rFonts w:hint="eastAsia" w:hAnsi="宋体" w:cs="宋体"/>
                <w:snapToGrid w:val="0"/>
                <w:color w:val="000000"/>
                <w:kern w:val="21"/>
                <w:szCs w:val="21"/>
              </w:rPr>
            </w:pPr>
            <w:r>
              <w:rPr>
                <w:rFonts w:hint="default" w:ascii="Times New Roman" w:hAnsi="Times New Roman" w:eastAsia="宋体" w:cs="Times New Roman"/>
                <w:szCs w:val="21"/>
                <w:highlight w:val="none"/>
              </w:rPr>
              <w:t>SS</w:t>
            </w:r>
          </w:p>
        </w:tc>
        <w:tc>
          <w:tcPr>
            <w:tcW w:w="1701" w:type="dxa"/>
            <w:noWrap w:val="0"/>
            <w:vAlign w:val="center"/>
          </w:tcPr>
          <w:p>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pPr>
              <w:pStyle w:val="34"/>
              <w:bidi w:val="0"/>
              <w:rPr>
                <w:rFonts w:hAnsi="宋体" w:cs="宋体"/>
                <w:snapToGrid w:val="0"/>
                <w:color w:val="000000"/>
                <w:kern w:val="21"/>
                <w:szCs w:val="21"/>
              </w:rPr>
            </w:pPr>
            <w:r>
              <w:rPr>
                <w:rFonts w:hint="eastAsia"/>
                <w:lang w:val="en-US" w:eastAsia="zh-CN"/>
              </w:rPr>
              <w:t>0.0202t/a</w:t>
            </w:r>
          </w:p>
        </w:tc>
        <w:tc>
          <w:tcPr>
            <w:tcW w:w="1825"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pPr>
              <w:pStyle w:val="34"/>
              <w:bidi w:val="0"/>
              <w:rPr>
                <w:rFonts w:hAnsi="宋体" w:cs="宋体"/>
                <w:snapToGrid w:val="0"/>
                <w:color w:val="000000"/>
                <w:kern w:val="21"/>
                <w:szCs w:val="21"/>
              </w:rPr>
            </w:pPr>
            <w:r>
              <w:rPr>
                <w:rFonts w:hint="eastAsia"/>
                <w:lang w:val="en-US" w:eastAsia="zh-CN"/>
              </w:rPr>
              <w:t>0.0202t/a</w:t>
            </w:r>
          </w:p>
        </w:tc>
        <w:tc>
          <w:tcPr>
            <w:tcW w:w="1203" w:type="dxa"/>
            <w:noWrap w:val="0"/>
            <w:vAlign w:val="center"/>
          </w:tcPr>
          <w:p>
            <w:pPr>
              <w:pStyle w:val="34"/>
              <w:bidi w:val="0"/>
              <w:rPr>
                <w:rFonts w:hAnsi="宋体" w:cs="宋体"/>
                <w:snapToGrid w:val="0"/>
                <w:color w:val="000000"/>
                <w:kern w:val="21"/>
                <w:szCs w:val="21"/>
              </w:rPr>
            </w:pPr>
            <w:r>
              <w:rPr>
                <w:rFonts w:hint="eastAsia"/>
                <w:lang w:val="en-US" w:eastAsia="zh-CN"/>
              </w:rPr>
              <w:t>0.0202t/a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jc w:val="center"/>
              <w:rPr>
                <w:rFonts w:hint="eastAsia" w:hAnsi="宋体" w:cs="宋体"/>
                <w:snapToGrid w:val="0"/>
                <w:color w:val="000000"/>
                <w:kern w:val="21"/>
                <w:szCs w:val="21"/>
              </w:rPr>
            </w:pPr>
          </w:p>
        </w:tc>
        <w:tc>
          <w:tcPr>
            <w:tcW w:w="1417" w:type="dxa"/>
            <w:noWrap w:val="0"/>
            <w:vAlign w:val="center"/>
          </w:tcPr>
          <w:p>
            <w:pPr>
              <w:keepNext w:val="0"/>
              <w:keepLines w:val="0"/>
              <w:suppressLineNumbers w:val="0"/>
              <w:spacing w:before="0" w:beforeAutospacing="0" w:after="0" w:afterAutospacing="0"/>
              <w:ind w:left="0" w:leftChars="0" w:right="0" w:rightChars="0"/>
              <w:jc w:val="center"/>
              <w:rPr>
                <w:rFonts w:hint="eastAsia" w:hAnsi="宋体" w:cs="宋体"/>
                <w:snapToGrid w:val="0"/>
                <w:color w:val="000000"/>
                <w:kern w:val="21"/>
                <w:szCs w:val="21"/>
              </w:rPr>
            </w:pPr>
            <w:r>
              <w:rPr>
                <w:rFonts w:hint="eastAsia" w:ascii="Times New Roman" w:hAnsi="Times New Roman" w:eastAsia="宋体" w:cs="Times New Roman"/>
                <w:szCs w:val="21"/>
                <w:highlight w:val="none"/>
                <w:lang w:val="en-US" w:eastAsia="zh-CN"/>
              </w:rPr>
              <w:t>氨氮</w:t>
            </w:r>
          </w:p>
        </w:tc>
        <w:tc>
          <w:tcPr>
            <w:tcW w:w="1701" w:type="dxa"/>
            <w:noWrap w:val="0"/>
            <w:vAlign w:val="center"/>
          </w:tcPr>
          <w:p>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pPr>
              <w:pStyle w:val="34"/>
              <w:bidi w:val="0"/>
              <w:rPr>
                <w:rFonts w:hAnsi="宋体" w:cs="宋体"/>
                <w:snapToGrid w:val="0"/>
                <w:color w:val="000000"/>
                <w:kern w:val="21"/>
                <w:szCs w:val="21"/>
              </w:rPr>
            </w:pPr>
            <w:r>
              <w:rPr>
                <w:rFonts w:hint="eastAsia"/>
                <w:lang w:val="en-US" w:eastAsia="zh-CN"/>
              </w:rPr>
              <w:t>0.003t/a</w:t>
            </w:r>
          </w:p>
        </w:tc>
        <w:tc>
          <w:tcPr>
            <w:tcW w:w="1825"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pPr>
              <w:pStyle w:val="34"/>
              <w:bidi w:val="0"/>
              <w:rPr>
                <w:rFonts w:hAnsi="宋体" w:cs="宋体"/>
                <w:snapToGrid w:val="0"/>
                <w:color w:val="000000"/>
                <w:kern w:val="21"/>
                <w:szCs w:val="21"/>
              </w:rPr>
            </w:pPr>
            <w:r>
              <w:rPr>
                <w:rFonts w:hint="eastAsia"/>
                <w:lang w:val="en-US" w:eastAsia="zh-CN"/>
              </w:rPr>
              <w:t>0.003t/a</w:t>
            </w:r>
          </w:p>
        </w:tc>
        <w:tc>
          <w:tcPr>
            <w:tcW w:w="1203" w:type="dxa"/>
            <w:noWrap w:val="0"/>
            <w:vAlign w:val="center"/>
          </w:tcPr>
          <w:p>
            <w:pPr>
              <w:pStyle w:val="34"/>
              <w:bidi w:val="0"/>
              <w:rPr>
                <w:rFonts w:hAnsi="宋体" w:cs="宋体"/>
                <w:snapToGrid w:val="0"/>
                <w:color w:val="000000"/>
                <w:kern w:val="21"/>
                <w:szCs w:val="21"/>
              </w:rPr>
            </w:pPr>
            <w:r>
              <w:rPr>
                <w:rFonts w:hint="eastAsia"/>
                <w:lang w:val="en-US" w:eastAsia="zh-CN"/>
              </w:rPr>
              <w:t>0.003t/a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jc w:val="center"/>
              <w:rPr>
                <w:rFonts w:hint="eastAsia" w:hAnsi="宋体" w:cs="宋体"/>
                <w:snapToGrid w:val="0"/>
                <w:color w:val="000000"/>
                <w:kern w:val="21"/>
                <w:szCs w:val="21"/>
              </w:rPr>
            </w:pPr>
          </w:p>
        </w:tc>
        <w:tc>
          <w:tcPr>
            <w:tcW w:w="1417" w:type="dxa"/>
            <w:noWrap w:val="0"/>
            <w:vAlign w:val="center"/>
          </w:tcPr>
          <w:p>
            <w:pPr>
              <w:keepNext w:val="0"/>
              <w:keepLines w:val="0"/>
              <w:widowControl w:val="0"/>
              <w:suppressLineNumbers w:val="0"/>
              <w:adjustRightInd w:val="0"/>
              <w:snapToGrid w:val="0"/>
              <w:spacing w:before="0" w:beforeLines="0" w:beforeAutospacing="0" w:after="0" w:afterLines="0" w:afterAutospacing="0" w:line="240" w:lineRule="auto"/>
              <w:ind w:left="0" w:leftChars="0" w:right="0" w:rightChars="0"/>
              <w:jc w:val="center"/>
              <w:rPr>
                <w:rFonts w:hint="eastAsia" w:hAnsi="宋体" w:cs="宋体"/>
                <w:snapToGrid w:val="0"/>
                <w:color w:val="000000"/>
                <w:kern w:val="21"/>
                <w:szCs w:val="21"/>
              </w:rPr>
            </w:pPr>
            <w:r>
              <w:rPr>
                <w:rFonts w:hint="eastAsia" w:ascii="Times New Roman" w:hAnsi="宋体" w:eastAsia="宋体" w:cs="宋体"/>
                <w:snapToGrid w:val="0"/>
                <w:color w:val="000000"/>
                <w:kern w:val="21"/>
                <w:sz w:val="21"/>
                <w:szCs w:val="21"/>
                <w:lang w:val="en-US" w:eastAsia="zh-CN" w:bidi="ar-SA"/>
              </w:rPr>
              <w:t>动植物油</w:t>
            </w:r>
          </w:p>
        </w:tc>
        <w:tc>
          <w:tcPr>
            <w:tcW w:w="1701" w:type="dxa"/>
            <w:noWrap w:val="0"/>
            <w:vAlign w:val="center"/>
          </w:tcPr>
          <w:p>
            <w:pPr>
              <w:spacing w:beforeLines="0" w:afterLines="0" w:line="240" w:lineRule="auto"/>
              <w:jc w:val="center"/>
              <w:rPr>
                <w:rFonts w:hint="eastAsia" w:hAnsi="宋体" w:eastAsia="宋体" w:cs="宋体"/>
                <w:snapToGrid w:val="0"/>
                <w:color w:val="000000"/>
                <w:kern w:val="21"/>
                <w:szCs w:val="21"/>
                <w:lang w:val="en-US" w:eastAsia="zh-CN"/>
              </w:rPr>
            </w:pPr>
            <w:r>
              <w:rPr>
                <w:rFonts w:hint="eastAsia" w:hAnsi="宋体" w:cs="宋体"/>
                <w:snapToGrid w:val="0"/>
                <w:color w:val="000000"/>
                <w:kern w:val="21"/>
                <w:szCs w:val="21"/>
                <w:lang w:val="en-US" w:eastAsia="zh-CN"/>
              </w:rPr>
              <w:t>/</w:t>
            </w:r>
          </w:p>
        </w:tc>
        <w:tc>
          <w:tcPr>
            <w:tcW w:w="1117"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shd w:val="clear" w:color="auto" w:fill="auto"/>
            <w:noWrap w:val="0"/>
            <w:vAlign w:val="center"/>
          </w:tcPr>
          <w:p>
            <w:pPr>
              <w:pStyle w:val="34"/>
              <w:bidi w:val="0"/>
              <w:rPr>
                <w:rFonts w:hint="default" w:ascii="Times New Roman" w:hAnsi="Times New Roman" w:eastAsia="宋体" w:cs="Times New Roman"/>
                <w:kern w:val="2"/>
                <w:sz w:val="21"/>
                <w:szCs w:val="21"/>
                <w:lang w:val="en-US" w:eastAsia="zh-CN" w:bidi="ar-SA"/>
              </w:rPr>
            </w:pPr>
            <w:r>
              <w:rPr>
                <w:rFonts w:hint="eastAsia"/>
                <w:lang w:val="en-US" w:eastAsia="zh-CN"/>
              </w:rPr>
              <w:t>0.01t/a</w:t>
            </w:r>
          </w:p>
        </w:tc>
        <w:tc>
          <w:tcPr>
            <w:tcW w:w="1825"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pPr>
              <w:pStyle w:val="34"/>
              <w:bidi w:val="0"/>
              <w:rPr>
                <w:rFonts w:hAnsi="宋体" w:cs="宋体"/>
                <w:snapToGrid w:val="0"/>
                <w:color w:val="000000"/>
                <w:kern w:val="21"/>
                <w:szCs w:val="21"/>
              </w:rPr>
            </w:pPr>
            <w:r>
              <w:rPr>
                <w:rFonts w:hint="eastAsia"/>
                <w:lang w:val="en-US" w:eastAsia="zh-CN"/>
              </w:rPr>
              <w:t>0.01t/a</w:t>
            </w:r>
          </w:p>
        </w:tc>
        <w:tc>
          <w:tcPr>
            <w:tcW w:w="1203" w:type="dxa"/>
            <w:noWrap w:val="0"/>
            <w:vAlign w:val="center"/>
          </w:tcPr>
          <w:p>
            <w:pPr>
              <w:pStyle w:val="34"/>
              <w:bidi w:val="0"/>
              <w:rPr>
                <w:rFonts w:hAnsi="宋体" w:cs="宋体"/>
                <w:snapToGrid w:val="0"/>
                <w:color w:val="000000"/>
                <w:kern w:val="21"/>
                <w:szCs w:val="21"/>
              </w:rPr>
            </w:pPr>
            <w:r>
              <w:rPr>
                <w:rFonts w:hint="eastAsia"/>
                <w:lang w:val="en-US" w:eastAsia="zh-CN"/>
              </w:rPr>
              <w:t>0.01t/a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rPr>
              <w:t>一般工业</w:t>
            </w:r>
          </w:p>
          <w:p>
            <w:pPr>
              <w:spacing w:beforeLines="0" w:afterLines="0" w:line="240" w:lineRule="auto"/>
              <w:jc w:val="center"/>
              <w:rPr>
                <w:rFonts w:hint="eastAsia" w:hAnsi="宋体" w:cs="宋体"/>
                <w:snapToGrid w:val="0"/>
                <w:color w:val="000000"/>
                <w:kern w:val="21"/>
                <w:szCs w:val="21"/>
              </w:rPr>
            </w:pPr>
            <w:r>
              <w:rPr>
                <w:rFonts w:hint="eastAsia" w:hAnsi="宋体" w:cs="宋体"/>
                <w:snapToGrid w:val="0"/>
                <w:color w:val="000000"/>
                <w:kern w:val="21"/>
                <w:szCs w:val="21"/>
              </w:rPr>
              <w:t>固体废物</w:t>
            </w:r>
          </w:p>
        </w:tc>
        <w:tc>
          <w:tcPr>
            <w:tcW w:w="1417" w:type="dxa"/>
            <w:noWrap w:val="0"/>
            <w:vAlign w:val="center"/>
          </w:tcPr>
          <w:p>
            <w:pPr>
              <w:pStyle w:val="34"/>
              <w:bidi w:val="0"/>
              <w:rPr>
                <w:rFonts w:hAnsi="宋体" w:cs="宋体"/>
                <w:snapToGrid w:val="0"/>
                <w:color w:val="000000"/>
                <w:kern w:val="21"/>
                <w:szCs w:val="21"/>
              </w:rPr>
            </w:pPr>
            <w:r>
              <w:rPr>
                <w:rFonts w:hint="default"/>
                <w:lang w:val="en-US" w:eastAsia="zh-CN"/>
              </w:rPr>
              <w:t>除尘器收集的粉尘</w:t>
            </w:r>
          </w:p>
        </w:tc>
        <w:tc>
          <w:tcPr>
            <w:tcW w:w="1701" w:type="dxa"/>
            <w:noWrap w:val="0"/>
            <w:vAlign w:val="center"/>
          </w:tcPr>
          <w:p>
            <w:pPr>
              <w:pStyle w:val="34"/>
              <w:bidi w:val="0"/>
              <w:jc w:val="center"/>
              <w:rPr>
                <w:rFonts w:hAnsi="宋体" w:cs="宋体"/>
                <w:snapToGrid w:val="0"/>
                <w:color w:val="000000"/>
                <w:kern w:val="21"/>
                <w:szCs w:val="21"/>
              </w:rPr>
            </w:pPr>
            <w:r>
              <w:rPr>
                <w:rFonts w:hint="eastAsia"/>
                <w:lang w:val="en-US" w:eastAsia="zh-CN"/>
              </w:rPr>
              <w:t>/</w:t>
            </w:r>
          </w:p>
        </w:tc>
        <w:tc>
          <w:tcPr>
            <w:tcW w:w="1117" w:type="dxa"/>
            <w:noWrap w:val="0"/>
            <w:vAlign w:val="center"/>
          </w:tcPr>
          <w:p>
            <w:pPr>
              <w:pStyle w:val="34"/>
              <w:bidi w:val="0"/>
              <w:jc w:val="center"/>
              <w:rPr>
                <w:rFonts w:hAnsi="宋体" w:cs="宋体"/>
                <w:snapToGrid w:val="0"/>
                <w:color w:val="000000"/>
                <w:kern w:val="21"/>
                <w:szCs w:val="21"/>
              </w:rPr>
            </w:pPr>
            <w:r>
              <w:rPr>
                <w:rFonts w:hint="eastAsia"/>
                <w:lang w:val="en-US" w:eastAsia="zh-CN"/>
              </w:rPr>
              <w:t>/</w:t>
            </w:r>
          </w:p>
        </w:tc>
        <w:tc>
          <w:tcPr>
            <w:tcW w:w="1600" w:type="dxa"/>
            <w:noWrap w:val="0"/>
            <w:vAlign w:val="center"/>
          </w:tcPr>
          <w:p>
            <w:pPr>
              <w:pStyle w:val="34"/>
              <w:bidi w:val="0"/>
              <w:jc w:val="center"/>
              <w:rPr>
                <w:rFonts w:hAnsi="宋体" w:cs="宋体"/>
                <w:snapToGrid w:val="0"/>
                <w:color w:val="000000"/>
                <w:kern w:val="21"/>
                <w:szCs w:val="21"/>
              </w:rPr>
            </w:pPr>
            <w:r>
              <w:rPr>
                <w:rFonts w:hint="eastAsia"/>
                <w:lang w:val="en-US" w:eastAsia="zh-CN"/>
              </w:rPr>
              <w:t>/</w:t>
            </w:r>
          </w:p>
        </w:tc>
        <w:tc>
          <w:tcPr>
            <w:tcW w:w="1487" w:type="dxa"/>
            <w:noWrap w:val="0"/>
            <w:vAlign w:val="center"/>
          </w:tcPr>
          <w:p>
            <w:pPr>
              <w:pStyle w:val="34"/>
              <w:bidi w:val="0"/>
              <w:rPr>
                <w:rFonts w:hAnsi="宋体" w:cs="宋体"/>
                <w:snapToGrid w:val="0"/>
                <w:color w:val="000000"/>
                <w:kern w:val="21"/>
                <w:szCs w:val="21"/>
              </w:rPr>
            </w:pPr>
            <w:r>
              <w:rPr>
                <w:rFonts w:hint="eastAsia"/>
                <w:lang w:val="en-US" w:eastAsia="zh-CN"/>
              </w:rPr>
              <w:t>2.13t/a</w:t>
            </w:r>
          </w:p>
        </w:tc>
        <w:tc>
          <w:tcPr>
            <w:tcW w:w="1825" w:type="dxa"/>
            <w:noWrap w:val="0"/>
            <w:vAlign w:val="center"/>
          </w:tcPr>
          <w:p>
            <w:pPr>
              <w:pStyle w:val="34"/>
              <w:bidi w:val="0"/>
              <w:jc w:val="center"/>
              <w:rPr>
                <w:rFonts w:hAnsi="宋体" w:cs="宋体"/>
                <w:snapToGrid w:val="0"/>
                <w:color w:val="000000"/>
                <w:kern w:val="21"/>
                <w:szCs w:val="21"/>
              </w:rPr>
            </w:pPr>
            <w:r>
              <w:rPr>
                <w:rFonts w:hint="eastAsia"/>
                <w:lang w:val="en-US" w:eastAsia="zh-CN"/>
              </w:rPr>
              <w:t>/</w:t>
            </w:r>
          </w:p>
        </w:tc>
        <w:tc>
          <w:tcPr>
            <w:tcW w:w="1850" w:type="dxa"/>
            <w:noWrap w:val="0"/>
            <w:vAlign w:val="center"/>
          </w:tcPr>
          <w:p>
            <w:pPr>
              <w:pStyle w:val="34"/>
              <w:bidi w:val="0"/>
              <w:rPr>
                <w:rFonts w:hAnsi="宋体" w:cs="宋体"/>
                <w:snapToGrid w:val="0"/>
                <w:color w:val="000000"/>
                <w:kern w:val="21"/>
                <w:szCs w:val="21"/>
              </w:rPr>
            </w:pPr>
            <w:r>
              <w:rPr>
                <w:rFonts w:hint="eastAsia"/>
                <w:lang w:val="en-US" w:eastAsia="zh-CN"/>
              </w:rPr>
              <w:t>2.13t/a</w:t>
            </w:r>
          </w:p>
        </w:tc>
        <w:tc>
          <w:tcPr>
            <w:tcW w:w="1203" w:type="dxa"/>
            <w:noWrap w:val="0"/>
            <w:vAlign w:val="center"/>
          </w:tcPr>
          <w:p>
            <w:pPr>
              <w:jc w:val="center"/>
              <w:rPr>
                <w:rFonts w:hint="eastAsia"/>
                <w:lang w:val="en-US" w:eastAsia="zh-CN"/>
              </w:rPr>
            </w:pPr>
            <w:r>
              <w:rPr>
                <w:rFonts w:hint="eastAsia"/>
                <w:lang w:val="en-US" w:eastAsia="zh-CN"/>
              </w:rPr>
              <w:t>2.13t/a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jc w:val="center"/>
              <w:rPr>
                <w:rFonts w:hAnsi="宋体" w:cs="宋体"/>
                <w:snapToGrid w:val="0"/>
                <w:color w:val="000000"/>
                <w:kern w:val="21"/>
                <w:szCs w:val="21"/>
              </w:rPr>
            </w:pPr>
          </w:p>
        </w:tc>
        <w:tc>
          <w:tcPr>
            <w:tcW w:w="1417" w:type="dxa"/>
            <w:noWrap w:val="0"/>
            <w:vAlign w:val="center"/>
          </w:tcPr>
          <w:p>
            <w:pPr>
              <w:pStyle w:val="34"/>
              <w:bidi w:val="0"/>
              <w:rPr>
                <w:rFonts w:hAnsi="宋体" w:cs="宋体"/>
                <w:snapToGrid w:val="0"/>
                <w:color w:val="000000"/>
                <w:kern w:val="21"/>
                <w:szCs w:val="21"/>
              </w:rPr>
            </w:pPr>
            <w:r>
              <w:rPr>
                <w:rFonts w:hint="default"/>
                <w:lang w:val="en-US" w:eastAsia="zh-CN"/>
              </w:rPr>
              <w:t>边角料及不合格产品</w:t>
            </w:r>
          </w:p>
        </w:tc>
        <w:tc>
          <w:tcPr>
            <w:tcW w:w="1701" w:type="dxa"/>
            <w:noWrap w:val="0"/>
            <w:vAlign w:val="center"/>
          </w:tcPr>
          <w:p>
            <w:pPr>
              <w:pStyle w:val="34"/>
              <w:bidi w:val="0"/>
              <w:jc w:val="center"/>
              <w:rPr>
                <w:rFonts w:hAnsi="宋体" w:cs="宋体"/>
                <w:snapToGrid w:val="0"/>
                <w:color w:val="000000"/>
                <w:kern w:val="21"/>
                <w:szCs w:val="21"/>
              </w:rPr>
            </w:pPr>
            <w:r>
              <w:rPr>
                <w:rFonts w:hint="eastAsia"/>
                <w:lang w:val="en-US" w:eastAsia="zh-CN"/>
              </w:rPr>
              <w:t>/</w:t>
            </w:r>
          </w:p>
        </w:tc>
        <w:tc>
          <w:tcPr>
            <w:tcW w:w="1117" w:type="dxa"/>
            <w:noWrap w:val="0"/>
            <w:vAlign w:val="center"/>
          </w:tcPr>
          <w:p>
            <w:pPr>
              <w:pStyle w:val="34"/>
              <w:bidi w:val="0"/>
              <w:jc w:val="center"/>
              <w:rPr>
                <w:rFonts w:hAnsi="宋体" w:cs="宋体"/>
                <w:snapToGrid w:val="0"/>
                <w:color w:val="000000"/>
                <w:kern w:val="21"/>
                <w:szCs w:val="21"/>
              </w:rPr>
            </w:pPr>
            <w:r>
              <w:rPr>
                <w:rFonts w:hint="eastAsia"/>
                <w:lang w:val="en-US" w:eastAsia="zh-CN"/>
              </w:rPr>
              <w:t>/</w:t>
            </w:r>
          </w:p>
        </w:tc>
        <w:tc>
          <w:tcPr>
            <w:tcW w:w="1600" w:type="dxa"/>
            <w:noWrap w:val="0"/>
            <w:vAlign w:val="center"/>
          </w:tcPr>
          <w:p>
            <w:pPr>
              <w:pStyle w:val="34"/>
              <w:bidi w:val="0"/>
              <w:jc w:val="center"/>
              <w:rPr>
                <w:rFonts w:hAnsi="宋体" w:cs="宋体"/>
                <w:snapToGrid w:val="0"/>
                <w:color w:val="000000"/>
                <w:kern w:val="21"/>
                <w:szCs w:val="21"/>
              </w:rPr>
            </w:pPr>
            <w:r>
              <w:rPr>
                <w:rFonts w:hint="eastAsia"/>
                <w:lang w:val="en-US" w:eastAsia="zh-CN"/>
              </w:rPr>
              <w:t>/</w:t>
            </w:r>
          </w:p>
        </w:tc>
        <w:tc>
          <w:tcPr>
            <w:tcW w:w="1487" w:type="dxa"/>
            <w:noWrap w:val="0"/>
            <w:vAlign w:val="center"/>
          </w:tcPr>
          <w:p>
            <w:pPr>
              <w:pStyle w:val="34"/>
              <w:bidi w:val="0"/>
              <w:rPr>
                <w:rFonts w:hAnsi="宋体" w:cs="宋体"/>
                <w:snapToGrid w:val="0"/>
                <w:color w:val="000000"/>
                <w:kern w:val="21"/>
                <w:szCs w:val="21"/>
              </w:rPr>
            </w:pPr>
            <w:r>
              <w:rPr>
                <w:rFonts w:hint="eastAsia"/>
                <w:lang w:val="en-US" w:eastAsia="zh-CN"/>
              </w:rPr>
              <w:t>5t/a</w:t>
            </w:r>
          </w:p>
        </w:tc>
        <w:tc>
          <w:tcPr>
            <w:tcW w:w="1825" w:type="dxa"/>
            <w:noWrap w:val="0"/>
            <w:vAlign w:val="center"/>
          </w:tcPr>
          <w:p>
            <w:pPr>
              <w:pStyle w:val="34"/>
              <w:bidi w:val="0"/>
              <w:jc w:val="center"/>
              <w:rPr>
                <w:rFonts w:hAnsi="宋体" w:cs="宋体"/>
                <w:snapToGrid w:val="0"/>
                <w:color w:val="000000"/>
                <w:kern w:val="21"/>
                <w:szCs w:val="21"/>
              </w:rPr>
            </w:pPr>
            <w:r>
              <w:rPr>
                <w:rFonts w:hint="eastAsia"/>
                <w:lang w:val="en-US" w:eastAsia="zh-CN"/>
              </w:rPr>
              <w:t>/</w:t>
            </w:r>
          </w:p>
        </w:tc>
        <w:tc>
          <w:tcPr>
            <w:tcW w:w="1850" w:type="dxa"/>
            <w:noWrap w:val="0"/>
            <w:vAlign w:val="center"/>
          </w:tcPr>
          <w:p>
            <w:pPr>
              <w:pStyle w:val="34"/>
              <w:bidi w:val="0"/>
              <w:rPr>
                <w:rFonts w:hAnsi="宋体" w:cs="宋体"/>
                <w:snapToGrid w:val="0"/>
                <w:color w:val="000000"/>
                <w:kern w:val="21"/>
                <w:szCs w:val="21"/>
              </w:rPr>
            </w:pPr>
            <w:r>
              <w:rPr>
                <w:rFonts w:hint="eastAsia"/>
                <w:lang w:val="en-US" w:eastAsia="zh-CN"/>
              </w:rPr>
              <w:t>0.2t/a</w:t>
            </w:r>
          </w:p>
        </w:tc>
        <w:tc>
          <w:tcPr>
            <w:tcW w:w="1203" w:type="dxa"/>
            <w:noWrap w:val="0"/>
            <w:vAlign w:val="center"/>
          </w:tcPr>
          <w:p>
            <w:pPr>
              <w:pStyle w:val="34"/>
              <w:bidi w:val="0"/>
              <w:rPr>
                <w:rFonts w:hAnsi="宋体" w:cs="宋体"/>
                <w:snapToGrid w:val="0"/>
                <w:color w:val="000000"/>
                <w:kern w:val="21"/>
                <w:szCs w:val="21"/>
              </w:rPr>
            </w:pPr>
            <w:r>
              <w:rPr>
                <w:rFonts w:hint="eastAsia"/>
                <w:lang w:val="en-US" w:eastAsia="zh-CN"/>
              </w:rPr>
              <w:t>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jc w:val="center"/>
              <w:rPr>
                <w:rFonts w:hAnsi="宋体" w:cs="宋体"/>
                <w:snapToGrid w:val="0"/>
                <w:color w:val="000000"/>
                <w:kern w:val="21"/>
                <w:szCs w:val="21"/>
              </w:rPr>
            </w:pPr>
          </w:p>
        </w:tc>
        <w:tc>
          <w:tcPr>
            <w:tcW w:w="1417" w:type="dxa"/>
            <w:noWrap w:val="0"/>
            <w:vAlign w:val="center"/>
          </w:tcPr>
          <w:p>
            <w:pPr>
              <w:pStyle w:val="34"/>
              <w:bidi w:val="0"/>
              <w:rPr>
                <w:rFonts w:hAnsi="宋体" w:cs="宋体"/>
                <w:snapToGrid w:val="0"/>
                <w:color w:val="000000"/>
                <w:kern w:val="21"/>
                <w:szCs w:val="21"/>
              </w:rPr>
            </w:pPr>
            <w:r>
              <w:rPr>
                <w:rFonts w:hint="default"/>
                <w:lang w:val="en-US" w:eastAsia="zh-CN"/>
              </w:rPr>
              <w:t>废包装袋</w:t>
            </w:r>
          </w:p>
        </w:tc>
        <w:tc>
          <w:tcPr>
            <w:tcW w:w="1701"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117"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pPr>
              <w:pStyle w:val="34"/>
              <w:bidi w:val="0"/>
              <w:rPr>
                <w:rFonts w:hAnsi="宋体" w:cs="宋体"/>
                <w:snapToGrid w:val="0"/>
                <w:color w:val="000000"/>
                <w:kern w:val="21"/>
                <w:szCs w:val="21"/>
              </w:rPr>
            </w:pPr>
            <w:r>
              <w:rPr>
                <w:rFonts w:hint="eastAsia"/>
                <w:lang w:val="en-US" w:eastAsia="zh-CN"/>
              </w:rPr>
              <w:t>0.2t/a</w:t>
            </w:r>
          </w:p>
        </w:tc>
        <w:tc>
          <w:tcPr>
            <w:tcW w:w="1825"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pPr>
              <w:pStyle w:val="34"/>
              <w:bidi w:val="0"/>
              <w:rPr>
                <w:rFonts w:hAnsi="宋体" w:cs="宋体"/>
                <w:snapToGrid w:val="0"/>
                <w:color w:val="000000"/>
                <w:kern w:val="21"/>
                <w:szCs w:val="21"/>
              </w:rPr>
            </w:pPr>
            <w:r>
              <w:rPr>
                <w:rFonts w:hint="eastAsia"/>
                <w:lang w:val="en-US" w:eastAsia="zh-CN"/>
              </w:rPr>
              <w:t>0.2t/a</w:t>
            </w:r>
          </w:p>
        </w:tc>
        <w:tc>
          <w:tcPr>
            <w:tcW w:w="1203" w:type="dxa"/>
            <w:noWrap w:val="0"/>
            <w:vAlign w:val="center"/>
          </w:tcPr>
          <w:p>
            <w:pPr>
              <w:pStyle w:val="34"/>
              <w:bidi w:val="0"/>
              <w:rPr>
                <w:rFonts w:hAnsi="宋体" w:cs="宋体"/>
                <w:snapToGrid w:val="0"/>
                <w:color w:val="000000"/>
                <w:kern w:val="21"/>
                <w:szCs w:val="21"/>
              </w:rPr>
            </w:pPr>
            <w:r>
              <w:rPr>
                <w:rFonts w:hint="eastAsia"/>
                <w:lang w:val="en-US" w:eastAsia="zh-CN"/>
              </w:rPr>
              <w:t>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jc w:val="center"/>
              <w:rPr>
                <w:rFonts w:hAnsi="宋体" w:cs="宋体"/>
                <w:snapToGrid w:val="0"/>
                <w:color w:val="000000"/>
                <w:kern w:val="21"/>
                <w:szCs w:val="21"/>
              </w:rPr>
            </w:pPr>
          </w:p>
        </w:tc>
        <w:tc>
          <w:tcPr>
            <w:tcW w:w="1417" w:type="dxa"/>
            <w:noWrap w:val="0"/>
            <w:vAlign w:val="center"/>
          </w:tcPr>
          <w:p>
            <w:pPr>
              <w:pStyle w:val="34"/>
              <w:bidi w:val="0"/>
              <w:rPr>
                <w:rFonts w:hAnsi="宋体" w:cs="宋体"/>
                <w:snapToGrid w:val="0"/>
                <w:color w:val="000000"/>
                <w:kern w:val="21"/>
                <w:szCs w:val="21"/>
              </w:rPr>
            </w:pPr>
            <w:r>
              <w:rPr>
                <w:rFonts w:hint="default"/>
                <w:lang w:val="en-US" w:eastAsia="zh-CN"/>
              </w:rPr>
              <w:t>废布袋</w:t>
            </w:r>
          </w:p>
        </w:tc>
        <w:tc>
          <w:tcPr>
            <w:tcW w:w="1701"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117"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pPr>
              <w:pStyle w:val="34"/>
              <w:bidi w:val="0"/>
              <w:rPr>
                <w:rFonts w:hAnsi="宋体" w:cs="宋体"/>
                <w:snapToGrid w:val="0"/>
                <w:color w:val="000000"/>
                <w:kern w:val="21"/>
                <w:szCs w:val="21"/>
              </w:rPr>
            </w:pPr>
            <w:r>
              <w:rPr>
                <w:rFonts w:hint="eastAsia"/>
                <w:lang w:val="en-US" w:eastAsia="zh-CN"/>
              </w:rPr>
              <w:t>0.1t/a</w:t>
            </w:r>
          </w:p>
        </w:tc>
        <w:tc>
          <w:tcPr>
            <w:tcW w:w="1825"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pPr>
              <w:pStyle w:val="34"/>
              <w:bidi w:val="0"/>
              <w:rPr>
                <w:rFonts w:hAnsi="宋体" w:cs="宋体"/>
                <w:snapToGrid w:val="0"/>
                <w:color w:val="000000"/>
                <w:kern w:val="21"/>
                <w:szCs w:val="21"/>
              </w:rPr>
            </w:pPr>
            <w:r>
              <w:rPr>
                <w:rFonts w:hint="eastAsia"/>
                <w:lang w:val="en-US" w:eastAsia="zh-CN"/>
              </w:rPr>
              <w:t>0.1t/a</w:t>
            </w:r>
          </w:p>
        </w:tc>
        <w:tc>
          <w:tcPr>
            <w:tcW w:w="1203" w:type="dxa"/>
            <w:noWrap w:val="0"/>
            <w:vAlign w:val="center"/>
          </w:tcPr>
          <w:p>
            <w:pPr>
              <w:pStyle w:val="34"/>
              <w:bidi w:val="0"/>
              <w:rPr>
                <w:rFonts w:hAnsi="宋体" w:cs="宋体"/>
                <w:snapToGrid w:val="0"/>
                <w:color w:val="000000"/>
                <w:kern w:val="21"/>
                <w:szCs w:val="21"/>
              </w:rPr>
            </w:pPr>
            <w:r>
              <w:rPr>
                <w:rFonts w:hint="eastAsia"/>
                <w:lang w:val="en-US" w:eastAsia="zh-CN"/>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jc w:val="center"/>
              <w:rPr>
                <w:rFonts w:hAnsi="宋体" w:cs="宋体"/>
                <w:snapToGrid w:val="0"/>
                <w:color w:val="000000"/>
                <w:kern w:val="21"/>
                <w:szCs w:val="21"/>
              </w:rPr>
            </w:pPr>
          </w:p>
        </w:tc>
        <w:tc>
          <w:tcPr>
            <w:tcW w:w="1417" w:type="dxa"/>
            <w:noWrap w:val="0"/>
            <w:vAlign w:val="center"/>
          </w:tcPr>
          <w:p>
            <w:pPr>
              <w:pStyle w:val="34"/>
              <w:bidi w:val="0"/>
              <w:rPr>
                <w:rFonts w:hint="default"/>
                <w:lang w:val="en-US" w:eastAsia="zh-CN"/>
              </w:rPr>
            </w:pPr>
            <w:r>
              <w:rPr>
                <w:rFonts w:hint="default"/>
                <w:highlight w:val="none"/>
                <w:lang w:val="en-US" w:eastAsia="zh-CN"/>
              </w:rPr>
              <w:t>沉淀池沉渣</w:t>
            </w:r>
          </w:p>
        </w:tc>
        <w:tc>
          <w:tcPr>
            <w:tcW w:w="1701" w:type="dxa"/>
            <w:noWrap w:val="0"/>
            <w:vAlign w:val="center"/>
          </w:tcPr>
          <w:p>
            <w:pPr>
              <w:spacing w:beforeLines="0" w:afterLines="0" w:line="240" w:lineRule="auto"/>
              <w:jc w:val="center"/>
              <w:rPr>
                <w:rFonts w:hint="eastAsia" w:hAnsi="宋体" w:cs="宋体"/>
                <w:snapToGrid w:val="0"/>
                <w:color w:val="000000"/>
                <w:kern w:val="21"/>
                <w:szCs w:val="21"/>
                <w:lang w:val="en-US" w:eastAsia="zh-CN"/>
              </w:rPr>
            </w:pPr>
            <w:r>
              <w:rPr>
                <w:rFonts w:hint="eastAsia" w:hAnsi="宋体" w:cs="宋体"/>
                <w:snapToGrid w:val="0"/>
                <w:color w:val="000000"/>
                <w:kern w:val="21"/>
                <w:szCs w:val="21"/>
                <w:highlight w:val="none"/>
                <w:lang w:val="en-US" w:eastAsia="zh-CN"/>
              </w:rPr>
              <w:t>/</w:t>
            </w:r>
          </w:p>
        </w:tc>
        <w:tc>
          <w:tcPr>
            <w:tcW w:w="1117" w:type="dxa"/>
            <w:noWrap w:val="0"/>
            <w:vAlign w:val="center"/>
          </w:tcPr>
          <w:p>
            <w:pPr>
              <w:spacing w:beforeLines="0" w:afterLines="0" w:line="240" w:lineRule="auto"/>
              <w:jc w:val="center"/>
              <w:rPr>
                <w:rFonts w:hint="eastAsia" w:hAnsi="宋体" w:cs="宋体"/>
                <w:snapToGrid w:val="0"/>
                <w:color w:val="000000"/>
                <w:kern w:val="21"/>
                <w:szCs w:val="21"/>
                <w:lang w:val="en-US" w:eastAsia="zh-CN"/>
              </w:rPr>
            </w:pPr>
            <w:r>
              <w:rPr>
                <w:rFonts w:hint="eastAsia" w:hAnsi="宋体" w:cs="宋体"/>
                <w:snapToGrid w:val="0"/>
                <w:color w:val="000000"/>
                <w:kern w:val="21"/>
                <w:szCs w:val="21"/>
                <w:highlight w:val="none"/>
                <w:lang w:val="en-US" w:eastAsia="zh-CN"/>
              </w:rPr>
              <w:t>/</w:t>
            </w:r>
          </w:p>
        </w:tc>
        <w:tc>
          <w:tcPr>
            <w:tcW w:w="1600" w:type="dxa"/>
            <w:noWrap w:val="0"/>
            <w:vAlign w:val="center"/>
          </w:tcPr>
          <w:p>
            <w:pPr>
              <w:spacing w:beforeLines="0" w:afterLines="0" w:line="240" w:lineRule="auto"/>
              <w:jc w:val="center"/>
              <w:rPr>
                <w:rFonts w:hint="eastAsia" w:hAnsi="宋体" w:cs="宋体"/>
                <w:snapToGrid w:val="0"/>
                <w:color w:val="000000"/>
                <w:kern w:val="21"/>
                <w:szCs w:val="21"/>
                <w:lang w:val="en-US" w:eastAsia="zh-CN"/>
              </w:rPr>
            </w:pPr>
            <w:r>
              <w:rPr>
                <w:rFonts w:hint="eastAsia" w:hAnsi="宋体" w:cs="宋体"/>
                <w:snapToGrid w:val="0"/>
                <w:color w:val="000000"/>
                <w:kern w:val="21"/>
                <w:szCs w:val="21"/>
                <w:highlight w:val="none"/>
                <w:lang w:val="en-US" w:eastAsia="zh-CN"/>
              </w:rPr>
              <w:t>/</w:t>
            </w:r>
          </w:p>
        </w:tc>
        <w:tc>
          <w:tcPr>
            <w:tcW w:w="1487" w:type="dxa"/>
            <w:noWrap w:val="0"/>
            <w:vAlign w:val="center"/>
          </w:tcPr>
          <w:p>
            <w:pPr>
              <w:pStyle w:val="34"/>
              <w:bidi w:val="0"/>
              <w:rPr>
                <w:rFonts w:hint="eastAsia"/>
                <w:lang w:val="en-US" w:eastAsia="zh-CN"/>
              </w:rPr>
            </w:pPr>
            <w:r>
              <w:rPr>
                <w:rFonts w:hint="eastAsia"/>
                <w:highlight w:val="none"/>
                <w:lang w:val="en-US" w:eastAsia="zh-CN"/>
              </w:rPr>
              <w:t>0.2t/a</w:t>
            </w:r>
          </w:p>
        </w:tc>
        <w:tc>
          <w:tcPr>
            <w:tcW w:w="1825" w:type="dxa"/>
            <w:noWrap w:val="0"/>
            <w:vAlign w:val="center"/>
          </w:tcPr>
          <w:p>
            <w:pPr>
              <w:spacing w:beforeLines="0" w:afterLines="0" w:line="240" w:lineRule="auto"/>
              <w:jc w:val="center"/>
              <w:rPr>
                <w:rFonts w:hint="eastAsia" w:hAnsi="宋体" w:cs="宋体"/>
                <w:snapToGrid w:val="0"/>
                <w:color w:val="000000"/>
                <w:kern w:val="21"/>
                <w:szCs w:val="21"/>
                <w:lang w:val="en-US" w:eastAsia="zh-CN"/>
              </w:rPr>
            </w:pPr>
            <w:r>
              <w:rPr>
                <w:rFonts w:hint="eastAsia" w:hAnsi="宋体" w:cs="宋体"/>
                <w:snapToGrid w:val="0"/>
                <w:color w:val="000000"/>
                <w:kern w:val="21"/>
                <w:szCs w:val="21"/>
                <w:highlight w:val="none"/>
                <w:lang w:val="en-US" w:eastAsia="zh-CN"/>
              </w:rPr>
              <w:t>/</w:t>
            </w:r>
          </w:p>
        </w:tc>
        <w:tc>
          <w:tcPr>
            <w:tcW w:w="1850" w:type="dxa"/>
            <w:noWrap w:val="0"/>
            <w:vAlign w:val="center"/>
          </w:tcPr>
          <w:p>
            <w:pPr>
              <w:pStyle w:val="34"/>
              <w:bidi w:val="0"/>
              <w:rPr>
                <w:rFonts w:hint="eastAsia"/>
                <w:lang w:val="en-US" w:eastAsia="zh-CN"/>
              </w:rPr>
            </w:pPr>
            <w:r>
              <w:rPr>
                <w:rFonts w:hint="eastAsia"/>
                <w:highlight w:val="none"/>
                <w:lang w:val="en-US" w:eastAsia="zh-CN"/>
              </w:rPr>
              <w:t>0.2t/a</w:t>
            </w:r>
          </w:p>
        </w:tc>
        <w:tc>
          <w:tcPr>
            <w:tcW w:w="1203" w:type="dxa"/>
            <w:noWrap w:val="0"/>
            <w:vAlign w:val="center"/>
          </w:tcPr>
          <w:p>
            <w:pPr>
              <w:pStyle w:val="34"/>
              <w:bidi w:val="0"/>
              <w:rPr>
                <w:rFonts w:hint="eastAsia"/>
                <w:lang w:val="en-US" w:eastAsia="zh-CN"/>
              </w:rPr>
            </w:pPr>
            <w:r>
              <w:rPr>
                <w:rFonts w:hint="eastAsia"/>
                <w:highlight w:val="none"/>
                <w:lang w:val="en-US" w:eastAsia="zh-CN"/>
              </w:rPr>
              <w:t>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spacing w:beforeLines="0" w:afterLines="0" w:line="240" w:lineRule="auto"/>
              <w:jc w:val="center"/>
              <w:rPr>
                <w:rFonts w:hint="eastAsia" w:hAnsi="宋体" w:cs="宋体"/>
                <w:snapToGrid w:val="0"/>
                <w:color w:val="000000"/>
                <w:kern w:val="21"/>
                <w:szCs w:val="21"/>
              </w:rPr>
            </w:pPr>
            <w:r>
              <w:rPr>
                <w:rFonts w:hint="eastAsia" w:hAnsi="宋体" w:cs="宋体"/>
                <w:snapToGrid w:val="0"/>
                <w:color w:val="000000"/>
                <w:kern w:val="21"/>
                <w:szCs w:val="21"/>
              </w:rPr>
              <w:t>危险废物</w:t>
            </w:r>
          </w:p>
        </w:tc>
        <w:tc>
          <w:tcPr>
            <w:tcW w:w="1417" w:type="dxa"/>
            <w:noWrap w:val="0"/>
            <w:vAlign w:val="center"/>
          </w:tcPr>
          <w:p>
            <w:pPr>
              <w:keepNext w:val="0"/>
              <w:keepLines w:val="0"/>
              <w:suppressLineNumbers w:val="0"/>
              <w:bidi w:val="0"/>
              <w:spacing w:before="0" w:beforeAutospacing="0" w:after="0" w:afterAutospacing="0"/>
              <w:ind w:left="0" w:leftChars="0" w:right="0" w:rightChars="0"/>
              <w:jc w:val="center"/>
              <w:rPr>
                <w:rFonts w:hint="eastAsia" w:hAnsi="宋体" w:cs="宋体"/>
                <w:snapToGrid w:val="0"/>
                <w:color w:val="000000"/>
                <w:kern w:val="21"/>
                <w:szCs w:val="21"/>
              </w:rPr>
            </w:pPr>
            <w:r>
              <w:rPr>
                <w:rFonts w:hint="eastAsia" w:cs="Times New Roman"/>
                <w:lang w:val="en-US" w:eastAsia="zh-CN"/>
              </w:rPr>
              <w:t>废润滑油</w:t>
            </w:r>
          </w:p>
        </w:tc>
        <w:tc>
          <w:tcPr>
            <w:tcW w:w="1701"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117"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0.5t/a</w:t>
            </w:r>
          </w:p>
        </w:tc>
        <w:tc>
          <w:tcPr>
            <w:tcW w:w="1825"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0.05t/a</w:t>
            </w:r>
          </w:p>
        </w:tc>
        <w:tc>
          <w:tcPr>
            <w:tcW w:w="1203" w:type="dxa"/>
            <w:noWrap w:val="0"/>
            <w:vAlign w:val="center"/>
          </w:tcPr>
          <w:p>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spacing w:beforeLines="0" w:afterLines="0" w:line="240" w:lineRule="auto"/>
              <w:rPr>
                <w:rFonts w:hAnsi="宋体" w:cs="宋体"/>
                <w:snapToGrid w:val="0"/>
                <w:color w:val="000000"/>
                <w:kern w:val="21"/>
                <w:szCs w:val="21"/>
              </w:rPr>
            </w:pPr>
          </w:p>
        </w:tc>
        <w:tc>
          <w:tcPr>
            <w:tcW w:w="1417" w:type="dxa"/>
            <w:noWrap w:val="0"/>
            <w:vAlign w:val="center"/>
          </w:tcPr>
          <w:p>
            <w:pPr>
              <w:keepNext w:val="0"/>
              <w:keepLines w:val="0"/>
              <w:suppressLineNumbers w:val="0"/>
              <w:bidi w:val="0"/>
              <w:spacing w:before="0" w:beforeAutospacing="0" w:after="0" w:afterAutospacing="0"/>
              <w:ind w:left="0" w:leftChars="0" w:right="0" w:rightChars="0"/>
              <w:jc w:val="center"/>
              <w:rPr>
                <w:rFonts w:hint="eastAsia" w:hAnsi="宋体" w:cs="宋体"/>
                <w:snapToGrid w:val="0"/>
                <w:color w:val="000000"/>
                <w:kern w:val="21"/>
                <w:szCs w:val="21"/>
              </w:rPr>
            </w:pPr>
            <w:r>
              <w:rPr>
                <w:rFonts w:hint="eastAsia" w:cs="Times New Roman"/>
                <w:lang w:val="en-US" w:eastAsia="zh-CN"/>
              </w:rPr>
              <w:t>废润滑油桶</w:t>
            </w:r>
          </w:p>
        </w:tc>
        <w:tc>
          <w:tcPr>
            <w:tcW w:w="1701"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117"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600"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487" w:type="dxa"/>
            <w:noWrap w:val="0"/>
            <w:vAlign w:val="center"/>
          </w:tcPr>
          <w:p>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0.005t/a</w:t>
            </w:r>
          </w:p>
        </w:tc>
        <w:tc>
          <w:tcPr>
            <w:tcW w:w="1825" w:type="dxa"/>
            <w:noWrap w:val="0"/>
            <w:vAlign w:val="center"/>
          </w:tcPr>
          <w:p>
            <w:pPr>
              <w:spacing w:beforeLines="0" w:afterLines="0" w:line="240" w:lineRule="auto"/>
              <w:jc w:val="center"/>
              <w:rPr>
                <w:rFonts w:hAnsi="宋体" w:cs="宋体"/>
                <w:snapToGrid w:val="0"/>
                <w:color w:val="000000"/>
                <w:kern w:val="21"/>
                <w:szCs w:val="21"/>
              </w:rPr>
            </w:pPr>
            <w:r>
              <w:rPr>
                <w:rFonts w:hint="eastAsia" w:hAnsi="宋体" w:cs="宋体"/>
                <w:snapToGrid w:val="0"/>
                <w:color w:val="000000"/>
                <w:kern w:val="21"/>
                <w:szCs w:val="21"/>
                <w:lang w:val="en-US" w:eastAsia="zh-CN"/>
              </w:rPr>
              <w:t>/</w:t>
            </w:r>
          </w:p>
        </w:tc>
        <w:tc>
          <w:tcPr>
            <w:tcW w:w="1850" w:type="dxa"/>
            <w:noWrap w:val="0"/>
            <w:vAlign w:val="center"/>
          </w:tcPr>
          <w:p>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0.005t/a</w:t>
            </w:r>
          </w:p>
        </w:tc>
        <w:tc>
          <w:tcPr>
            <w:tcW w:w="1203" w:type="dxa"/>
            <w:noWrap w:val="0"/>
            <w:vAlign w:val="center"/>
          </w:tcPr>
          <w:p>
            <w:pPr>
              <w:keepNext w:val="0"/>
              <w:keepLines w:val="0"/>
              <w:suppressLineNumbers w:val="0"/>
              <w:bidi w:val="0"/>
              <w:spacing w:before="0" w:beforeAutospacing="0" w:after="0" w:afterAutospacing="0"/>
              <w:ind w:left="0" w:leftChars="0" w:right="0" w:rightChars="0"/>
              <w:jc w:val="center"/>
              <w:rPr>
                <w:rFonts w:hAnsi="宋体" w:cs="宋体"/>
                <w:snapToGrid w:val="0"/>
                <w:color w:val="000000"/>
                <w:kern w:val="21"/>
                <w:szCs w:val="21"/>
              </w:rPr>
            </w:pPr>
            <w:r>
              <w:rPr>
                <w:rFonts w:hint="eastAsia" w:cs="Times New Roman"/>
                <w:lang w:val="en-US" w:eastAsia="zh-CN"/>
              </w:rPr>
              <w:t>0.005t/a</w:t>
            </w:r>
          </w:p>
        </w:tc>
      </w:tr>
    </w:tbl>
    <w:p>
      <w:pPr>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pPr>
        <w:rPr>
          <w:rFonts w:hint="eastAsia"/>
        </w:rPr>
      </w:pPr>
    </w:p>
    <w:p>
      <w:pPr>
        <w:rPr>
          <w:rFonts w:ascii="宋体" w:hAnsi="宋体" w:eastAsia="黑体"/>
        </w:rPr>
      </w:pP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小标宋_GBK">
    <w:panose1 w:val="03000509000000000000"/>
    <w:charset w:val="86"/>
    <w:family w:val="script"/>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Mhd1E3gAQAAwQMAAA4AAAAA&#10;AAAAAQAgAAAAHgEAAGRycy9lMm9Eb2MueG1sUEsFBgAAAAAGAAYAWQEAAHA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2</w:t>
                          </w:r>
                          <w:r>
                            <w:fldChar w:fldCharType="end"/>
                          </w:r>
                        </w:p>
                      </w:txbxContent>
                    </wps:txbx>
                    <wps:bodyPr vert="horz" wrap="none" lIns="0" tIns="0" rIns="0" bIns="0" anchor="t" anchorCtr="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jBRoV4QEAAMEDAAAOAAAA&#10;AAAAAAEAIAAAAB4BAABkcnMvZTJvRG9jLnhtbFBLBQYAAAAABgAGAFkBAABx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8</w:t>
                          </w:r>
                          <w:r>
                            <w:fldChar w:fldCharType="end"/>
                          </w:r>
                        </w:p>
                      </w:txbxContent>
                    </wps:txbx>
                    <wps:bodyPr vert="horz" wrap="none" lIns="0" tIns="0" rIns="0" bIns="0" anchor="t" anchorCtr="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CW5UHu4QEAAMEDAAAOAAAA&#10;AAAAAAEAIAAAAB4BAABkcnMvZTJvRG9jLnhtbFBLBQYAAAAABgAGAFkBAABxBQ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E8C47F"/>
    <w:multiLevelType w:val="singleLevel"/>
    <w:tmpl w:val="63E8C47F"/>
    <w:lvl w:ilvl="0" w:tentative="0">
      <w:start w:val="1"/>
      <w:numFmt w:val="decimal"/>
      <w:suff w:val="nothing"/>
      <w:lvlText w:val="（%1）"/>
      <w:lvlJc w:val="left"/>
    </w:lvl>
  </w:abstractNum>
  <w:abstractNum w:abstractNumId="1">
    <w:nsid w:val="7BDAA0A5"/>
    <w:multiLevelType w:val="singleLevel"/>
    <w:tmpl w:val="7BDAA0A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0E54C6"/>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84B9C"/>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390B"/>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587E"/>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33FC"/>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5553C"/>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C47AE"/>
    <w:rsid w:val="00ED0639"/>
    <w:rsid w:val="00EF4755"/>
    <w:rsid w:val="00EF7135"/>
    <w:rsid w:val="00F027DB"/>
    <w:rsid w:val="00F14A7A"/>
    <w:rsid w:val="00F22985"/>
    <w:rsid w:val="00F3383E"/>
    <w:rsid w:val="00F460B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604C53"/>
    <w:rsid w:val="01762B3B"/>
    <w:rsid w:val="017F775E"/>
    <w:rsid w:val="019909F2"/>
    <w:rsid w:val="01BF14E4"/>
    <w:rsid w:val="01E51591"/>
    <w:rsid w:val="01E644C2"/>
    <w:rsid w:val="0208091F"/>
    <w:rsid w:val="021138F7"/>
    <w:rsid w:val="02330020"/>
    <w:rsid w:val="023506E7"/>
    <w:rsid w:val="02697903"/>
    <w:rsid w:val="02B63411"/>
    <w:rsid w:val="02C35A8C"/>
    <w:rsid w:val="02E64D83"/>
    <w:rsid w:val="02F96569"/>
    <w:rsid w:val="030275A7"/>
    <w:rsid w:val="033732BD"/>
    <w:rsid w:val="033D1FCB"/>
    <w:rsid w:val="035C6A0B"/>
    <w:rsid w:val="035E0C66"/>
    <w:rsid w:val="037474BD"/>
    <w:rsid w:val="038C566C"/>
    <w:rsid w:val="03C228FB"/>
    <w:rsid w:val="03CA6453"/>
    <w:rsid w:val="03D251BA"/>
    <w:rsid w:val="03EA7B21"/>
    <w:rsid w:val="04242B55"/>
    <w:rsid w:val="04280A34"/>
    <w:rsid w:val="04A6769A"/>
    <w:rsid w:val="04CB2C07"/>
    <w:rsid w:val="04E6780F"/>
    <w:rsid w:val="04E71358"/>
    <w:rsid w:val="04EE335F"/>
    <w:rsid w:val="04EE7093"/>
    <w:rsid w:val="04FF037E"/>
    <w:rsid w:val="05486CF4"/>
    <w:rsid w:val="05E02329"/>
    <w:rsid w:val="05F63B02"/>
    <w:rsid w:val="05F83EAE"/>
    <w:rsid w:val="05FD2B10"/>
    <w:rsid w:val="06191E5D"/>
    <w:rsid w:val="062F196F"/>
    <w:rsid w:val="063E7D85"/>
    <w:rsid w:val="064F7A37"/>
    <w:rsid w:val="06882524"/>
    <w:rsid w:val="06A25465"/>
    <w:rsid w:val="06E0566B"/>
    <w:rsid w:val="06E670D4"/>
    <w:rsid w:val="06F537E7"/>
    <w:rsid w:val="06F95803"/>
    <w:rsid w:val="06FE3D53"/>
    <w:rsid w:val="070B5A1B"/>
    <w:rsid w:val="07293586"/>
    <w:rsid w:val="07295285"/>
    <w:rsid w:val="07317761"/>
    <w:rsid w:val="074107DA"/>
    <w:rsid w:val="07516FC7"/>
    <w:rsid w:val="07611FA8"/>
    <w:rsid w:val="07636392"/>
    <w:rsid w:val="076E3F95"/>
    <w:rsid w:val="07770C56"/>
    <w:rsid w:val="07834FC5"/>
    <w:rsid w:val="079269DC"/>
    <w:rsid w:val="079E45D2"/>
    <w:rsid w:val="07A1396F"/>
    <w:rsid w:val="07A84905"/>
    <w:rsid w:val="07C35693"/>
    <w:rsid w:val="07C733D5"/>
    <w:rsid w:val="07C814EE"/>
    <w:rsid w:val="07E37AE3"/>
    <w:rsid w:val="080566A8"/>
    <w:rsid w:val="08310DFB"/>
    <w:rsid w:val="08922F27"/>
    <w:rsid w:val="08A70B11"/>
    <w:rsid w:val="08B57B6C"/>
    <w:rsid w:val="08BC612A"/>
    <w:rsid w:val="08E04924"/>
    <w:rsid w:val="08EB55B0"/>
    <w:rsid w:val="092217DD"/>
    <w:rsid w:val="09231284"/>
    <w:rsid w:val="0933384F"/>
    <w:rsid w:val="093A7294"/>
    <w:rsid w:val="093C1D4C"/>
    <w:rsid w:val="09415B70"/>
    <w:rsid w:val="095F46D1"/>
    <w:rsid w:val="097A4477"/>
    <w:rsid w:val="098B24EB"/>
    <w:rsid w:val="0A097895"/>
    <w:rsid w:val="0A263993"/>
    <w:rsid w:val="0A294FD4"/>
    <w:rsid w:val="0A2D3AC2"/>
    <w:rsid w:val="0A384381"/>
    <w:rsid w:val="0A455BCA"/>
    <w:rsid w:val="0A466107"/>
    <w:rsid w:val="0A586566"/>
    <w:rsid w:val="0A5D6C1D"/>
    <w:rsid w:val="0A690774"/>
    <w:rsid w:val="0AA755DF"/>
    <w:rsid w:val="0AF81AF7"/>
    <w:rsid w:val="0B120D44"/>
    <w:rsid w:val="0B162D61"/>
    <w:rsid w:val="0B6E5AFD"/>
    <w:rsid w:val="0B7A250D"/>
    <w:rsid w:val="0BC030EF"/>
    <w:rsid w:val="0BD27BF6"/>
    <w:rsid w:val="0BD97DE4"/>
    <w:rsid w:val="0C0C2D55"/>
    <w:rsid w:val="0C0F7D1B"/>
    <w:rsid w:val="0C3B3C7D"/>
    <w:rsid w:val="0C653EBA"/>
    <w:rsid w:val="0C6B7D9C"/>
    <w:rsid w:val="0C9376F3"/>
    <w:rsid w:val="0CAB2EAE"/>
    <w:rsid w:val="0CC148DE"/>
    <w:rsid w:val="0CDB6C2D"/>
    <w:rsid w:val="0D1C2066"/>
    <w:rsid w:val="0D4074FB"/>
    <w:rsid w:val="0D621C7D"/>
    <w:rsid w:val="0D6313F6"/>
    <w:rsid w:val="0DB5188A"/>
    <w:rsid w:val="0DEB1487"/>
    <w:rsid w:val="0E045C9D"/>
    <w:rsid w:val="0E176739"/>
    <w:rsid w:val="0E511CAE"/>
    <w:rsid w:val="0E73034D"/>
    <w:rsid w:val="0EA0672E"/>
    <w:rsid w:val="0EAE0E4B"/>
    <w:rsid w:val="0EB320EE"/>
    <w:rsid w:val="0EBD3C7A"/>
    <w:rsid w:val="0EF434BD"/>
    <w:rsid w:val="0F13775A"/>
    <w:rsid w:val="0F5F45FE"/>
    <w:rsid w:val="0F884B27"/>
    <w:rsid w:val="0F894AE5"/>
    <w:rsid w:val="0F9A112B"/>
    <w:rsid w:val="0FAD7159"/>
    <w:rsid w:val="0FBD75EE"/>
    <w:rsid w:val="0FF565EE"/>
    <w:rsid w:val="100E09B0"/>
    <w:rsid w:val="106865B4"/>
    <w:rsid w:val="106D2F64"/>
    <w:rsid w:val="10A722DA"/>
    <w:rsid w:val="10A926FD"/>
    <w:rsid w:val="10B63710"/>
    <w:rsid w:val="10DC7519"/>
    <w:rsid w:val="10F10820"/>
    <w:rsid w:val="110111FF"/>
    <w:rsid w:val="111C2F7A"/>
    <w:rsid w:val="11343336"/>
    <w:rsid w:val="11665CA1"/>
    <w:rsid w:val="116903EA"/>
    <w:rsid w:val="119276A7"/>
    <w:rsid w:val="11A13B01"/>
    <w:rsid w:val="11B038B5"/>
    <w:rsid w:val="11C54312"/>
    <w:rsid w:val="12765E44"/>
    <w:rsid w:val="12845D1F"/>
    <w:rsid w:val="12C52BC1"/>
    <w:rsid w:val="13306071"/>
    <w:rsid w:val="13457FBA"/>
    <w:rsid w:val="135D1605"/>
    <w:rsid w:val="13642FE4"/>
    <w:rsid w:val="1367781A"/>
    <w:rsid w:val="13723B46"/>
    <w:rsid w:val="137B62A1"/>
    <w:rsid w:val="13835C8E"/>
    <w:rsid w:val="139323BD"/>
    <w:rsid w:val="1394708A"/>
    <w:rsid w:val="13951726"/>
    <w:rsid w:val="13963C5C"/>
    <w:rsid w:val="13A472FC"/>
    <w:rsid w:val="13C0796B"/>
    <w:rsid w:val="13C94031"/>
    <w:rsid w:val="13DB164B"/>
    <w:rsid w:val="13E67280"/>
    <w:rsid w:val="13F84916"/>
    <w:rsid w:val="14070F0E"/>
    <w:rsid w:val="141F00F5"/>
    <w:rsid w:val="14396509"/>
    <w:rsid w:val="143E0B10"/>
    <w:rsid w:val="14593E9D"/>
    <w:rsid w:val="145A46C9"/>
    <w:rsid w:val="14AE3FFC"/>
    <w:rsid w:val="14BF71E2"/>
    <w:rsid w:val="14DD2C3C"/>
    <w:rsid w:val="151F30DC"/>
    <w:rsid w:val="15222ADC"/>
    <w:rsid w:val="1528650F"/>
    <w:rsid w:val="152B2749"/>
    <w:rsid w:val="15316DEE"/>
    <w:rsid w:val="154D2A40"/>
    <w:rsid w:val="15A9749E"/>
    <w:rsid w:val="15D91238"/>
    <w:rsid w:val="15F728FC"/>
    <w:rsid w:val="1606156C"/>
    <w:rsid w:val="16087E1D"/>
    <w:rsid w:val="1630253C"/>
    <w:rsid w:val="163E44B3"/>
    <w:rsid w:val="16800E8A"/>
    <w:rsid w:val="16952DDC"/>
    <w:rsid w:val="17167524"/>
    <w:rsid w:val="172163E8"/>
    <w:rsid w:val="173A32CD"/>
    <w:rsid w:val="17512123"/>
    <w:rsid w:val="17562080"/>
    <w:rsid w:val="17701D14"/>
    <w:rsid w:val="17735226"/>
    <w:rsid w:val="17BD796A"/>
    <w:rsid w:val="17E972F9"/>
    <w:rsid w:val="17EC7880"/>
    <w:rsid w:val="1800344C"/>
    <w:rsid w:val="1818048A"/>
    <w:rsid w:val="184C3483"/>
    <w:rsid w:val="18571360"/>
    <w:rsid w:val="185C455F"/>
    <w:rsid w:val="189F624C"/>
    <w:rsid w:val="18B06DC6"/>
    <w:rsid w:val="18CE5F1F"/>
    <w:rsid w:val="18E04F84"/>
    <w:rsid w:val="18E772F1"/>
    <w:rsid w:val="18FA41A0"/>
    <w:rsid w:val="191658C0"/>
    <w:rsid w:val="192322DC"/>
    <w:rsid w:val="195A663E"/>
    <w:rsid w:val="199B6F7F"/>
    <w:rsid w:val="19C47A1F"/>
    <w:rsid w:val="19D67B22"/>
    <w:rsid w:val="1A0F193E"/>
    <w:rsid w:val="1A1C66C0"/>
    <w:rsid w:val="1A2E6111"/>
    <w:rsid w:val="1A382380"/>
    <w:rsid w:val="1A3C00E8"/>
    <w:rsid w:val="1A42393B"/>
    <w:rsid w:val="1A790A03"/>
    <w:rsid w:val="1A797714"/>
    <w:rsid w:val="1AAD45DE"/>
    <w:rsid w:val="1ADF133B"/>
    <w:rsid w:val="1AE94FB9"/>
    <w:rsid w:val="1AE96D67"/>
    <w:rsid w:val="1B046F80"/>
    <w:rsid w:val="1B3267B5"/>
    <w:rsid w:val="1B40161D"/>
    <w:rsid w:val="1B441859"/>
    <w:rsid w:val="1B6606B1"/>
    <w:rsid w:val="1B6C0EE8"/>
    <w:rsid w:val="1B754A9E"/>
    <w:rsid w:val="1BAD248A"/>
    <w:rsid w:val="1BD3204F"/>
    <w:rsid w:val="1BE43586"/>
    <w:rsid w:val="1BF914BA"/>
    <w:rsid w:val="1C014B44"/>
    <w:rsid w:val="1C057370"/>
    <w:rsid w:val="1C2B0811"/>
    <w:rsid w:val="1C403123"/>
    <w:rsid w:val="1C4E1577"/>
    <w:rsid w:val="1C5E7925"/>
    <w:rsid w:val="1CA7790F"/>
    <w:rsid w:val="1CBD494F"/>
    <w:rsid w:val="1CCE51CD"/>
    <w:rsid w:val="1CFD070F"/>
    <w:rsid w:val="1D0F5E5E"/>
    <w:rsid w:val="1D161EA0"/>
    <w:rsid w:val="1D1A14B9"/>
    <w:rsid w:val="1D3072F8"/>
    <w:rsid w:val="1D4A2936"/>
    <w:rsid w:val="1D5F6196"/>
    <w:rsid w:val="1D6132A5"/>
    <w:rsid w:val="1D632E00"/>
    <w:rsid w:val="1D6A793A"/>
    <w:rsid w:val="1D8A5818"/>
    <w:rsid w:val="1D8E56D5"/>
    <w:rsid w:val="1DA84E19"/>
    <w:rsid w:val="1DAB18D8"/>
    <w:rsid w:val="1DE33F41"/>
    <w:rsid w:val="1DF05690"/>
    <w:rsid w:val="1E281B04"/>
    <w:rsid w:val="1E392745"/>
    <w:rsid w:val="1E447DED"/>
    <w:rsid w:val="1E4C3CE7"/>
    <w:rsid w:val="1E5604B5"/>
    <w:rsid w:val="1E7862CD"/>
    <w:rsid w:val="1E7A43DA"/>
    <w:rsid w:val="1ED85149"/>
    <w:rsid w:val="1EDB09B6"/>
    <w:rsid w:val="1EE40724"/>
    <w:rsid w:val="1F311290"/>
    <w:rsid w:val="1F6C3DDC"/>
    <w:rsid w:val="1F6D36F1"/>
    <w:rsid w:val="1F971487"/>
    <w:rsid w:val="1F9E1B8E"/>
    <w:rsid w:val="1FE7539E"/>
    <w:rsid w:val="1FF21ED4"/>
    <w:rsid w:val="201A430D"/>
    <w:rsid w:val="201C395F"/>
    <w:rsid w:val="20671BE0"/>
    <w:rsid w:val="2088088F"/>
    <w:rsid w:val="20963CB8"/>
    <w:rsid w:val="209C2D1A"/>
    <w:rsid w:val="20A81A1B"/>
    <w:rsid w:val="20B07FB6"/>
    <w:rsid w:val="20B646FB"/>
    <w:rsid w:val="20BC341D"/>
    <w:rsid w:val="20D67642"/>
    <w:rsid w:val="20DC6345"/>
    <w:rsid w:val="213B74B1"/>
    <w:rsid w:val="21517BF2"/>
    <w:rsid w:val="215A2310"/>
    <w:rsid w:val="2160182E"/>
    <w:rsid w:val="21852C8B"/>
    <w:rsid w:val="21B46321"/>
    <w:rsid w:val="21DE318A"/>
    <w:rsid w:val="21EF5B80"/>
    <w:rsid w:val="21FC1985"/>
    <w:rsid w:val="22162B37"/>
    <w:rsid w:val="222E2BD0"/>
    <w:rsid w:val="224A45F6"/>
    <w:rsid w:val="22576990"/>
    <w:rsid w:val="22F369D5"/>
    <w:rsid w:val="22F47480"/>
    <w:rsid w:val="22FF1100"/>
    <w:rsid w:val="230F5C1D"/>
    <w:rsid w:val="23477859"/>
    <w:rsid w:val="234C022A"/>
    <w:rsid w:val="23574571"/>
    <w:rsid w:val="2384090A"/>
    <w:rsid w:val="23895199"/>
    <w:rsid w:val="23904EC8"/>
    <w:rsid w:val="23B6282D"/>
    <w:rsid w:val="23C7019A"/>
    <w:rsid w:val="23D90B27"/>
    <w:rsid w:val="23DE1C48"/>
    <w:rsid w:val="23FA3304"/>
    <w:rsid w:val="240210CD"/>
    <w:rsid w:val="240C2A44"/>
    <w:rsid w:val="246412AA"/>
    <w:rsid w:val="24A40099"/>
    <w:rsid w:val="24BC413A"/>
    <w:rsid w:val="24BF09F7"/>
    <w:rsid w:val="24C50845"/>
    <w:rsid w:val="24D32E6D"/>
    <w:rsid w:val="24D942F0"/>
    <w:rsid w:val="25055BCA"/>
    <w:rsid w:val="25297736"/>
    <w:rsid w:val="252D53FE"/>
    <w:rsid w:val="25440C67"/>
    <w:rsid w:val="256B13EC"/>
    <w:rsid w:val="257B0F03"/>
    <w:rsid w:val="25985D9D"/>
    <w:rsid w:val="25AF4496"/>
    <w:rsid w:val="25EC2D81"/>
    <w:rsid w:val="25F74063"/>
    <w:rsid w:val="25F82FBF"/>
    <w:rsid w:val="260D402E"/>
    <w:rsid w:val="262B2C60"/>
    <w:rsid w:val="262F72CD"/>
    <w:rsid w:val="263C086C"/>
    <w:rsid w:val="265B3DF5"/>
    <w:rsid w:val="26823237"/>
    <w:rsid w:val="268C1915"/>
    <w:rsid w:val="2739091A"/>
    <w:rsid w:val="274B5200"/>
    <w:rsid w:val="274E68CF"/>
    <w:rsid w:val="275B2C31"/>
    <w:rsid w:val="276D4B15"/>
    <w:rsid w:val="277057A2"/>
    <w:rsid w:val="277B0590"/>
    <w:rsid w:val="279F537D"/>
    <w:rsid w:val="27DE6737"/>
    <w:rsid w:val="28157197"/>
    <w:rsid w:val="281B1B54"/>
    <w:rsid w:val="2829733C"/>
    <w:rsid w:val="283E688B"/>
    <w:rsid w:val="28400121"/>
    <w:rsid w:val="286A598B"/>
    <w:rsid w:val="289D72E9"/>
    <w:rsid w:val="289F315B"/>
    <w:rsid w:val="28CB11F0"/>
    <w:rsid w:val="28DC386E"/>
    <w:rsid w:val="28E026ED"/>
    <w:rsid w:val="28E77027"/>
    <w:rsid w:val="28FB7588"/>
    <w:rsid w:val="29206EB8"/>
    <w:rsid w:val="293A37B7"/>
    <w:rsid w:val="29595666"/>
    <w:rsid w:val="29874881"/>
    <w:rsid w:val="298760C9"/>
    <w:rsid w:val="299F4469"/>
    <w:rsid w:val="29A66D91"/>
    <w:rsid w:val="29B828A7"/>
    <w:rsid w:val="29C05EE8"/>
    <w:rsid w:val="29CD2F63"/>
    <w:rsid w:val="29DF4157"/>
    <w:rsid w:val="29E325E0"/>
    <w:rsid w:val="29EA557F"/>
    <w:rsid w:val="29F9365D"/>
    <w:rsid w:val="2A452503"/>
    <w:rsid w:val="2A6D3510"/>
    <w:rsid w:val="2A6F00C2"/>
    <w:rsid w:val="2A7710C9"/>
    <w:rsid w:val="2A792529"/>
    <w:rsid w:val="2AA84B49"/>
    <w:rsid w:val="2AAE0C0C"/>
    <w:rsid w:val="2AD91EB9"/>
    <w:rsid w:val="2AF6688D"/>
    <w:rsid w:val="2B2C517A"/>
    <w:rsid w:val="2B2D2579"/>
    <w:rsid w:val="2B7D59D5"/>
    <w:rsid w:val="2B98426B"/>
    <w:rsid w:val="2BA936A8"/>
    <w:rsid w:val="2C315A5A"/>
    <w:rsid w:val="2C4B1C25"/>
    <w:rsid w:val="2C5F157F"/>
    <w:rsid w:val="2C647BB4"/>
    <w:rsid w:val="2CB3474D"/>
    <w:rsid w:val="2CC06138"/>
    <w:rsid w:val="2CCA0648"/>
    <w:rsid w:val="2CD8733B"/>
    <w:rsid w:val="2CF23C8A"/>
    <w:rsid w:val="2CFA4941"/>
    <w:rsid w:val="2D327D11"/>
    <w:rsid w:val="2D3302F4"/>
    <w:rsid w:val="2D3C0C46"/>
    <w:rsid w:val="2D513B91"/>
    <w:rsid w:val="2D8901E6"/>
    <w:rsid w:val="2D9B539F"/>
    <w:rsid w:val="2D9E56F5"/>
    <w:rsid w:val="2E36630F"/>
    <w:rsid w:val="2E4D60BC"/>
    <w:rsid w:val="2E504721"/>
    <w:rsid w:val="2E667F96"/>
    <w:rsid w:val="2E8226AB"/>
    <w:rsid w:val="2ED61D35"/>
    <w:rsid w:val="2F141663"/>
    <w:rsid w:val="2F652B7A"/>
    <w:rsid w:val="2F8C3686"/>
    <w:rsid w:val="2FBD0DC9"/>
    <w:rsid w:val="2FD065E6"/>
    <w:rsid w:val="2FD96870"/>
    <w:rsid w:val="300F74FE"/>
    <w:rsid w:val="30203B82"/>
    <w:rsid w:val="30580BC9"/>
    <w:rsid w:val="30AF4D78"/>
    <w:rsid w:val="30E812F1"/>
    <w:rsid w:val="311E2ED7"/>
    <w:rsid w:val="312052C8"/>
    <w:rsid w:val="313517E0"/>
    <w:rsid w:val="315619EE"/>
    <w:rsid w:val="315C449C"/>
    <w:rsid w:val="3178492C"/>
    <w:rsid w:val="317B2DD6"/>
    <w:rsid w:val="318D4498"/>
    <w:rsid w:val="31B82709"/>
    <w:rsid w:val="31D05482"/>
    <w:rsid w:val="31FD7870"/>
    <w:rsid w:val="32400B34"/>
    <w:rsid w:val="32513584"/>
    <w:rsid w:val="32843AED"/>
    <w:rsid w:val="329E6876"/>
    <w:rsid w:val="32A52F64"/>
    <w:rsid w:val="32E93950"/>
    <w:rsid w:val="32FA2ADB"/>
    <w:rsid w:val="332C482A"/>
    <w:rsid w:val="332D5F33"/>
    <w:rsid w:val="332E24F4"/>
    <w:rsid w:val="333015F2"/>
    <w:rsid w:val="334B6320"/>
    <w:rsid w:val="338A78BB"/>
    <w:rsid w:val="33B1543F"/>
    <w:rsid w:val="33CF4073"/>
    <w:rsid w:val="33D934D4"/>
    <w:rsid w:val="33FE2F6A"/>
    <w:rsid w:val="340E07E5"/>
    <w:rsid w:val="341B1CD8"/>
    <w:rsid w:val="341E1D1F"/>
    <w:rsid w:val="34235BF7"/>
    <w:rsid w:val="34635C93"/>
    <w:rsid w:val="34666A21"/>
    <w:rsid w:val="34894E90"/>
    <w:rsid w:val="34A8028D"/>
    <w:rsid w:val="34AF2977"/>
    <w:rsid w:val="34B40DD0"/>
    <w:rsid w:val="34DA0225"/>
    <w:rsid w:val="34F07218"/>
    <w:rsid w:val="34F767F8"/>
    <w:rsid w:val="353926C0"/>
    <w:rsid w:val="35714F81"/>
    <w:rsid w:val="358160C2"/>
    <w:rsid w:val="358C5FA8"/>
    <w:rsid w:val="359170F9"/>
    <w:rsid w:val="35AE2C2F"/>
    <w:rsid w:val="35C15DF1"/>
    <w:rsid w:val="36074A7F"/>
    <w:rsid w:val="36101C06"/>
    <w:rsid w:val="36353436"/>
    <w:rsid w:val="3639699D"/>
    <w:rsid w:val="36403911"/>
    <w:rsid w:val="36443374"/>
    <w:rsid w:val="364C0E2D"/>
    <w:rsid w:val="36545EB5"/>
    <w:rsid w:val="368023A6"/>
    <w:rsid w:val="36923549"/>
    <w:rsid w:val="369F4346"/>
    <w:rsid w:val="36A72209"/>
    <w:rsid w:val="36B75FBF"/>
    <w:rsid w:val="36BB24F6"/>
    <w:rsid w:val="36BD0C45"/>
    <w:rsid w:val="36CF72CD"/>
    <w:rsid w:val="36F909D9"/>
    <w:rsid w:val="37014010"/>
    <w:rsid w:val="37625465"/>
    <w:rsid w:val="37A46016"/>
    <w:rsid w:val="37BF2D2F"/>
    <w:rsid w:val="37BF362C"/>
    <w:rsid w:val="37C1103E"/>
    <w:rsid w:val="37E00298"/>
    <w:rsid w:val="37EB23BA"/>
    <w:rsid w:val="37EC403B"/>
    <w:rsid w:val="382007BD"/>
    <w:rsid w:val="38561C89"/>
    <w:rsid w:val="3874040C"/>
    <w:rsid w:val="3891726E"/>
    <w:rsid w:val="38B302F9"/>
    <w:rsid w:val="38BB7B3D"/>
    <w:rsid w:val="38C52C59"/>
    <w:rsid w:val="38F12CD3"/>
    <w:rsid w:val="38F94775"/>
    <w:rsid w:val="392971ED"/>
    <w:rsid w:val="392A3862"/>
    <w:rsid w:val="392F3B88"/>
    <w:rsid w:val="39325651"/>
    <w:rsid w:val="39797168"/>
    <w:rsid w:val="397D0FAF"/>
    <w:rsid w:val="39BB1B69"/>
    <w:rsid w:val="39DE703E"/>
    <w:rsid w:val="3A425253"/>
    <w:rsid w:val="3A4F678F"/>
    <w:rsid w:val="3A804D20"/>
    <w:rsid w:val="3A812174"/>
    <w:rsid w:val="3A872856"/>
    <w:rsid w:val="3A8F302F"/>
    <w:rsid w:val="3AAC2BD4"/>
    <w:rsid w:val="3AD07D35"/>
    <w:rsid w:val="3B253993"/>
    <w:rsid w:val="3B3763D1"/>
    <w:rsid w:val="3B9D099D"/>
    <w:rsid w:val="3BA1188F"/>
    <w:rsid w:val="3BFC229D"/>
    <w:rsid w:val="3C130D4F"/>
    <w:rsid w:val="3C1A2A15"/>
    <w:rsid w:val="3C2F6E1E"/>
    <w:rsid w:val="3C334D03"/>
    <w:rsid w:val="3C3519B4"/>
    <w:rsid w:val="3C4F64BA"/>
    <w:rsid w:val="3C5941FC"/>
    <w:rsid w:val="3C990195"/>
    <w:rsid w:val="3CCD68B2"/>
    <w:rsid w:val="3CDA245A"/>
    <w:rsid w:val="3D1E06B7"/>
    <w:rsid w:val="3D7E4729"/>
    <w:rsid w:val="3D9A2417"/>
    <w:rsid w:val="3DA4156D"/>
    <w:rsid w:val="3DBE6FB6"/>
    <w:rsid w:val="3DC1402E"/>
    <w:rsid w:val="3DC672DE"/>
    <w:rsid w:val="3DD00CE3"/>
    <w:rsid w:val="3DD16A03"/>
    <w:rsid w:val="3E072672"/>
    <w:rsid w:val="3E2717D1"/>
    <w:rsid w:val="3E330317"/>
    <w:rsid w:val="3E4617C3"/>
    <w:rsid w:val="3E4B458A"/>
    <w:rsid w:val="3E674A82"/>
    <w:rsid w:val="3E726EF0"/>
    <w:rsid w:val="3EAE0D78"/>
    <w:rsid w:val="3EAF2804"/>
    <w:rsid w:val="3ECA6436"/>
    <w:rsid w:val="3ED53805"/>
    <w:rsid w:val="3EDA0523"/>
    <w:rsid w:val="3F1C5008"/>
    <w:rsid w:val="3F2743DB"/>
    <w:rsid w:val="3F85380D"/>
    <w:rsid w:val="3FB11A38"/>
    <w:rsid w:val="3FBA13AD"/>
    <w:rsid w:val="400D3A17"/>
    <w:rsid w:val="401069C0"/>
    <w:rsid w:val="40175E66"/>
    <w:rsid w:val="40324B88"/>
    <w:rsid w:val="4069280F"/>
    <w:rsid w:val="407A6407"/>
    <w:rsid w:val="407C4056"/>
    <w:rsid w:val="40B43174"/>
    <w:rsid w:val="40B90E6A"/>
    <w:rsid w:val="40E23A1F"/>
    <w:rsid w:val="41A263F5"/>
    <w:rsid w:val="41A75102"/>
    <w:rsid w:val="41AF4DF5"/>
    <w:rsid w:val="4200449D"/>
    <w:rsid w:val="423A3BCC"/>
    <w:rsid w:val="424566C9"/>
    <w:rsid w:val="424E57D2"/>
    <w:rsid w:val="42B26C49"/>
    <w:rsid w:val="42BC7885"/>
    <w:rsid w:val="42CD2946"/>
    <w:rsid w:val="42F8373B"/>
    <w:rsid w:val="42F97BDF"/>
    <w:rsid w:val="430D3587"/>
    <w:rsid w:val="43236FBC"/>
    <w:rsid w:val="433A6FE6"/>
    <w:rsid w:val="433C1DEB"/>
    <w:rsid w:val="43480868"/>
    <w:rsid w:val="4350713C"/>
    <w:rsid w:val="436653E0"/>
    <w:rsid w:val="43A143C3"/>
    <w:rsid w:val="43C4431A"/>
    <w:rsid w:val="43D61F90"/>
    <w:rsid w:val="43D93577"/>
    <w:rsid w:val="44175C4F"/>
    <w:rsid w:val="441E2883"/>
    <w:rsid w:val="447D3E32"/>
    <w:rsid w:val="448D70AF"/>
    <w:rsid w:val="449F7933"/>
    <w:rsid w:val="44B6565C"/>
    <w:rsid w:val="44B951CC"/>
    <w:rsid w:val="44B96E67"/>
    <w:rsid w:val="44CD14E0"/>
    <w:rsid w:val="44DE67F0"/>
    <w:rsid w:val="44E91C8C"/>
    <w:rsid w:val="44F20B0B"/>
    <w:rsid w:val="451900C5"/>
    <w:rsid w:val="45213CE7"/>
    <w:rsid w:val="452503B2"/>
    <w:rsid w:val="45277225"/>
    <w:rsid w:val="452E5F4C"/>
    <w:rsid w:val="45576E3F"/>
    <w:rsid w:val="45612018"/>
    <w:rsid w:val="458946E9"/>
    <w:rsid w:val="45A042EE"/>
    <w:rsid w:val="45A47C0E"/>
    <w:rsid w:val="45E83F3B"/>
    <w:rsid w:val="46032B23"/>
    <w:rsid w:val="46353023"/>
    <w:rsid w:val="46577FD6"/>
    <w:rsid w:val="466912C1"/>
    <w:rsid w:val="46D955A7"/>
    <w:rsid w:val="46FD7795"/>
    <w:rsid w:val="4704592B"/>
    <w:rsid w:val="47081D3E"/>
    <w:rsid w:val="47133957"/>
    <w:rsid w:val="471A59DA"/>
    <w:rsid w:val="476A1563"/>
    <w:rsid w:val="47881532"/>
    <w:rsid w:val="47A07E0C"/>
    <w:rsid w:val="47A479CC"/>
    <w:rsid w:val="47AD5E1D"/>
    <w:rsid w:val="47F658E7"/>
    <w:rsid w:val="47F95F8C"/>
    <w:rsid w:val="480942D2"/>
    <w:rsid w:val="480E465D"/>
    <w:rsid w:val="481B33E2"/>
    <w:rsid w:val="48270292"/>
    <w:rsid w:val="48382F58"/>
    <w:rsid w:val="4842294C"/>
    <w:rsid w:val="48650157"/>
    <w:rsid w:val="4870272E"/>
    <w:rsid w:val="48961A2D"/>
    <w:rsid w:val="48B607CE"/>
    <w:rsid w:val="48C55A37"/>
    <w:rsid w:val="48E56510"/>
    <w:rsid w:val="48E84C9E"/>
    <w:rsid w:val="48F56A45"/>
    <w:rsid w:val="49395233"/>
    <w:rsid w:val="49530CC1"/>
    <w:rsid w:val="495B7CC5"/>
    <w:rsid w:val="49847478"/>
    <w:rsid w:val="499556B2"/>
    <w:rsid w:val="49B019E5"/>
    <w:rsid w:val="49B763BB"/>
    <w:rsid w:val="49C40F8B"/>
    <w:rsid w:val="49DC7715"/>
    <w:rsid w:val="4A023139"/>
    <w:rsid w:val="4A03115C"/>
    <w:rsid w:val="4A156FFD"/>
    <w:rsid w:val="4A4756E0"/>
    <w:rsid w:val="4A5519FB"/>
    <w:rsid w:val="4A7B576F"/>
    <w:rsid w:val="4A8316E8"/>
    <w:rsid w:val="4AEC2FAB"/>
    <w:rsid w:val="4AF4315E"/>
    <w:rsid w:val="4AF561A9"/>
    <w:rsid w:val="4B0F707F"/>
    <w:rsid w:val="4B68484A"/>
    <w:rsid w:val="4B7507FF"/>
    <w:rsid w:val="4BB91839"/>
    <w:rsid w:val="4BEE7C6E"/>
    <w:rsid w:val="4C056DDE"/>
    <w:rsid w:val="4C0937B3"/>
    <w:rsid w:val="4C3D683F"/>
    <w:rsid w:val="4C4A0649"/>
    <w:rsid w:val="4C781B79"/>
    <w:rsid w:val="4C7E5ECA"/>
    <w:rsid w:val="4C876AA5"/>
    <w:rsid w:val="4C9A446B"/>
    <w:rsid w:val="4CA77A95"/>
    <w:rsid w:val="4CB55893"/>
    <w:rsid w:val="4D0E00FB"/>
    <w:rsid w:val="4D176606"/>
    <w:rsid w:val="4D2246C1"/>
    <w:rsid w:val="4D2C043A"/>
    <w:rsid w:val="4D64659D"/>
    <w:rsid w:val="4D6D2423"/>
    <w:rsid w:val="4DA01C46"/>
    <w:rsid w:val="4DCA28A4"/>
    <w:rsid w:val="4DE624DE"/>
    <w:rsid w:val="4DE772AA"/>
    <w:rsid w:val="4DEC4FB0"/>
    <w:rsid w:val="4DF23BA9"/>
    <w:rsid w:val="4E035DB6"/>
    <w:rsid w:val="4E075D8A"/>
    <w:rsid w:val="4E6879C7"/>
    <w:rsid w:val="4E7A703F"/>
    <w:rsid w:val="4E8B1908"/>
    <w:rsid w:val="4E91624C"/>
    <w:rsid w:val="4EA57EB3"/>
    <w:rsid w:val="4EB62A4C"/>
    <w:rsid w:val="4EC00FAD"/>
    <w:rsid w:val="4F193C4A"/>
    <w:rsid w:val="4F1A3FDD"/>
    <w:rsid w:val="4F381BF2"/>
    <w:rsid w:val="4F9843DC"/>
    <w:rsid w:val="4F9B0C94"/>
    <w:rsid w:val="4FC62A8C"/>
    <w:rsid w:val="4FE20F0D"/>
    <w:rsid w:val="4FE51552"/>
    <w:rsid w:val="503B7E59"/>
    <w:rsid w:val="50483F54"/>
    <w:rsid w:val="50504C4B"/>
    <w:rsid w:val="50633C92"/>
    <w:rsid w:val="508425C3"/>
    <w:rsid w:val="509C6E7C"/>
    <w:rsid w:val="50A65EDA"/>
    <w:rsid w:val="50BD2F04"/>
    <w:rsid w:val="50BE16CD"/>
    <w:rsid w:val="51033BD7"/>
    <w:rsid w:val="51250BD6"/>
    <w:rsid w:val="5162104E"/>
    <w:rsid w:val="5176064D"/>
    <w:rsid w:val="518A27DC"/>
    <w:rsid w:val="51990092"/>
    <w:rsid w:val="51BE3164"/>
    <w:rsid w:val="51E04C60"/>
    <w:rsid w:val="52475F8B"/>
    <w:rsid w:val="526861E8"/>
    <w:rsid w:val="528B67F0"/>
    <w:rsid w:val="52D14564"/>
    <w:rsid w:val="53057EDB"/>
    <w:rsid w:val="5307508F"/>
    <w:rsid w:val="531D7740"/>
    <w:rsid w:val="533F5E6B"/>
    <w:rsid w:val="53436CB1"/>
    <w:rsid w:val="534F5FD2"/>
    <w:rsid w:val="53672AE2"/>
    <w:rsid w:val="5398055B"/>
    <w:rsid w:val="539B2C80"/>
    <w:rsid w:val="53A039CC"/>
    <w:rsid w:val="53A1505A"/>
    <w:rsid w:val="53F95BFF"/>
    <w:rsid w:val="5403561A"/>
    <w:rsid w:val="54063E08"/>
    <w:rsid w:val="54301324"/>
    <w:rsid w:val="543437E8"/>
    <w:rsid w:val="54701DC0"/>
    <w:rsid w:val="54F73313"/>
    <w:rsid w:val="54F80955"/>
    <w:rsid w:val="550146D2"/>
    <w:rsid w:val="550762CE"/>
    <w:rsid w:val="551F0D2D"/>
    <w:rsid w:val="555170A7"/>
    <w:rsid w:val="5563538C"/>
    <w:rsid w:val="5587536D"/>
    <w:rsid w:val="55922EE3"/>
    <w:rsid w:val="559B1486"/>
    <w:rsid w:val="559B174B"/>
    <w:rsid w:val="55BC2260"/>
    <w:rsid w:val="55CE0CF4"/>
    <w:rsid w:val="56B22A9C"/>
    <w:rsid w:val="56CD0A43"/>
    <w:rsid w:val="56CF0B03"/>
    <w:rsid w:val="56F74802"/>
    <w:rsid w:val="57281234"/>
    <w:rsid w:val="575D64CC"/>
    <w:rsid w:val="576F626A"/>
    <w:rsid w:val="57726482"/>
    <w:rsid w:val="579006F1"/>
    <w:rsid w:val="57B33005"/>
    <w:rsid w:val="57B72A76"/>
    <w:rsid w:val="57C3426C"/>
    <w:rsid w:val="57CE1F93"/>
    <w:rsid w:val="58380DEE"/>
    <w:rsid w:val="58533496"/>
    <w:rsid w:val="58705DF6"/>
    <w:rsid w:val="588743D1"/>
    <w:rsid w:val="5887701A"/>
    <w:rsid w:val="588C1B36"/>
    <w:rsid w:val="58DA7713"/>
    <w:rsid w:val="59394B1F"/>
    <w:rsid w:val="595C281E"/>
    <w:rsid w:val="597C3D3A"/>
    <w:rsid w:val="597F7258"/>
    <w:rsid w:val="59C0439F"/>
    <w:rsid w:val="59CA776B"/>
    <w:rsid w:val="5A103FE5"/>
    <w:rsid w:val="5A2450EA"/>
    <w:rsid w:val="5A325957"/>
    <w:rsid w:val="5A33260F"/>
    <w:rsid w:val="5A343B61"/>
    <w:rsid w:val="5A3E6FFA"/>
    <w:rsid w:val="5A755946"/>
    <w:rsid w:val="5A76212E"/>
    <w:rsid w:val="5A885B39"/>
    <w:rsid w:val="5AA4622B"/>
    <w:rsid w:val="5AA770DD"/>
    <w:rsid w:val="5AA81586"/>
    <w:rsid w:val="5ABE2233"/>
    <w:rsid w:val="5ABE6E38"/>
    <w:rsid w:val="5AFD5AA5"/>
    <w:rsid w:val="5B1615D4"/>
    <w:rsid w:val="5B350055"/>
    <w:rsid w:val="5B414137"/>
    <w:rsid w:val="5B4517BC"/>
    <w:rsid w:val="5B583BEB"/>
    <w:rsid w:val="5B9F5159"/>
    <w:rsid w:val="5BB701E0"/>
    <w:rsid w:val="5BDF5D95"/>
    <w:rsid w:val="5BF53335"/>
    <w:rsid w:val="5BF60452"/>
    <w:rsid w:val="5BFE7528"/>
    <w:rsid w:val="5CC6142A"/>
    <w:rsid w:val="5CD8418D"/>
    <w:rsid w:val="5CF03243"/>
    <w:rsid w:val="5D1C2AA8"/>
    <w:rsid w:val="5D497736"/>
    <w:rsid w:val="5DE35D38"/>
    <w:rsid w:val="5E053D08"/>
    <w:rsid w:val="5E2467F1"/>
    <w:rsid w:val="5E580CDF"/>
    <w:rsid w:val="5E5E7D91"/>
    <w:rsid w:val="5E7A6E94"/>
    <w:rsid w:val="5EAC3A23"/>
    <w:rsid w:val="5EBF6480"/>
    <w:rsid w:val="5EF63A7D"/>
    <w:rsid w:val="5F0A7995"/>
    <w:rsid w:val="5F1A2B43"/>
    <w:rsid w:val="5F3470C8"/>
    <w:rsid w:val="5F5C5FB8"/>
    <w:rsid w:val="5F6C6437"/>
    <w:rsid w:val="5F6F214A"/>
    <w:rsid w:val="5FB837BB"/>
    <w:rsid w:val="5FCB6008"/>
    <w:rsid w:val="5FF17B2D"/>
    <w:rsid w:val="602045A6"/>
    <w:rsid w:val="60586C19"/>
    <w:rsid w:val="605B55DE"/>
    <w:rsid w:val="605E61C5"/>
    <w:rsid w:val="60974649"/>
    <w:rsid w:val="60991EE6"/>
    <w:rsid w:val="609F6707"/>
    <w:rsid w:val="60CC405A"/>
    <w:rsid w:val="60E83CC0"/>
    <w:rsid w:val="60ED62A8"/>
    <w:rsid w:val="60F732F5"/>
    <w:rsid w:val="610B5122"/>
    <w:rsid w:val="61332535"/>
    <w:rsid w:val="61714D75"/>
    <w:rsid w:val="617D31F2"/>
    <w:rsid w:val="61800C2D"/>
    <w:rsid w:val="61B03F22"/>
    <w:rsid w:val="61DA713E"/>
    <w:rsid w:val="61E215D8"/>
    <w:rsid w:val="61EB0BE3"/>
    <w:rsid w:val="621B3775"/>
    <w:rsid w:val="62364782"/>
    <w:rsid w:val="628315FC"/>
    <w:rsid w:val="62975F54"/>
    <w:rsid w:val="62BE432C"/>
    <w:rsid w:val="62BE733C"/>
    <w:rsid w:val="62C819A9"/>
    <w:rsid w:val="63051AE8"/>
    <w:rsid w:val="63070387"/>
    <w:rsid w:val="633151E2"/>
    <w:rsid w:val="637675BB"/>
    <w:rsid w:val="6394356A"/>
    <w:rsid w:val="63A257B4"/>
    <w:rsid w:val="63A87707"/>
    <w:rsid w:val="63AE03BF"/>
    <w:rsid w:val="63B4579E"/>
    <w:rsid w:val="63C61B2C"/>
    <w:rsid w:val="63D40BE9"/>
    <w:rsid w:val="63E703DA"/>
    <w:rsid w:val="64102431"/>
    <w:rsid w:val="64330CD2"/>
    <w:rsid w:val="644E4FAE"/>
    <w:rsid w:val="64561191"/>
    <w:rsid w:val="64596820"/>
    <w:rsid w:val="646144B1"/>
    <w:rsid w:val="64721148"/>
    <w:rsid w:val="64771E53"/>
    <w:rsid w:val="647B3D4D"/>
    <w:rsid w:val="64A5243A"/>
    <w:rsid w:val="64B038FD"/>
    <w:rsid w:val="64E75799"/>
    <w:rsid w:val="64F531DE"/>
    <w:rsid w:val="64FB113D"/>
    <w:rsid w:val="65164DA3"/>
    <w:rsid w:val="65373578"/>
    <w:rsid w:val="656059DD"/>
    <w:rsid w:val="65882DCF"/>
    <w:rsid w:val="659B50E5"/>
    <w:rsid w:val="65C03BDE"/>
    <w:rsid w:val="65E120E1"/>
    <w:rsid w:val="66013596"/>
    <w:rsid w:val="6627720D"/>
    <w:rsid w:val="66B93974"/>
    <w:rsid w:val="66BA4931"/>
    <w:rsid w:val="67130EC3"/>
    <w:rsid w:val="671F124A"/>
    <w:rsid w:val="67256FD3"/>
    <w:rsid w:val="677A33C6"/>
    <w:rsid w:val="6791267E"/>
    <w:rsid w:val="67925DC6"/>
    <w:rsid w:val="679E3484"/>
    <w:rsid w:val="67BF5C4F"/>
    <w:rsid w:val="67C86935"/>
    <w:rsid w:val="67F22B46"/>
    <w:rsid w:val="67F86D1A"/>
    <w:rsid w:val="67FB4C6E"/>
    <w:rsid w:val="67FD51CC"/>
    <w:rsid w:val="6817628E"/>
    <w:rsid w:val="681F6961"/>
    <w:rsid w:val="682403B2"/>
    <w:rsid w:val="6835025A"/>
    <w:rsid w:val="683F73E6"/>
    <w:rsid w:val="68420E31"/>
    <w:rsid w:val="68610A2F"/>
    <w:rsid w:val="68647937"/>
    <w:rsid w:val="6875280B"/>
    <w:rsid w:val="68805514"/>
    <w:rsid w:val="689F1260"/>
    <w:rsid w:val="68C9321C"/>
    <w:rsid w:val="69026F3E"/>
    <w:rsid w:val="69165D50"/>
    <w:rsid w:val="69316E2F"/>
    <w:rsid w:val="69427B3D"/>
    <w:rsid w:val="694E2071"/>
    <w:rsid w:val="69746AE3"/>
    <w:rsid w:val="69766163"/>
    <w:rsid w:val="697A3B33"/>
    <w:rsid w:val="69A979CD"/>
    <w:rsid w:val="69D44760"/>
    <w:rsid w:val="69E41A55"/>
    <w:rsid w:val="69E82B0F"/>
    <w:rsid w:val="6A21430D"/>
    <w:rsid w:val="6A3771F7"/>
    <w:rsid w:val="6A520EC7"/>
    <w:rsid w:val="6A581808"/>
    <w:rsid w:val="6A701688"/>
    <w:rsid w:val="6A75729C"/>
    <w:rsid w:val="6AAD1319"/>
    <w:rsid w:val="6AE15F3E"/>
    <w:rsid w:val="6AF87E20"/>
    <w:rsid w:val="6B230430"/>
    <w:rsid w:val="6B322639"/>
    <w:rsid w:val="6B3709F5"/>
    <w:rsid w:val="6B3A7059"/>
    <w:rsid w:val="6B7F02C7"/>
    <w:rsid w:val="6B813CCC"/>
    <w:rsid w:val="6B9E7BDB"/>
    <w:rsid w:val="6BD16BCB"/>
    <w:rsid w:val="6C102F3E"/>
    <w:rsid w:val="6C234431"/>
    <w:rsid w:val="6C272E42"/>
    <w:rsid w:val="6C4B29AA"/>
    <w:rsid w:val="6C505121"/>
    <w:rsid w:val="6C636C38"/>
    <w:rsid w:val="6CCD639F"/>
    <w:rsid w:val="6CE53B50"/>
    <w:rsid w:val="6CFB0F22"/>
    <w:rsid w:val="6D197416"/>
    <w:rsid w:val="6D527259"/>
    <w:rsid w:val="6D853785"/>
    <w:rsid w:val="6D883B3E"/>
    <w:rsid w:val="6D8B4F44"/>
    <w:rsid w:val="6DB34098"/>
    <w:rsid w:val="6DB545B6"/>
    <w:rsid w:val="6DBB76BC"/>
    <w:rsid w:val="6DD14348"/>
    <w:rsid w:val="6DE02FB4"/>
    <w:rsid w:val="6DEC1F6B"/>
    <w:rsid w:val="6E0A23F1"/>
    <w:rsid w:val="6E0F12B3"/>
    <w:rsid w:val="6E291CCC"/>
    <w:rsid w:val="6E3467C8"/>
    <w:rsid w:val="6E514CED"/>
    <w:rsid w:val="6E896EA8"/>
    <w:rsid w:val="6EAA00F3"/>
    <w:rsid w:val="6EB563D5"/>
    <w:rsid w:val="6ED92677"/>
    <w:rsid w:val="6EEB0330"/>
    <w:rsid w:val="6EFC5B8B"/>
    <w:rsid w:val="6F06705D"/>
    <w:rsid w:val="6F225983"/>
    <w:rsid w:val="6F24478F"/>
    <w:rsid w:val="6F2C5F93"/>
    <w:rsid w:val="6F6A17B0"/>
    <w:rsid w:val="6F840B90"/>
    <w:rsid w:val="6FA042B4"/>
    <w:rsid w:val="6FEF2BB1"/>
    <w:rsid w:val="6FFC5590"/>
    <w:rsid w:val="706908FB"/>
    <w:rsid w:val="706D1DD0"/>
    <w:rsid w:val="70856B87"/>
    <w:rsid w:val="708A15C7"/>
    <w:rsid w:val="70911369"/>
    <w:rsid w:val="7098054B"/>
    <w:rsid w:val="70A50B23"/>
    <w:rsid w:val="70C44AD9"/>
    <w:rsid w:val="70D527EE"/>
    <w:rsid w:val="710F55E3"/>
    <w:rsid w:val="715B5300"/>
    <w:rsid w:val="715D33FF"/>
    <w:rsid w:val="7187365E"/>
    <w:rsid w:val="719637A5"/>
    <w:rsid w:val="71D27F8A"/>
    <w:rsid w:val="723D0FE7"/>
    <w:rsid w:val="72553024"/>
    <w:rsid w:val="725A30B6"/>
    <w:rsid w:val="726C0A86"/>
    <w:rsid w:val="727D77DF"/>
    <w:rsid w:val="72CD5368"/>
    <w:rsid w:val="72DB688B"/>
    <w:rsid w:val="72EC0317"/>
    <w:rsid w:val="72F40829"/>
    <w:rsid w:val="73122968"/>
    <w:rsid w:val="731E6976"/>
    <w:rsid w:val="731F5D5E"/>
    <w:rsid w:val="733D0DD5"/>
    <w:rsid w:val="737C5977"/>
    <w:rsid w:val="73917D4E"/>
    <w:rsid w:val="73981998"/>
    <w:rsid w:val="73AB5788"/>
    <w:rsid w:val="73BC6B9B"/>
    <w:rsid w:val="73C51AD5"/>
    <w:rsid w:val="73D44B7B"/>
    <w:rsid w:val="73E34897"/>
    <w:rsid w:val="741E793C"/>
    <w:rsid w:val="745E3944"/>
    <w:rsid w:val="74823F2A"/>
    <w:rsid w:val="748B3EC4"/>
    <w:rsid w:val="74AF312B"/>
    <w:rsid w:val="74D116DC"/>
    <w:rsid w:val="75095313"/>
    <w:rsid w:val="753C50EB"/>
    <w:rsid w:val="756D1BE3"/>
    <w:rsid w:val="75745736"/>
    <w:rsid w:val="75786D3D"/>
    <w:rsid w:val="75923093"/>
    <w:rsid w:val="759D5CC4"/>
    <w:rsid w:val="75C56D6B"/>
    <w:rsid w:val="75D66FE5"/>
    <w:rsid w:val="75E17C62"/>
    <w:rsid w:val="75E42AD0"/>
    <w:rsid w:val="75E83B07"/>
    <w:rsid w:val="75EA640D"/>
    <w:rsid w:val="75EC5B14"/>
    <w:rsid w:val="760836BA"/>
    <w:rsid w:val="7635099D"/>
    <w:rsid w:val="76587CCB"/>
    <w:rsid w:val="766712D2"/>
    <w:rsid w:val="767A350B"/>
    <w:rsid w:val="7682521B"/>
    <w:rsid w:val="76B173C2"/>
    <w:rsid w:val="76C40CBE"/>
    <w:rsid w:val="76CD246C"/>
    <w:rsid w:val="76D56CA6"/>
    <w:rsid w:val="76ED6DCB"/>
    <w:rsid w:val="7734129A"/>
    <w:rsid w:val="77762421"/>
    <w:rsid w:val="7791329A"/>
    <w:rsid w:val="77942F41"/>
    <w:rsid w:val="779E51BB"/>
    <w:rsid w:val="77AF2BAE"/>
    <w:rsid w:val="77B03613"/>
    <w:rsid w:val="77B56B1F"/>
    <w:rsid w:val="77CB733A"/>
    <w:rsid w:val="78075A8E"/>
    <w:rsid w:val="780C2CAE"/>
    <w:rsid w:val="780F09F4"/>
    <w:rsid w:val="7812577F"/>
    <w:rsid w:val="78161D16"/>
    <w:rsid w:val="78370129"/>
    <w:rsid w:val="78623417"/>
    <w:rsid w:val="78A3585C"/>
    <w:rsid w:val="78A90480"/>
    <w:rsid w:val="78BF251B"/>
    <w:rsid w:val="78C16E18"/>
    <w:rsid w:val="78C7052E"/>
    <w:rsid w:val="78F30588"/>
    <w:rsid w:val="790179E9"/>
    <w:rsid w:val="79243ED0"/>
    <w:rsid w:val="792A3C45"/>
    <w:rsid w:val="79682359"/>
    <w:rsid w:val="79962FB3"/>
    <w:rsid w:val="79A4734B"/>
    <w:rsid w:val="79C3722A"/>
    <w:rsid w:val="79E33C4F"/>
    <w:rsid w:val="7A006B0A"/>
    <w:rsid w:val="7A364017"/>
    <w:rsid w:val="7A3F1D7D"/>
    <w:rsid w:val="7A483B71"/>
    <w:rsid w:val="7A8265E1"/>
    <w:rsid w:val="7A8F2B36"/>
    <w:rsid w:val="7ABB6F4D"/>
    <w:rsid w:val="7AC3421B"/>
    <w:rsid w:val="7ADA556E"/>
    <w:rsid w:val="7AE619D3"/>
    <w:rsid w:val="7B3A2770"/>
    <w:rsid w:val="7B3C410A"/>
    <w:rsid w:val="7B686D42"/>
    <w:rsid w:val="7B6A54B4"/>
    <w:rsid w:val="7B713AB0"/>
    <w:rsid w:val="7B810374"/>
    <w:rsid w:val="7B841746"/>
    <w:rsid w:val="7B9A28D0"/>
    <w:rsid w:val="7BD66FCB"/>
    <w:rsid w:val="7C175B4C"/>
    <w:rsid w:val="7C6C5AC7"/>
    <w:rsid w:val="7CC6544B"/>
    <w:rsid w:val="7CEC1655"/>
    <w:rsid w:val="7CED2482"/>
    <w:rsid w:val="7CF91FAF"/>
    <w:rsid w:val="7D0239FF"/>
    <w:rsid w:val="7D120891"/>
    <w:rsid w:val="7D143BBA"/>
    <w:rsid w:val="7D197F5B"/>
    <w:rsid w:val="7D2A01DD"/>
    <w:rsid w:val="7D3A0587"/>
    <w:rsid w:val="7D3C0B67"/>
    <w:rsid w:val="7D4A45B8"/>
    <w:rsid w:val="7D5E40CD"/>
    <w:rsid w:val="7D6E77E9"/>
    <w:rsid w:val="7D807229"/>
    <w:rsid w:val="7D821FA4"/>
    <w:rsid w:val="7DA31893"/>
    <w:rsid w:val="7DAD0637"/>
    <w:rsid w:val="7DCA7993"/>
    <w:rsid w:val="7DCD56F2"/>
    <w:rsid w:val="7DF12C86"/>
    <w:rsid w:val="7DF93C9A"/>
    <w:rsid w:val="7E4C5AD4"/>
    <w:rsid w:val="7E7365EF"/>
    <w:rsid w:val="7E7B4494"/>
    <w:rsid w:val="7E9417C7"/>
    <w:rsid w:val="7EEA75BB"/>
    <w:rsid w:val="7EEB0984"/>
    <w:rsid w:val="7F001CE7"/>
    <w:rsid w:val="7F0B40D9"/>
    <w:rsid w:val="7F2B2825"/>
    <w:rsid w:val="7F2F28EA"/>
    <w:rsid w:val="7F503D69"/>
    <w:rsid w:val="7F8C614C"/>
    <w:rsid w:val="7FAD02C4"/>
    <w:rsid w:val="7FB82010"/>
    <w:rsid w:val="7FD3472D"/>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qFormat="1"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6"/>
    <w:qFormat/>
    <w:locked/>
    <w:uiPriority w:val="99"/>
    <w:pPr>
      <w:keepNext/>
      <w:wordWrap w:val="0"/>
      <w:overflowPunct w:val="0"/>
      <w:snapToGrid w:val="0"/>
      <w:spacing w:line="520" w:lineRule="exact"/>
      <w:ind w:left="0" w:firstLine="0"/>
      <w:jc w:val="left"/>
      <w:outlineLvl w:val="0"/>
    </w:pPr>
    <w:rPr>
      <w:rFonts w:ascii="Times New Roman" w:hAnsi="Times New Roman" w:eastAsia="宋体"/>
      <w:b/>
      <w:bCs/>
      <w:color w:val="000000"/>
      <w:kern w:val="44"/>
      <w:sz w:val="24"/>
      <w:szCs w:val="30"/>
    </w:rPr>
  </w:style>
  <w:style w:type="paragraph" w:styleId="4">
    <w:name w:val="heading 2"/>
    <w:basedOn w:val="1"/>
    <w:next w:val="1"/>
    <w:unhideWhenUsed/>
    <w:qFormat/>
    <w:locked/>
    <w:uiPriority w:val="0"/>
    <w:pPr>
      <w:keepNext/>
      <w:keepLines/>
      <w:spacing w:beforeLines="0" w:beforeAutospacing="0" w:afterLines="0" w:afterAutospacing="0" w:line="420" w:lineRule="exact"/>
      <w:ind w:firstLine="0" w:firstLineChars="0"/>
      <w:outlineLvl w:val="1"/>
    </w:pPr>
    <w:rPr>
      <w:rFonts w:ascii="Arial" w:hAnsi="Arial" w:eastAsia="仿宋_GB2312"/>
      <w:b/>
      <w:sz w:val="32"/>
    </w:rPr>
  </w:style>
  <w:style w:type="paragraph" w:styleId="5">
    <w:name w:val="heading 4"/>
    <w:basedOn w:val="1"/>
    <w:next w:val="1"/>
    <w:qFormat/>
    <w:locked/>
    <w:uiPriority w:val="0"/>
    <w:pPr>
      <w:keepNext/>
      <w:keepLines/>
      <w:tabs>
        <w:tab w:val="left" w:pos="0"/>
        <w:tab w:val="left" w:pos="420"/>
        <w:tab w:val="left" w:pos="425"/>
      </w:tabs>
      <w:spacing w:before="280" w:beforeLines="0" w:after="290" w:afterLines="0" w:line="376" w:lineRule="auto"/>
      <w:outlineLvl w:val="3"/>
    </w:pPr>
    <w:rPr>
      <w:rFonts w:ascii="Arial" w:hAnsi="Arial" w:eastAsia="黑体"/>
      <w:b/>
      <w:bCs/>
      <w:sz w:val="28"/>
      <w:szCs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Title"/>
    <w:basedOn w:val="1"/>
    <w:next w:val="1"/>
    <w:qFormat/>
    <w:locked/>
    <w:uiPriority w:val="0"/>
    <w:pPr>
      <w:spacing w:line="240" w:lineRule="auto"/>
      <w:jc w:val="left"/>
    </w:pPr>
    <w:rPr>
      <w:rFonts w:ascii="Times New Roman" w:hAnsi="Times New Roman"/>
      <w:b/>
      <w:bCs/>
      <w:color w:val="000000"/>
      <w:szCs w:val="20"/>
    </w:rPr>
  </w:style>
  <w:style w:type="paragraph" w:styleId="6">
    <w:name w:val="Normal Indent"/>
    <w:basedOn w:val="1"/>
    <w:next w:val="1"/>
    <w:qFormat/>
    <w:locked/>
    <w:uiPriority w:val="0"/>
    <w:pPr>
      <w:ind w:firstLine="420" w:firstLineChars="200"/>
    </w:pPr>
  </w:style>
  <w:style w:type="paragraph" w:styleId="7">
    <w:name w:val="annotation text"/>
    <w:basedOn w:val="1"/>
    <w:link w:val="25"/>
    <w:qFormat/>
    <w:uiPriority w:val="0"/>
    <w:pPr>
      <w:jc w:val="left"/>
    </w:pPr>
    <w:rPr>
      <w:kern w:val="0"/>
      <w:sz w:val="24"/>
      <w:szCs w:val="20"/>
    </w:rPr>
  </w:style>
  <w:style w:type="paragraph" w:styleId="8">
    <w:name w:val="Body Text"/>
    <w:basedOn w:val="1"/>
    <w:link w:val="26"/>
    <w:qFormat/>
    <w:uiPriority w:val="0"/>
    <w:pPr>
      <w:widowControl/>
      <w:wordWrap/>
      <w:snapToGrid w:val="0"/>
      <w:spacing w:line="520" w:lineRule="exact"/>
      <w:ind w:right="0" w:firstLine="720" w:firstLineChars="200"/>
    </w:pPr>
    <w:rPr>
      <w:rFonts w:ascii="Times New Roman" w:hAnsi="Times New Roman" w:eastAsia="宋体"/>
      <w:kern w:val="0"/>
      <w:sz w:val="24"/>
      <w:szCs w:val="20"/>
    </w:rPr>
  </w:style>
  <w:style w:type="paragraph" w:styleId="9">
    <w:name w:val="Body Text Indent"/>
    <w:basedOn w:val="1"/>
    <w:next w:val="5"/>
    <w:link w:val="27"/>
    <w:qFormat/>
    <w:uiPriority w:val="0"/>
    <w:pPr>
      <w:spacing w:after="120"/>
      <w:ind w:left="420" w:leftChars="200"/>
    </w:pPr>
    <w:rPr>
      <w:kern w:val="0"/>
      <w:sz w:val="24"/>
      <w:szCs w:val="20"/>
    </w:rPr>
  </w:style>
  <w:style w:type="paragraph" w:styleId="10">
    <w:name w:val="List 2"/>
    <w:basedOn w:val="1"/>
    <w:unhideWhenUsed/>
    <w:qFormat/>
    <w:locked/>
    <w:uiPriority w:val="0"/>
    <w:pPr>
      <w:widowControl w:val="0"/>
      <w:adjustRightInd/>
      <w:snapToGrid/>
      <w:ind w:left="100" w:leftChars="200" w:hanging="200" w:hangingChars="200"/>
      <w:contextualSpacing/>
    </w:pPr>
    <w:rPr>
      <w:szCs w:val="22"/>
      <w:lang w:bidi="ar-SA"/>
    </w:rPr>
  </w:style>
  <w:style w:type="paragraph" w:styleId="11">
    <w:name w:val="Date"/>
    <w:basedOn w:val="1"/>
    <w:next w:val="1"/>
    <w:link w:val="28"/>
    <w:qFormat/>
    <w:uiPriority w:val="0"/>
    <w:pPr>
      <w:ind w:left="100" w:leftChars="2500"/>
    </w:pPr>
    <w:rPr>
      <w:kern w:val="0"/>
      <w:sz w:val="24"/>
      <w:szCs w:val="20"/>
    </w:rPr>
  </w:style>
  <w:style w:type="paragraph" w:styleId="12">
    <w:name w:val="Balloon Text"/>
    <w:basedOn w:val="1"/>
    <w:link w:val="29"/>
    <w:semiHidden/>
    <w:qFormat/>
    <w:uiPriority w:val="0"/>
    <w:rPr>
      <w:kern w:val="0"/>
      <w:sz w:val="18"/>
      <w:szCs w:val="20"/>
    </w:rPr>
  </w:style>
  <w:style w:type="paragraph" w:styleId="13">
    <w:name w:val="footer"/>
    <w:basedOn w:val="1"/>
    <w:link w:val="30"/>
    <w:qFormat/>
    <w:uiPriority w:val="99"/>
    <w:pPr>
      <w:tabs>
        <w:tab w:val="center" w:pos="4153"/>
        <w:tab w:val="right" w:pos="8306"/>
      </w:tabs>
      <w:snapToGrid w:val="0"/>
      <w:jc w:val="left"/>
    </w:pPr>
    <w:rPr>
      <w:kern w:val="0"/>
      <w:sz w:val="18"/>
      <w:szCs w:val="20"/>
    </w:rPr>
  </w:style>
  <w:style w:type="paragraph" w:styleId="14">
    <w:name w:val="header"/>
    <w:basedOn w:val="1"/>
    <w:link w:val="31"/>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able of figures"/>
    <w:basedOn w:val="1"/>
    <w:next w:val="1"/>
    <w:unhideWhenUsed/>
    <w:qFormat/>
    <w:locked/>
    <w:uiPriority w:val="99"/>
    <w:pPr>
      <w:jc w:val="center"/>
    </w:pPr>
    <w:rPr>
      <w:sz w:val="24"/>
    </w:rPr>
  </w:style>
  <w:style w:type="paragraph" w:styleId="16">
    <w:name w:val="Normal (Web)"/>
    <w:basedOn w:val="1"/>
    <w:link w:val="32"/>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7"/>
    <w:next w:val="7"/>
    <w:link w:val="33"/>
    <w:semiHidden/>
    <w:qFormat/>
    <w:uiPriority w:val="0"/>
    <w:rPr>
      <w:b/>
      <w:sz w:val="24"/>
      <w:szCs w:val="20"/>
    </w:rPr>
  </w:style>
  <w:style w:type="paragraph" w:styleId="18">
    <w:name w:val="Body Text First Indent 2"/>
    <w:basedOn w:val="9"/>
    <w:next w:val="1"/>
    <w:qFormat/>
    <w:locked/>
    <w:uiPriority w:val="0"/>
    <w:pPr>
      <w:ind w:firstLine="420" w:firstLineChars="200"/>
    </w:pPr>
    <w:rPr>
      <w:rFonts w:ascii="Times New Roman" w:hAnsi="Times New Roman" w:eastAsia="宋体" w:cs="Times New Roman"/>
    </w:rPr>
  </w:style>
  <w:style w:type="table" w:styleId="20">
    <w:name w:val="Table Grid"/>
    <w:basedOn w:val="1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locked/>
    <w:uiPriority w:val="0"/>
    <w:rPr>
      <w:b/>
    </w:rPr>
  </w:style>
  <w:style w:type="character" w:styleId="23">
    <w:name w:val="page number"/>
    <w:basedOn w:val="21"/>
    <w:qFormat/>
    <w:locked/>
    <w:uiPriority w:val="0"/>
  </w:style>
  <w:style w:type="character" w:styleId="24">
    <w:name w:val="annotation reference"/>
    <w:semiHidden/>
    <w:qFormat/>
    <w:uiPriority w:val="0"/>
    <w:rPr>
      <w:sz w:val="21"/>
    </w:rPr>
  </w:style>
  <w:style w:type="character" w:customStyle="1" w:styleId="25">
    <w:name w:val="批注文字 Char"/>
    <w:link w:val="7"/>
    <w:qFormat/>
    <w:locked/>
    <w:uiPriority w:val="0"/>
    <w:rPr>
      <w:rFonts w:ascii="Times New Roman" w:hAnsi="Times New Roman" w:eastAsia="宋体"/>
      <w:sz w:val="24"/>
    </w:rPr>
  </w:style>
  <w:style w:type="character" w:customStyle="1" w:styleId="26">
    <w:name w:val="正文文本 Char"/>
    <w:link w:val="8"/>
    <w:qFormat/>
    <w:locked/>
    <w:uiPriority w:val="0"/>
    <w:rPr>
      <w:rFonts w:ascii="Times New Roman" w:hAnsi="Times New Roman" w:eastAsia="宋体"/>
      <w:sz w:val="24"/>
    </w:rPr>
  </w:style>
  <w:style w:type="character" w:customStyle="1" w:styleId="27">
    <w:name w:val="正文文本缩进 Char"/>
    <w:link w:val="9"/>
    <w:semiHidden/>
    <w:qFormat/>
    <w:locked/>
    <w:uiPriority w:val="0"/>
    <w:rPr>
      <w:rFonts w:ascii="Times New Roman" w:hAnsi="Times New Roman" w:eastAsia="宋体"/>
      <w:sz w:val="24"/>
    </w:rPr>
  </w:style>
  <w:style w:type="character" w:customStyle="1" w:styleId="28">
    <w:name w:val="日期 Char"/>
    <w:link w:val="11"/>
    <w:qFormat/>
    <w:locked/>
    <w:uiPriority w:val="0"/>
    <w:rPr>
      <w:rFonts w:ascii="Times New Roman" w:hAnsi="Times New Roman" w:eastAsia="宋体"/>
      <w:sz w:val="24"/>
    </w:rPr>
  </w:style>
  <w:style w:type="character" w:customStyle="1" w:styleId="29">
    <w:name w:val="批注框文本 Char"/>
    <w:link w:val="12"/>
    <w:semiHidden/>
    <w:qFormat/>
    <w:locked/>
    <w:uiPriority w:val="0"/>
    <w:rPr>
      <w:rFonts w:ascii="Times New Roman" w:hAnsi="Times New Roman" w:eastAsia="宋体"/>
      <w:sz w:val="18"/>
    </w:rPr>
  </w:style>
  <w:style w:type="character" w:customStyle="1" w:styleId="30">
    <w:name w:val="页脚 Char"/>
    <w:link w:val="13"/>
    <w:qFormat/>
    <w:locked/>
    <w:uiPriority w:val="99"/>
    <w:rPr>
      <w:sz w:val="18"/>
    </w:rPr>
  </w:style>
  <w:style w:type="character" w:customStyle="1" w:styleId="31">
    <w:name w:val="页眉 Char"/>
    <w:link w:val="14"/>
    <w:qFormat/>
    <w:locked/>
    <w:uiPriority w:val="0"/>
    <w:rPr>
      <w:sz w:val="18"/>
    </w:rPr>
  </w:style>
  <w:style w:type="character" w:customStyle="1" w:styleId="32">
    <w:name w:val="普通(网站) Char"/>
    <w:link w:val="16"/>
    <w:qFormat/>
    <w:locked/>
    <w:uiPriority w:val="0"/>
    <w:rPr>
      <w:rFonts w:ascii="宋体" w:hAnsi="宋体" w:eastAsia="宋体"/>
      <w:sz w:val="24"/>
    </w:rPr>
  </w:style>
  <w:style w:type="character" w:customStyle="1" w:styleId="33">
    <w:name w:val="批注主题 Char"/>
    <w:link w:val="17"/>
    <w:semiHidden/>
    <w:qFormat/>
    <w:locked/>
    <w:uiPriority w:val="0"/>
    <w:rPr>
      <w:rFonts w:ascii="Times New Roman" w:hAnsi="Times New Roman" w:eastAsia="宋体"/>
      <w:b/>
      <w:kern w:val="2"/>
      <w:sz w:val="24"/>
    </w:rPr>
  </w:style>
  <w:style w:type="paragraph" w:customStyle="1" w:styleId="34">
    <w:name w:val="111表格内"/>
    <w:basedOn w:val="1"/>
    <w:link w:val="35"/>
    <w:qFormat/>
    <w:uiPriority w:val="0"/>
    <w:pPr>
      <w:wordWrap w:val="0"/>
      <w:jc w:val="center"/>
    </w:pPr>
    <w:rPr>
      <w:rFonts w:ascii="Times New Roman" w:hAnsi="Times New Roman" w:eastAsia="宋体"/>
      <w:szCs w:val="21"/>
    </w:rPr>
  </w:style>
  <w:style w:type="character" w:customStyle="1" w:styleId="35">
    <w:name w:val="表格里面啊啊啊啊 Char"/>
    <w:link w:val="34"/>
    <w:qFormat/>
    <w:uiPriority w:val="0"/>
    <w:rPr>
      <w:rFonts w:ascii="Times New Roman" w:hAnsi="Times New Roman" w:eastAsia="宋体" w:cs="Times New Roman"/>
      <w:szCs w:val="21"/>
    </w:rPr>
  </w:style>
  <w:style w:type="paragraph" w:customStyle="1" w:styleId="36">
    <w:name w:val="111表头"/>
    <w:basedOn w:val="1"/>
    <w:link w:val="37"/>
    <w:qFormat/>
    <w:uiPriority w:val="0"/>
    <w:pPr>
      <w:adjustRightInd w:val="0"/>
      <w:snapToGrid w:val="0"/>
      <w:jc w:val="center"/>
    </w:pPr>
    <w:rPr>
      <w:rFonts w:hint="eastAsia" w:ascii="Times New Roman" w:hAnsi="Times New Roman" w:eastAsia="宋体" w:cs="宋体"/>
      <w:b/>
      <w:szCs w:val="21"/>
    </w:rPr>
  </w:style>
  <w:style w:type="character" w:customStyle="1" w:styleId="37">
    <w:name w:val="111表头 Char"/>
    <w:link w:val="36"/>
    <w:qFormat/>
    <w:uiPriority w:val="0"/>
    <w:rPr>
      <w:rFonts w:hint="eastAsia" w:ascii="Times New Roman" w:hAnsi="Times New Roman" w:eastAsia="宋体" w:cs="宋体"/>
      <w:b/>
      <w:szCs w:val="21"/>
    </w:rPr>
  </w:style>
  <w:style w:type="paragraph" w:customStyle="1" w:styleId="38">
    <w:name w:val="正文格式啊啊啊啊"/>
    <w:basedOn w:val="1"/>
    <w:qFormat/>
    <w:uiPriority w:val="0"/>
    <w:pPr>
      <w:wordWrap w:val="0"/>
      <w:adjustRightInd w:val="0"/>
      <w:snapToGrid w:val="0"/>
      <w:spacing w:line="520" w:lineRule="exact"/>
      <w:ind w:firstLine="720" w:firstLineChars="200"/>
      <w:jc w:val="left"/>
    </w:pPr>
    <w:rPr>
      <w:rFonts w:ascii="Times New Roman" w:hAnsi="Times New Roman" w:eastAsia="宋体" w:cs="宋体"/>
      <w:kern w:val="0"/>
      <w:sz w:val="24"/>
    </w:rPr>
  </w:style>
  <w:style w:type="paragraph" w:customStyle="1" w:styleId="39">
    <w:name w:val="正文啊啊"/>
    <w:qFormat/>
    <w:uiPriority w:val="0"/>
    <w:pPr>
      <w:widowControl w:val="0"/>
      <w:spacing w:line="520" w:lineRule="exact"/>
      <w:ind w:firstLine="720" w:firstLineChars="200"/>
      <w:jc w:val="both"/>
    </w:pPr>
    <w:rPr>
      <w:rFonts w:ascii="Times New Roman" w:hAnsi="Times New Roman" w:eastAsia="宋体" w:cs="宋体"/>
      <w:kern w:val="2"/>
      <w:sz w:val="24"/>
      <w:szCs w:val="24"/>
      <w:lang w:val="en-US" w:eastAsia="zh-CN" w:bidi="ar-SA"/>
    </w:rPr>
  </w:style>
  <w:style w:type="paragraph" w:customStyle="1" w:styleId="40">
    <w:name w:val="表格"/>
    <w:basedOn w:val="1"/>
    <w:next w:val="1"/>
    <w:qFormat/>
    <w:uiPriority w:val="0"/>
    <w:pPr>
      <w:adjustRightInd w:val="0"/>
      <w:snapToGrid w:val="0"/>
      <w:spacing w:line="240" w:lineRule="auto"/>
      <w:jc w:val="center"/>
    </w:pPr>
    <w:rPr>
      <w:rFonts w:ascii="Times New Roman" w:hAnsi="Times New Roman" w:eastAsia="宋体"/>
      <w:kern w:val="0"/>
      <w:szCs w:val="21"/>
    </w:rPr>
  </w:style>
  <w:style w:type="character" w:customStyle="1" w:styleId="41">
    <w:name w:val="A正文啊啊啊啊啊 Char"/>
    <w:link w:val="42"/>
    <w:qFormat/>
    <w:uiPriority w:val="0"/>
    <w:rPr>
      <w:rFonts w:ascii="Times New Roman" w:hAnsi="Times New Roman" w:eastAsia="宋体" w:cs="宋体"/>
      <w:sz w:val="24"/>
      <w:szCs w:val="24"/>
    </w:rPr>
  </w:style>
  <w:style w:type="paragraph" w:customStyle="1" w:styleId="42">
    <w:name w:val="A正文啊啊啊啊啊"/>
    <w:basedOn w:val="1"/>
    <w:link w:val="41"/>
    <w:qFormat/>
    <w:uiPriority w:val="0"/>
    <w:pPr>
      <w:spacing w:line="520" w:lineRule="exact"/>
      <w:ind w:firstLine="720" w:firstLineChars="200"/>
    </w:pPr>
    <w:rPr>
      <w:rFonts w:ascii="Times New Roman" w:hAnsi="Times New Roman" w:eastAsia="宋体" w:cs="宋体"/>
      <w:sz w:val="24"/>
      <w:szCs w:val="24"/>
    </w:rPr>
  </w:style>
  <w:style w:type="paragraph" w:customStyle="1" w:styleId="43">
    <w:name w:val="小标题呗"/>
    <w:basedOn w:val="1"/>
    <w:qFormat/>
    <w:uiPriority w:val="0"/>
    <w:pPr>
      <w:widowControl/>
      <w:wordWrap w:val="0"/>
      <w:snapToGrid w:val="0"/>
      <w:spacing w:line="520" w:lineRule="exact"/>
      <w:jc w:val="left"/>
    </w:pPr>
    <w:rPr>
      <w:rFonts w:hint="eastAsia" w:ascii="Times New Roman" w:hAnsi="Times New Roman" w:eastAsia="宋体"/>
      <w:b/>
      <w:kern w:val="0"/>
      <w:sz w:val="24"/>
      <w:szCs w:val="24"/>
    </w:rPr>
  </w:style>
  <w:style w:type="paragraph" w:customStyle="1" w:styleId="44">
    <w:name w:val="正文格式"/>
    <w:basedOn w:val="1"/>
    <w:qFormat/>
    <w:uiPriority w:val="0"/>
    <w:pPr>
      <w:wordWrap w:val="0"/>
      <w:spacing w:line="520" w:lineRule="exact"/>
      <w:ind w:firstLine="720" w:firstLineChars="200"/>
    </w:pPr>
    <w:rPr>
      <w:rFonts w:hint="eastAsia" w:ascii="Times New Roman" w:hAnsi="Times New Roman" w:eastAsia="宋体"/>
      <w:sz w:val="24"/>
    </w:rPr>
  </w:style>
  <w:style w:type="paragraph" w:customStyle="1" w:styleId="45">
    <w:name w:val="正文啊啊啊"/>
    <w:qFormat/>
    <w:uiPriority w:val="0"/>
    <w:pPr>
      <w:widowControl w:val="0"/>
      <w:wordWrap w:val="0"/>
      <w:adjustRightInd w:val="0"/>
      <w:snapToGrid w:val="0"/>
      <w:spacing w:line="520" w:lineRule="exact"/>
      <w:ind w:firstLine="720" w:firstLineChars="200"/>
      <w:jc w:val="left"/>
    </w:pPr>
    <w:rPr>
      <w:rFonts w:hint="eastAsia" w:ascii="Times New Roman" w:hAnsi="Times New Roman" w:eastAsia="宋体" w:cs="宋体"/>
      <w:bCs/>
      <w:kern w:val="2"/>
      <w:sz w:val="24"/>
      <w:szCs w:val="24"/>
      <w:lang w:val="en-US" w:eastAsia="zh-CN" w:bidi="ar-SA"/>
    </w:rPr>
  </w:style>
  <w:style w:type="character" w:customStyle="1" w:styleId="46">
    <w:name w:val="标题 1 Char1"/>
    <w:link w:val="3"/>
    <w:qFormat/>
    <w:uiPriority w:val="99"/>
    <w:rPr>
      <w:rFonts w:ascii="Times New Roman" w:hAnsi="Times New Roman" w:eastAsia="宋体"/>
      <w:b/>
      <w:bCs/>
      <w:color w:val="000000"/>
      <w:kern w:val="44"/>
      <w:sz w:val="24"/>
      <w:szCs w:val="30"/>
    </w:rPr>
  </w:style>
  <w:style w:type="paragraph" w:customStyle="1" w:styleId="47">
    <w:name w:val="1正文"/>
    <w:qFormat/>
    <w:uiPriority w:val="0"/>
    <w:pPr>
      <w:widowControl w:val="0"/>
      <w:autoSpaceDE/>
      <w:autoSpaceDN/>
      <w:adjustRightInd/>
      <w:spacing w:line="520" w:lineRule="exact"/>
      <w:ind w:firstLine="720" w:firstLineChars="200"/>
      <w:jc w:val="both"/>
      <w:textAlignment w:val="baseline"/>
    </w:pPr>
    <w:rPr>
      <w:rFonts w:ascii="Times New Roman" w:hAnsi="Times New Roman" w:eastAsia="宋体" w:cs="Times New Roman"/>
      <w:sz w:val="24"/>
      <w:lang w:val="en-US" w:eastAsia="zh-CN" w:bidi="ar-SA"/>
    </w:rPr>
  </w:style>
  <w:style w:type="paragraph" w:customStyle="1" w:styleId="48">
    <w:name w:val="正文1"/>
    <w:basedOn w:val="6"/>
    <w:next w:val="1"/>
    <w:qFormat/>
    <w:uiPriority w:val="0"/>
    <w:rPr>
      <w:szCs w:val="20"/>
    </w:rPr>
  </w:style>
  <w:style w:type="paragraph" w:customStyle="1" w:styleId="49">
    <w:name w:val="表头"/>
    <w:basedOn w:val="1"/>
    <w:qFormat/>
    <w:uiPriority w:val="0"/>
    <w:pPr>
      <w:adjustRightInd w:val="0"/>
      <w:snapToGrid w:val="0"/>
      <w:spacing w:line="240" w:lineRule="auto"/>
      <w:jc w:val="center"/>
    </w:pPr>
    <w:rPr>
      <w:rFonts w:ascii="宋体" w:hAnsi="宋体" w:eastAsia="宋体"/>
      <w:b/>
      <w:kern w:val="0"/>
      <w:szCs w:val="20"/>
    </w:rPr>
  </w:style>
  <w:style w:type="paragraph" w:customStyle="1" w:styleId="50">
    <w:name w:val="表头啊啊啊啊"/>
    <w:basedOn w:val="1"/>
    <w:qFormat/>
    <w:uiPriority w:val="0"/>
    <w:pPr>
      <w:adjustRightInd w:val="0"/>
      <w:snapToGrid w:val="0"/>
      <w:spacing w:line="240" w:lineRule="auto"/>
      <w:jc w:val="center"/>
    </w:pPr>
    <w:rPr>
      <w:rFonts w:hint="eastAsia" w:ascii="Times New Roman" w:hAnsi="Times New Roman" w:eastAsia="宋体" w:cs="宋体"/>
      <w:b/>
      <w:bCs/>
      <w:color w:val="auto"/>
      <w:szCs w:val="21"/>
    </w:rPr>
  </w:style>
  <w:style w:type="paragraph" w:customStyle="1" w:styleId="51">
    <w:name w:val="表格里面啊啊啊啊"/>
    <w:basedOn w:val="1"/>
    <w:qFormat/>
    <w:uiPriority w:val="0"/>
    <w:pPr>
      <w:jc w:val="center"/>
    </w:pPr>
    <w:rPr>
      <w:rFonts w:ascii="Times New Roman" w:hAnsi="Times New Roman" w:eastAsia="宋体" w:cs="Times New Roman"/>
      <w:szCs w:val="21"/>
    </w:rPr>
  </w:style>
  <w:style w:type="paragraph" w:customStyle="1" w:styleId="52">
    <w:name w:val="表格内文字"/>
    <w:qFormat/>
    <w:uiPriority w:val="0"/>
    <w:pPr>
      <w:bidi w:val="0"/>
      <w:spacing w:line="240" w:lineRule="auto"/>
      <w:ind w:firstLine="0" w:firstLineChars="0"/>
      <w:jc w:val="center"/>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k3NDE4MjA0MTY1IiwKCSJHcm91cElkIiA6ICI2MDkzMDQ4NDEiLAoJIkltYWdlIiA6ICJpVkJPUncwS0dnb0FBQUFOU1VoRVVnQUFBL1lBQUFLakNBWUFBQUMzTEpTa0FBQUFBWE5TUjBJQXJzNGM2UUFBSUFCSlJFRlVlSnpzM1htWUhGVzVQL0R2ZTZwbnpTYloyS0lHR1NSTU10MTFxa0ZCVUZFQldVUkV1Q2lyQ0lKNlZWYTlYQVgxQjdoZEYrU0tYTVFGRU53UUVBVzhvQ0FnZ3NqU1ZkMmRaQ1FZSWNJSUpHQ0FUSlpadXMvNys2T3I1M1k2UFZzeWU3NmY1OGt6M2FkT1ZaMmF6T251dCt1Yzl3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LZWIvdytpQ0w2UmVqUUVhQUFBQUFCSlJVNUVya0pnZ2c9PSIsCgkiVGhlbWUiIDogIiIsCgkiVHlwZSIgOiAiZmxvdyIsCgkiVXNlcklkIiA6ICI1Mjc2NDU0ODciLAoJIlZlcnNpb24iIDogIjEwNiIKfQo="/>
    </extobj>
    <extobj name="ECB019B1-382A-4266-B25C-5B523AA43C14-2">
      <extobjdata type="ECB019B1-382A-4266-B25C-5B523AA43C14" data="ewoJIkZpbGVJZCIgOiAiMzk2NTU0MjU4MTgxIiwKCSJHcm91cElkIiA6ICI2MDkzMDQ4NDEiLAoJIkltYWdlIiA6ICJpVkJPUncwS0dnb0FBQUFOU1VoRVVnQUFCWWtBQUFQS0NBWUFBQURSVjlYVUFBQUFBWE5TUjBJQXJzNGM2UUFBSUFCSlJFRlVlSnpzM1hkMFZOWDZ4dkZud29RVWtwQ0VJaVZnRUJBSUNWMmtYQVJwU2hOYkFGR0RCYkZ3QVFVUkVSRWhZa0VSRUpXcWNBRlJBZWtkQVJFdUdLVjNKRUlvMGlQcG1TU1RPYjgvTU9mSGtBU2lTSWJMZkQ5cnVlN01QbnZ2ODU1eHlWbys3dnNlQ1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63</Pages>
  <Words>47</Words>
  <Characters>71</Characters>
  <Lines>13</Lines>
  <Paragraphs>3</Paragraphs>
  <TotalTime>339</TotalTime>
  <ScaleCrop>false</ScaleCrop>
  <LinksUpToDate>false</LinksUpToDate>
  <CharactersWithSpaces>71</CharactersWithSpaces>
  <Application>WPS Office_11.8.2.11500_F1E327BC-269C-435d-A152-05C5408002CA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lenovo</cp:lastModifiedBy>
  <cp:lastPrinted>2020-12-29T02:43:00Z</cp:lastPrinted>
  <dcterms:modified xsi:type="dcterms:W3CDTF">2025-07-17T04:11:29Z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2052-11.8.2.11500</vt:lpwstr>
  </property>
  <property fmtid="{D5CDD505-2E9C-101B-9397-08002B2CF9AE}" pid="3" name="ICV">
    <vt:lpwstr>47EC4CABFEF64853987E7D576A7EDB7A_13</vt:lpwstr>
  </property>
  <property fmtid="{D5CDD505-2E9C-101B-9397-08002B2CF9AE}" pid="4" name="KSOTemplateDocerSaveRecord">
    <vt:lpwstr>eyJoZGlkIjoiMGJlMzY5YTk5MWY3NmY0NWE4OTAzNjQxNGViNjU5OWIiLCJ1c2VySWQiOiI1Mjc2NDU0ODcifQ==</vt:lpwstr>
  </property>
</Properties>
</file>