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72"/>
          <w:szCs w:val="72"/>
        </w:rPr>
      </w:pPr>
    </w:p>
    <w:p>
      <w:pPr>
        <w:ind w:firstLine="0" w:firstLineChars="0"/>
        <w:rPr>
          <w:sz w:val="72"/>
          <w:szCs w:val="72"/>
        </w:rPr>
      </w:pPr>
    </w:p>
    <w:p>
      <w:pPr>
        <w:ind w:firstLine="0" w:firstLineChars="0"/>
        <w:jc w:val="center"/>
      </w:pPr>
      <w:r>
        <w:rPr>
          <w:rFonts w:hint="eastAsia"/>
          <w:sz w:val="72"/>
          <w:szCs w:val="72"/>
        </w:rPr>
        <w:t>建设项目环境影响报告表</w:t>
      </w:r>
    </w:p>
    <w:p>
      <w:pPr>
        <w:ind w:firstLine="0" w:firstLineChars="0"/>
        <w:jc w:val="center"/>
        <w:rPr>
          <w:sz w:val="48"/>
          <w:szCs w:val="48"/>
        </w:rPr>
      </w:pPr>
      <w:r>
        <w:rPr>
          <w:rFonts w:hint="eastAsia"/>
          <w:sz w:val="48"/>
          <w:szCs w:val="48"/>
        </w:rPr>
        <w:t>（生态影响类）</w:t>
      </w: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spacing w:line="288" w:lineRule="auto"/>
        <w:ind w:firstLine="720"/>
        <w:rPr>
          <w:rFonts w:ascii="宋体" w:hAnsi="宋体"/>
          <w:sz w:val="36"/>
          <w:szCs w:val="36"/>
        </w:rPr>
      </w:pPr>
    </w:p>
    <w:p>
      <w:pPr>
        <w:adjustRightInd w:val="0"/>
        <w:snapToGrid w:val="0"/>
        <w:ind w:firstLine="0" w:firstLineChars="0"/>
        <w:rPr>
          <w:rFonts w:ascii="宋体" w:hAnsi="宋体"/>
          <w:sz w:val="36"/>
          <w:szCs w:val="36"/>
          <w:u w:val="single"/>
        </w:rPr>
      </w:pPr>
      <w:r>
        <w:rPr>
          <w:rFonts w:hint="eastAsia" w:ascii="宋体" w:hAnsi="宋体"/>
          <w:sz w:val="36"/>
          <w:szCs w:val="36"/>
        </w:rPr>
        <w:t>项目名称：</w:t>
      </w:r>
      <w:r>
        <w:rPr>
          <w:rFonts w:hint="eastAsia"/>
          <w:color w:val="000000"/>
          <w:sz w:val="36"/>
          <w:szCs w:val="36"/>
          <w:u w:val="single"/>
        </w:rPr>
        <w:t>新疆和静县呼噜哈其沟铜矿勘探</w:t>
      </w:r>
      <w:r>
        <w:rPr>
          <w:color w:val="000000"/>
          <w:spacing w:val="-20"/>
          <w:sz w:val="36"/>
          <w:szCs w:val="36"/>
          <w:u w:val="single"/>
        </w:rPr>
        <w:t>项目</w:t>
      </w:r>
      <w:r>
        <w:rPr>
          <w:rFonts w:hint="eastAsia" w:ascii="宋体" w:hAnsi="宋体"/>
          <w:sz w:val="36"/>
          <w:szCs w:val="36"/>
          <w:u w:val="single"/>
        </w:rPr>
        <w:t xml:space="preserve">  </w:t>
      </w:r>
    </w:p>
    <w:p>
      <w:pPr>
        <w:adjustRightInd w:val="0"/>
        <w:snapToGrid w:val="0"/>
        <w:ind w:firstLine="0" w:firstLineChars="0"/>
        <w:rPr>
          <w:rFonts w:ascii="宋体" w:hAnsi="宋体"/>
          <w:sz w:val="36"/>
          <w:szCs w:val="36"/>
          <w:u w:val="single"/>
        </w:rPr>
      </w:pPr>
      <w:r>
        <w:rPr>
          <w:rFonts w:hint="eastAsia" w:ascii="宋体" w:hAnsi="宋体"/>
          <w:sz w:val="36"/>
          <w:szCs w:val="36"/>
        </w:rPr>
        <w:t>建设单位（盖章）：</w:t>
      </w:r>
      <w:bookmarkStart w:id="0" w:name="_Hlk71280878"/>
      <w:r>
        <w:rPr>
          <w:rFonts w:hint="eastAsia"/>
          <w:color w:val="000000"/>
          <w:spacing w:val="-20"/>
          <w:sz w:val="36"/>
          <w:szCs w:val="36"/>
          <w:u w:val="single"/>
        </w:rPr>
        <w:t>和静县西伯雅罕矿业有限公司</w:t>
      </w:r>
      <w:r>
        <w:rPr>
          <w:rFonts w:hint="eastAsia" w:ascii="宋体" w:hAnsi="宋体"/>
          <w:sz w:val="36"/>
          <w:szCs w:val="36"/>
          <w:u w:val="single"/>
        </w:rPr>
        <w:t xml:space="preserve"> </w:t>
      </w:r>
      <w:bookmarkEnd w:id="0"/>
      <w:r>
        <w:rPr>
          <w:rFonts w:hint="eastAsia" w:ascii="宋体" w:hAnsi="宋体"/>
          <w:sz w:val="36"/>
          <w:szCs w:val="36"/>
          <w:u w:val="single"/>
        </w:rPr>
        <w:t xml:space="preserve">     </w:t>
      </w:r>
    </w:p>
    <w:p>
      <w:pPr>
        <w:adjustRightInd w:val="0"/>
        <w:snapToGrid w:val="0"/>
        <w:ind w:firstLine="0" w:firstLineChars="0"/>
        <w:rPr>
          <w:rFonts w:ascii="宋体" w:hAnsi="宋体"/>
          <w:sz w:val="36"/>
          <w:szCs w:val="36"/>
          <w:u w:val="single"/>
        </w:rPr>
      </w:pPr>
      <w:r>
        <w:rPr>
          <w:rFonts w:hint="eastAsia" w:ascii="宋体" w:hAnsi="宋体"/>
          <w:sz w:val="36"/>
          <w:szCs w:val="36"/>
        </w:rPr>
        <w:t>编制日期：</w:t>
      </w:r>
      <w:r>
        <w:rPr>
          <w:rFonts w:ascii="宋体" w:hAnsi="宋体"/>
          <w:sz w:val="36"/>
          <w:szCs w:val="36"/>
          <w:u w:val="single"/>
        </w:rPr>
        <w:t>2025</w:t>
      </w:r>
      <w:r>
        <w:rPr>
          <w:rFonts w:hint="eastAsia" w:ascii="宋体" w:hAnsi="宋体"/>
          <w:sz w:val="36"/>
          <w:szCs w:val="36"/>
          <w:u w:val="single"/>
        </w:rPr>
        <w:t>年</w:t>
      </w:r>
      <w:r>
        <w:rPr>
          <w:rFonts w:ascii="宋体" w:hAnsi="宋体"/>
          <w:sz w:val="36"/>
          <w:szCs w:val="36"/>
          <w:u w:val="single"/>
        </w:rPr>
        <w:t>7</w:t>
      </w:r>
      <w:r>
        <w:rPr>
          <w:rFonts w:hint="eastAsia" w:ascii="宋体" w:hAnsi="宋体"/>
          <w:sz w:val="36"/>
          <w:szCs w:val="36"/>
          <w:u w:val="single"/>
        </w:rPr>
        <w:t xml:space="preserve">月 </w:t>
      </w:r>
      <w:r>
        <w:rPr>
          <w:rFonts w:ascii="宋体" w:hAnsi="宋体"/>
          <w:sz w:val="36"/>
          <w:szCs w:val="36"/>
          <w:u w:val="single"/>
        </w:rPr>
        <w:t xml:space="preserve">                         </w:t>
      </w:r>
    </w:p>
    <w:p/>
    <w:p/>
    <w:p/>
    <w:p/>
    <w:p/>
    <w:p/>
    <w:p>
      <w:pPr>
        <w:ind w:firstLine="0" w:firstLineChars="0"/>
      </w:pPr>
    </w:p>
    <w:p/>
    <w:p/>
    <w:p/>
    <w:p/>
    <w:p>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sz w:val="36"/>
          <w:szCs w:val="36"/>
        </w:rPr>
        <w:t>中华人民共和国生态环境部制</w:t>
      </w:r>
    </w:p>
    <w:p>
      <w:pPr>
        <w:pStyle w:val="3"/>
      </w:pPr>
      <w:r>
        <w:rPr>
          <w:rFonts w:hint="eastAsia"/>
        </w:rPr>
        <w:t>一、建设项目基本情况</w:t>
      </w:r>
    </w:p>
    <w:tbl>
      <w:tblPr>
        <w:tblStyle w:val="19"/>
        <w:tblW w:w="497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3"/>
        <w:gridCol w:w="1163"/>
        <w:gridCol w:w="2119"/>
        <w:gridCol w:w="1837"/>
        <w:gridCol w:w="2613"/>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328" w:hRule="atLeast"/>
          <w:jc w:val="center"/>
        </w:trPr>
        <w:tc>
          <w:tcPr>
            <w:tcW w:w="1024" w:type="pct"/>
            <w:gridSpan w:val="2"/>
            <w:tcMar>
              <w:top w:w="16" w:type="dxa"/>
              <w:left w:w="16" w:type="dxa"/>
              <w:right w:w="16" w:type="dxa"/>
            </w:tcMar>
            <w:vAlign w:val="center"/>
          </w:tcPr>
          <w:p>
            <w:pPr>
              <w:ind w:firstLine="0" w:firstLineChars="0"/>
              <w:jc w:val="center"/>
            </w:pPr>
            <w:r>
              <w:t>建设项目名称</w:t>
            </w:r>
          </w:p>
        </w:tc>
        <w:tc>
          <w:tcPr>
            <w:tcW w:w="3965" w:type="pct"/>
            <w:gridSpan w:val="3"/>
            <w:vAlign w:val="center"/>
          </w:tcPr>
          <w:p>
            <w:pPr>
              <w:ind w:firstLine="0" w:firstLineChars="0"/>
              <w:jc w:val="center"/>
            </w:pPr>
            <w:r>
              <w:rPr>
                <w:bCs/>
                <w:color w:val="000000"/>
              </w:rPr>
              <w:t>新疆和静县呼噜哈其沟铜矿勘探项目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tcMar>
              <w:top w:w="16" w:type="dxa"/>
              <w:left w:w="16" w:type="dxa"/>
              <w:right w:w="16" w:type="dxa"/>
            </w:tcMar>
            <w:vAlign w:val="center"/>
          </w:tcPr>
          <w:p>
            <w:pPr>
              <w:ind w:firstLine="0" w:firstLineChars="0"/>
              <w:jc w:val="center"/>
            </w:pPr>
            <w:r>
              <w:t>项目代码</w:t>
            </w:r>
          </w:p>
        </w:tc>
        <w:tc>
          <w:tcPr>
            <w:tcW w:w="3965" w:type="pct"/>
            <w:gridSpan w:val="3"/>
            <w:vAlign w:val="center"/>
          </w:tcPr>
          <w:p>
            <w:pPr>
              <w:ind w:firstLine="0" w:firstLineChars="0"/>
              <w:jc w:val="center"/>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shd w:val="clear" w:color="auto" w:fill="auto"/>
            <w:tcMar>
              <w:top w:w="16" w:type="dxa"/>
              <w:left w:w="16" w:type="dxa"/>
              <w:right w:w="16" w:type="dxa"/>
            </w:tcMar>
            <w:vAlign w:val="center"/>
          </w:tcPr>
          <w:p>
            <w:pPr>
              <w:spacing w:line="240" w:lineRule="auto"/>
              <w:ind w:firstLine="0" w:firstLineChars="0"/>
              <w:jc w:val="center"/>
            </w:pPr>
            <w:r>
              <w:t>建设单位联系人</w:t>
            </w:r>
          </w:p>
        </w:tc>
        <w:tc>
          <w:tcPr>
            <w:tcW w:w="1279" w:type="pct"/>
            <w:shd w:val="clear" w:color="auto" w:fill="auto"/>
            <w:vAlign w:val="center"/>
          </w:tcPr>
          <w:p>
            <w:pPr>
              <w:pStyle w:val="26"/>
              <w:rPr>
                <w:kern w:val="0"/>
                <w:sz w:val="24"/>
                <w:szCs w:val="24"/>
              </w:rPr>
            </w:pPr>
            <w:bookmarkStart w:id="49" w:name="_GoBack"/>
            <w:bookmarkEnd w:id="49"/>
          </w:p>
        </w:tc>
        <w:tc>
          <w:tcPr>
            <w:tcW w:w="1109" w:type="pct"/>
            <w:shd w:val="clear" w:color="auto" w:fill="auto"/>
            <w:vAlign w:val="center"/>
          </w:tcPr>
          <w:p>
            <w:pPr>
              <w:pStyle w:val="26"/>
              <w:rPr>
                <w:kern w:val="0"/>
                <w:sz w:val="24"/>
                <w:szCs w:val="24"/>
              </w:rPr>
            </w:pPr>
          </w:p>
        </w:tc>
        <w:tc>
          <w:tcPr>
            <w:tcW w:w="1575" w:type="pct"/>
            <w:shd w:val="clear" w:color="auto" w:fill="auto"/>
            <w:vAlign w:val="center"/>
          </w:tcPr>
          <w:p>
            <w:pPr>
              <w:spacing w:line="240" w:lineRule="auto"/>
              <w:ind w:firstLine="0" w:firstLineChars="0"/>
              <w:jc w:val="center"/>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90" w:hRule="atLeast"/>
          <w:jc w:val="center"/>
        </w:trPr>
        <w:tc>
          <w:tcPr>
            <w:tcW w:w="1024" w:type="pct"/>
            <w:gridSpan w:val="2"/>
            <w:tcMar>
              <w:top w:w="16" w:type="dxa"/>
              <w:left w:w="16" w:type="dxa"/>
              <w:right w:w="16" w:type="dxa"/>
            </w:tcMar>
            <w:vAlign w:val="center"/>
          </w:tcPr>
          <w:p>
            <w:pPr>
              <w:ind w:firstLine="0" w:firstLineChars="0"/>
              <w:jc w:val="center"/>
            </w:pPr>
            <w:r>
              <w:t>建设地点</w:t>
            </w:r>
          </w:p>
        </w:tc>
        <w:tc>
          <w:tcPr>
            <w:tcW w:w="3965" w:type="pct"/>
            <w:gridSpan w:val="3"/>
            <w:vAlign w:val="center"/>
          </w:tcPr>
          <w:p>
            <w:pPr>
              <w:spacing w:line="240" w:lineRule="auto"/>
              <w:ind w:firstLine="0" w:firstLineChars="0"/>
              <w:jc w:val="center"/>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tcMar>
              <w:top w:w="16" w:type="dxa"/>
              <w:left w:w="16" w:type="dxa"/>
              <w:right w:w="16" w:type="dxa"/>
            </w:tcMar>
            <w:vAlign w:val="center"/>
          </w:tcPr>
          <w:p>
            <w:pPr>
              <w:ind w:firstLine="0" w:firstLineChars="0"/>
              <w:jc w:val="center"/>
            </w:pPr>
            <w:r>
              <w:t>地理坐标</w:t>
            </w:r>
          </w:p>
        </w:tc>
        <w:tc>
          <w:tcPr>
            <w:tcW w:w="3965" w:type="pct"/>
            <w:gridSpan w:val="3"/>
            <w:vAlign w:val="center"/>
          </w:tcPr>
          <w:p>
            <w:pPr>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1577"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建设项目</w:t>
            </w:r>
          </w:p>
          <w:p>
            <w:pPr>
              <w:spacing w:line="240" w:lineRule="auto"/>
              <w:ind w:firstLine="0" w:firstLineChars="0"/>
              <w:jc w:val="center"/>
            </w:pPr>
            <w:r>
              <w:t>行业类别</w:t>
            </w:r>
          </w:p>
        </w:tc>
        <w:tc>
          <w:tcPr>
            <w:tcW w:w="1279" w:type="pct"/>
            <w:vAlign w:val="center"/>
          </w:tcPr>
          <w:p>
            <w:pPr>
              <w:pStyle w:val="27"/>
              <w:rPr>
                <w:rFonts w:ascii="Times New Roman" w:hAnsi="Times New Roman" w:cs="Times New Roman"/>
                <w:kern w:val="2"/>
              </w:rPr>
            </w:pPr>
            <w:r>
              <w:rPr>
                <w:rFonts w:ascii="Times New Roman" w:hAnsi="Times New Roman" w:cs="Times New Roman"/>
              </w:rPr>
              <w:t>四十六、专业技术服务业-99、陆地矿产资源地质勘查（含油气资源勘探）；二氧化碳地质封存</w:t>
            </w:r>
          </w:p>
        </w:tc>
        <w:tc>
          <w:tcPr>
            <w:tcW w:w="1109" w:type="pct"/>
            <w:vAlign w:val="center"/>
          </w:tcPr>
          <w:p>
            <w:pPr>
              <w:spacing w:line="240" w:lineRule="auto"/>
              <w:ind w:firstLine="0" w:firstLineChars="0"/>
              <w:jc w:val="center"/>
            </w:pPr>
            <w:r>
              <w:t>用地（用海）</w:t>
            </w:r>
          </w:p>
          <w:p>
            <w:pPr>
              <w:spacing w:line="240" w:lineRule="auto"/>
              <w:ind w:firstLine="0" w:firstLineChars="0"/>
              <w:jc w:val="center"/>
            </w:pPr>
            <w:r>
              <w:t>面积（m</w:t>
            </w:r>
            <w:r>
              <w:rPr>
                <w:vertAlign w:val="superscript"/>
              </w:rPr>
              <w:t>2</w:t>
            </w:r>
            <w:r>
              <w:t>）</w:t>
            </w:r>
          </w:p>
        </w:tc>
        <w:tc>
          <w:tcPr>
            <w:tcW w:w="1575" w:type="pct"/>
            <w:vAlign w:val="center"/>
          </w:tcPr>
          <w:p>
            <w:pPr>
              <w:ind w:firstLine="0" w:firstLineChars="0"/>
              <w:jc w:val="center"/>
            </w:pPr>
            <w:r>
              <w:t>4680000m</w:t>
            </w:r>
            <w:r>
              <w:rPr>
                <w:vertAlign w:val="superscript"/>
              </w:rPr>
              <w:t>2</w:t>
            </w:r>
            <w:r>
              <w:rPr>
                <w:rFonts w:hint="eastAsia"/>
              </w:rPr>
              <w:t>（勘查面积）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1219"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建设性质</w:t>
            </w:r>
          </w:p>
        </w:tc>
        <w:tc>
          <w:tcPr>
            <w:tcW w:w="1279" w:type="pct"/>
            <w:vAlign w:val="center"/>
          </w:tcPr>
          <w:p>
            <w:pPr>
              <w:spacing w:line="240" w:lineRule="auto"/>
              <w:ind w:firstLine="0" w:firstLineChars="0"/>
            </w:pPr>
            <w:r>
              <w:rPr/>
              <w:sym w:font="Wingdings 2" w:char="F052"/>
            </w:r>
            <w:r>
              <w:t>新建（迁建）</w:t>
            </w:r>
          </w:p>
          <w:p>
            <w:pPr>
              <w:spacing w:line="240" w:lineRule="auto"/>
              <w:ind w:firstLine="0" w:firstLineChars="0"/>
            </w:pPr>
            <w:r>
              <w:rPr/>
              <w:sym w:font="Wingdings 2" w:char="F0A3"/>
            </w:r>
            <w:r>
              <w:t>改建</w:t>
            </w:r>
          </w:p>
          <w:p>
            <w:pPr>
              <w:spacing w:line="240" w:lineRule="auto"/>
              <w:ind w:firstLine="0" w:firstLineChars="0"/>
            </w:pPr>
            <w:r>
              <w:rPr/>
              <w:sym w:font="Wingdings 2" w:char="F0A3"/>
            </w:r>
            <w:r>
              <w:t>扩建</w:t>
            </w:r>
          </w:p>
          <w:p>
            <w:pPr>
              <w:spacing w:line="240" w:lineRule="auto"/>
              <w:ind w:firstLine="0" w:firstLineChars="0"/>
            </w:pPr>
            <w:r>
              <w:rPr/>
              <w:sym w:font="Wingdings 2" w:char="F0A3"/>
            </w:r>
            <w:r>
              <w:t>技术改造</w:t>
            </w:r>
          </w:p>
        </w:tc>
        <w:tc>
          <w:tcPr>
            <w:tcW w:w="1109" w:type="pct"/>
            <w:vAlign w:val="center"/>
          </w:tcPr>
          <w:p>
            <w:pPr>
              <w:spacing w:line="240" w:lineRule="auto"/>
              <w:ind w:firstLine="0" w:firstLineChars="0"/>
              <w:jc w:val="center"/>
            </w:pPr>
            <w:r>
              <w:t>建设项目</w:t>
            </w:r>
          </w:p>
          <w:p>
            <w:pPr>
              <w:spacing w:line="240" w:lineRule="auto"/>
              <w:ind w:firstLine="0" w:firstLineChars="0"/>
              <w:jc w:val="center"/>
            </w:pPr>
            <w:r>
              <w:t>申报情形</w:t>
            </w:r>
          </w:p>
        </w:tc>
        <w:tc>
          <w:tcPr>
            <w:tcW w:w="1575" w:type="pct"/>
            <w:vAlign w:val="center"/>
          </w:tcPr>
          <w:p>
            <w:pPr>
              <w:spacing w:line="240" w:lineRule="auto"/>
              <w:ind w:firstLine="0" w:firstLineChars="0"/>
            </w:pPr>
            <w:r>
              <w:rPr/>
              <w:sym w:font="Wingdings 2" w:char="F052"/>
            </w:r>
            <w:r>
              <w:t>首次申报项目</w:t>
            </w:r>
          </w:p>
          <w:p>
            <w:pPr>
              <w:spacing w:line="240" w:lineRule="auto"/>
              <w:ind w:firstLine="0" w:firstLineChars="0"/>
            </w:pPr>
            <w:r>
              <w:rPr/>
              <w:sym w:font="Wingdings 2" w:char="F0A3"/>
            </w:r>
            <w:r>
              <w:t>不予批准后再次申报项目</w:t>
            </w:r>
          </w:p>
          <w:p>
            <w:pPr>
              <w:spacing w:line="240" w:lineRule="auto"/>
              <w:ind w:firstLine="0" w:firstLineChars="0"/>
            </w:pPr>
            <w:r>
              <w:rPr/>
              <w:sym w:font="Wingdings 2" w:char="F0A3"/>
            </w:r>
            <w:r>
              <w:t>超五年重新审核项目</w:t>
            </w:r>
          </w:p>
          <w:p>
            <w:pPr>
              <w:spacing w:line="240" w:lineRule="auto"/>
              <w:ind w:firstLine="0" w:firstLineChars="0"/>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851"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项目审批（核准/</w:t>
            </w:r>
          </w:p>
          <w:p>
            <w:pPr>
              <w:spacing w:line="240" w:lineRule="auto"/>
              <w:ind w:firstLine="0" w:firstLineChars="0"/>
              <w:jc w:val="center"/>
            </w:pPr>
            <w:r>
              <w:t>备案）部门（选填）</w:t>
            </w:r>
          </w:p>
        </w:tc>
        <w:tc>
          <w:tcPr>
            <w:tcW w:w="1279" w:type="pct"/>
            <w:vAlign w:val="center"/>
          </w:tcPr>
          <w:p>
            <w:pPr>
              <w:spacing w:line="240" w:lineRule="auto"/>
              <w:ind w:firstLine="0" w:firstLineChars="0"/>
              <w:jc w:val="center"/>
            </w:pPr>
            <w:r>
              <w:t>/</w:t>
            </w:r>
          </w:p>
        </w:tc>
        <w:tc>
          <w:tcPr>
            <w:tcW w:w="1109" w:type="pct"/>
            <w:vAlign w:val="center"/>
          </w:tcPr>
          <w:p>
            <w:pPr>
              <w:spacing w:line="240" w:lineRule="auto"/>
              <w:ind w:firstLine="0" w:firstLineChars="0"/>
              <w:jc w:val="center"/>
            </w:pPr>
            <w:r>
              <w:t>项目审批（核准/</w:t>
            </w:r>
          </w:p>
          <w:p>
            <w:pPr>
              <w:spacing w:line="240" w:lineRule="auto"/>
              <w:ind w:firstLine="0" w:firstLineChars="0"/>
              <w:jc w:val="center"/>
            </w:pPr>
            <w:r>
              <w:t>备案）文号（选填）</w:t>
            </w:r>
          </w:p>
        </w:tc>
        <w:tc>
          <w:tcPr>
            <w:tcW w:w="1575" w:type="pct"/>
            <w:vAlign w:val="center"/>
          </w:tcPr>
          <w:p>
            <w:pPr>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总投资（万元）</w:t>
            </w:r>
          </w:p>
        </w:tc>
        <w:tc>
          <w:tcPr>
            <w:tcW w:w="1279" w:type="pct"/>
            <w:vAlign w:val="center"/>
          </w:tcPr>
          <w:p>
            <w:pPr>
              <w:spacing w:line="240" w:lineRule="auto"/>
              <w:ind w:firstLine="0" w:firstLineChars="0"/>
              <w:jc w:val="center"/>
            </w:pPr>
            <w:r>
              <w:t>669.22</w:t>
            </w:r>
          </w:p>
        </w:tc>
        <w:tc>
          <w:tcPr>
            <w:tcW w:w="1109" w:type="pct"/>
            <w:tcMar>
              <w:top w:w="16" w:type="dxa"/>
              <w:left w:w="16" w:type="dxa"/>
              <w:right w:w="16" w:type="dxa"/>
            </w:tcMar>
            <w:vAlign w:val="center"/>
          </w:tcPr>
          <w:p>
            <w:pPr>
              <w:spacing w:line="240" w:lineRule="auto"/>
              <w:ind w:firstLine="0" w:firstLineChars="0"/>
              <w:jc w:val="center"/>
            </w:pPr>
            <w:r>
              <w:t>环保投资（万元）</w:t>
            </w:r>
          </w:p>
        </w:tc>
        <w:tc>
          <w:tcPr>
            <w:tcW w:w="1575" w:type="pct"/>
            <w:vAlign w:val="center"/>
          </w:tcPr>
          <w:p>
            <w:pPr>
              <w:spacing w:line="240" w:lineRule="auto"/>
              <w:ind w:firstLine="0" w:firstLineChars="0"/>
              <w:jc w:val="center"/>
            </w:pPr>
            <w:r>
              <w:rPr>
                <w:rFonts w:hint="eastAsia"/>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环保投资占比（%）</w:t>
            </w:r>
          </w:p>
        </w:tc>
        <w:tc>
          <w:tcPr>
            <w:tcW w:w="1279" w:type="pct"/>
            <w:vAlign w:val="center"/>
          </w:tcPr>
          <w:p>
            <w:pPr>
              <w:spacing w:line="240" w:lineRule="auto"/>
              <w:ind w:firstLine="0" w:firstLineChars="0"/>
              <w:jc w:val="center"/>
            </w:pPr>
            <w:r>
              <w:rPr>
                <w:rFonts w:hint="eastAsia"/>
              </w:rPr>
              <w:t>7.92</w:t>
            </w:r>
          </w:p>
        </w:tc>
        <w:tc>
          <w:tcPr>
            <w:tcW w:w="1109" w:type="pct"/>
            <w:tcMar>
              <w:top w:w="16" w:type="dxa"/>
              <w:left w:w="16" w:type="dxa"/>
              <w:right w:w="16" w:type="dxa"/>
            </w:tcMar>
            <w:vAlign w:val="center"/>
          </w:tcPr>
          <w:p>
            <w:pPr>
              <w:spacing w:line="240" w:lineRule="auto"/>
              <w:ind w:firstLine="0" w:firstLineChars="0"/>
              <w:jc w:val="center"/>
            </w:pPr>
            <w:r>
              <w:t>施工工期</w:t>
            </w:r>
          </w:p>
        </w:tc>
        <w:tc>
          <w:tcPr>
            <w:tcW w:w="1575" w:type="pct"/>
            <w:vAlign w:val="center"/>
          </w:tcPr>
          <w:p>
            <w:pPr>
              <w:spacing w:line="240" w:lineRule="auto"/>
              <w:ind w:firstLine="0" w:firstLineChars="0"/>
              <w:jc w:val="center"/>
            </w:pPr>
            <w:r>
              <w:t>5</w:t>
            </w:r>
            <w:r>
              <w:rPr>
                <w:rFonts w:hint="eastAsia"/>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9" w:type="pct"/>
          <w:trHeight w:val="497" w:hRule="atLeast"/>
          <w:jc w:val="center"/>
        </w:trPr>
        <w:tc>
          <w:tcPr>
            <w:tcW w:w="1024" w:type="pct"/>
            <w:gridSpan w:val="2"/>
            <w:tcMar>
              <w:top w:w="16" w:type="dxa"/>
              <w:left w:w="16" w:type="dxa"/>
              <w:right w:w="16" w:type="dxa"/>
            </w:tcMar>
            <w:vAlign w:val="center"/>
          </w:tcPr>
          <w:p>
            <w:pPr>
              <w:spacing w:line="240" w:lineRule="auto"/>
              <w:ind w:firstLine="0" w:firstLineChars="0"/>
              <w:jc w:val="center"/>
            </w:pPr>
            <w:r>
              <w:t>是否开工建设</w:t>
            </w:r>
          </w:p>
        </w:tc>
        <w:tc>
          <w:tcPr>
            <w:tcW w:w="3965" w:type="pct"/>
            <w:gridSpan w:val="3"/>
            <w:vAlign w:val="center"/>
          </w:tcPr>
          <w:p>
            <w:pPr>
              <w:spacing w:line="240" w:lineRule="auto"/>
              <w:ind w:firstLine="0" w:firstLineChars="0"/>
            </w:pPr>
            <w:r>
              <w:rPr/>
              <w:sym w:font="Wingdings 2" w:char="0052"/>
            </w:r>
            <w:r>
              <w:t>否</w:t>
            </w:r>
          </w:p>
          <w:p>
            <w:pPr>
              <w:spacing w:line="240" w:lineRule="auto"/>
              <w:ind w:firstLine="0" w:firstLineChars="0"/>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804" w:hRule="atLeast"/>
          <w:jc w:val="center"/>
        </w:trPr>
        <w:tc>
          <w:tcPr>
            <w:tcW w:w="1024" w:type="pct"/>
            <w:gridSpan w:val="2"/>
            <w:vAlign w:val="center"/>
          </w:tcPr>
          <w:p>
            <w:pPr>
              <w:spacing w:line="240" w:lineRule="auto"/>
              <w:ind w:firstLine="0" w:firstLineChars="0"/>
              <w:jc w:val="center"/>
            </w:pPr>
            <w:r>
              <w:t>专项评价设置情况</w:t>
            </w:r>
          </w:p>
        </w:tc>
        <w:tc>
          <w:tcPr>
            <w:tcW w:w="3965" w:type="pct"/>
            <w:gridSpan w:val="3"/>
            <w:vAlign w:val="center"/>
          </w:tcPr>
          <w:p>
            <w:pPr>
              <w:jc w:val="center"/>
            </w:pPr>
            <w: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58" w:hRule="atLeast"/>
          <w:jc w:val="center"/>
        </w:trPr>
        <w:tc>
          <w:tcPr>
            <w:tcW w:w="1024" w:type="pct"/>
            <w:gridSpan w:val="2"/>
            <w:vAlign w:val="center"/>
          </w:tcPr>
          <w:p>
            <w:pPr>
              <w:spacing w:line="240" w:lineRule="auto"/>
              <w:ind w:firstLine="0" w:firstLineChars="0"/>
              <w:jc w:val="center"/>
              <w:rPr>
                <w:kern w:val="0"/>
              </w:rPr>
            </w:pPr>
            <w:r>
              <w:t>规划情况</w:t>
            </w:r>
          </w:p>
        </w:tc>
        <w:tc>
          <w:tcPr>
            <w:tcW w:w="3965" w:type="pct"/>
            <w:gridSpan w:val="3"/>
            <w:vAlign w:val="center"/>
          </w:tcPr>
          <w:p>
            <w:pPr>
              <w:spacing w:line="240" w:lineRule="auto"/>
              <w:ind w:firstLine="0" w:firstLineChars="0"/>
            </w:pPr>
            <w:r>
              <w:rPr>
                <w:rFonts w:hint="eastAsia"/>
              </w:rPr>
              <w:t>规划名称：《巴音郭楞蒙古自治州矿产资源规划（2021-2025年）》；</w:t>
            </w:r>
          </w:p>
          <w:p>
            <w:pPr>
              <w:spacing w:line="240" w:lineRule="auto"/>
              <w:ind w:firstLine="0" w:firstLineChars="0"/>
            </w:pPr>
            <w:r>
              <w:rPr>
                <w:rFonts w:hint="eastAsia"/>
              </w:rPr>
              <w:t>巴音郭楞蒙古自治州人民政府</w:t>
            </w:r>
            <w:r>
              <w:t>2022年12月31日发布</w:t>
            </w:r>
            <w:r>
              <w:rPr>
                <w:rFonts w:hint="eastAsia"/>
              </w:rPr>
              <w:t>；</w:t>
            </w:r>
          </w:p>
          <w:p>
            <w:pPr>
              <w:spacing w:line="240" w:lineRule="auto"/>
              <w:ind w:firstLine="0" w:firstLineChars="0"/>
            </w:pPr>
            <w:r>
              <w:t>审批机关：/</w:t>
            </w:r>
          </w:p>
          <w:p>
            <w:pPr>
              <w:spacing w:line="240" w:lineRule="auto"/>
              <w:ind w:firstLine="0" w:firstLineChars="0"/>
            </w:pPr>
            <w:r>
              <w:t>审批文号：/</w:t>
            </w:r>
          </w:p>
          <w:p>
            <w:pPr>
              <w:spacing w:line="240" w:lineRule="auto"/>
              <w:ind w:firstLine="0" w:firstLineChars="0"/>
            </w:pPr>
            <w:r>
              <w:rPr>
                <w:rFonts w:hint="eastAsia"/>
              </w:rPr>
              <w:t>规划名称：</w:t>
            </w:r>
            <w:r>
              <w:t>《新疆维吾尔自治区和静县矿产资源总体规划（2021～2025年）》</w:t>
            </w:r>
            <w:r>
              <w:rPr>
                <w:rFonts w:hint="eastAsia"/>
              </w:rPr>
              <w:t>；</w:t>
            </w:r>
          </w:p>
          <w:p>
            <w:pPr>
              <w:spacing w:line="240" w:lineRule="auto"/>
              <w:ind w:firstLine="0" w:firstLineChars="0"/>
            </w:pPr>
            <w:r>
              <w:t>和静县人民政府2023年4月26日发布</w:t>
            </w:r>
            <w:r>
              <w:rPr>
                <w:rFonts w:hint="eastAsia"/>
              </w:rPr>
              <w:t>；</w:t>
            </w:r>
          </w:p>
          <w:p>
            <w:pPr>
              <w:spacing w:line="240" w:lineRule="auto"/>
              <w:ind w:firstLine="0" w:firstLineChars="0"/>
            </w:pPr>
            <w:r>
              <w:t>审批机关：/</w:t>
            </w:r>
          </w:p>
          <w:p>
            <w:pPr>
              <w:pStyle w:val="23"/>
              <w:rPr>
                <w:rFonts w:ascii="Times New Roman"/>
              </w:rPr>
            </w:pPr>
            <w:r>
              <w:rPr>
                <w:rFonts w:ascii="Times New Roman"/>
              </w:rPr>
              <w:t>审批文号：/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1021" w:hRule="atLeast"/>
          <w:jc w:val="center"/>
        </w:trPr>
        <w:tc>
          <w:tcPr>
            <w:tcW w:w="1024" w:type="pct"/>
            <w:gridSpan w:val="2"/>
            <w:vAlign w:val="center"/>
          </w:tcPr>
          <w:p>
            <w:pPr>
              <w:ind w:firstLine="0" w:firstLineChars="0"/>
              <w:jc w:val="center"/>
              <w:rPr>
                <w:kern w:val="0"/>
              </w:rPr>
            </w:pPr>
            <w:r>
              <w:t>规划环境影响评价情况</w:t>
            </w:r>
          </w:p>
        </w:tc>
        <w:tc>
          <w:tcPr>
            <w:tcW w:w="3965" w:type="pct"/>
            <w:gridSpan w:val="3"/>
            <w:vAlign w:val="center"/>
          </w:tcPr>
          <w:p>
            <w:pPr>
              <w:spacing w:line="240" w:lineRule="auto"/>
              <w:ind w:firstLine="0" w:firstLineChars="0"/>
              <w:jc w:val="center"/>
            </w:pPr>
            <w:r>
              <w:rPr>
                <w:rFonts w:hint="eastAsia"/>
              </w:rPr>
              <w:t>《巴音郭楞蒙古自治州矿产资源规划（2021-2025年）环境影响篇章》（2021年11月）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1021" w:hRule="atLeast"/>
          <w:jc w:val="center"/>
        </w:trPr>
        <w:tc>
          <w:tcPr>
            <w:tcW w:w="1024" w:type="pct"/>
            <w:gridSpan w:val="2"/>
            <w:vAlign w:val="center"/>
          </w:tcPr>
          <w:p>
            <w:pPr>
              <w:ind w:firstLine="0" w:firstLineChars="0"/>
              <w:jc w:val="center"/>
            </w:pPr>
            <w:r>
              <w:t>规划及规划环境影响评价符合性分析</w:t>
            </w:r>
          </w:p>
        </w:tc>
        <w:tc>
          <w:tcPr>
            <w:tcW w:w="3965" w:type="pct"/>
            <w:gridSpan w:val="3"/>
            <w:vAlign w:val="center"/>
          </w:tcPr>
          <w:p>
            <w:pPr>
              <w:ind w:firstLine="0" w:firstLineChars="0"/>
              <w:rPr>
                <w:b/>
                <w:bCs/>
              </w:rPr>
            </w:pPr>
            <w:r>
              <w:rPr>
                <w:rFonts w:hint="eastAsia"/>
                <w:b/>
                <w:bCs/>
              </w:rPr>
              <w:t>与《巴音郭楞蒙古自治州矿产资源总体规划（2</w:t>
            </w:r>
            <w:r>
              <w:rPr>
                <w:b/>
                <w:bCs/>
              </w:rPr>
              <w:t>021-2025</w:t>
            </w:r>
            <w:r>
              <w:rPr>
                <w:rFonts w:hint="eastAsia"/>
                <w:b/>
                <w:bCs/>
              </w:rPr>
              <w:t>年）》</w:t>
            </w:r>
            <w:r>
              <w:rPr>
                <w:b/>
                <w:bCs/>
              </w:rPr>
              <w:t>相符性分析</w:t>
            </w:r>
          </w:p>
          <w:p>
            <w:r>
              <w:rPr>
                <w:rFonts w:hint="eastAsia"/>
              </w:rPr>
              <w:t>《新疆巴音郭楞蒙古自治州矿产资源总体规划（2</w:t>
            </w:r>
            <w:r>
              <w:t>021-2025</w:t>
            </w:r>
            <w:r>
              <w:rPr>
                <w:rFonts w:hint="eastAsia"/>
              </w:rPr>
              <w:t>年）》提出发展要求，积极开展煤、煤层气，黑色、有色、稀有、贵金属、非金属等矿的调查评价和基础地质调查研究，主要矿产资源保障能力显著提高。产资源开发布局及开采总量管控趋于合理。绿色矿业发展格局基本形成，矿山生态环境保护与治理恢复取得新进展。矿产资源管理水平不断提升。</w:t>
            </w:r>
            <w:r>
              <w:t>本项目为铜矿勘探项目，符合上述《规划》的发展要求。</w:t>
            </w:r>
          </w:p>
          <w:p>
            <w:pPr>
              <w:ind w:firstLine="0" w:firstLineChars="0"/>
              <w:outlineLvl w:val="2"/>
              <w:rPr>
                <w:b/>
              </w:rPr>
            </w:pPr>
            <w:r>
              <w:rPr>
                <w:rFonts w:hint="eastAsia"/>
                <w:b/>
              </w:rPr>
              <w:t>与《巴音郭楞蒙古自治州矿产资源规划（2021-2025年）环境影响篇章》相符性分析</w:t>
            </w:r>
          </w:p>
          <w:p>
            <w:pPr>
              <w:pStyle w:val="46"/>
              <w:spacing w:before="156"/>
              <w:ind w:firstLine="422"/>
              <w:rPr>
                <w:color w:val="000000" w:themeColor="text1"/>
                <w14:textFill>
                  <w14:solidFill>
                    <w14:schemeClr w14:val="tx1"/>
                  </w14:solidFill>
                </w14:textFill>
              </w:rPr>
            </w:pPr>
            <w:r>
              <w:rPr>
                <w:rFonts w:hint="eastAsia"/>
                <w:color w:val="000000"/>
              </w:rPr>
              <w:t>表1</w:t>
            </w:r>
            <w:r>
              <w:rPr>
                <w:color w:val="000000"/>
              </w:rPr>
              <w:t xml:space="preserve">-1  </w:t>
            </w:r>
            <w:r>
              <w:rPr>
                <w:rFonts w:hint="eastAsia"/>
                <w:color w:val="000000"/>
              </w:rPr>
              <w:t>本项目《巴音郭楞蒙古自治州矿产资源规划（2021-2025年）环境影响篇章》相符性分析一览表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870"/>
              <w:gridCol w:w="1712"/>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pStyle w:val="47"/>
                    <w:spacing w:before="156"/>
                    <w:jc w:val="center"/>
                  </w:pPr>
                  <w:r>
                    <w:rPr>
                      <w:rFonts w:hint="eastAsia"/>
                    </w:rPr>
                    <w:t>文件要求</w:t>
                  </w:r>
                </w:p>
              </w:tc>
              <w:tc>
                <w:tcPr>
                  <w:tcW w:w="1354" w:type="pct"/>
                  <w:vAlign w:val="center"/>
                </w:tcPr>
                <w:p>
                  <w:pPr>
                    <w:pStyle w:val="47"/>
                    <w:spacing w:before="156"/>
                    <w:jc w:val="center"/>
                  </w:pPr>
                  <w:r>
                    <w:rPr>
                      <w:rFonts w:hint="eastAsia"/>
                    </w:rPr>
                    <w:t>本项目</w:t>
                  </w:r>
                </w:p>
              </w:tc>
              <w:tc>
                <w:tcPr>
                  <w:tcW w:w="586" w:type="pct"/>
                  <w:vAlign w:val="center"/>
                </w:tcPr>
                <w:p>
                  <w:pPr>
                    <w:pStyle w:val="47"/>
                    <w:spacing w:before="156"/>
                    <w:jc w:val="center"/>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51" w:hRule="atLeast"/>
                <w:jc w:val="center"/>
              </w:trPr>
              <w:tc>
                <w:tcPr>
                  <w:tcW w:w="3060" w:type="pct"/>
                  <w:vAlign w:val="center"/>
                </w:tcPr>
                <w:p>
                  <w:pPr>
                    <w:pStyle w:val="47"/>
                    <w:spacing w:before="156"/>
                    <w:jc w:val="center"/>
                  </w:pPr>
                  <w:r>
                    <w:rPr>
                      <w:rFonts w:hint="eastAsia"/>
                    </w:rPr>
                    <w:t>围绕国家战略性矿产、自治区优势紧缺矿产，重点勘查煤层气、页岩气、煤炭、铁、锰、铬、钒、钛、铜、镍、铅、锌、钴、钨、锡、钼、锑、金、铌、钽、铍、锂、稀土、晶质石墨、钾盐、萤石、高纯石英等矿产。限制勘查高硫煤、石煤、硫铁矿、石棉等矿产，总量限制的非市场紧缺矿种等。</w:t>
                  </w:r>
                </w:p>
              </w:tc>
              <w:tc>
                <w:tcPr>
                  <w:tcW w:w="1354" w:type="pct"/>
                  <w:vMerge w:val="restart"/>
                  <w:vAlign w:val="center"/>
                </w:tcPr>
                <w:p>
                  <w:pPr>
                    <w:pStyle w:val="47"/>
                    <w:spacing w:before="156"/>
                    <w:jc w:val="center"/>
                  </w:pPr>
                  <w:r>
                    <w:rPr>
                      <w:rFonts w:hint="eastAsia"/>
                    </w:rPr>
                    <w:t>本项目为铜矿勘探项目，不属于限制、禁止勘查矿种</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开展重要成矿区（带）的矿产调查评价工作，为后续勘查工作提供基地。吸引各类资金，争取在煤、铁、铜、镍、铅锌、金、钨锡、锂铍、萤石、石灰岩（大理岩）、饰面石材、硅质原料（脉石英、石英岩）等矿产勘查方面取得重要进展，新增部分资源储量。</w:t>
                  </w:r>
                </w:p>
              </w:tc>
              <w:tc>
                <w:tcPr>
                  <w:tcW w:w="1354" w:type="pct"/>
                  <w:vMerge w:val="continue"/>
                  <w:vAlign w:val="center"/>
                </w:tcPr>
                <w:p>
                  <w:pPr>
                    <w:pStyle w:val="47"/>
                    <w:spacing w:before="156"/>
                    <w:jc w:val="center"/>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90" w:hRule="atLeast"/>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科学管控开发总量，鼓励饰面用石材、石灰岩、花岗岩等非金属矿产的开采及加工；加大萤石、石英岩矿深加工技术研究，积极创造条件对其进行集约化开发；稳步推进铁、铜、镍、锂、铍、钨、锡、铅、锌、金等金属矿产勘查与开发，确保煤炭、钾盐等大宗矿产资源的安全有效供给，保持稀有金属和贵金属、特色非金属产量稳中有增；矿业开发结构更趋合理，矿业开发产业链进一步延长，产品附加值显著提高。到2025年，形成矿产资源开发与保护新格局。开发总量控制在8319万吨/年左右</w:t>
                  </w:r>
                </w:p>
              </w:tc>
              <w:tc>
                <w:tcPr>
                  <w:tcW w:w="1354" w:type="pct"/>
                  <w:vAlign w:val="center"/>
                </w:tcPr>
                <w:p>
                  <w:pPr>
                    <w:pStyle w:val="47"/>
                    <w:spacing w:before="156"/>
                  </w:pPr>
                  <w:r>
                    <w:rPr>
                      <w:rFonts w:hint="eastAsia"/>
                    </w:rPr>
                    <w:t>本项目为铜矿勘探项目</w:t>
                  </w:r>
                  <w:r>
                    <w:rPr>
                      <w:rFonts w:hint="eastAsia"/>
                      <w:color w:val="000000"/>
                    </w:rPr>
                    <w:t>，主要目的是探明勘探区的资源储量，为后期的开发规划提供依据</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积极推进绿色勘查，确保矿产勘查工作不再产生新的环境问题。新建矿山全部按照 绿色矿山标准建设，生产矿山加快改造升级，力争至2025年大、中型矿山达到自治区规划的绿色矿山建设目标，小型矿山以绿色矿山标准规范管理。</w:t>
                  </w:r>
                </w:p>
              </w:tc>
              <w:tc>
                <w:tcPr>
                  <w:tcW w:w="1354" w:type="pct"/>
                  <w:vAlign w:val="center"/>
                </w:tcPr>
                <w:p>
                  <w:pPr>
                    <w:pStyle w:val="47"/>
                    <w:spacing w:before="156"/>
                  </w:pPr>
                  <w:r>
                    <w:rPr>
                      <w:rFonts w:hint="eastAsia"/>
                    </w:rPr>
                    <w:t>本项目采用先进使用的技术工艺、设备、方法开展地质勘查工作，有效减少对生态环境影响的程度、范围及持续时间</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规划实施后的主要大气环境影响源包括：采矿施工作业粉尘、施工交通运输产生的</w:t>
                  </w:r>
                </w:p>
                <w:p>
                  <w:pPr>
                    <w:widowControl/>
                    <w:spacing w:line="240" w:lineRule="auto"/>
                    <w:ind w:firstLine="0" w:firstLineChars="0"/>
                    <w:jc w:val="center"/>
                    <w:rPr>
                      <w:sz w:val="21"/>
                      <w:szCs w:val="21"/>
                    </w:rPr>
                  </w:pPr>
                  <w:r>
                    <w:rPr>
                      <w:rFonts w:hint="eastAsia"/>
                      <w:sz w:val="21"/>
                      <w:szCs w:val="21"/>
                    </w:rPr>
                    <w:t>扬尘；场地平整形成的裸露地表、地基开挖、回填以及散状物料堆放等产生的扬尘；爆破烟气；推土机、挖掘机等燃油设备及交通运输车辆释放的废气；冶炼及压延加工产生的废气，冬季采暖锅炉排烟。通过采取有效的污染控制措施，对大气环境的影响是可控的</w:t>
                  </w:r>
                </w:p>
              </w:tc>
              <w:tc>
                <w:tcPr>
                  <w:tcW w:w="1354" w:type="pct"/>
                  <w:vMerge w:val="restart"/>
                  <w:vAlign w:val="center"/>
                </w:tcPr>
                <w:p>
                  <w:pPr>
                    <w:pStyle w:val="47"/>
                    <w:spacing w:before="156"/>
                    <w:jc w:val="center"/>
                    <w:rPr>
                      <w:spacing w:val="4"/>
                    </w:rPr>
                  </w:pPr>
                  <w:r>
                    <w:rPr>
                      <w:rFonts w:hint="eastAsia"/>
                    </w:rPr>
                    <w:t>本项目大气污染物主要为颗粒物，采取相应措施后能够满足相关排放要求，对周边环境影响可接受，</w:t>
                  </w:r>
                  <w:r>
                    <w:rPr>
                      <w:color w:val="000000" w:themeColor="text1"/>
                      <w14:textFill>
                        <w14:solidFill>
                          <w14:schemeClr w14:val="tx1"/>
                        </w14:solidFill>
                      </w14:textFill>
                    </w:rPr>
                    <w:t>生活污水进入防渗化粪池（10m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）处理后</w:t>
                  </w:r>
                  <w:r>
                    <w:rPr>
                      <w:rFonts w:hint="eastAsia"/>
                      <w:color w:val="000000" w:themeColor="text1"/>
                      <w14:textFill>
                        <w14:solidFill>
                          <w14:schemeClr w14:val="tx1"/>
                        </w14:solidFill>
                      </w14:textFill>
                    </w:rPr>
                    <w:t>自然蒸发</w:t>
                  </w:r>
                  <w:r>
                    <w:rPr>
                      <w:rFonts w:hint="eastAsia"/>
                    </w:rPr>
                    <w:t>；生产废水循环使用，不外排；</w:t>
                  </w:r>
                  <w:r>
                    <w:rPr>
                      <w:rFonts w:hint="eastAsia"/>
                      <w:spacing w:val="4"/>
                    </w:rPr>
                    <w:t>本工程实施后通过采取完善的污染治理措施，不会对周围大气环境、地表水环境、声环境、地下水、土壤环境产生明显影响</w:t>
                  </w: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根据矿区水文地质条件判别地下水环境容易受到污染的程度，分析污染物迁移穿过 包气带进入含水层的能力，分析深层地下水含水组上覆地层的防污性能和有无与浅层地下水的水力联系。在此基础上对回用水池、各类事故池等在修建时应采取严格的防渗措施。一般废水经过污水处理后循环使用，不外排。部分矿区可能有外排的情况，在排水管道做好严格的防渗措施后，渗入地下水的污水会很少。在工程设计、施工时，应严把设计、施工质量关，杜绝因材质、防渗及运行失误造 成的泄漏。生产运行过程中，必须严格控制泄漏、外溢等事故，强化监控手段，定期检查，保护区域地下水资源</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对声环境的影响，从设备发声原理、传播途径和影响范围来看，一般单个噪声设备影响范围在200m之内，通过合理布局，避免高噪声设备集中安置，控制高噪声设备和主要声环境敏感点的距离，合理布局、合理绿化，一般不会造成噪声值超标</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60" w:type="pct"/>
                  <w:vAlign w:val="center"/>
                </w:tcPr>
                <w:p>
                  <w:pPr>
                    <w:widowControl/>
                    <w:spacing w:line="240" w:lineRule="auto"/>
                    <w:ind w:firstLine="0" w:firstLineChars="0"/>
                    <w:jc w:val="center"/>
                    <w:rPr>
                      <w:sz w:val="21"/>
                      <w:szCs w:val="21"/>
                    </w:rPr>
                  </w:pPr>
                  <w:r>
                    <w:rPr>
                      <w:rFonts w:hint="eastAsia"/>
                      <w:sz w:val="21"/>
                      <w:szCs w:val="21"/>
                    </w:rPr>
                    <w:t>规划实施过程中，产生的固体废物种类较多，主要包括废石、煤矸石、尾矿、冶炼 渣等固体废物，废机油、修井油泥，以及生活垃圾等。固废应首先考虑综合利用，秉承“减量化、资源化、无害化”原则。固废堆场应符合相关技术要求。不能综合利用时要按一般工业固废及危害分别进行合理处置</w:t>
                  </w:r>
                </w:p>
              </w:tc>
              <w:tc>
                <w:tcPr>
                  <w:tcW w:w="1354" w:type="pct"/>
                  <w:vMerge w:val="continue"/>
                  <w:vAlign w:val="center"/>
                </w:tcPr>
                <w:p>
                  <w:pPr>
                    <w:pStyle w:val="47"/>
                    <w:spacing w:before="156"/>
                  </w:pPr>
                </w:p>
              </w:tc>
              <w:tc>
                <w:tcPr>
                  <w:tcW w:w="586" w:type="pct"/>
                  <w:vAlign w:val="center"/>
                </w:tcPr>
                <w:p>
                  <w:pPr>
                    <w:pStyle w:val="47"/>
                    <w:spacing w:before="156"/>
                    <w:jc w:val="center"/>
                  </w:pPr>
                  <w:r>
                    <w:rPr>
                      <w:rFonts w:hint="eastAsia"/>
                    </w:rPr>
                    <w:t>符合</w:t>
                  </w:r>
                </w:p>
              </w:tc>
            </w:tr>
          </w:tbl>
          <w:p>
            <w:pPr>
              <w:ind w:firstLine="0" w:firstLineChars="0"/>
              <w:rPr>
                <w:b/>
                <w:bCs/>
              </w:rPr>
            </w:pPr>
            <w:r>
              <w:rPr>
                <w:b/>
                <w:bCs/>
              </w:rPr>
              <w:t>与《新疆维吾尔自治区和静县矿产资源总体规划（2021～2025年）》相符性分析</w:t>
            </w:r>
          </w:p>
          <w:p>
            <w:pPr>
              <w:jc w:val="left"/>
            </w:pPr>
            <w:r>
              <w:t>《新疆维吾尔自治区和静县矿产资源总体规划（2021～2025年）》提出发展要求，经济社会全面发展需要进一步提高矿产资源安全供给保障能力。和静县是资源型地区，矿业经济对国民经济和社会发展带动效应举足轻重。“十四五”时期，和静县着力提升经济发展的质量和效益，加快制造业、服务业和农业转型升级，推动战略性新兴产业和高新技术产业迅速崛起，推进“四新”经济发展，加快推动向高端化、智能化、绿色化转型，提升城市竞争力，需要进一步强化矿产资源勘查开发，加强科技创新，加快推进矿产资源深部勘查开发，增储保量，缓解矿产资源消耗和资源储量增长的矛盾，建立稳定、平衡的资源供应体系，提高矿产资源安全保障能力，实现矿业经济持续快速高效发展。本项目为铜矿勘探项目，符合上述《规划》的发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5" w:hRule="atLeast"/>
          <w:jc w:val="center"/>
        </w:trPr>
        <w:tc>
          <w:tcPr>
            <w:tcW w:w="322" w:type="pct"/>
            <w:vAlign w:val="center"/>
          </w:tcPr>
          <w:p>
            <w:pPr>
              <w:ind w:firstLine="0" w:firstLineChars="0"/>
            </w:pPr>
            <w:r>
              <w:rPr>
                <w:rFonts w:hint="eastAsia"/>
              </w:rPr>
              <w:t>其他符合性分析</w:t>
            </w:r>
          </w:p>
        </w:tc>
        <w:tc>
          <w:tcPr>
            <w:tcW w:w="4677" w:type="pct"/>
            <w:gridSpan w:val="5"/>
          </w:tcPr>
          <w:p>
            <w:pPr>
              <w:pStyle w:val="15"/>
              <w:ind w:firstLine="482" w:firstLineChars="200"/>
              <w:jc w:val="both"/>
            </w:pPr>
            <w:r>
              <w:t>1</w:t>
            </w:r>
            <w:r>
              <w:rPr>
                <w:rFonts w:hint="eastAsia"/>
              </w:rPr>
              <w:t>.</w:t>
            </w:r>
            <w:r>
              <w:t>产业政策符合性</w:t>
            </w:r>
          </w:p>
          <w:p>
            <w:r>
              <w:rPr>
                <w:snapToGrid w:val="0"/>
              </w:rPr>
              <w:t>根据</w:t>
            </w:r>
            <w:r>
              <w:rPr>
                <w:rFonts w:ascii="宋体" w:hAnsi="宋体"/>
                <w:color w:val="000000"/>
                <w:szCs w:val="22"/>
              </w:rPr>
              <w:t>《产业结构调整指导目录（</w:t>
            </w:r>
            <w:r>
              <w:rPr>
                <w:rFonts w:hint="eastAsia"/>
              </w:rPr>
              <w:t>2024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p>
          <w:p>
            <w:pPr>
              <w:pStyle w:val="15"/>
              <w:ind w:firstLine="482" w:firstLineChars="200"/>
              <w:jc w:val="both"/>
            </w:pPr>
            <w:r>
              <w:t>2</w:t>
            </w:r>
            <w:r>
              <w:rPr>
                <w:rFonts w:hint="eastAsia"/>
              </w:rPr>
              <w:t>.生态环境分区管控相符性分析</w:t>
            </w:r>
          </w:p>
          <w:p>
            <w:pPr>
              <w:contextualSpacing/>
            </w:pPr>
            <w:r>
              <w:rPr>
                <w:rFonts w:hint="eastAsia"/>
              </w:rPr>
              <w:t>根据“关于印发《新疆维吾尔自治区生态环境分区管控动态更新成果》的通知”（新环环评发〔2024〕157号），将本项目与空间布局约束、污染物排放管控、环境风险防控和资源利用相关要求对比分析。</w:t>
            </w:r>
          </w:p>
          <w:p>
            <w:pPr>
              <w:adjustRightInd w:val="0"/>
              <w:spacing w:before="156" w:beforeLines="50" w:line="240" w:lineRule="auto"/>
              <w:ind w:firstLine="0" w:firstLineChars="0"/>
              <w:jc w:val="center"/>
              <w:textAlignment w:val="baseline"/>
              <w:rPr>
                <w:b/>
                <w:kern w:val="0"/>
                <w:sz w:val="21"/>
                <w:szCs w:val="20"/>
              </w:rPr>
            </w:pPr>
            <w:r>
              <w:rPr>
                <w:rFonts w:hint="eastAsia"/>
                <w:b/>
                <w:bCs/>
                <w:sz w:val="21"/>
                <w:szCs w:val="21"/>
              </w:rPr>
              <w:t>表</w:t>
            </w:r>
            <w:r>
              <w:rPr>
                <w:b/>
                <w:bCs/>
                <w:sz w:val="21"/>
                <w:szCs w:val="21"/>
              </w:rPr>
              <w:t>1-</w:t>
            </w:r>
            <w:r>
              <w:rPr>
                <w:rFonts w:hint="eastAsia"/>
                <w:b/>
                <w:bCs/>
                <w:sz w:val="21"/>
                <w:szCs w:val="21"/>
              </w:rPr>
              <w:t>2</w:t>
            </w:r>
            <w:r>
              <w:rPr>
                <w:b/>
                <w:bCs/>
                <w:sz w:val="21"/>
                <w:szCs w:val="21"/>
              </w:rPr>
              <w:t xml:space="preserve">  </w:t>
            </w:r>
            <w:r>
              <w:rPr>
                <w:rFonts w:hint="eastAsia"/>
                <w:b/>
                <w:bCs/>
                <w:sz w:val="21"/>
                <w:szCs w:val="21"/>
              </w:rPr>
              <w:t>本项目与新疆维吾尔自治区生态环境分区管控符合性分析一览</w:t>
            </w:r>
            <w:r>
              <w:rPr>
                <w:rFonts w:hint="eastAsia"/>
                <w:b/>
                <w:kern w:val="0"/>
                <w:sz w:val="21"/>
                <w:szCs w:val="20"/>
              </w:rPr>
              <w:t>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2"/>
              <w:gridCol w:w="317"/>
              <w:gridCol w:w="324"/>
              <w:gridCol w:w="3737"/>
              <w:gridCol w:w="1838"/>
              <w:gridCol w:w="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Align w:val="center"/>
                </w:tcPr>
                <w:p>
                  <w:pPr>
                    <w:spacing w:line="240" w:lineRule="auto"/>
                    <w:ind w:firstLine="0" w:firstLineChars="0"/>
                    <w:contextualSpacing/>
                    <w:jc w:val="center"/>
                    <w:rPr>
                      <w:sz w:val="21"/>
                    </w:rPr>
                  </w:pPr>
                  <w:r>
                    <w:rPr>
                      <w:rFonts w:hint="eastAsia"/>
                      <w:sz w:val="21"/>
                    </w:rPr>
                    <w:t>名称</w:t>
                  </w:r>
                </w:p>
              </w:tc>
              <w:tc>
                <w:tcPr>
                  <w:tcW w:w="2916" w:type="pct"/>
                  <w:gridSpan w:val="3"/>
                  <w:vAlign w:val="center"/>
                </w:tcPr>
                <w:p>
                  <w:pPr>
                    <w:spacing w:line="240" w:lineRule="auto"/>
                    <w:ind w:firstLine="0" w:firstLineChars="0"/>
                    <w:contextualSpacing/>
                    <w:jc w:val="center"/>
                    <w:rPr>
                      <w:sz w:val="21"/>
                    </w:rPr>
                  </w:pPr>
                  <w:r>
                    <w:rPr>
                      <w:rFonts w:hint="eastAsia"/>
                      <w:sz w:val="21"/>
                    </w:rPr>
                    <w:t>文件要求</w:t>
                  </w:r>
                </w:p>
              </w:tc>
              <w:tc>
                <w:tcPr>
                  <w:tcW w:w="1224" w:type="pct"/>
                  <w:vAlign w:val="center"/>
                </w:tcPr>
                <w:p>
                  <w:pPr>
                    <w:spacing w:line="240" w:lineRule="auto"/>
                    <w:ind w:firstLine="0" w:firstLineChars="0"/>
                    <w:contextualSpacing/>
                    <w:jc w:val="center"/>
                    <w:rPr>
                      <w:sz w:val="21"/>
                    </w:rPr>
                  </w:pPr>
                  <w:r>
                    <w:rPr>
                      <w:rFonts w:hint="eastAsia"/>
                      <w:sz w:val="21"/>
                    </w:rPr>
                    <w:t>本项目</w:t>
                  </w:r>
                </w:p>
              </w:tc>
              <w:tc>
                <w:tcPr>
                  <w:tcW w:w="537" w:type="pct"/>
                  <w:vAlign w:val="center"/>
                </w:tcPr>
                <w:p>
                  <w:pPr>
                    <w:spacing w:line="240" w:lineRule="auto"/>
                    <w:ind w:firstLine="0" w:firstLineChars="0"/>
                    <w:contextualSpacing/>
                    <w:jc w:val="center"/>
                    <w:rPr>
                      <w:sz w:val="21"/>
                    </w:rPr>
                  </w:pPr>
                  <w:r>
                    <w:rPr>
                      <w:rFonts w:hint="eastAsia"/>
                      <w:sz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restart"/>
                  <w:vAlign w:val="center"/>
                </w:tcPr>
                <w:p>
                  <w:pPr>
                    <w:spacing w:line="240" w:lineRule="auto"/>
                    <w:ind w:firstLine="0" w:firstLineChars="0"/>
                    <w:contextualSpacing/>
                    <w:jc w:val="center"/>
                    <w:rPr>
                      <w:sz w:val="21"/>
                    </w:rPr>
                  </w:pPr>
                  <w:r>
                    <w:rPr>
                      <w:rFonts w:hint="eastAsia"/>
                      <w:sz w:val="21"/>
                    </w:rPr>
                    <w:t>《新疆维吾尔自治区生态环境分区管控方案》</w:t>
                  </w:r>
                </w:p>
              </w:tc>
              <w:tc>
                <w:tcPr>
                  <w:tcW w:w="427" w:type="pct"/>
                  <w:gridSpan w:val="2"/>
                  <w:vAlign w:val="center"/>
                </w:tcPr>
                <w:p>
                  <w:pPr>
                    <w:spacing w:line="240" w:lineRule="auto"/>
                    <w:ind w:firstLine="0" w:firstLineChars="0"/>
                    <w:contextualSpacing/>
                    <w:jc w:val="center"/>
                    <w:rPr>
                      <w:sz w:val="21"/>
                    </w:rPr>
                  </w:pPr>
                  <w:r>
                    <w:rPr>
                      <w:rFonts w:hint="eastAsia"/>
                      <w:sz w:val="21"/>
                    </w:rPr>
                    <w:t>生态保护红线</w:t>
                  </w:r>
                </w:p>
              </w:tc>
              <w:tc>
                <w:tcPr>
                  <w:tcW w:w="2489" w:type="pct"/>
                  <w:vAlign w:val="center"/>
                </w:tcPr>
                <w:p>
                  <w:pPr>
                    <w:spacing w:line="240" w:lineRule="auto"/>
                    <w:ind w:firstLine="0" w:firstLineChars="0"/>
                    <w:contextualSpacing/>
                    <w:jc w:val="center"/>
                    <w:rPr>
                      <w:sz w:val="21"/>
                    </w:rPr>
                  </w:pPr>
                  <w:r>
                    <w:rPr>
                      <w:rFonts w:hint="eastAsia"/>
                      <w:sz w:val="21"/>
                    </w:rPr>
                    <w:t>按照“生态功能不降低、面积不减少、性质不改变”的基本要求，对划定的生态保护红线实施严格管控，保障和维护国家生态安全的底线和生命线</w:t>
                  </w:r>
                </w:p>
              </w:tc>
              <w:tc>
                <w:tcPr>
                  <w:tcW w:w="1224" w:type="pct"/>
                  <w:vAlign w:val="center"/>
                </w:tcPr>
                <w:p>
                  <w:pPr>
                    <w:spacing w:line="240" w:lineRule="auto"/>
                    <w:ind w:firstLine="0" w:firstLineChars="0"/>
                    <w:contextualSpacing/>
                    <w:jc w:val="center"/>
                    <w:rPr>
                      <w:sz w:val="21"/>
                    </w:rPr>
                  </w:pPr>
                  <w:r>
                    <w:rPr>
                      <w:rFonts w:hint="eastAsia"/>
                      <w:sz w:val="21"/>
                    </w:rPr>
                    <w:t>本项目不在生态保护红线范围内</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环境质量底线</w:t>
                  </w:r>
                </w:p>
              </w:tc>
              <w:tc>
                <w:tcPr>
                  <w:tcW w:w="2489" w:type="pct"/>
                  <w:vAlign w:val="center"/>
                </w:tcPr>
                <w:p>
                  <w:pPr>
                    <w:spacing w:line="240" w:lineRule="auto"/>
                    <w:ind w:firstLine="0" w:firstLineChars="0"/>
                    <w:contextualSpacing/>
                    <w:jc w:val="center"/>
                    <w:rPr>
                      <w:sz w:val="21"/>
                    </w:rPr>
                  </w:pPr>
                  <w:r>
                    <w:rPr>
                      <w:rFonts w:hint="eastAsia"/>
                      <w:sz w:val="21"/>
                    </w:rP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224" w:type="pct"/>
                  <w:vAlign w:val="center"/>
                </w:tcPr>
                <w:p>
                  <w:pPr>
                    <w:spacing w:line="240" w:lineRule="auto"/>
                    <w:ind w:firstLine="0" w:firstLineChars="0"/>
                    <w:contextualSpacing/>
                    <w:rPr>
                      <w:sz w:val="21"/>
                    </w:rPr>
                  </w:pPr>
                  <w:r>
                    <w:rPr>
                      <w:rFonts w:hint="eastAsia"/>
                      <w:sz w:val="21"/>
                    </w:rPr>
                    <w:t>本项目运营期采取相应措施后能够满足相关排放要求，对周边环境影响可接受</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427" w:type="pct"/>
                  <w:gridSpan w:val="2"/>
                  <w:vAlign w:val="center"/>
                </w:tcPr>
                <w:p>
                  <w:pPr>
                    <w:spacing w:line="240" w:lineRule="auto"/>
                    <w:ind w:firstLine="0" w:firstLineChars="0"/>
                    <w:contextualSpacing/>
                    <w:jc w:val="center"/>
                    <w:rPr>
                      <w:sz w:val="21"/>
                    </w:rPr>
                  </w:pPr>
                  <w:r>
                    <w:rPr>
                      <w:rFonts w:hint="eastAsia"/>
                      <w:sz w:val="21"/>
                    </w:rPr>
                    <w:t>资源利用上线</w:t>
                  </w:r>
                </w:p>
              </w:tc>
              <w:tc>
                <w:tcPr>
                  <w:tcW w:w="2489" w:type="pct"/>
                  <w:vAlign w:val="center"/>
                </w:tcPr>
                <w:p>
                  <w:pPr>
                    <w:spacing w:line="240" w:lineRule="auto"/>
                    <w:ind w:firstLine="0" w:firstLineChars="0"/>
                    <w:contextualSpacing/>
                    <w:jc w:val="center"/>
                    <w:rPr>
                      <w:sz w:val="21"/>
                    </w:rPr>
                  </w:pPr>
                  <w:r>
                    <w:rPr>
                      <w:rFonts w:hint="eastAsia"/>
                      <w:sz w:val="21"/>
                    </w:rPr>
                    <w:t>强化节约集约利用，持续提升资源能源利用效率，水资源、土地资源、能源消耗等达到国家、自治区下达的总量和强度控制目标</w:t>
                  </w:r>
                </w:p>
              </w:tc>
              <w:tc>
                <w:tcPr>
                  <w:tcW w:w="1224" w:type="pct"/>
                  <w:vAlign w:val="center"/>
                </w:tcPr>
                <w:p>
                  <w:pPr>
                    <w:spacing w:line="240" w:lineRule="auto"/>
                    <w:ind w:firstLine="0" w:firstLineChars="0"/>
                    <w:contextualSpacing/>
                    <w:jc w:val="center"/>
                    <w:rPr>
                      <w:sz w:val="21"/>
                    </w:rPr>
                  </w:pPr>
                  <w:r>
                    <w:rPr>
                      <w:rFonts w:hint="eastAsia"/>
                      <w:sz w:val="21"/>
                    </w:rPr>
                    <w:t>本项目主要利用资源为生产、生活用水及生产用电，本项目用水量及耗电量较小，占地面积较小，对区域水资源、土地资源、能源消耗较小，不会超过资源利用上线</w:t>
                  </w:r>
                </w:p>
              </w:tc>
              <w:tc>
                <w:tcPr>
                  <w:tcW w:w="537" w:type="pct"/>
                  <w:vAlign w:val="center"/>
                </w:tcPr>
                <w:p>
                  <w:pPr>
                    <w:spacing w:line="240" w:lineRule="auto"/>
                    <w:ind w:firstLine="0" w:firstLineChars="0"/>
                    <w:contextualSpacing/>
                    <w:jc w:val="center"/>
                    <w:rPr>
                      <w:sz w:val="21"/>
                    </w:rPr>
                  </w:pPr>
                  <w:r>
                    <w:rPr>
                      <w:rFonts w:hint="eastAsia"/>
                      <w:sz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21" w:type="pct"/>
                  <w:vMerge w:val="continue"/>
                  <w:vAlign w:val="center"/>
                </w:tcPr>
                <w:p>
                  <w:pPr>
                    <w:spacing w:line="240" w:lineRule="auto"/>
                    <w:ind w:firstLine="0" w:firstLineChars="0"/>
                    <w:contextualSpacing/>
                    <w:jc w:val="center"/>
                    <w:rPr>
                      <w:sz w:val="21"/>
                    </w:rPr>
                  </w:pPr>
                </w:p>
              </w:tc>
              <w:tc>
                <w:tcPr>
                  <w:tcW w:w="211" w:type="pct"/>
                  <w:vAlign w:val="center"/>
                </w:tcPr>
                <w:p>
                  <w:pPr>
                    <w:spacing w:line="240" w:lineRule="auto"/>
                    <w:ind w:firstLine="0" w:firstLineChars="0"/>
                    <w:contextualSpacing/>
                    <w:jc w:val="center"/>
                    <w:rPr>
                      <w:sz w:val="21"/>
                    </w:rPr>
                  </w:pPr>
                  <w:r>
                    <w:rPr>
                      <w:rFonts w:hint="eastAsia"/>
                      <w:sz w:val="21"/>
                    </w:rPr>
                    <w:t>环境管控单元</w:t>
                  </w:r>
                </w:p>
              </w:tc>
              <w:tc>
                <w:tcPr>
                  <w:tcW w:w="215" w:type="pct"/>
                  <w:vAlign w:val="center"/>
                </w:tcPr>
                <w:p>
                  <w:pPr>
                    <w:spacing w:line="240" w:lineRule="auto"/>
                    <w:ind w:firstLine="0" w:firstLineChars="0"/>
                    <w:contextualSpacing/>
                    <w:jc w:val="center"/>
                    <w:rPr>
                      <w:sz w:val="21"/>
                    </w:rPr>
                  </w:pPr>
                  <w:r>
                    <w:rPr>
                      <w:rFonts w:hint="eastAsia"/>
                      <w:sz w:val="21"/>
                    </w:rPr>
                    <w:t>本项目属于一般管控单元</w:t>
                  </w:r>
                </w:p>
              </w:tc>
              <w:tc>
                <w:tcPr>
                  <w:tcW w:w="2489" w:type="pct"/>
                  <w:vAlign w:val="center"/>
                </w:tcPr>
                <w:p>
                  <w:pPr>
                    <w:spacing w:line="240" w:lineRule="auto"/>
                    <w:ind w:firstLine="0" w:firstLineChars="0"/>
                    <w:contextualSpacing/>
                    <w:rPr>
                      <w:sz w:val="21"/>
                    </w:rPr>
                  </w:pPr>
                  <w:r>
                    <w:rPr>
                      <w:rFonts w:hint="eastAsia"/>
                      <w:sz w:val="21"/>
                    </w:rPr>
                    <w:t>自治区划定环境管控单元，分为优先保护单元、重点管控单元和一般管控单元三类，实施分类管控。一般管控单元中，执行区域生态环境保护的基本要求，重点加强农业、生活等领域污染治理。</w:t>
                  </w:r>
                </w:p>
              </w:tc>
              <w:tc>
                <w:tcPr>
                  <w:tcW w:w="1224" w:type="pct"/>
                  <w:vAlign w:val="center"/>
                </w:tcPr>
                <w:p>
                  <w:pPr>
                    <w:spacing w:line="240" w:lineRule="auto"/>
                    <w:ind w:firstLine="0" w:firstLineChars="0"/>
                    <w:contextualSpacing/>
                    <w:jc w:val="center"/>
                    <w:rPr>
                      <w:sz w:val="21"/>
                    </w:rPr>
                  </w:pPr>
                  <w:r>
                    <w:rPr>
                      <w:rFonts w:hint="eastAsia"/>
                      <w:sz w:val="21"/>
                    </w:rPr>
                    <w:t>本工程实施后通过采取完善的污染治理措施，不会对厂址周围大气环境、地表水环境、声环境、地下水、土壤环境产生明显影响</w:t>
                  </w:r>
                </w:p>
              </w:tc>
              <w:tc>
                <w:tcPr>
                  <w:tcW w:w="537" w:type="pct"/>
                  <w:vAlign w:val="center"/>
                </w:tcPr>
                <w:p>
                  <w:pPr>
                    <w:spacing w:line="240" w:lineRule="auto"/>
                    <w:ind w:firstLine="0" w:firstLineChars="0"/>
                    <w:contextualSpacing/>
                    <w:jc w:val="center"/>
                    <w:rPr>
                      <w:sz w:val="21"/>
                    </w:rPr>
                  </w:pPr>
                  <w:r>
                    <w:rPr>
                      <w:rFonts w:hint="eastAsia"/>
                      <w:sz w:val="21"/>
                    </w:rPr>
                    <w:t>符合</w:t>
                  </w:r>
                </w:p>
              </w:tc>
            </w:tr>
          </w:tbl>
          <w:p>
            <w:pPr>
              <w:adjustRightInd w:val="0"/>
              <w:spacing w:before="156" w:beforeLines="50" w:line="240" w:lineRule="auto"/>
              <w:ind w:firstLine="0" w:firstLineChars="0"/>
              <w:jc w:val="center"/>
              <w:textAlignment w:val="baseline"/>
              <w:rPr>
                <w:b/>
                <w:kern w:val="0"/>
                <w:sz w:val="21"/>
                <w:szCs w:val="20"/>
              </w:rPr>
            </w:pPr>
            <w:r>
              <w:rPr>
                <w:rFonts w:hint="eastAsia"/>
                <w:b/>
                <w:kern w:val="0"/>
                <w:sz w:val="21"/>
                <w:szCs w:val="20"/>
              </w:rPr>
              <w:t>表</w:t>
            </w:r>
            <w:r>
              <w:rPr>
                <w:b/>
                <w:kern w:val="0"/>
                <w:sz w:val="21"/>
                <w:szCs w:val="20"/>
              </w:rPr>
              <w:t>1-</w:t>
            </w:r>
            <w:r>
              <w:rPr>
                <w:rFonts w:hint="eastAsia"/>
                <w:b/>
                <w:kern w:val="0"/>
                <w:sz w:val="21"/>
                <w:szCs w:val="20"/>
              </w:rPr>
              <w:t>3</w:t>
            </w:r>
            <w:r>
              <w:rPr>
                <w:b/>
                <w:kern w:val="0"/>
                <w:sz w:val="21"/>
                <w:szCs w:val="20"/>
              </w:rPr>
              <w:t xml:space="preserve">  </w:t>
            </w:r>
            <w:r>
              <w:rPr>
                <w:rFonts w:hint="eastAsia"/>
                <w:b/>
                <w:kern w:val="0"/>
                <w:sz w:val="21"/>
                <w:szCs w:val="20"/>
              </w:rPr>
              <w:t>本项目与</w:t>
            </w:r>
            <w:r>
              <w:rPr>
                <w:rFonts w:hint="eastAsia"/>
                <w:b/>
                <w:bCs/>
                <w:sz w:val="21"/>
                <w:szCs w:val="21"/>
              </w:rPr>
              <w:t>新疆维吾尔自治区</w:t>
            </w:r>
            <w:r>
              <w:rPr>
                <w:rFonts w:hint="eastAsia"/>
                <w:b/>
                <w:kern w:val="0"/>
                <w:sz w:val="21"/>
                <w:szCs w:val="20"/>
              </w:rPr>
              <w:t>一般环境管控单元分类管控要求相符性分析</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62"/>
              <w:gridCol w:w="651"/>
              <w:gridCol w:w="3951"/>
              <w:gridCol w:w="1807"/>
              <w:gridCol w:w="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3374" w:type="pct"/>
                  <w:gridSpan w:val="3"/>
                  <w:vAlign w:val="center"/>
                </w:tcPr>
                <w:p>
                  <w:pPr>
                    <w:spacing w:line="240" w:lineRule="auto"/>
                    <w:ind w:firstLine="0" w:firstLineChars="0"/>
                    <w:contextualSpacing/>
                    <w:jc w:val="center"/>
                    <w:rPr>
                      <w:sz w:val="21"/>
                      <w:szCs w:val="21"/>
                    </w:rPr>
                  </w:pPr>
                  <w:r>
                    <w:rPr>
                      <w:rFonts w:hint="eastAsia"/>
                      <w:sz w:val="21"/>
                      <w:szCs w:val="21"/>
                    </w:rPr>
                    <w:t>管控要求</w:t>
                  </w:r>
                </w:p>
              </w:tc>
              <w:tc>
                <w:tcPr>
                  <w:tcW w:w="1204" w:type="pct"/>
                  <w:vAlign w:val="center"/>
                </w:tcPr>
                <w:p>
                  <w:pPr>
                    <w:spacing w:line="240" w:lineRule="auto"/>
                    <w:ind w:firstLine="0" w:firstLineChars="0"/>
                    <w:contextualSpacing/>
                    <w:jc w:val="center"/>
                    <w:rPr>
                      <w:sz w:val="21"/>
                      <w:szCs w:val="21"/>
                    </w:rPr>
                  </w:pPr>
                  <w:r>
                    <w:rPr>
                      <w:rFonts w:hint="eastAsia"/>
                      <w:sz w:val="21"/>
                      <w:szCs w:val="21"/>
                    </w:rPr>
                    <w:t>本项目</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9" w:hRule="atLeast"/>
                <w:jc w:val="center"/>
              </w:trPr>
              <w:tc>
                <w:tcPr>
                  <w:tcW w:w="308" w:type="pct"/>
                  <w:vMerge w:val="restart"/>
                  <w:vAlign w:val="center"/>
                </w:tcPr>
                <w:p>
                  <w:pPr>
                    <w:spacing w:line="240" w:lineRule="auto"/>
                    <w:ind w:firstLine="0" w:firstLineChars="0"/>
                    <w:contextualSpacing/>
                    <w:jc w:val="center"/>
                    <w:rPr>
                      <w:sz w:val="21"/>
                      <w:szCs w:val="21"/>
                    </w:rPr>
                  </w:pPr>
                  <w:r>
                    <w:rPr>
                      <w:sz w:val="21"/>
                      <w:szCs w:val="21"/>
                    </w:rPr>
                    <w:t>A7一般</w:t>
                  </w:r>
                  <w:r>
                    <w:rPr>
                      <w:rFonts w:hint="eastAsia"/>
                      <w:sz w:val="21"/>
                      <w:szCs w:val="21"/>
                    </w:rPr>
                    <w:t>管控单元</w:t>
                  </w:r>
                </w:p>
              </w:tc>
              <w:tc>
                <w:tcPr>
                  <w:tcW w:w="434" w:type="pct"/>
                  <w:vAlign w:val="center"/>
                </w:tcPr>
                <w:p>
                  <w:pPr>
                    <w:spacing w:line="240" w:lineRule="auto"/>
                    <w:ind w:firstLine="0" w:firstLineChars="0"/>
                    <w:contextualSpacing/>
                    <w:jc w:val="center"/>
                    <w:rPr>
                      <w:sz w:val="21"/>
                      <w:szCs w:val="21"/>
                    </w:rPr>
                  </w:pPr>
                  <w:r>
                    <w:rPr>
                      <w:sz w:val="21"/>
                      <w:szCs w:val="21"/>
                    </w:rPr>
                    <w:t>A7.1</w:t>
                  </w:r>
                  <w:r>
                    <w:rPr>
                      <w:rFonts w:hint="eastAsia"/>
                      <w:sz w:val="21"/>
                      <w:szCs w:val="21"/>
                    </w:rPr>
                    <w:t>空间布局约束</w:t>
                  </w:r>
                </w:p>
              </w:tc>
              <w:tc>
                <w:tcPr>
                  <w:tcW w:w="2632" w:type="pct"/>
                </w:tcPr>
                <w:p>
                  <w:pPr>
                    <w:spacing w:line="240" w:lineRule="auto"/>
                    <w:ind w:firstLine="0" w:firstLineChars="0"/>
                    <w:contextualSpacing/>
                    <w:rPr>
                      <w:sz w:val="21"/>
                      <w:szCs w:val="21"/>
                    </w:rPr>
                  </w:pPr>
                  <w:r>
                    <w:rPr>
                      <w:rFonts w:hint="eastAsia"/>
                      <w:sz w:val="21"/>
                      <w:szCs w:val="21"/>
                    </w:rPr>
                    <w:t>【A7.1-1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204" w:type="pct"/>
                  <w:vAlign w:val="center"/>
                </w:tcPr>
                <w:p>
                  <w:pPr>
                    <w:spacing w:line="240" w:lineRule="auto"/>
                    <w:ind w:firstLine="0" w:firstLineChars="0"/>
                    <w:contextualSpacing/>
                    <w:rPr>
                      <w:sz w:val="21"/>
                      <w:szCs w:val="21"/>
                    </w:rPr>
                  </w:pPr>
                  <w:r>
                    <w:rPr>
                      <w:rFonts w:hint="eastAsia"/>
                      <w:sz w:val="21"/>
                      <w:szCs w:val="21"/>
                    </w:rPr>
                    <w:t>本项目为固体矿产地质勘探，不属于“三高”项目，符合国家政策</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A7.2</w:t>
                  </w:r>
                  <w:r>
                    <w:rPr>
                      <w:rFonts w:hint="eastAsia"/>
                      <w:sz w:val="21"/>
                      <w:szCs w:val="21"/>
                    </w:rPr>
                    <w:t>污染物排放管控</w:t>
                  </w:r>
                </w:p>
              </w:tc>
              <w:tc>
                <w:tcPr>
                  <w:tcW w:w="2632" w:type="pct"/>
                </w:tcPr>
                <w:p>
                  <w:pPr>
                    <w:spacing w:line="240" w:lineRule="auto"/>
                    <w:ind w:firstLine="0" w:firstLineChars="0"/>
                    <w:contextualSpacing/>
                    <w:rPr>
                      <w:sz w:val="21"/>
                      <w:szCs w:val="21"/>
                    </w:rPr>
                  </w:pPr>
                  <w:r>
                    <w:rPr>
                      <w:rFonts w:hint="eastAsia"/>
                    </w:rPr>
                    <w:t>【</w:t>
                  </w:r>
                  <w:r>
                    <w:rPr>
                      <w:rFonts w:hint="eastAsia"/>
                      <w:sz w:val="21"/>
                      <w:szCs w:val="21"/>
                    </w:rPr>
                    <w:t>A7.2-1】落实污染物总量控制制度，根据区域环境质量改善目标，削减污染物排放总量。加强农业面源污染治理，严格控制化肥农药施加量，逐步削减农业面源污染物排放量。</w:t>
                  </w:r>
                </w:p>
              </w:tc>
              <w:tc>
                <w:tcPr>
                  <w:tcW w:w="1204" w:type="pct"/>
                  <w:vAlign w:val="center"/>
                </w:tcPr>
                <w:p>
                  <w:pPr>
                    <w:spacing w:line="240" w:lineRule="auto"/>
                    <w:ind w:firstLine="0" w:firstLineChars="0"/>
                    <w:contextualSpacing/>
                    <w:rPr>
                      <w:sz w:val="21"/>
                      <w:szCs w:val="21"/>
                    </w:rPr>
                  </w:pPr>
                  <w:r>
                    <w:rPr>
                      <w:rFonts w:hint="eastAsia"/>
                      <w:sz w:val="21"/>
                      <w:szCs w:val="21"/>
                    </w:rPr>
                    <w:t>本项目无总量控制指标</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59"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A7.3</w:t>
                  </w:r>
                  <w:r>
                    <w:rPr>
                      <w:rFonts w:hint="eastAsia"/>
                      <w:sz w:val="21"/>
                      <w:szCs w:val="21"/>
                    </w:rPr>
                    <w:t>环境风险防控</w:t>
                  </w:r>
                </w:p>
              </w:tc>
              <w:tc>
                <w:tcPr>
                  <w:tcW w:w="2632" w:type="pct"/>
                  <w:vAlign w:val="center"/>
                </w:tcPr>
                <w:p>
                  <w:pPr>
                    <w:spacing w:line="240" w:lineRule="auto"/>
                    <w:ind w:firstLine="0" w:firstLineChars="0"/>
                    <w:contextualSpacing/>
                    <w:rPr>
                      <w:sz w:val="21"/>
                      <w:szCs w:val="21"/>
                    </w:rPr>
                  </w:pPr>
                  <w:r>
                    <w:rPr>
                      <w:rFonts w:hint="eastAsia"/>
                      <w:sz w:val="21"/>
                      <w:szCs w:val="21"/>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204" w:type="pct"/>
                  <w:vAlign w:val="center"/>
                </w:tcPr>
                <w:p>
                  <w:pPr>
                    <w:spacing w:line="240" w:lineRule="auto"/>
                    <w:ind w:firstLine="0" w:firstLineChars="0"/>
                    <w:contextualSpacing/>
                    <w:rPr>
                      <w:sz w:val="21"/>
                      <w:szCs w:val="21"/>
                    </w:rPr>
                  </w:pPr>
                  <w:r>
                    <w:rPr>
                      <w:rFonts w:hint="eastAsia"/>
                      <w:sz w:val="21"/>
                      <w:szCs w:val="21"/>
                    </w:rPr>
                    <w:t>本项目工艺简单，使用的原辅料单一，不产生有毒有害物质，环境风险较小</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32" w:type="dxa"/>
                  <w:vMerge w:val="continue"/>
                  <w:vAlign w:val="center"/>
                </w:tcPr>
                <w:p>
                  <w:pPr>
                    <w:spacing w:line="240" w:lineRule="auto"/>
                    <w:ind w:firstLine="0" w:firstLineChars="0"/>
                    <w:contextualSpacing/>
                    <w:jc w:val="center"/>
                    <w:rPr>
                      <w:sz w:val="21"/>
                      <w:szCs w:val="21"/>
                    </w:rPr>
                  </w:pPr>
                </w:p>
              </w:tc>
              <w:tc>
                <w:tcPr>
                  <w:tcW w:w="434" w:type="pct"/>
                  <w:vAlign w:val="center"/>
                </w:tcPr>
                <w:p>
                  <w:pPr>
                    <w:spacing w:line="240" w:lineRule="auto"/>
                    <w:ind w:firstLine="0" w:firstLineChars="0"/>
                    <w:contextualSpacing/>
                    <w:jc w:val="center"/>
                    <w:rPr>
                      <w:sz w:val="21"/>
                      <w:szCs w:val="21"/>
                    </w:rPr>
                  </w:pPr>
                  <w:r>
                    <w:rPr>
                      <w:sz w:val="21"/>
                      <w:szCs w:val="21"/>
                    </w:rPr>
                    <w:t>A7.4</w:t>
                  </w:r>
                  <w:r>
                    <w:rPr>
                      <w:rFonts w:hint="eastAsia"/>
                      <w:sz w:val="21"/>
                      <w:szCs w:val="21"/>
                    </w:rPr>
                    <w:t>资源利用要求</w:t>
                  </w:r>
                </w:p>
              </w:tc>
              <w:tc>
                <w:tcPr>
                  <w:tcW w:w="2632" w:type="pct"/>
                  <w:vAlign w:val="center"/>
                </w:tcPr>
                <w:p>
                  <w:pPr>
                    <w:spacing w:line="240" w:lineRule="auto"/>
                    <w:ind w:firstLine="0" w:firstLineChars="0"/>
                    <w:contextualSpacing/>
                    <w:rPr>
                      <w:sz w:val="21"/>
                      <w:szCs w:val="21"/>
                    </w:rPr>
                  </w:pPr>
                  <w:r>
                    <w:rPr>
                      <w:rFonts w:hint="eastAsia"/>
                      <w:sz w:val="21"/>
                      <w:szCs w:val="21"/>
                    </w:rPr>
                    <w:t>【A7.4-1】实行水资源消耗总量和强度双控，推进农业节水，提高农业用水效率。优化能源结构，加强能源清洁利用。</w:t>
                  </w:r>
                </w:p>
              </w:tc>
              <w:tc>
                <w:tcPr>
                  <w:tcW w:w="1204" w:type="pct"/>
                  <w:vAlign w:val="center"/>
                </w:tcPr>
                <w:p>
                  <w:pPr>
                    <w:spacing w:line="240" w:lineRule="auto"/>
                    <w:ind w:firstLine="0" w:firstLineChars="0"/>
                    <w:contextualSpacing/>
                    <w:rPr>
                      <w:sz w:val="21"/>
                      <w:szCs w:val="21"/>
                    </w:rPr>
                  </w:pPr>
                  <w:r>
                    <w:rPr>
                      <w:rFonts w:hint="eastAsia"/>
                      <w:sz w:val="21"/>
                      <w:szCs w:val="21"/>
                    </w:rPr>
                    <w:t>本项目主要利用资源为生产、生活用水及生产用电，本项目用水量及耗电量较小，占地面积较小，对区域水资源、土地资源、能源消耗较小</w:t>
                  </w:r>
                </w:p>
              </w:tc>
              <w:tc>
                <w:tcPr>
                  <w:tcW w:w="422" w:type="pct"/>
                  <w:vAlign w:val="center"/>
                </w:tcPr>
                <w:p>
                  <w:pPr>
                    <w:spacing w:line="240" w:lineRule="auto"/>
                    <w:ind w:firstLine="0" w:firstLineChars="0"/>
                    <w:contextualSpacing/>
                    <w:jc w:val="center"/>
                    <w:rPr>
                      <w:sz w:val="21"/>
                      <w:szCs w:val="21"/>
                    </w:rPr>
                  </w:pPr>
                  <w:r>
                    <w:rPr>
                      <w:rFonts w:hint="eastAsia"/>
                      <w:sz w:val="21"/>
                      <w:szCs w:val="21"/>
                    </w:rPr>
                    <w:t>符合</w:t>
                  </w:r>
                </w:p>
              </w:tc>
            </w:tr>
          </w:tbl>
          <w:p>
            <w:pPr>
              <w:adjustRightInd w:val="0"/>
              <w:spacing w:before="156" w:beforeLines="50" w:line="240" w:lineRule="auto"/>
              <w:ind w:firstLine="0" w:firstLineChars="0"/>
              <w:jc w:val="center"/>
              <w:textAlignment w:val="baseline"/>
              <w:rPr>
                <w:b/>
                <w:kern w:val="0"/>
                <w:sz w:val="21"/>
                <w:szCs w:val="20"/>
              </w:rPr>
            </w:pPr>
            <w:r>
              <w:rPr>
                <w:rFonts w:hint="eastAsia"/>
                <w:b/>
                <w:kern w:val="0"/>
                <w:sz w:val="21"/>
                <w:szCs w:val="20"/>
              </w:rPr>
              <w:t>表</w:t>
            </w:r>
            <w:r>
              <w:rPr>
                <w:b/>
                <w:kern w:val="0"/>
                <w:sz w:val="21"/>
                <w:szCs w:val="20"/>
              </w:rPr>
              <w:t>1-</w:t>
            </w:r>
            <w:r>
              <w:rPr>
                <w:rFonts w:hint="eastAsia"/>
                <w:b/>
                <w:kern w:val="0"/>
                <w:sz w:val="21"/>
                <w:szCs w:val="20"/>
              </w:rPr>
              <w:t>4</w:t>
            </w:r>
            <w:r>
              <w:rPr>
                <w:b/>
                <w:kern w:val="0"/>
                <w:sz w:val="21"/>
                <w:szCs w:val="20"/>
              </w:rPr>
              <w:t xml:space="preserve">  </w:t>
            </w:r>
            <w:r>
              <w:rPr>
                <w:rFonts w:hint="eastAsia"/>
                <w:b/>
                <w:kern w:val="0"/>
                <w:sz w:val="21"/>
                <w:szCs w:val="20"/>
              </w:rPr>
              <w:t>本项目与七大片天山南坡片区总体管控要求符合性分析一览表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
              <w:gridCol w:w="4053"/>
              <w:gridCol w:w="1785"/>
              <w:gridCol w:w="6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4" w:type="pct"/>
                  <w:vMerge w:val="restar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本项目</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2" w:type="dxa"/>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rPr>
                      <w:rFonts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2" w:type="dxa"/>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rPr>
                      <w:rFonts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32" w:type="dxa"/>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jc w:val="center"/>
                    <w:rPr>
                      <w:rFonts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2" w:type="dxa"/>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2" w:type="dxa"/>
                  <w:vMerge w:val="continue"/>
                  <w:vAlign w:val="center"/>
                </w:tcPr>
                <w:p>
                  <w:pPr>
                    <w:widowControl/>
                    <w:spacing w:line="240" w:lineRule="auto"/>
                    <w:ind w:firstLine="0" w:firstLineChars="0"/>
                    <w:jc w:val="left"/>
                    <w:rPr>
                      <w:rFonts w:ascii="宋体" w:hAnsi="宋体"/>
                      <w:color w:val="000000"/>
                      <w:kern w:val="0"/>
                      <w:sz w:val="21"/>
                      <w:szCs w:val="21"/>
                    </w:rPr>
                  </w:pPr>
                </w:p>
              </w:tc>
              <w:tc>
                <w:tcPr>
                  <w:tcW w:w="2700"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rPr>
                      <w:rFonts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7" w:type="pct"/>
                  <w:vAlign w:val="center"/>
                </w:tcPr>
                <w:p>
                  <w:pPr>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符合</w:t>
                  </w:r>
                </w:p>
              </w:tc>
            </w:tr>
          </w:tbl>
          <w:p>
            <w:pPr>
              <w:pStyle w:val="15"/>
              <w:ind w:firstLine="482" w:firstLineChars="200"/>
              <w:jc w:val="both"/>
            </w:pPr>
            <w:r>
              <w:rPr>
                <w:rFonts w:hint="eastAsia"/>
              </w:rPr>
              <w:t>2</w:t>
            </w:r>
            <w:r>
              <w:t>.</w:t>
            </w:r>
            <w:r>
              <w:rPr>
                <w:rFonts w:hint="eastAsia"/>
              </w:rPr>
              <w:t>1与</w:t>
            </w:r>
            <w:r>
              <w:rPr>
                <w:spacing w:val="-3"/>
              </w:rPr>
              <w:t>巴音郭楞蒙古自治州</w:t>
            </w:r>
            <w:r>
              <w:rPr>
                <w:rFonts w:hint="eastAsia"/>
              </w:rPr>
              <w:t>生态环境分区管控符合性分析</w:t>
            </w:r>
          </w:p>
          <w:p>
            <w:pPr>
              <w:pStyle w:val="45"/>
              <w:spacing w:before="34" w:line="385" w:lineRule="auto"/>
              <w:ind w:left="29" w:firstLine="468"/>
              <w:jc w:val="both"/>
              <w:rPr>
                <w:rFonts w:ascii="Times New Roman" w:hAnsi="Times New Roman" w:cs="Times New Roman"/>
                <w:spacing w:val="-6"/>
                <w:sz w:val="24"/>
                <w:szCs w:val="24"/>
                <w:lang w:eastAsia="zh-CN"/>
              </w:rPr>
            </w:pPr>
            <w:r>
              <w:rPr>
                <w:rFonts w:hint="eastAsia" w:ascii="Times New Roman" w:hAnsi="Times New Roman" w:cs="Times New Roman"/>
                <w:spacing w:val="-3"/>
                <w:sz w:val="24"/>
                <w:szCs w:val="24"/>
                <w:lang w:eastAsia="zh-CN"/>
              </w:rPr>
              <w:t>根据2024年12月9日发布的《关于印发巴音郭楞蒙古自治州“三线一单”生态环境分区管控动态更新成果（2023年）的通知》（巴政办发〔2024〕32号），本项目与巴音郭楞蒙古自治州生态环境分区管控的符合性分析见表1-5</w:t>
            </w:r>
            <w:r>
              <w:rPr>
                <w:rFonts w:ascii="Times New Roman" w:hAnsi="Times New Roman" w:cs="Times New Roman"/>
                <w:spacing w:val="-6"/>
                <w:sz w:val="24"/>
                <w:szCs w:val="24"/>
                <w:lang w:eastAsia="zh-CN"/>
              </w:rPr>
              <w:t>。</w:t>
            </w:r>
          </w:p>
          <w:p>
            <w:pPr>
              <w:adjustRightInd w:val="0"/>
              <w:spacing w:before="156" w:beforeLines="50" w:line="240" w:lineRule="auto"/>
              <w:ind w:firstLine="0" w:firstLineChars="0"/>
              <w:jc w:val="center"/>
              <w:rPr>
                <w:b/>
                <w:kern w:val="0"/>
                <w:sz w:val="21"/>
                <w:szCs w:val="20"/>
              </w:rPr>
            </w:pPr>
            <w:r>
              <w:rPr>
                <w:rFonts w:hint="eastAsia"/>
                <w:b/>
                <w:kern w:val="0"/>
                <w:sz w:val="21"/>
                <w:szCs w:val="20"/>
              </w:rPr>
              <w:t>表1-5  本项目与《巴音郭楞蒙古自治州生态环境分区管控方案》符合性一览表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4452"/>
              <w:gridCol w:w="1659"/>
              <w:gridCol w:w="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12" w:space="0"/>
                    <w:left w:val="single" w:color="auto" w:sz="12" w:space="0"/>
                    <w:bottom w:val="single" w:color="auto" w:sz="6" w:space="0"/>
                    <w:right w:val="single" w:color="auto" w:sz="6" w:space="0"/>
                  </w:tcBorders>
                  <w:vAlign w:val="center"/>
                </w:tcPr>
                <w:p>
                  <w:pPr>
                    <w:pStyle w:val="26"/>
                  </w:pPr>
                  <w:r>
                    <w:rPr>
                      <w:rFonts w:hint="eastAsia"/>
                    </w:rPr>
                    <w:t>名称</w:t>
                  </w:r>
                </w:p>
              </w:tc>
              <w:tc>
                <w:tcPr>
                  <w:tcW w:w="2966" w:type="pct"/>
                  <w:tcBorders>
                    <w:top w:val="single" w:color="auto" w:sz="12" w:space="0"/>
                    <w:left w:val="single" w:color="auto" w:sz="6" w:space="0"/>
                    <w:bottom w:val="single" w:color="auto" w:sz="6" w:space="0"/>
                    <w:right w:val="single" w:color="auto" w:sz="6" w:space="0"/>
                  </w:tcBorders>
                  <w:vAlign w:val="center"/>
                </w:tcPr>
                <w:p>
                  <w:pPr>
                    <w:pStyle w:val="26"/>
                  </w:pPr>
                  <w:r>
                    <w:rPr>
                      <w:rFonts w:hint="eastAsia"/>
                    </w:rPr>
                    <w:t>符合性分析</w:t>
                  </w:r>
                </w:p>
              </w:tc>
              <w:tc>
                <w:tcPr>
                  <w:tcW w:w="1105" w:type="pct"/>
                  <w:tcBorders>
                    <w:top w:val="single" w:color="auto" w:sz="12" w:space="0"/>
                    <w:left w:val="single" w:color="auto" w:sz="6" w:space="0"/>
                    <w:bottom w:val="single" w:color="auto" w:sz="6" w:space="0"/>
                    <w:right w:val="single" w:color="auto" w:sz="6" w:space="0"/>
                  </w:tcBorders>
                  <w:vAlign w:val="center"/>
                </w:tcPr>
                <w:p>
                  <w:pPr>
                    <w:pStyle w:val="26"/>
                  </w:pPr>
                  <w:r>
                    <w:rPr>
                      <w:rFonts w:hint="eastAsia"/>
                    </w:rPr>
                    <w:t>本项目</w:t>
                  </w:r>
                </w:p>
              </w:tc>
              <w:tc>
                <w:tcPr>
                  <w:tcW w:w="476" w:type="pct"/>
                  <w:tcBorders>
                    <w:top w:val="single" w:color="auto" w:sz="12" w:space="0"/>
                    <w:left w:val="single" w:color="auto" w:sz="6" w:space="0"/>
                    <w:bottom w:val="single" w:color="auto" w:sz="6" w:space="0"/>
                    <w:right w:val="single" w:color="auto" w:sz="12" w:space="0"/>
                  </w:tcBorders>
                  <w:vAlign w:val="center"/>
                </w:tcPr>
                <w:p>
                  <w:pPr>
                    <w:pStyle w:val="26"/>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6"/>
                    <w:jc w:val="both"/>
                  </w:pPr>
                  <w:r>
                    <w:rPr>
                      <w:rFonts w:hint="eastAsia"/>
                    </w:rPr>
                    <w:t>生态保护红线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6"/>
                    <w:jc w:val="both"/>
                  </w:pPr>
                  <w:r>
                    <w:rPr>
                      <w:rFonts w:hint="eastAsia" w:hAnsi="宋体" w:cs="宋体"/>
                    </w:rPr>
                    <w:t>按照“生态功能不降低、面积不减少、性质不改变”的基本要求，对划定的生态保护红线实施严格管控，保障和维护国家生态安全的底线和生命线</w:t>
                  </w:r>
                </w:p>
              </w:tc>
              <w:tc>
                <w:tcPr>
                  <w:tcW w:w="1105" w:type="pct"/>
                  <w:tcBorders>
                    <w:top w:val="single" w:color="auto" w:sz="6" w:space="0"/>
                    <w:left w:val="single" w:color="auto" w:sz="6" w:space="0"/>
                    <w:bottom w:val="single" w:color="auto" w:sz="6" w:space="0"/>
                    <w:right w:val="single" w:color="auto" w:sz="6" w:space="0"/>
                  </w:tcBorders>
                  <w:vAlign w:val="center"/>
                </w:tcPr>
                <w:p>
                  <w:pPr>
                    <w:pStyle w:val="26"/>
                    <w:jc w:val="both"/>
                  </w:pPr>
                  <w:r>
                    <w:rPr>
                      <w:rFonts w:hint="eastAsia" w:hAnsi="宋体" w:cs="宋体"/>
                    </w:rPr>
                    <w:t>本项目不在生态保护红线范围内</w:t>
                  </w:r>
                </w:p>
              </w:tc>
              <w:tc>
                <w:tcPr>
                  <w:tcW w:w="476" w:type="pct"/>
                  <w:tcBorders>
                    <w:top w:val="single" w:color="auto" w:sz="6" w:space="0"/>
                    <w:left w:val="single" w:color="auto" w:sz="6" w:space="0"/>
                    <w:bottom w:val="single" w:color="auto" w:sz="6" w:space="0"/>
                    <w:right w:val="single" w:color="auto" w:sz="12" w:space="0"/>
                  </w:tcBorders>
                  <w:vAlign w:val="center"/>
                </w:tcPr>
                <w:p>
                  <w:pPr>
                    <w:pStyle w:val="26"/>
                    <w:jc w:val="both"/>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6"/>
                    <w:jc w:val="both"/>
                  </w:pPr>
                  <w:r>
                    <w:t>环境质量底线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6"/>
                    <w:jc w:val="both"/>
                  </w:pPr>
                  <w:r>
                    <w:t>项全州水环境质量持续改善，开都河、塔里木河、迪那河、车尔臣河、黄水沟5条河流13个监测断面稳定达到Ⅱ类水（塔里木河氟化物不参与考核，其他指标均为Ⅱ类），孔雀河4个监测断面达到II类水，博斯腾湖17个重点点位中1、7、14监测点均值Ⅲ类，其余监测点均值Ⅳ类；受污染地表水体得到有效治理，饮用水安全保障水平持续提升，地下水超采得到严格控制，地下水水质保持稳定。全州环境空气质量有所提升，SO</w:t>
                  </w:r>
                  <w:r>
                    <w:rPr>
                      <w:vertAlign w:val="subscript"/>
                    </w:rPr>
                    <w:t>2</w:t>
                  </w:r>
                  <w:r>
                    <w:t>、NO</w:t>
                  </w:r>
                  <w:r>
                    <w:rPr>
                      <w:vertAlign w:val="subscript"/>
                    </w:rPr>
                    <w:t>2</w:t>
                  </w:r>
                  <w:r>
                    <w:t>浓度长期维持在较低水平，达到环境空气质量一级标准；逐步减少颗粒物排放，PM</w:t>
                  </w:r>
                  <w:r>
                    <w:rPr>
                      <w:vertAlign w:val="subscript"/>
                    </w:rPr>
                    <w:t>10</w:t>
                  </w:r>
                  <w:r>
                    <w:t>、PM</w:t>
                  </w:r>
                  <w:r>
                    <w:rPr>
                      <w:vertAlign w:val="subscript"/>
                    </w:rPr>
                    <w:t>2.5</w:t>
                  </w:r>
                  <w:r>
                    <w:t>平均浓度分别低于81μg/m</w:t>
                  </w:r>
                  <w:r>
                    <w:rPr>
                      <w:vertAlign w:val="superscript"/>
                    </w:rPr>
                    <w:t>3</w:t>
                  </w:r>
                  <w:r>
                    <w:t>、31.5μg/m</w:t>
                  </w:r>
                  <w:r>
                    <w:rPr>
                      <w:vertAlign w:val="superscript"/>
                    </w:rPr>
                    <w:t>3</w:t>
                  </w:r>
                  <w:r>
                    <w:t>(库尔勒市，扣除沙尘天气影响)，空气优良天数比例大于75.2%(库尔勒市)，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105" w:type="pct"/>
                  <w:tcBorders>
                    <w:top w:val="single" w:color="auto" w:sz="6" w:space="0"/>
                    <w:left w:val="single" w:color="auto" w:sz="6" w:space="0"/>
                    <w:bottom w:val="single" w:color="auto" w:sz="6" w:space="0"/>
                    <w:right w:val="single" w:color="auto" w:sz="6" w:space="0"/>
                  </w:tcBorders>
                  <w:vAlign w:val="center"/>
                </w:tcPr>
                <w:p>
                  <w:pPr>
                    <w:pStyle w:val="44"/>
                    <w:rPr>
                      <w:rFonts w:ascii="Times New Roman"/>
                    </w:rPr>
                  </w:pPr>
                  <w:r>
                    <w:rPr>
                      <w:rFonts w:ascii="Times New Roman"/>
                    </w:rPr>
                    <w:t>1、本项目不进行地下水开采</w:t>
                  </w:r>
                </w:p>
                <w:p>
                  <w:pPr>
                    <w:pStyle w:val="26"/>
                    <w:jc w:val="both"/>
                  </w:pPr>
                  <w:r>
                    <w:t>2、</w:t>
                  </w:r>
                  <w:r>
                    <w:rPr>
                      <w:rFonts w:hint="eastAsia"/>
                    </w:rPr>
                    <w:t>生活污水进入防渗化粪池（10m</w:t>
                  </w:r>
                  <w:r>
                    <w:rPr>
                      <w:rFonts w:hint="eastAsia"/>
                      <w:vertAlign w:val="superscript"/>
                    </w:rPr>
                    <w:t>3</w:t>
                  </w:r>
                  <w:r>
                    <w:rPr>
                      <w:rFonts w:hint="eastAsia"/>
                    </w:rPr>
                    <w:t>）处理后自然蒸发</w:t>
                  </w:r>
                </w:p>
                <w:p>
                  <w:pPr>
                    <w:pStyle w:val="26"/>
                    <w:jc w:val="both"/>
                  </w:pPr>
                  <w:r>
                    <w:t>3、废气严格控制各类污染物达标排放</w:t>
                  </w:r>
                </w:p>
              </w:tc>
              <w:tc>
                <w:tcPr>
                  <w:tcW w:w="476" w:type="pct"/>
                  <w:tcBorders>
                    <w:top w:val="single" w:color="auto" w:sz="6" w:space="0"/>
                    <w:left w:val="single" w:color="auto" w:sz="6" w:space="0"/>
                    <w:bottom w:val="single" w:color="auto" w:sz="6" w:space="0"/>
                    <w:right w:val="single" w:color="auto" w:sz="12" w:space="0"/>
                  </w:tcBorders>
                  <w:vAlign w:val="center"/>
                </w:tcPr>
                <w:p>
                  <w:pPr>
                    <w:pStyle w:val="26"/>
                    <w:jc w:val="both"/>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3" w:type="pct"/>
                  <w:tcBorders>
                    <w:top w:val="single" w:color="auto" w:sz="6" w:space="0"/>
                    <w:left w:val="single" w:color="auto" w:sz="12" w:space="0"/>
                    <w:bottom w:val="single" w:color="auto" w:sz="6" w:space="0"/>
                    <w:right w:val="single" w:color="auto" w:sz="6" w:space="0"/>
                  </w:tcBorders>
                  <w:vAlign w:val="center"/>
                </w:tcPr>
                <w:p>
                  <w:pPr>
                    <w:pStyle w:val="26"/>
                    <w:jc w:val="both"/>
                  </w:pPr>
                  <w:r>
                    <w:rPr>
                      <w:rFonts w:hint="eastAsia"/>
                    </w:rPr>
                    <w:t>资源利用上线</w:t>
                  </w:r>
                </w:p>
              </w:tc>
              <w:tc>
                <w:tcPr>
                  <w:tcW w:w="2966" w:type="pct"/>
                  <w:tcBorders>
                    <w:top w:val="single" w:color="auto" w:sz="6" w:space="0"/>
                    <w:left w:val="single" w:color="auto" w:sz="6" w:space="0"/>
                    <w:bottom w:val="single" w:color="auto" w:sz="6" w:space="0"/>
                    <w:right w:val="single" w:color="auto" w:sz="6" w:space="0"/>
                  </w:tcBorders>
                  <w:vAlign w:val="center"/>
                </w:tcPr>
                <w:p>
                  <w:pPr>
                    <w:pStyle w:val="26"/>
                    <w:jc w:val="both"/>
                  </w:pPr>
                  <w:r>
                    <w:rPr>
                      <w:rFonts w:hint="eastAsia" w:hAnsi="宋体" w:cs="宋体"/>
                    </w:rPr>
                    <w:t>强化节约集约利用，持续提升资源能源利用效率，水资源、土地资源、能源消耗等达到国家、自治区下达的总量和强度控制目标，</w:t>
                  </w:r>
                  <w:r>
                    <w:rPr>
                      <w:rFonts w:hint="eastAsia"/>
                    </w:rPr>
                    <w:t>加快低碳发展，提升碳汇能力，做好碳达峰和碳中和工作</w:t>
                  </w:r>
                </w:p>
              </w:tc>
              <w:tc>
                <w:tcPr>
                  <w:tcW w:w="1105" w:type="pct"/>
                  <w:tcBorders>
                    <w:top w:val="single" w:color="auto" w:sz="6" w:space="0"/>
                    <w:left w:val="single" w:color="auto" w:sz="6" w:space="0"/>
                    <w:bottom w:val="single" w:color="auto" w:sz="6" w:space="0"/>
                    <w:right w:val="single" w:color="auto" w:sz="6" w:space="0"/>
                  </w:tcBorders>
                  <w:vAlign w:val="center"/>
                </w:tcPr>
                <w:p>
                  <w:pPr>
                    <w:pStyle w:val="26"/>
                    <w:jc w:val="both"/>
                  </w:pPr>
                  <w:r>
                    <w:rPr>
                      <w:rFonts w:hint="eastAsia" w:hAnsi="宋体" w:cs="宋体"/>
                    </w:rPr>
                    <w:t>本项目严格执行污染物总量控制指标</w:t>
                  </w:r>
                </w:p>
              </w:tc>
              <w:tc>
                <w:tcPr>
                  <w:tcW w:w="476" w:type="pct"/>
                  <w:tcBorders>
                    <w:top w:val="single" w:color="auto" w:sz="6" w:space="0"/>
                    <w:left w:val="single" w:color="auto" w:sz="6" w:space="0"/>
                    <w:bottom w:val="single" w:color="auto" w:sz="6" w:space="0"/>
                    <w:right w:val="single" w:color="auto" w:sz="12" w:space="0"/>
                  </w:tcBorders>
                  <w:vAlign w:val="center"/>
                </w:tcPr>
                <w:p>
                  <w:pPr>
                    <w:pStyle w:val="26"/>
                    <w:jc w:val="both"/>
                  </w:pPr>
                  <w:r>
                    <w:rPr>
                      <w:rFonts w:hint="eastAsia"/>
                    </w:rPr>
                    <w:t>符合</w:t>
                  </w:r>
                </w:p>
              </w:tc>
            </w:tr>
          </w:tbl>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1-</w:t>
            </w:r>
            <w:r>
              <w:rPr>
                <w:rFonts w:hint="eastAsia"/>
                <w:b/>
                <w:kern w:val="0"/>
                <w:sz w:val="21"/>
                <w:szCs w:val="20"/>
              </w:rPr>
              <w:t>6</w:t>
            </w:r>
            <w:r>
              <w:rPr>
                <w:b/>
                <w:kern w:val="0"/>
                <w:sz w:val="21"/>
                <w:szCs w:val="20"/>
              </w:rPr>
              <w:t xml:space="preserve">  </w:t>
            </w:r>
            <w:r>
              <w:rPr>
                <w:rFonts w:hint="eastAsia"/>
                <w:b/>
                <w:bCs/>
                <w:color w:val="000000"/>
                <w:sz w:val="21"/>
                <w:szCs w:val="21"/>
              </w:rPr>
              <w:t>和静县一般管控单元（Z</w:t>
            </w:r>
            <w:r>
              <w:rPr>
                <w:b/>
                <w:bCs/>
                <w:color w:val="000000"/>
                <w:sz w:val="21"/>
                <w:szCs w:val="21"/>
              </w:rPr>
              <w:t>H65282730001</w:t>
            </w:r>
            <w:r>
              <w:rPr>
                <w:rFonts w:hint="eastAsia"/>
                <w:b/>
                <w:bCs/>
                <w:color w:val="000000"/>
                <w:sz w:val="21"/>
                <w:szCs w:val="21"/>
              </w:rPr>
              <w:t>）生态环境管控要求</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4425"/>
              <w:gridCol w:w="2130"/>
              <w:gridCol w:w="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5"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管控类型</w:t>
                  </w:r>
                </w:p>
              </w:tc>
              <w:tc>
                <w:tcPr>
                  <w:tcW w:w="3108" w:type="pct"/>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管控要求</w:t>
                  </w:r>
                </w:p>
              </w:tc>
              <w:tc>
                <w:tcPr>
                  <w:tcW w:w="1148" w:type="pct"/>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w:t>
                  </w:r>
                </w:p>
              </w:tc>
              <w:tc>
                <w:tcPr>
                  <w:tcW w:w="439" w:type="pct"/>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空间布局约束</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3.加强种植业污染防治。推广应用科学施肥、病虫害绿色防控和综合防治等技术；加强农药包装废弃物管理；实施农膜回收行动，推进农作物秸秆综合利用，健全回收利用体系，提高废旧地膜回收率。</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7.金属和非金属矿山采选企业新建、改建、扩建执行《新疆维吾尔自治区重点行业环境准入条件（修订）》相关要求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、本项目不涉及重点生态功能区</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2、本项目为固体矿产地质勘探，不属于重点排污单位，且各项污染物均可达标排放</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污染物排放管控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1.加强对矿山、油田等矿产资源开采影响区域内未利用地的环境监管，发现土壤污染问题的，要坚决查处，并及时督促有关单位采取有效防治措施消除或减轻污染。</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2.对排查出的危库和病库以及风险评估有严重环境安全隐患的尾矿库，要求企业完善污染治理设施、进行治理和修复。全面整治历史遗留尾矿库，完善覆膜、压土、排洪、堤坝加固等隐患治理和闭库措施。</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3.依法推行农用地分类管理制度，强化受污染耕地安全利用和风险管控。因地制宜制定实施 安全利用方案，鼓励采取种植结构调整等措施，确保受污染耕地全部实现安全利用。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采用绿色勘查技术（按照《固体矿产地质勘查规范总则》（GB/T13908-2020）中绿色勘查的要求，将生态环境保护贯穿于勘查设计、施工、验收全过程，设计中选用适宜的勘查方法、技术手段和设备，勘查施工过程中尽量避开对耕地的占用和压实，以及对植被的损毁，对勘查过程产生的固废进行有效管控，勘查工作结束后对施工造成的临时占地等进行生态恢复）；临时用地通过覆土、种植等措施开展复垦还绿；项目废水、固废均采取了合理的处置措施，防止对水体和土壤造成污染。建设单位将严格落实本报告提出的生态环境保护措施，项目产生的污染物经本环评提出的污染防治措施后，均能得到妥善处置，对环境影响较小</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环境风险防控</w:t>
                  </w:r>
                </w:p>
              </w:tc>
              <w:tc>
                <w:tcPr>
                  <w:tcW w:w="310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1.推广渠道防渗、管道输水、喷灌、微灌等节水灌溉技术，完善灌溉用水计量设施。推进规模化高效节水灌溉，推广农作物节水抗旱技术。建立灌区墒情测报网络，提高农业用水效率，降低农业用水比重。</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本项目为固体矿产地质勘探，不会造成周边土壤环境污染，探矿过程中采取防渗措施可有效防止风险物质下渗进入土壤，对土壤环境影响较小，符合土壤环境风险防控底线</w:t>
                  </w:r>
                </w:p>
              </w:tc>
              <w:tc>
                <w:tcPr>
                  <w:tcW w:w="439" w:type="pct"/>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305" w:type="pct"/>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资源利用效率</w:t>
                  </w:r>
                </w:p>
              </w:tc>
              <w:tc>
                <w:tcPr>
                  <w:tcW w:w="310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1.强化畜禽粪污资源化利用，改善养殖场通风环境，提高畜禽粪污综合利用率，减少氨挥发排放。鼓励和支持散养密集区实行畜禽粪污分户收集、集中处理。</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2.严格控制林地、草地、园地农药使用量，禁止使用高毒、高残留农药。</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3.对化学品生产企业、工业集聚区、尾矿库、矿山开采区、危险废物处置场、垃圾填埋场等地下水污染源及周边区域，逐步开展地下水环境状况调查评估，加强风险管控。</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4.严控土壤重金属污染，加强油（气）田开发土壤污染防治，以历史遗留工业企业污染场地为重点，开展土壤污染风险管控与修复工程。</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6.废石综合回用、尾矿砂利用率参考《新疆维吾尔自治区重点行业环境准入条件（修订）》等相关文件要求</w:t>
                  </w:r>
                  <w:r>
                    <w:rPr>
                      <w:rFonts w:hint="eastAsia"/>
                      <w:color w:val="000000" w:themeColor="text1"/>
                      <w:sz w:val="21"/>
                      <w:szCs w:val="21"/>
                      <w14:textFill>
                        <w14:solidFill>
                          <w14:schemeClr w14:val="tx1"/>
                        </w14:solidFill>
                      </w14:textFill>
                    </w:rPr>
                    <w:t>。</w:t>
                  </w:r>
                </w:p>
              </w:tc>
              <w:tc>
                <w:tcPr>
                  <w:tcW w:w="1148" w:type="pct"/>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本项目为固体矿产地质勘探，不属于重点排污单位，且各项污染物均可达标排放</w:t>
                  </w:r>
                  <w:r>
                    <w:rPr>
                      <w:rFonts w:hint="eastAsia"/>
                      <w:color w:val="000000" w:themeColor="text1"/>
                      <w:sz w:val="21"/>
                      <w:szCs w:val="21"/>
                      <w14:textFill>
                        <w14:solidFill>
                          <w14:schemeClr w14:val="tx1"/>
                        </w14:solidFill>
                      </w14:textFill>
                    </w:rPr>
                    <w:t>，没有重大土壤污染来源，土壤环境质量现状较好</w:t>
                  </w:r>
                </w:p>
              </w:tc>
              <w:tc>
                <w:tcPr>
                  <w:tcW w:w="439" w:type="pct"/>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ind w:firstLine="482"/>
              <w:rPr>
                <w:b/>
                <w:bCs/>
                <w:color w:val="000000"/>
              </w:rPr>
            </w:pPr>
            <w:r>
              <w:rPr>
                <w:rFonts w:hint="eastAsia"/>
                <w:b/>
                <w:bCs/>
              </w:rPr>
              <w:t>2</w:t>
            </w:r>
            <w:r>
              <w:rPr>
                <w:b/>
                <w:bCs/>
              </w:rPr>
              <w:t>.</w:t>
            </w:r>
            <w:r>
              <w:rPr>
                <w:rFonts w:hint="eastAsia"/>
                <w:b/>
                <w:bCs/>
              </w:rPr>
              <w:t>2</w:t>
            </w:r>
            <w:r>
              <w:rPr>
                <w:b/>
                <w:bCs/>
                <w:color w:val="000000"/>
              </w:rPr>
              <w:t>与《新疆生产建设兵团“三线一单”生态环境分区管控方案》符合性分析</w:t>
            </w:r>
          </w:p>
          <w:p>
            <w:r>
              <w:rPr>
                <w:color w:val="000000"/>
              </w:rPr>
              <w:t>根据《关于印发&lt;新疆生产建设兵团“三线一单”生态环境分区管控方案&gt;的通知》（新兵发〔2021〕16号）中提出的分区管控方案</w:t>
            </w:r>
            <w:r>
              <w:rPr>
                <w:rFonts w:hint="eastAsia"/>
                <w:color w:val="000000"/>
              </w:rPr>
              <w:t>，</w:t>
            </w:r>
            <w:r>
              <w:rPr>
                <w:rFonts w:hint="eastAsia"/>
              </w:rPr>
              <w:t>本项目与《新疆生产建设兵团“三线一单”生态环境分区管控方案》符合性分析见表1</w:t>
            </w:r>
            <w:r>
              <w:t>-7。</w:t>
            </w:r>
          </w:p>
          <w:p>
            <w:pPr>
              <w:spacing w:line="240" w:lineRule="auto"/>
              <w:ind w:firstLine="0" w:firstLineChars="0"/>
              <w:rPr>
                <w:b/>
                <w:kern w:val="0"/>
                <w:sz w:val="21"/>
                <w:szCs w:val="20"/>
              </w:rPr>
            </w:pPr>
            <w:r>
              <w:rPr>
                <w:rFonts w:hint="eastAsia"/>
                <w:b/>
                <w:kern w:val="0"/>
                <w:sz w:val="21"/>
                <w:szCs w:val="20"/>
              </w:rPr>
              <w:t>表</w:t>
            </w:r>
            <w:r>
              <w:rPr>
                <w:b/>
                <w:kern w:val="0"/>
                <w:sz w:val="21"/>
                <w:szCs w:val="20"/>
              </w:rPr>
              <w:t>1-</w:t>
            </w:r>
            <w:r>
              <w:rPr>
                <w:rFonts w:hint="eastAsia"/>
                <w:b/>
                <w:kern w:val="0"/>
                <w:sz w:val="21"/>
                <w:szCs w:val="20"/>
              </w:rPr>
              <w:t>7</w:t>
            </w:r>
            <w:r>
              <w:rPr>
                <w:b/>
                <w:kern w:val="0"/>
                <w:sz w:val="21"/>
                <w:szCs w:val="20"/>
              </w:rPr>
              <w:t xml:space="preserve">  </w:t>
            </w:r>
            <w:r>
              <w:rPr>
                <w:rFonts w:hint="eastAsia"/>
                <w:b/>
                <w:bCs/>
                <w:sz w:val="21"/>
                <w:szCs w:val="21"/>
              </w:rPr>
              <w:t>与《新疆生产建设兵团“三线一单”生态环境分区管控方案》符合性分析</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347"/>
              <w:gridCol w:w="2538"/>
              <w:gridCol w:w="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1" w:type="pct"/>
                  <w:gridSpan w:val="2"/>
                  <w:vAlign w:val="center"/>
                </w:tcPr>
                <w:p>
                  <w:pPr>
                    <w:spacing w:line="240" w:lineRule="auto"/>
                    <w:ind w:firstLine="0" w:firstLineChars="0"/>
                    <w:jc w:val="center"/>
                    <w:rPr>
                      <w:bCs/>
                      <w:color w:val="000000"/>
                      <w:sz w:val="21"/>
                      <w:szCs w:val="21"/>
                    </w:rPr>
                  </w:pPr>
                  <w:r>
                    <w:rPr>
                      <w:rFonts w:hint="eastAsia"/>
                      <w:bCs/>
                      <w:color w:val="000000"/>
                      <w:sz w:val="21"/>
                      <w:szCs w:val="21"/>
                    </w:rPr>
                    <w:t>生态环境分区管控方案要求</w:t>
                  </w:r>
                </w:p>
              </w:tc>
              <w:tc>
                <w:tcPr>
                  <w:tcW w:w="1691" w:type="pct"/>
                  <w:vAlign w:val="center"/>
                </w:tcPr>
                <w:p>
                  <w:pPr>
                    <w:spacing w:line="240" w:lineRule="auto"/>
                    <w:ind w:firstLine="0" w:firstLineChars="0"/>
                    <w:jc w:val="center"/>
                    <w:rPr>
                      <w:bCs/>
                      <w:color w:val="000000"/>
                      <w:sz w:val="21"/>
                      <w:szCs w:val="21"/>
                    </w:rPr>
                  </w:pPr>
                  <w:r>
                    <w:rPr>
                      <w:rFonts w:hint="eastAsia"/>
                      <w:color w:val="000000"/>
                      <w:sz w:val="21"/>
                      <w:szCs w:val="21"/>
                    </w:rPr>
                    <w:t>项目情况</w:t>
                  </w:r>
                </w:p>
              </w:tc>
              <w:tc>
                <w:tcPr>
                  <w:tcW w:w="577" w:type="pct"/>
                  <w:vAlign w:val="center"/>
                </w:tcPr>
                <w:p>
                  <w:pPr>
                    <w:spacing w:line="240" w:lineRule="auto"/>
                    <w:ind w:firstLine="0" w:firstLineChars="0"/>
                    <w:jc w:val="center"/>
                    <w:rPr>
                      <w:bCs/>
                      <w:color w:val="000000"/>
                      <w:sz w:val="21"/>
                      <w:szCs w:val="21"/>
                    </w:rPr>
                  </w:pPr>
                  <w:r>
                    <w:rPr>
                      <w:rFonts w:hint="eastAsia"/>
                      <w:color w:val="00000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生态保护红线</w:t>
                  </w:r>
                </w:p>
              </w:tc>
              <w:tc>
                <w:tcPr>
                  <w:tcW w:w="2229" w:type="pct"/>
                  <w:vAlign w:val="center"/>
                </w:tcPr>
                <w:p>
                  <w:pPr>
                    <w:spacing w:line="240" w:lineRule="auto"/>
                    <w:ind w:firstLine="0" w:firstLineChars="0"/>
                    <w:rPr>
                      <w:bCs/>
                      <w:color w:val="000000"/>
                      <w:sz w:val="21"/>
                      <w:szCs w:val="21"/>
                    </w:rPr>
                  </w:pPr>
                  <w:r>
                    <w:rPr>
                      <w:rFonts w:hint="eastAsia"/>
                      <w:color w:val="000000"/>
                      <w:sz w:val="21"/>
                      <w:szCs w:val="21"/>
                    </w:rPr>
                    <w:t>按照“生态功能不降低、面积不减少、性质不改变”的基本要求，对划定的生态保护红线实施严格管控，保障和维护兵团生态安全的底线和生命线</w:t>
                  </w:r>
                </w:p>
              </w:tc>
              <w:tc>
                <w:tcPr>
                  <w:tcW w:w="1691" w:type="pct"/>
                  <w:vAlign w:val="center"/>
                </w:tcPr>
                <w:p>
                  <w:pPr>
                    <w:spacing w:line="240" w:lineRule="auto"/>
                    <w:ind w:firstLine="0" w:firstLineChars="0"/>
                    <w:rPr>
                      <w:bCs/>
                      <w:color w:val="000000"/>
                      <w:sz w:val="21"/>
                      <w:szCs w:val="21"/>
                    </w:rPr>
                  </w:pPr>
                  <w:r>
                    <w:rPr>
                      <w:rFonts w:hint="eastAsia"/>
                      <w:color w:val="000000"/>
                      <w:sz w:val="21"/>
                      <w:szCs w:val="21"/>
                    </w:rPr>
                    <w:t>本项目不在生态保护红线范围内</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环境质量底线</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水环境质量持续改善，受污染地表水体得到有效治理，河流水质优良断面比例保持稳定，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tc>
              <w:tc>
                <w:tcPr>
                  <w:tcW w:w="1691" w:type="pct"/>
                  <w:vAlign w:val="center"/>
                </w:tcPr>
                <w:p>
                  <w:pPr>
                    <w:spacing w:line="240" w:lineRule="auto"/>
                    <w:ind w:firstLine="0" w:firstLineChars="0"/>
                    <w:rPr>
                      <w:bCs/>
                      <w:color w:val="000000"/>
                      <w:sz w:val="21"/>
                      <w:szCs w:val="21"/>
                    </w:rPr>
                  </w:pPr>
                  <w:r>
                    <w:rPr>
                      <w:rFonts w:hint="eastAsia"/>
                      <w:color w:val="000000"/>
                      <w:sz w:val="21"/>
                      <w:szCs w:val="21"/>
                    </w:rPr>
                    <w:t>生活污水进入防渗化粪池（10m</w:t>
                  </w:r>
                  <w:r>
                    <w:rPr>
                      <w:rFonts w:hint="eastAsia"/>
                      <w:color w:val="000000"/>
                      <w:sz w:val="21"/>
                      <w:szCs w:val="21"/>
                      <w:vertAlign w:val="superscript"/>
                    </w:rPr>
                    <w:t>3</w:t>
                  </w:r>
                  <w:r>
                    <w:rPr>
                      <w:rFonts w:hint="eastAsia"/>
                      <w:color w:val="000000"/>
                      <w:sz w:val="21"/>
                      <w:szCs w:val="21"/>
                    </w:rPr>
                    <w:t>）处理后自然蒸发；大气污染物主要为颗粒物，采取相应措施后能够满足相关排放要求，对周边环境影响可接受</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资源利用上线</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强化节约集约利用，持续提升资源能源利用效率，水资源、土地资源、能源消耗达到国家、兵团下达的总量和强度控制目标。地下水超采得到严格控制。加快区域低碳发展，积极推动低碳试点示范引领作用</w:t>
                  </w:r>
                </w:p>
              </w:tc>
              <w:tc>
                <w:tcPr>
                  <w:tcW w:w="1691" w:type="pct"/>
                  <w:vAlign w:val="center"/>
                </w:tcPr>
                <w:p>
                  <w:pPr>
                    <w:spacing w:line="240" w:lineRule="auto"/>
                    <w:ind w:firstLine="0" w:firstLineChars="0"/>
                    <w:jc w:val="center"/>
                    <w:rPr>
                      <w:bCs/>
                      <w:color w:val="000000"/>
                      <w:sz w:val="21"/>
                      <w:szCs w:val="21"/>
                    </w:rPr>
                  </w:pPr>
                  <w:r>
                    <w:rPr>
                      <w:rFonts w:hint="eastAsia"/>
                      <w:color w:val="000000"/>
                      <w:sz w:val="21"/>
                      <w:szCs w:val="21"/>
                    </w:rPr>
                    <w:t>本项目施工期主要消耗的资源为水、电。资源消耗量相对于区域资源利用量较小，整体符合资源利用上线要求</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spacing w:line="240" w:lineRule="auto"/>
                    <w:ind w:firstLine="0" w:firstLineChars="0"/>
                    <w:jc w:val="center"/>
                    <w:rPr>
                      <w:bCs/>
                      <w:color w:val="000000"/>
                      <w:sz w:val="21"/>
                      <w:szCs w:val="21"/>
                    </w:rPr>
                  </w:pPr>
                  <w:r>
                    <w:rPr>
                      <w:rFonts w:hint="eastAsia"/>
                      <w:color w:val="000000"/>
                      <w:sz w:val="21"/>
                      <w:szCs w:val="21"/>
                    </w:rPr>
                    <w:t>环境准入清单</w:t>
                  </w:r>
                </w:p>
              </w:tc>
              <w:tc>
                <w:tcPr>
                  <w:tcW w:w="2229" w:type="pct"/>
                  <w:vAlign w:val="center"/>
                </w:tcPr>
                <w:p>
                  <w:pPr>
                    <w:spacing w:line="240" w:lineRule="auto"/>
                    <w:ind w:firstLine="0" w:firstLineChars="0"/>
                    <w:jc w:val="center"/>
                    <w:rPr>
                      <w:bCs/>
                      <w:color w:val="000000"/>
                      <w:sz w:val="21"/>
                      <w:szCs w:val="21"/>
                    </w:rPr>
                  </w:pPr>
                  <w:r>
                    <w:rPr>
                      <w:rFonts w:hint="eastAsia"/>
                      <w:color w:val="000000"/>
                      <w:sz w:val="21"/>
                      <w:szCs w:val="21"/>
                    </w:rPr>
                    <w:t>以环境管控单元为基础，从空间布局约束、污染物排放管控、环境风险防控和资源利用效率四个方面严格环境准入要求</w:t>
                  </w:r>
                </w:p>
              </w:tc>
              <w:tc>
                <w:tcPr>
                  <w:tcW w:w="1691" w:type="pct"/>
                  <w:vAlign w:val="center"/>
                </w:tcPr>
                <w:p>
                  <w:pPr>
                    <w:spacing w:line="240" w:lineRule="auto"/>
                    <w:ind w:firstLine="0" w:firstLineChars="0"/>
                    <w:jc w:val="center"/>
                    <w:rPr>
                      <w:bCs/>
                      <w:color w:val="000000"/>
                      <w:sz w:val="21"/>
                      <w:szCs w:val="21"/>
                    </w:rPr>
                  </w:pPr>
                  <w:r>
                    <w:rPr>
                      <w:rFonts w:hint="eastAsia"/>
                      <w:bCs/>
                      <w:color w:val="000000"/>
                      <w:sz w:val="21"/>
                      <w:szCs w:val="21"/>
                    </w:rPr>
                    <w:t>项目属于《产业结构调整指导目录》（2024本）中的允许类，符合国家产业政策</w:t>
                  </w:r>
                </w:p>
              </w:tc>
              <w:tc>
                <w:tcPr>
                  <w:tcW w:w="577" w:type="pct"/>
                  <w:vAlign w:val="center"/>
                </w:tcPr>
                <w:p>
                  <w:pPr>
                    <w:spacing w:line="240" w:lineRule="auto"/>
                    <w:ind w:firstLine="0" w:firstLineChars="0"/>
                    <w:jc w:val="center"/>
                    <w:rPr>
                      <w:bCs/>
                      <w:color w:val="000000"/>
                      <w:sz w:val="21"/>
                      <w:szCs w:val="21"/>
                    </w:rPr>
                  </w:pPr>
                  <w:r>
                    <w:rPr>
                      <w:rFonts w:hint="eastAsia"/>
                      <w:bCs/>
                      <w:color w:val="000000"/>
                      <w:sz w:val="21"/>
                      <w:szCs w:val="21"/>
                    </w:rPr>
                    <w:t>符合</w:t>
                  </w:r>
                </w:p>
              </w:tc>
            </w:tr>
          </w:tbl>
          <w:p>
            <w:pPr>
              <w:ind w:firstLine="482"/>
              <w:rPr>
                <w:b/>
                <w:bCs/>
                <w:color w:val="000000"/>
              </w:rPr>
            </w:pPr>
            <w:r>
              <w:rPr>
                <w:rFonts w:hint="eastAsia"/>
                <w:b/>
                <w:bCs/>
                <w:color w:val="000000"/>
              </w:rPr>
              <w:t>2</w:t>
            </w:r>
            <w:r>
              <w:rPr>
                <w:b/>
                <w:bCs/>
                <w:color w:val="000000"/>
              </w:rPr>
              <w:t>.</w:t>
            </w:r>
            <w:r>
              <w:rPr>
                <w:rFonts w:hint="eastAsia"/>
                <w:b/>
                <w:bCs/>
                <w:color w:val="000000"/>
              </w:rPr>
              <w:t>3与《第二师铁门关市“三线一单”生态环境分区管控方案》及2023动态更新成果的符合性分析</w:t>
            </w:r>
          </w:p>
          <w:p>
            <w:pPr>
              <w:autoSpaceDE w:val="0"/>
              <w:autoSpaceDN w:val="0"/>
              <w:adjustRightInd w:val="0"/>
              <w:snapToGrid w:val="0"/>
              <w:jc w:val="left"/>
              <w:rPr>
                <w:kern w:val="0"/>
              </w:rPr>
            </w:pPr>
            <w:r>
              <w:rPr>
                <w:rFonts w:hint="eastAsia"/>
                <w:kern w:val="0"/>
              </w:rPr>
              <w:t>（</w:t>
            </w:r>
            <w:r>
              <w:rPr>
                <w:kern w:val="0"/>
              </w:rPr>
              <w:t>1</w:t>
            </w:r>
            <w:r>
              <w:rPr>
                <w:rFonts w:hint="eastAsia"/>
                <w:kern w:val="0"/>
              </w:rPr>
              <w:t>）生态保护红线</w:t>
            </w:r>
          </w:p>
          <w:p>
            <w:pPr>
              <w:autoSpaceDE w:val="0"/>
              <w:autoSpaceDN w:val="0"/>
              <w:adjustRightInd w:val="0"/>
              <w:snapToGrid w:val="0"/>
              <w:rPr>
                <w:kern w:val="0"/>
              </w:rPr>
            </w:pPr>
            <w:r>
              <w:rPr>
                <w:rFonts w:hint="eastAsia"/>
                <w:kern w:val="0"/>
              </w:rPr>
              <w:t>本项目位于第二师铁门关市，师市共划定环境管控单元</w:t>
            </w:r>
            <w:r>
              <w:rPr>
                <w:kern w:val="0"/>
              </w:rPr>
              <w:t>97</w:t>
            </w:r>
            <w:r>
              <w:rPr>
                <w:rFonts w:hint="eastAsia"/>
                <w:kern w:val="0"/>
              </w:rPr>
              <w:t>个，分为优先保护单元、重点管控单元、一般管控单元三大类。</w:t>
            </w:r>
          </w:p>
          <w:p>
            <w:pPr>
              <w:autoSpaceDE w:val="0"/>
              <w:autoSpaceDN w:val="0"/>
              <w:adjustRightInd w:val="0"/>
              <w:snapToGrid w:val="0"/>
              <w:jc w:val="left"/>
              <w:rPr>
                <w:kern w:val="0"/>
              </w:rPr>
            </w:pPr>
            <w:r>
              <w:rPr>
                <w:rFonts w:hint="eastAsia"/>
                <w:kern w:val="0"/>
              </w:rPr>
              <w:t>优先保护单元</w:t>
            </w:r>
            <w:r>
              <w:rPr>
                <w:kern w:val="0"/>
              </w:rPr>
              <w:t>37</w:t>
            </w:r>
            <w:r>
              <w:rPr>
                <w:rFonts w:hint="eastAsia"/>
                <w:kern w:val="0"/>
              </w:rPr>
              <w:t>个，占师市总面积的</w:t>
            </w:r>
            <w:r>
              <w:rPr>
                <w:kern w:val="0"/>
              </w:rPr>
              <w:t>55.50%</w:t>
            </w:r>
            <w:r>
              <w:rPr>
                <w:rFonts w:hint="eastAsia"/>
                <w:kern w:val="0"/>
              </w:rPr>
              <w:t>。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pPr>
              <w:autoSpaceDE w:val="0"/>
              <w:autoSpaceDN w:val="0"/>
              <w:adjustRightInd w:val="0"/>
              <w:snapToGrid w:val="0"/>
              <w:rPr>
                <w:kern w:val="0"/>
              </w:rPr>
            </w:pPr>
            <w:r>
              <w:rPr>
                <w:rFonts w:hint="eastAsia"/>
                <w:kern w:val="0"/>
              </w:rPr>
              <w:t>重点管控单元</w:t>
            </w:r>
            <w:r>
              <w:rPr>
                <w:kern w:val="0"/>
              </w:rPr>
              <w:t>44</w:t>
            </w:r>
            <w:r>
              <w:rPr>
                <w:rFonts w:hint="eastAsia"/>
                <w:kern w:val="0"/>
              </w:rPr>
              <w:t>个，占师市总面积的</w:t>
            </w:r>
            <w:r>
              <w:rPr>
                <w:kern w:val="0"/>
              </w:rPr>
              <w:t>17.24%</w:t>
            </w:r>
            <w:r>
              <w:rPr>
                <w:rFonts w:hint="eastAsia"/>
                <w:kern w:val="0"/>
              </w:rPr>
              <w:t>。主要包括铁门关市城区和团部区域、铁门关经济技术开发区和开发强度大、污染物排放强度高及存在环境风险的其他区域。该区域应优化空间布局，加强污染物排放控制和环境风险防控，不断提升资源利用效率，重点解决突出生态环境问题，切实推动生态环境质量持续改善。</w:t>
            </w:r>
          </w:p>
          <w:p>
            <w:pPr>
              <w:autoSpaceDE w:val="0"/>
              <w:autoSpaceDN w:val="0"/>
              <w:adjustRightInd w:val="0"/>
              <w:snapToGrid w:val="0"/>
              <w:jc w:val="left"/>
              <w:rPr>
                <w:kern w:val="0"/>
              </w:rPr>
            </w:pPr>
            <w:r>
              <w:rPr>
                <w:rFonts w:hint="eastAsia"/>
                <w:kern w:val="0"/>
              </w:rPr>
              <w:t>一般管控单元共</w:t>
            </w:r>
            <w:r>
              <w:rPr>
                <w:kern w:val="0"/>
              </w:rPr>
              <w:t>16</w:t>
            </w:r>
            <w:r>
              <w:rPr>
                <w:rFonts w:hint="eastAsia"/>
                <w:kern w:val="0"/>
              </w:rPr>
              <w:t>个，占师市总面积的</w:t>
            </w:r>
            <w:r>
              <w:rPr>
                <w:kern w:val="0"/>
              </w:rPr>
              <w:t>27.26%</w:t>
            </w:r>
            <w:r>
              <w:rPr>
                <w:rFonts w:hint="eastAsia"/>
                <w:kern w:val="0"/>
              </w:rPr>
              <w:t>。主要指优先保护单元和重点管控单元之外的区域。该区域以经济社会可持续发展为导向，生态环境保护与适度开发相结合，开发建设应落实现行生态环境保护基本要求。</w:t>
            </w:r>
          </w:p>
          <w:p>
            <w:pPr>
              <w:autoSpaceDE w:val="0"/>
              <w:autoSpaceDN w:val="0"/>
              <w:adjustRightInd w:val="0"/>
              <w:snapToGrid w:val="0"/>
              <w:jc w:val="left"/>
              <w:rPr>
                <w:kern w:val="0"/>
              </w:rPr>
            </w:pPr>
            <w:r>
              <w:rPr>
                <w:color w:val="000000"/>
              </w:rPr>
              <w:t>本项目所在区域属于第二师223团，环境管控单元编码：ZH65721910002，单元名称：</w:t>
            </w:r>
            <w:r>
              <w:rPr>
                <w:rFonts w:hint="eastAsia"/>
                <w:color w:val="000000"/>
              </w:rPr>
              <w:t>2</w:t>
            </w:r>
            <w:r>
              <w:rPr>
                <w:color w:val="000000"/>
              </w:rPr>
              <w:t>23</w:t>
            </w:r>
            <w:r>
              <w:rPr>
                <w:rFonts w:hint="eastAsia"/>
                <w:color w:val="000000"/>
              </w:rPr>
              <w:t>团优先保护单元</w:t>
            </w:r>
            <w:r>
              <w:rPr>
                <w:color w:val="000000"/>
              </w:rPr>
              <w:t>。</w:t>
            </w:r>
            <w:r>
              <w:rPr>
                <w:rFonts w:hint="eastAsia"/>
                <w:kern w:val="0"/>
              </w:rPr>
              <w:t>本项目与</w:t>
            </w:r>
            <w:r>
              <w:rPr>
                <w:color w:val="000000"/>
              </w:rPr>
              <w:t>第二师</w:t>
            </w:r>
            <w:r>
              <w:rPr>
                <w:rFonts w:hint="eastAsia"/>
                <w:color w:val="000000"/>
              </w:rPr>
              <w:t>2</w:t>
            </w:r>
            <w:r>
              <w:rPr>
                <w:color w:val="000000"/>
              </w:rPr>
              <w:t>23</w:t>
            </w:r>
            <w:r>
              <w:rPr>
                <w:rFonts w:hint="eastAsia"/>
                <w:color w:val="000000"/>
              </w:rPr>
              <w:t>团优先保护单元</w:t>
            </w:r>
            <w:r>
              <w:rPr>
                <w:rFonts w:hint="eastAsia"/>
                <w:kern w:val="0"/>
              </w:rPr>
              <w:t>管控要求相符性分析详见表</w:t>
            </w:r>
            <w:r>
              <w:rPr>
                <w:kern w:val="0"/>
              </w:rPr>
              <w:t>1-</w:t>
            </w:r>
            <w:r>
              <w:rPr>
                <w:rFonts w:hint="eastAsia"/>
                <w:kern w:val="0"/>
              </w:rPr>
              <w:t>8</w:t>
            </w:r>
            <w:r>
              <w:rPr>
                <w:color w:val="000000"/>
              </w:rPr>
              <w:t>。</w:t>
            </w:r>
          </w:p>
          <w:p>
            <w:pPr>
              <w:adjustRightInd w:val="0"/>
              <w:spacing w:before="156" w:beforeLines="50" w:line="240" w:lineRule="auto"/>
              <w:ind w:firstLine="0" w:firstLineChars="0"/>
              <w:jc w:val="center"/>
              <w:rPr>
                <w:b/>
                <w:kern w:val="0"/>
                <w:sz w:val="21"/>
                <w:szCs w:val="20"/>
              </w:rPr>
            </w:pPr>
            <w:r>
              <w:rPr>
                <w:rFonts w:hint="eastAsia"/>
                <w:b/>
                <w:kern w:val="0"/>
                <w:sz w:val="21"/>
                <w:szCs w:val="20"/>
              </w:rPr>
              <w:t>表</w:t>
            </w:r>
            <w:r>
              <w:rPr>
                <w:b/>
                <w:kern w:val="0"/>
                <w:sz w:val="21"/>
                <w:szCs w:val="20"/>
              </w:rPr>
              <w:t>1-</w:t>
            </w:r>
            <w:r>
              <w:rPr>
                <w:rFonts w:hint="eastAsia"/>
                <w:b/>
                <w:kern w:val="0"/>
                <w:sz w:val="21"/>
                <w:szCs w:val="20"/>
              </w:rPr>
              <w:t>8</w:t>
            </w:r>
            <w:r>
              <w:rPr>
                <w:b/>
                <w:kern w:val="0"/>
                <w:sz w:val="21"/>
                <w:szCs w:val="20"/>
              </w:rPr>
              <w:t xml:space="preserve">  </w:t>
            </w:r>
            <w:r>
              <w:rPr>
                <w:rFonts w:hint="eastAsia"/>
                <w:b/>
                <w:bCs/>
                <w:color w:val="000000"/>
                <w:sz w:val="21"/>
                <w:szCs w:val="21"/>
              </w:rPr>
              <w:t>223团优先保护单元（</w:t>
            </w:r>
            <w:r>
              <w:rPr>
                <w:b/>
                <w:bCs/>
                <w:color w:val="000000"/>
                <w:sz w:val="21"/>
                <w:szCs w:val="21"/>
              </w:rPr>
              <w:t>ZH65721910002</w:t>
            </w:r>
            <w:r>
              <w:rPr>
                <w:rFonts w:hint="eastAsia"/>
                <w:b/>
                <w:bCs/>
                <w:color w:val="000000"/>
                <w:sz w:val="21"/>
                <w:szCs w:val="21"/>
              </w:rPr>
              <w:t>）</w:t>
            </w:r>
            <w:r>
              <w:rPr>
                <w:rFonts w:hint="eastAsia"/>
                <w:b/>
                <w:kern w:val="0"/>
                <w:sz w:val="21"/>
                <w:szCs w:val="20"/>
              </w:rPr>
              <w:t>生态环境管控要求</w:t>
            </w:r>
          </w:p>
          <w:tbl>
            <w:tblPr>
              <w:tblStyle w:val="19"/>
              <w:tblW w:w="4985" w:type="pct"/>
              <w:tblInd w:w="2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09"/>
              <w:gridCol w:w="4248"/>
              <w:gridCol w:w="962"/>
              <w:gridCol w:w="9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75" w:type="pct"/>
                  <w:vAlign w:val="center"/>
                </w:tcPr>
                <w:p>
                  <w:pPr>
                    <w:spacing w:line="240" w:lineRule="auto"/>
                    <w:ind w:firstLine="0" w:firstLineChars="0"/>
                    <w:jc w:val="center"/>
                    <w:rPr>
                      <w:sz w:val="21"/>
                      <w:szCs w:val="21"/>
                    </w:rPr>
                  </w:pPr>
                  <w:r>
                    <w:rPr>
                      <w:sz w:val="21"/>
                      <w:szCs w:val="21"/>
                    </w:rPr>
                    <w:t>管控类型</w:t>
                  </w:r>
                </w:p>
              </w:tc>
              <w:tc>
                <w:tcPr>
                  <w:tcW w:w="2839" w:type="pct"/>
                  <w:vAlign w:val="center"/>
                </w:tcPr>
                <w:p>
                  <w:pPr>
                    <w:spacing w:line="240" w:lineRule="auto"/>
                    <w:ind w:firstLine="0" w:firstLineChars="0"/>
                    <w:jc w:val="center"/>
                    <w:rPr>
                      <w:sz w:val="21"/>
                      <w:szCs w:val="21"/>
                    </w:rPr>
                  </w:pPr>
                  <w:r>
                    <w:rPr>
                      <w:sz w:val="21"/>
                      <w:szCs w:val="21"/>
                    </w:rPr>
                    <w:t>管控要求</w:t>
                  </w:r>
                </w:p>
              </w:tc>
              <w:tc>
                <w:tcPr>
                  <w:tcW w:w="643" w:type="pct"/>
                  <w:vAlign w:val="center"/>
                </w:tcPr>
                <w:p>
                  <w:pPr>
                    <w:spacing w:line="240" w:lineRule="auto"/>
                    <w:ind w:firstLine="0" w:firstLineChars="0"/>
                    <w:jc w:val="center"/>
                    <w:rPr>
                      <w:sz w:val="21"/>
                      <w:szCs w:val="21"/>
                    </w:rPr>
                  </w:pPr>
                  <w:r>
                    <w:rPr>
                      <w:sz w:val="21"/>
                      <w:szCs w:val="21"/>
                    </w:rPr>
                    <w:t>本项目</w:t>
                  </w:r>
                </w:p>
              </w:tc>
              <w:tc>
                <w:tcPr>
                  <w:tcW w:w="643" w:type="pct"/>
                  <w:vAlign w:val="center"/>
                </w:tcPr>
                <w:p>
                  <w:pPr>
                    <w:spacing w:line="240" w:lineRule="auto"/>
                    <w:ind w:firstLine="0" w:firstLineChars="0"/>
                    <w:jc w:val="center"/>
                    <w:rPr>
                      <w:sz w:val="21"/>
                      <w:szCs w:val="21"/>
                    </w:rPr>
                  </w:pPr>
                  <w:r>
                    <w:rPr>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75" w:type="pct"/>
                  <w:vAlign w:val="center"/>
                </w:tcPr>
                <w:p>
                  <w:pPr>
                    <w:spacing w:line="240" w:lineRule="auto"/>
                    <w:ind w:firstLine="0" w:firstLineChars="0"/>
                    <w:jc w:val="center"/>
                    <w:rPr>
                      <w:sz w:val="21"/>
                      <w:szCs w:val="21"/>
                    </w:rPr>
                  </w:pPr>
                  <w:r>
                    <w:rPr>
                      <w:sz w:val="21"/>
                      <w:szCs w:val="21"/>
                    </w:rPr>
                    <w:t>空间布局约束</w:t>
                  </w:r>
                </w:p>
              </w:tc>
              <w:tc>
                <w:tcPr>
                  <w:tcW w:w="2839" w:type="pct"/>
                  <w:vAlign w:val="center"/>
                </w:tcPr>
                <w:p>
                  <w:pPr>
                    <w:spacing w:line="240" w:lineRule="auto"/>
                    <w:ind w:firstLine="0" w:firstLineChars="0"/>
                    <w:rPr>
                      <w:sz w:val="21"/>
                      <w:szCs w:val="21"/>
                    </w:rPr>
                  </w:pPr>
                  <w:r>
                    <w:rPr>
                      <w:sz w:val="21"/>
                      <w:szCs w:val="21"/>
                    </w:rPr>
                    <w:t>（1）大气环境弱扩散区执行大气环境弱扩散区相关要求。单元内生态保护红线范围执行生态保护红线空间布局约束要求。（2）对已遭受破坏的林草生态系统，积极组织重建与恢复。（3）大气环境弱扩散区：应避免大规模排放大气污染物的项目布局建设。已有改扩建项目要提高节能环保准入门槛，实行大气污染物排放减量置换，实施区域内最严格的大气污染物排放标准。区内禁止新建除热电联产以外的煤电项目，禁止新（改、扩）建钢铁、建材、焦化、有色、石化、化工等高污染行业项目；禁止新建使用原煤项目和30蒸吨/小时以下的重油、渣油锅炉及直接燃用生物质锅炉；禁止新建涉及有毒有害气体排放的项目；优先实施清洁能源替代，淘汰区域内现存的上述禁止项目。环境质量超标区域，新（改、扩）建其它项目实行区域大气污染物二倍量削减，即：按照建设项目污染物排放量的2倍及以上实行区域污染物总量削减替代；已达到大气环境质量标准的地区，应当严格控制新增排放大气污染物项目大气污染物排放量</w:t>
                  </w:r>
                </w:p>
              </w:tc>
              <w:tc>
                <w:tcPr>
                  <w:tcW w:w="643" w:type="pct"/>
                  <w:vAlign w:val="center"/>
                </w:tcPr>
                <w:p>
                  <w:pPr>
                    <w:spacing w:line="240" w:lineRule="auto"/>
                    <w:ind w:firstLine="0" w:firstLineChars="0"/>
                    <w:rPr>
                      <w:sz w:val="21"/>
                      <w:szCs w:val="21"/>
                    </w:rPr>
                  </w:pPr>
                  <w:r>
                    <w:rPr>
                      <w:rFonts w:hint="eastAsia"/>
                      <w:sz w:val="21"/>
                      <w:szCs w:val="21"/>
                    </w:rPr>
                    <w:t>1、本项目不在生态保护红线范围内</w:t>
                  </w:r>
                </w:p>
                <w:p>
                  <w:pPr>
                    <w:spacing w:line="240" w:lineRule="auto"/>
                    <w:ind w:firstLine="0" w:firstLineChars="0"/>
                    <w:rPr>
                      <w:sz w:val="21"/>
                      <w:szCs w:val="21"/>
                    </w:rPr>
                  </w:pPr>
                  <w:r>
                    <w:rPr>
                      <w:sz w:val="21"/>
                      <w:szCs w:val="21"/>
                    </w:rPr>
                    <w:t>2</w:t>
                  </w:r>
                  <w:r>
                    <w:rPr>
                      <w:rFonts w:hint="eastAsia"/>
                      <w:sz w:val="21"/>
                      <w:szCs w:val="21"/>
                    </w:rPr>
                    <w:t>、本项目不涉及重点生态功能区</w:t>
                  </w:r>
                </w:p>
                <w:p>
                  <w:pPr>
                    <w:spacing w:line="240" w:lineRule="auto"/>
                    <w:ind w:firstLine="0" w:firstLineChars="0"/>
                    <w:rPr>
                      <w:sz w:val="21"/>
                      <w:szCs w:val="21"/>
                    </w:rPr>
                  </w:pPr>
                  <w:r>
                    <w:rPr>
                      <w:sz w:val="21"/>
                      <w:szCs w:val="21"/>
                    </w:rPr>
                    <w:t>3</w:t>
                  </w:r>
                  <w:r>
                    <w:rPr>
                      <w:rFonts w:hint="eastAsia"/>
                      <w:sz w:val="21"/>
                      <w:szCs w:val="21"/>
                    </w:rPr>
                    <w:t>、本项目为固体矿产地质勘探，不属于重点排污单位，且各项污染物均可达标排放</w:t>
                  </w:r>
                </w:p>
              </w:tc>
              <w:tc>
                <w:tcPr>
                  <w:tcW w:w="643" w:type="pct"/>
                  <w:vAlign w:val="center"/>
                </w:tcPr>
                <w:p>
                  <w:pPr>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875" w:type="pct"/>
                  <w:vAlign w:val="center"/>
                </w:tcPr>
                <w:p>
                  <w:pPr>
                    <w:spacing w:line="240" w:lineRule="auto"/>
                    <w:ind w:firstLine="0" w:firstLineChars="0"/>
                    <w:jc w:val="center"/>
                    <w:rPr>
                      <w:sz w:val="21"/>
                      <w:szCs w:val="21"/>
                    </w:rPr>
                  </w:pPr>
                  <w:r>
                    <w:rPr>
                      <w:sz w:val="21"/>
                      <w:szCs w:val="21"/>
                    </w:rPr>
                    <w:t>污染物排放管控</w:t>
                  </w:r>
                </w:p>
              </w:tc>
              <w:tc>
                <w:tcPr>
                  <w:tcW w:w="2839"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75" w:type="pct"/>
                  <w:vAlign w:val="center"/>
                </w:tcPr>
                <w:p>
                  <w:pPr>
                    <w:spacing w:line="240" w:lineRule="auto"/>
                    <w:ind w:firstLine="0" w:firstLineChars="0"/>
                    <w:jc w:val="center"/>
                    <w:rPr>
                      <w:sz w:val="21"/>
                      <w:szCs w:val="21"/>
                    </w:rPr>
                  </w:pPr>
                  <w:r>
                    <w:rPr>
                      <w:sz w:val="21"/>
                      <w:szCs w:val="21"/>
                    </w:rPr>
                    <w:t>环境风险防控</w:t>
                  </w:r>
                </w:p>
              </w:tc>
              <w:tc>
                <w:tcPr>
                  <w:tcW w:w="2839" w:type="pct"/>
                  <w:vAlign w:val="center"/>
                </w:tcPr>
                <w:p>
                  <w:pPr>
                    <w:spacing w:line="240" w:lineRule="auto"/>
                    <w:ind w:firstLine="0" w:firstLineChars="0"/>
                    <w:jc w:val="center"/>
                    <w:rPr>
                      <w:sz w:val="21"/>
                      <w:szCs w:val="21"/>
                    </w:rPr>
                  </w:pPr>
                  <w:r>
                    <w:rPr>
                      <w:sz w:val="21"/>
                      <w:szCs w:val="21"/>
                    </w:rPr>
                    <w:t>（1）加强森林防火基础设施建设，完善森林防火监控系统。</w:t>
                  </w:r>
                </w:p>
              </w:tc>
              <w:tc>
                <w:tcPr>
                  <w:tcW w:w="643" w:type="pct"/>
                  <w:vAlign w:val="center"/>
                </w:tcPr>
                <w:p>
                  <w:pPr>
                    <w:spacing w:line="240" w:lineRule="auto"/>
                    <w:ind w:firstLine="0" w:firstLineChars="0"/>
                    <w:jc w:val="center"/>
                    <w:rPr>
                      <w:sz w:val="21"/>
                      <w:szCs w:val="21"/>
                    </w:rPr>
                  </w:pPr>
                </w:p>
              </w:tc>
              <w:tc>
                <w:tcPr>
                  <w:tcW w:w="643" w:type="pct"/>
                  <w:vAlign w:val="center"/>
                </w:tcPr>
                <w:p>
                  <w:pPr>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 w:hRule="atLeast"/>
              </w:trPr>
              <w:tc>
                <w:tcPr>
                  <w:tcW w:w="875" w:type="pct"/>
                  <w:vAlign w:val="center"/>
                </w:tcPr>
                <w:p>
                  <w:pPr>
                    <w:spacing w:line="240" w:lineRule="auto"/>
                    <w:ind w:firstLine="0" w:firstLineChars="0"/>
                    <w:jc w:val="center"/>
                    <w:rPr>
                      <w:sz w:val="21"/>
                      <w:szCs w:val="21"/>
                    </w:rPr>
                  </w:pPr>
                  <w:r>
                    <w:rPr>
                      <w:sz w:val="21"/>
                      <w:szCs w:val="21"/>
                    </w:rPr>
                    <w:t>资源利用效率</w:t>
                  </w:r>
                </w:p>
              </w:tc>
              <w:tc>
                <w:tcPr>
                  <w:tcW w:w="2839"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c>
                <w:tcPr>
                  <w:tcW w:w="643" w:type="pct"/>
                  <w:vAlign w:val="center"/>
                </w:tcPr>
                <w:p>
                  <w:pPr>
                    <w:spacing w:line="240" w:lineRule="auto"/>
                    <w:ind w:firstLine="0" w:firstLineChars="0"/>
                    <w:jc w:val="center"/>
                    <w:rPr>
                      <w:sz w:val="21"/>
                      <w:szCs w:val="21"/>
                    </w:rPr>
                  </w:pPr>
                  <w:r>
                    <w:rPr>
                      <w:sz w:val="21"/>
                      <w:szCs w:val="21"/>
                    </w:rPr>
                    <w:t>/</w:t>
                  </w:r>
                </w:p>
              </w:tc>
            </w:tr>
          </w:tbl>
          <w:p>
            <w:pPr>
              <w:pStyle w:val="15"/>
              <w:ind w:firstLine="482" w:firstLineChars="200"/>
              <w:jc w:val="both"/>
            </w:pPr>
            <w:r>
              <w:rPr>
                <w:rFonts w:hint="eastAsia"/>
              </w:rPr>
              <w:t>3.与其他符合性分析</w:t>
            </w:r>
          </w:p>
          <w:p>
            <w:pPr>
              <w:pStyle w:val="28"/>
              <w:spacing w:before="156"/>
            </w:pPr>
            <w:r>
              <w:rPr>
                <w:rFonts w:hint="eastAsia"/>
              </w:rPr>
              <w:t>表</w:t>
            </w:r>
            <w:r>
              <w:t>1-</w:t>
            </w:r>
            <w:r>
              <w:rPr>
                <w:rFonts w:hint="eastAsia"/>
              </w:rPr>
              <w:t>9</w:t>
            </w:r>
            <w:r>
              <w:t xml:space="preserve">  </w:t>
            </w:r>
            <w:r>
              <w:rPr>
                <w:rFonts w:hint="eastAsia"/>
              </w:rPr>
              <w:t>环境规划符合性分析</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2657"/>
              <w:gridCol w:w="2329"/>
              <w:gridCol w:w="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jc w:val="center"/>
                    <w:rPr>
                      <w:sz w:val="21"/>
                      <w:szCs w:val="21"/>
                    </w:rPr>
                  </w:pPr>
                  <w:bookmarkStart w:id="1" w:name="_Hlk97245357"/>
                  <w:r>
                    <w:rPr>
                      <w:rFonts w:hint="eastAsia"/>
                      <w:sz w:val="21"/>
                      <w:szCs w:val="21"/>
                    </w:rPr>
                    <w:t>规划</w:t>
                  </w:r>
                </w:p>
              </w:tc>
              <w:tc>
                <w:tcPr>
                  <w:tcW w:w="1771" w:type="pct"/>
                  <w:vAlign w:val="center"/>
                </w:tcPr>
                <w:p>
                  <w:pPr>
                    <w:spacing w:line="240" w:lineRule="auto"/>
                    <w:ind w:firstLine="0" w:firstLineChars="0"/>
                    <w:jc w:val="center"/>
                    <w:rPr>
                      <w:sz w:val="21"/>
                      <w:szCs w:val="21"/>
                    </w:rPr>
                  </w:pPr>
                  <w:r>
                    <w:rPr>
                      <w:rFonts w:hint="eastAsia"/>
                      <w:sz w:val="21"/>
                      <w:szCs w:val="21"/>
                    </w:rPr>
                    <w:t>规划要求</w:t>
                  </w:r>
                </w:p>
              </w:tc>
              <w:tc>
                <w:tcPr>
                  <w:tcW w:w="1552" w:type="pct"/>
                  <w:vAlign w:val="center"/>
                </w:tcPr>
                <w:p>
                  <w:pPr>
                    <w:spacing w:line="240" w:lineRule="auto"/>
                    <w:ind w:firstLine="0" w:firstLineChars="0"/>
                    <w:jc w:val="center"/>
                    <w:rPr>
                      <w:sz w:val="21"/>
                      <w:szCs w:val="21"/>
                    </w:rPr>
                  </w:pPr>
                  <w:r>
                    <w:rPr>
                      <w:rFonts w:hint="eastAsia"/>
                      <w:sz w:val="21"/>
                      <w:szCs w:val="21"/>
                    </w:rPr>
                    <w:t>本项目情况</w:t>
                  </w:r>
                </w:p>
              </w:tc>
              <w:tc>
                <w:tcPr>
                  <w:tcW w:w="509" w:type="pct"/>
                  <w:vAlign w:val="center"/>
                </w:tcPr>
                <w:p>
                  <w:pPr>
                    <w:spacing w:line="240" w:lineRule="auto"/>
                    <w:ind w:firstLine="0" w:firstLineChars="0"/>
                    <w:jc w:val="center"/>
                    <w:rPr>
                      <w:sz w:val="21"/>
                      <w:szCs w:val="21"/>
                    </w:rPr>
                  </w:pPr>
                  <w:r>
                    <w:rPr>
                      <w:rFonts w:hint="eastAsia"/>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新疆维吾尔自治区国民经济和社会发展第十四个五年规划和</w:t>
                  </w:r>
                  <w:r>
                    <w:rPr>
                      <w:sz w:val="21"/>
                      <w:szCs w:val="21"/>
                    </w:rPr>
                    <w:t>2035</w:t>
                  </w:r>
                  <w:r>
                    <w:rPr>
                      <w:rFonts w:hint="eastAsia"/>
                      <w:sz w:val="21"/>
                      <w:szCs w:val="21"/>
                    </w:rPr>
                    <w:t>年远景目标纲要</w:t>
                  </w:r>
                </w:p>
              </w:tc>
              <w:tc>
                <w:tcPr>
                  <w:tcW w:w="1771" w:type="pct"/>
                  <w:vAlign w:val="center"/>
                </w:tcPr>
                <w:p>
                  <w:pPr>
                    <w:spacing w:line="240" w:lineRule="auto"/>
                    <w:ind w:firstLine="0" w:firstLineChars="0"/>
                    <w:rPr>
                      <w:sz w:val="21"/>
                      <w:szCs w:val="21"/>
                    </w:rPr>
                  </w:pPr>
                  <w:r>
                    <w:rPr>
                      <w:rFonts w:hint="eastAsia"/>
                      <w:sz w:val="21"/>
                      <w:szCs w:val="21"/>
                    </w:rPr>
                    <w:t>按照“深化北疆东疆，加快南疆勘查”的总体思路，开展重点成矿区带地质调查和矿产勘查，做好矿产资源开发利用储备。贯彻新发展理念，建设绿色矿山，实现可持续发展。</w:t>
                  </w:r>
                </w:p>
              </w:tc>
              <w:tc>
                <w:tcPr>
                  <w:tcW w:w="1552" w:type="pct"/>
                  <w:vAlign w:val="center"/>
                </w:tcPr>
                <w:p>
                  <w:pPr>
                    <w:spacing w:line="240" w:lineRule="auto"/>
                    <w:ind w:firstLine="0" w:firstLineChars="0"/>
                    <w:rPr>
                      <w:sz w:val="21"/>
                      <w:szCs w:val="21"/>
                    </w:rPr>
                  </w:pPr>
                  <w:r>
                    <w:rPr>
                      <w:rFonts w:hint="eastAsia"/>
                      <w:sz w:val="21"/>
                      <w:szCs w:val="21"/>
                    </w:rPr>
                    <w:t>本项目为固体矿产地质勘探，符合新疆维吾尔自治区国民经济和社会发展第十四个五年规划和</w:t>
                  </w:r>
                  <w:r>
                    <w:rPr>
                      <w:sz w:val="21"/>
                      <w:szCs w:val="21"/>
                    </w:rPr>
                    <w:t>2035</w:t>
                  </w:r>
                  <w:r>
                    <w:rPr>
                      <w:rFonts w:hint="eastAsia"/>
                      <w:sz w:val="21"/>
                      <w:szCs w:val="21"/>
                    </w:rPr>
                    <w:t>年远景目标纲要</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巴音郭楞蒙古自治州国民经济和社会发展第十四个五年规划和二〇三五年远景目标纲要</w:t>
                  </w:r>
                </w:p>
              </w:tc>
              <w:tc>
                <w:tcPr>
                  <w:tcW w:w="1771" w:type="pct"/>
                  <w:vAlign w:val="center"/>
                </w:tcPr>
                <w:p>
                  <w:pPr>
                    <w:spacing w:line="240" w:lineRule="auto"/>
                    <w:ind w:firstLine="0" w:firstLineChars="0"/>
                    <w:rPr>
                      <w:sz w:val="21"/>
                      <w:szCs w:val="21"/>
                    </w:rPr>
                  </w:pPr>
                  <w:r>
                    <w:rPr>
                      <w:rFonts w:hint="eastAsia"/>
                      <w:sz w:val="21"/>
                      <w:szCs w:val="21"/>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52" w:type="pct"/>
                  <w:vAlign w:val="center"/>
                </w:tcPr>
                <w:p>
                  <w:pPr>
                    <w:spacing w:line="240" w:lineRule="auto"/>
                    <w:ind w:firstLine="0" w:firstLineChars="0"/>
                    <w:rPr>
                      <w:sz w:val="21"/>
                      <w:szCs w:val="21"/>
                    </w:rPr>
                  </w:pPr>
                  <w:r>
                    <w:rPr>
                      <w:rFonts w:hint="eastAsia"/>
                      <w:sz w:val="21"/>
                      <w:szCs w:val="21"/>
                    </w:rPr>
                    <w:t>本项目主要为固体矿产地质勘探，符合巴音郭楞蒙古自治州国民经济和社会发展第十四个五年规划和二〇三五年远景目标纲要</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和静县国民经济和社会发展第十四个五年规划和</w:t>
                  </w:r>
                  <w:r>
                    <w:rPr>
                      <w:sz w:val="21"/>
                      <w:szCs w:val="21"/>
                    </w:rPr>
                    <w:t>2035</w:t>
                  </w:r>
                  <w:r>
                    <w:rPr>
                      <w:rFonts w:hint="eastAsia"/>
                      <w:sz w:val="21"/>
                      <w:szCs w:val="21"/>
                    </w:rPr>
                    <w:t>年远景目标</w:t>
                  </w:r>
                </w:p>
              </w:tc>
              <w:tc>
                <w:tcPr>
                  <w:tcW w:w="1771" w:type="pct"/>
                  <w:vAlign w:val="center"/>
                </w:tcPr>
                <w:p>
                  <w:pPr>
                    <w:spacing w:line="240" w:lineRule="auto"/>
                    <w:ind w:firstLine="0" w:firstLineChars="0"/>
                    <w:rPr>
                      <w:sz w:val="21"/>
                      <w:szCs w:val="21"/>
                    </w:rPr>
                  </w:pPr>
                  <w:r>
                    <w:rPr>
                      <w:rFonts w:hint="eastAsia"/>
                      <w:sz w:val="21"/>
                      <w:szCs w:val="21"/>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52" w:type="pct"/>
                  <w:vAlign w:val="center"/>
                </w:tcPr>
                <w:p>
                  <w:pPr>
                    <w:spacing w:line="240" w:lineRule="auto"/>
                    <w:ind w:firstLine="0" w:firstLineChars="0"/>
                    <w:rPr>
                      <w:sz w:val="21"/>
                      <w:szCs w:val="21"/>
                    </w:rPr>
                  </w:pPr>
                  <w:r>
                    <w:rPr>
                      <w:rFonts w:hint="eastAsia"/>
                      <w:sz w:val="21"/>
                      <w:szCs w:val="21"/>
                    </w:rPr>
                    <w:t>本项目主要为固体矿产地质勘探，符合和静县国民经济和社会发展第十四个五年规划和</w:t>
                  </w:r>
                  <w:r>
                    <w:rPr>
                      <w:sz w:val="21"/>
                      <w:szCs w:val="21"/>
                    </w:rPr>
                    <w:t>2035</w:t>
                  </w:r>
                  <w:r>
                    <w:rPr>
                      <w:rFonts w:hint="eastAsia"/>
                      <w:sz w:val="21"/>
                      <w:szCs w:val="21"/>
                    </w:rPr>
                    <w:t>年远景目标</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1771" w:type="pct"/>
                  <w:vAlign w:val="center"/>
                </w:tcPr>
                <w:p>
                  <w:pPr>
                    <w:spacing w:line="240" w:lineRule="auto"/>
                    <w:ind w:firstLine="0" w:firstLineChars="0"/>
                    <w:rPr>
                      <w:sz w:val="21"/>
                      <w:szCs w:val="21"/>
                    </w:rPr>
                  </w:pPr>
                  <w:r>
                    <w:rPr>
                      <w:rFonts w:hint="eastAsia"/>
                      <w:sz w:val="21"/>
                      <w:szCs w:val="21"/>
                    </w:rPr>
                    <w:t>全面推进绿色矿山建设，规范绿色矿山第三方评估，推广矿产资源节约与综合利用先进技术；分运用新型、高效的防尘、降尘、除尘技术，加强矿山粉尘治理。</w:t>
                  </w:r>
                </w:p>
              </w:tc>
              <w:tc>
                <w:tcPr>
                  <w:tcW w:w="1552" w:type="pct"/>
                  <w:vAlign w:val="center"/>
                </w:tcPr>
                <w:p>
                  <w:pPr>
                    <w:spacing w:line="240" w:lineRule="auto"/>
                    <w:ind w:firstLine="0" w:firstLineChars="0"/>
                    <w:rPr>
                      <w:sz w:val="21"/>
                      <w:szCs w:val="21"/>
                    </w:rPr>
                  </w:pPr>
                  <w:r>
                    <w:rPr>
                      <w:rFonts w:hint="eastAsia"/>
                      <w:sz w:val="21"/>
                      <w:szCs w:val="21"/>
                    </w:rPr>
                    <w:t>本项目主要为固体矿产地质勘探，在严格落实各项污染防治措施的前提下，项目建设对环境影响较小。项目符合新疆生态环境保护</w:t>
                  </w:r>
                  <w:r>
                    <w:rPr>
                      <w:sz w:val="21"/>
                      <w:szCs w:val="21"/>
                    </w:rPr>
                    <w:t>“</w:t>
                  </w:r>
                  <w:r>
                    <w:rPr>
                      <w:rFonts w:hint="eastAsia"/>
                      <w:sz w:val="21"/>
                      <w:szCs w:val="21"/>
                    </w:rPr>
                    <w:t>十四五</w:t>
                  </w:r>
                  <w:r>
                    <w:rPr>
                      <w:sz w:val="21"/>
                      <w:szCs w:val="21"/>
                    </w:rPr>
                    <w:t>”</w:t>
                  </w:r>
                  <w:r>
                    <w:rPr>
                      <w:rFonts w:hint="eastAsia"/>
                      <w:sz w:val="21"/>
                      <w:szCs w:val="21"/>
                    </w:rPr>
                    <w:t>规划</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新疆维吾尔自治区环境保护条例</w:t>
                  </w:r>
                </w:p>
              </w:tc>
              <w:tc>
                <w:tcPr>
                  <w:tcW w:w="1771" w:type="pct"/>
                  <w:vAlign w:val="center"/>
                </w:tcPr>
                <w:p>
                  <w:pPr>
                    <w:spacing w:line="240" w:lineRule="auto"/>
                    <w:ind w:firstLine="0" w:firstLineChars="0"/>
                    <w:rPr>
                      <w:sz w:val="21"/>
                      <w:szCs w:val="21"/>
                    </w:rPr>
                  </w:pPr>
                  <w:r>
                    <w:rPr>
                      <w:rFonts w:hint="eastAsia"/>
                      <w:sz w:val="21"/>
                      <w:szCs w:val="21"/>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52" w:type="pct"/>
                  <w:vAlign w:val="center"/>
                </w:tcPr>
                <w:p>
                  <w:pPr>
                    <w:spacing w:line="240" w:lineRule="auto"/>
                    <w:ind w:firstLine="0" w:firstLineChars="0"/>
                    <w:rPr>
                      <w:sz w:val="21"/>
                      <w:szCs w:val="21"/>
                    </w:rPr>
                  </w:pPr>
                  <w:r>
                    <w:rPr>
                      <w:rFonts w:hint="eastAsia"/>
                      <w:sz w:val="21"/>
                      <w:szCs w:val="21"/>
                    </w:rPr>
                    <w:t>施工期剥离的表土和挖出的土石方在临时堆场暂存后用于回填和土地恢复；项目不属于鼓励类、限制类、淘汰类，本项目属于允许类。项目符合新疆维吾尔自治区环境保护条例</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新疆维吾尔自治区生态功能区划</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保护托木尔峰自然景观、保护高山冰川、保护野生动物；保护森林和草原、草地减牧、森林禁伐、禁猎、加强保护区管理；合理利用天然草地，维护自然景观和生物多样性</w:t>
                  </w:r>
                </w:p>
              </w:tc>
              <w:tc>
                <w:tcPr>
                  <w:tcW w:w="1552" w:type="pct"/>
                  <w:vAlign w:val="center"/>
                </w:tcPr>
                <w:p>
                  <w:pPr>
                    <w:spacing w:line="240" w:lineRule="auto"/>
                    <w:ind w:firstLine="0" w:firstLineChars="0"/>
                    <w:rPr>
                      <w:sz w:val="21"/>
                      <w:szCs w:val="21"/>
                    </w:rPr>
                  </w:pPr>
                  <w:r>
                    <w:rPr>
                      <w:rFonts w:hint="eastAsia"/>
                      <w:sz w:val="21"/>
                      <w:szCs w:val="21"/>
                    </w:rPr>
                    <w:t>本项目评价区域属于</w:t>
                  </w:r>
                  <w:r>
                    <w:rPr>
                      <w:sz w:val="21"/>
                      <w:szCs w:val="21"/>
                    </w:rPr>
                    <w:t>III3</w:t>
                  </w:r>
                  <w:r>
                    <w:rPr>
                      <w:rFonts w:hint="eastAsia"/>
                      <w:sz w:val="21"/>
                      <w:szCs w:val="21"/>
                    </w:rPr>
                    <w:t>天山南坡草原牧业、绿洲农业生态亚区</w:t>
                  </w:r>
                  <w:r>
                    <w:rPr>
                      <w:sz w:val="21"/>
                      <w:szCs w:val="21"/>
                    </w:rPr>
                    <w:t>-42</w:t>
                  </w:r>
                  <w:r>
                    <w:rPr>
                      <w:rFonts w:hint="eastAsia"/>
                      <w:sz w:val="21"/>
                      <w:szCs w:val="21"/>
                    </w:rPr>
                    <w:t>．托木尔峰。和天山南坡中段冰雪水源及生物多样性保护生态功能区，项目区域不涉及托木尔峰自然景观、冰川等区域；周边无野生动植物保护区域；符合新疆维吾尔自治区生态功能区域要求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新疆维吾尔自治区主体功能区规划</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52" w:type="pct"/>
                  <w:vAlign w:val="center"/>
                </w:tcPr>
                <w:p>
                  <w:pPr>
                    <w:spacing w:line="240" w:lineRule="auto"/>
                    <w:ind w:firstLine="0" w:firstLineChars="0"/>
                    <w:rPr>
                      <w:sz w:val="21"/>
                      <w:szCs w:val="21"/>
                    </w:rPr>
                  </w:pPr>
                  <w:r>
                    <w:rPr>
                      <w:rFonts w:hint="eastAsia"/>
                      <w:sz w:val="21"/>
                      <w:szCs w:val="21"/>
                    </w:rPr>
                    <w:t>本项目位于和静县，属于天山南坡产业带重点开发区域，本项目为固体矿产地质勘探，符合新疆维吾尔自治区主体功能区规划空间管控要求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restart"/>
                  <w:vAlign w:val="center"/>
                </w:tcPr>
                <w:p>
                  <w:pPr>
                    <w:spacing w:line="240" w:lineRule="auto"/>
                    <w:ind w:firstLine="0" w:firstLineChars="0"/>
                    <w:rPr>
                      <w:sz w:val="21"/>
                      <w:szCs w:val="21"/>
                    </w:rPr>
                  </w:pPr>
                  <w:r>
                    <w:rPr>
                      <w:rFonts w:hint="eastAsia"/>
                      <w:sz w:val="21"/>
                      <w:szCs w:val="21"/>
                    </w:rPr>
                    <w:t>自治州大气污染防治行动计划实施方案</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加强矿山企业采矿扬尘综合整治和宜林区植被恢复工程</w:t>
                  </w:r>
                </w:p>
              </w:tc>
              <w:tc>
                <w:tcPr>
                  <w:tcW w:w="1552" w:type="pct"/>
                  <w:vAlign w:val="center"/>
                </w:tcPr>
                <w:p>
                  <w:pPr>
                    <w:spacing w:line="240" w:lineRule="auto"/>
                    <w:ind w:firstLine="0" w:firstLineChars="0"/>
                    <w:rPr>
                      <w:sz w:val="21"/>
                      <w:szCs w:val="21"/>
                    </w:rPr>
                  </w:pPr>
                  <w:r>
                    <w:rPr>
                      <w:rFonts w:hint="eastAsia"/>
                      <w:sz w:val="21"/>
                      <w:szCs w:val="21"/>
                    </w:rPr>
                    <w:t>本项目采用定期洒水抑尘；能够满足自治州大气污染防治行动计划实施方案要求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continue"/>
                  <w:vAlign w:val="center"/>
                </w:tcPr>
                <w:p>
                  <w:pPr>
                    <w:spacing w:line="240" w:lineRule="auto"/>
                    <w:ind w:firstLine="420"/>
                    <w:rPr>
                      <w:sz w:val="21"/>
                      <w:szCs w:val="21"/>
                    </w:rPr>
                  </w:pP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库尔勒市区域作为自治区大气污染防治重点区域（以库尔勒市人民广场为圆心，半径</w:t>
                  </w:r>
                  <w:r>
                    <w:rPr>
                      <w:sz w:val="21"/>
                      <w:szCs w:val="21"/>
                      <w:shd w:val="clear" w:color="auto" w:fill="FFFFFF"/>
                    </w:rPr>
                    <w:t>25</w:t>
                  </w:r>
                  <w:r>
                    <w:rPr>
                      <w:rFonts w:hint="eastAsia"/>
                      <w:sz w:val="21"/>
                      <w:szCs w:val="21"/>
                      <w:shd w:val="clear" w:color="auto" w:fill="FFFFFF"/>
                    </w:rPr>
                    <w:t>公里区域）；</w:t>
                  </w:r>
                </w:p>
              </w:tc>
              <w:tc>
                <w:tcPr>
                  <w:tcW w:w="1552" w:type="pct"/>
                  <w:vAlign w:val="center"/>
                </w:tcPr>
                <w:p>
                  <w:pPr>
                    <w:spacing w:line="240" w:lineRule="auto"/>
                    <w:ind w:firstLine="0" w:firstLineChars="0"/>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关于重点区域执行大气污染物特别排放限值的公告</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自治区大气污染防治重点区域内的火电、钢铁、水泥、石化行业和燃煤锅炉执行大气污染物特别排放限值，对重点区域重点行业的污染物排放标准进行了更严格的约束和规定，二氧化硫及氮氧化物排放将减少一半以上。</w:t>
                  </w:r>
                </w:p>
              </w:tc>
              <w:tc>
                <w:tcPr>
                  <w:tcW w:w="1552" w:type="pct"/>
                  <w:vAlign w:val="center"/>
                </w:tcPr>
                <w:p>
                  <w:pPr>
                    <w:spacing w:line="240" w:lineRule="auto"/>
                    <w:ind w:firstLine="0" w:firstLineChars="0"/>
                    <w:rPr>
                      <w:sz w:val="21"/>
                      <w:szCs w:val="21"/>
                    </w:rPr>
                  </w:pPr>
                  <w:r>
                    <w:rPr>
                      <w:rFonts w:hint="eastAsia"/>
                      <w:sz w:val="21"/>
                      <w:szCs w:val="21"/>
                    </w:rPr>
                    <w:t>本项目位于和静县，不在大气污染防治重点区域</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《新疆维吾尔自治区矿产资源总体规划（2021-2025）》</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52" w:type="pct"/>
                  <w:vAlign w:val="center"/>
                </w:tcPr>
                <w:p>
                  <w:pPr>
                    <w:spacing w:line="240" w:lineRule="auto"/>
                    <w:ind w:firstLine="0" w:firstLineChars="0"/>
                    <w:rPr>
                      <w:sz w:val="21"/>
                      <w:szCs w:val="21"/>
                    </w:rPr>
                  </w:pPr>
                  <w:r>
                    <w:rPr>
                      <w:rFonts w:hint="eastAsia"/>
                      <w:sz w:val="21"/>
                      <w:szCs w:val="21"/>
                    </w:rPr>
                    <w:t>本项目为固体矿产地质勘探，整体符合《新疆维吾尔自治区矿产资源总体规划（2021-2025）》总体目标要求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《新疆维吾尔自治区重点行业生态环境准入条件（2024年）》</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建设项目须符合国家、自治区相关法律法规、产业政策要求，采用的工艺、技术和设备应符合《产业结构调整指导目录（2011年本）》（2013年修正）、《产业转移指导目录（2012年本）》（工信部〔2012〕31号）、《市场准入负面清单草案（试点版）》和《关于促进新疆工业通信业和信息化发展的若干政策意见》（工信部产业〔2010〕617号）等相关要求，不得采用国家和自治区淘汰或禁止使用的工艺、技术和设备。</w:t>
                  </w:r>
                </w:p>
              </w:tc>
              <w:tc>
                <w:tcPr>
                  <w:tcW w:w="1552" w:type="pct"/>
                  <w:vAlign w:val="center"/>
                </w:tcPr>
                <w:p>
                  <w:pPr>
                    <w:spacing w:line="240" w:lineRule="auto"/>
                    <w:ind w:firstLine="0" w:firstLineChars="0"/>
                    <w:rPr>
                      <w:sz w:val="21"/>
                      <w:szCs w:val="21"/>
                    </w:rPr>
                  </w:pPr>
                  <w:r>
                    <w:rPr>
                      <w:rFonts w:hint="eastAsia"/>
                      <w:sz w:val="21"/>
                      <w:szCs w:val="21"/>
                    </w:rPr>
                    <w:t>根据《产业结构调整指导目录（2024年本）》，本项目为固体矿产地质勘探，不属于鼓励类、限制类、淘汰类项目，为允许类。因此其建设符合新疆重点行业环境准入条件要求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《中华人民共和国草原法》</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52" w:type="pct"/>
                  <w:vAlign w:val="center"/>
                </w:tcPr>
                <w:p>
                  <w:pPr>
                    <w:spacing w:line="240" w:lineRule="auto"/>
                    <w:ind w:firstLine="0" w:firstLineChars="0"/>
                    <w:rPr>
                      <w:sz w:val="21"/>
                      <w:szCs w:val="21"/>
                    </w:rPr>
                  </w:pPr>
                  <w:r>
                    <w:rPr>
                      <w:rFonts w:hint="eastAsia"/>
                      <w:sz w:val="21"/>
                      <w:szCs w:val="21"/>
                      <w:shd w:val="clear" w:color="auto" w:fill="FFFFFF"/>
                    </w:rPr>
                    <w:t>本项目属于地质勘探活动，普查区外交通较为方便，</w:t>
                  </w:r>
                  <w:r>
                    <w:rPr>
                      <w:rFonts w:hint="eastAsia"/>
                      <w:sz w:val="21"/>
                      <w:szCs w:val="21"/>
                      <w:shd w:val="clear" w:color="auto" w:fill="FFFFFF"/>
                      <w:lang w:val="zh-CN"/>
                    </w:rPr>
                    <w:t>交通条件较好，有简易公路直达矿区</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《巴音郭楞蒙古自治州生态环境“十四五”规划》</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52" w:type="pct"/>
                  <w:vAlign w:val="center"/>
                </w:tcPr>
                <w:p>
                  <w:pPr>
                    <w:spacing w:line="240" w:lineRule="auto"/>
                    <w:ind w:firstLine="0" w:firstLineChars="0"/>
                    <w:rPr>
                      <w:sz w:val="21"/>
                      <w:szCs w:val="21"/>
                    </w:rPr>
                  </w:pPr>
                  <w:r>
                    <w:rPr>
                      <w:rFonts w:hint="eastAsia"/>
                      <w:sz w:val="21"/>
                      <w:szCs w:val="21"/>
                    </w:rPr>
                    <w:t>本项目为铜矿勘探工程，</w:t>
                  </w:r>
                  <w:r>
                    <w:rPr>
                      <w:rFonts w:hint="eastAsia"/>
                      <w:sz w:val="21"/>
                      <w:szCs w:val="21"/>
                      <w:shd w:val="clear" w:color="auto" w:fill="FFFFFF"/>
                    </w:rPr>
                    <w:t>属于地质勘探活动，工作体量较小，探矿期较短，工程结束后影响随着消除，符合</w:t>
                  </w:r>
                  <w:r>
                    <w:rPr>
                      <w:rFonts w:hint="eastAsia"/>
                      <w:sz w:val="21"/>
                      <w:szCs w:val="21"/>
                    </w:rPr>
                    <w:t>《巴音郭楞蒙古自治州生态环境“十四五”规划》相关要求</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《新疆维吾尔自治区大气污染防治条例》</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加强对建设施工、矿产资源开采、物料运输的扬尘和沙尘污染的治理，保持道路清洁、控制料堆和渣土堆放，科学合理扩大绿地、水面、湿地、地面铺装和防风固沙绿化面积，防治扬尘污染</w:t>
                  </w:r>
                </w:p>
              </w:tc>
              <w:tc>
                <w:tcPr>
                  <w:tcW w:w="1552" w:type="pct"/>
                  <w:vAlign w:val="center"/>
                </w:tcPr>
                <w:p>
                  <w:pPr>
                    <w:spacing w:line="240" w:lineRule="auto"/>
                    <w:ind w:firstLine="0" w:firstLineChars="0"/>
                    <w:rPr>
                      <w:sz w:val="21"/>
                      <w:szCs w:val="21"/>
                    </w:rPr>
                  </w:pPr>
                  <w:r>
                    <w:rPr>
                      <w:rFonts w:hint="eastAsia"/>
                      <w:sz w:val="21"/>
                      <w:szCs w:val="21"/>
                    </w:rPr>
                    <w:t>本项目采取了有效的污染防治措施；项目符合新疆维吾尔自治区大气污染防治条例</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《绿色地质勘查工作规范》</w:t>
                  </w:r>
                </w:p>
              </w:tc>
              <w:tc>
                <w:tcPr>
                  <w:tcW w:w="1771" w:type="pct"/>
                  <w:vAlign w:val="center"/>
                </w:tcPr>
                <w:p>
                  <w:pPr>
                    <w:spacing w:line="240" w:lineRule="auto"/>
                    <w:ind w:firstLine="0" w:firstLineChars="0"/>
                    <w:rPr>
                      <w:sz w:val="21"/>
                      <w:szCs w:val="21"/>
                      <w:shd w:val="clear" w:color="auto" w:fill="FFFFFF"/>
                    </w:rPr>
                  </w:pPr>
                  <w:r>
                    <w:rPr>
                      <w:rFonts w:hint="eastAsia"/>
                      <w:sz w:val="21"/>
                      <w:szCs w:val="21"/>
                      <w:shd w:val="clear" w:color="auto" w:fill="FFFFFF"/>
                    </w:rPr>
                    <w:t>在地质勘查工作中，通过合理选择有利于生态环境保护的技术办法、手段和设备等，在道路施工和场地平整、驻地建设、勘察施工、环境修复等方面实施管控，在满足地质勘察目的和安全施工的前提下，实现对生态环境不利影响最小化，推动地质勘查绿色发展</w:t>
                  </w:r>
                </w:p>
              </w:tc>
              <w:tc>
                <w:tcPr>
                  <w:tcW w:w="1552" w:type="pct"/>
                  <w:vAlign w:val="center"/>
                </w:tcPr>
                <w:p>
                  <w:pPr>
                    <w:spacing w:line="240" w:lineRule="auto"/>
                    <w:ind w:firstLine="0" w:firstLineChars="0"/>
                    <w:rPr>
                      <w:sz w:val="21"/>
                      <w:szCs w:val="21"/>
                    </w:rPr>
                  </w:pPr>
                  <w:r>
                    <w:rPr>
                      <w:rFonts w:hint="eastAsia"/>
                      <w:sz w:val="21"/>
                      <w:szCs w:val="21"/>
                    </w:rPr>
                    <w:t>本项目采用先进使用的技术工艺、设备、方法开展地质勘查工作，有效减少对生态环境影响的程度、范围及持续时间</w:t>
                  </w:r>
                </w:p>
              </w:tc>
              <w:tc>
                <w:tcPr>
                  <w:tcW w:w="509" w:type="pct"/>
                  <w:vAlign w:val="center"/>
                </w:tcPr>
                <w:p>
                  <w:pPr>
                    <w:spacing w:line="240" w:lineRule="auto"/>
                    <w:ind w:firstLine="0" w:firstLineChars="0"/>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restart"/>
                  <w:vAlign w:val="center"/>
                </w:tcPr>
                <w:p>
                  <w:pPr>
                    <w:spacing w:line="240" w:lineRule="auto"/>
                    <w:ind w:firstLine="0" w:firstLineChars="0"/>
                    <w:jc w:val="center"/>
                    <w:rPr>
                      <w:sz w:val="21"/>
                      <w:szCs w:val="21"/>
                    </w:rPr>
                  </w:pPr>
                  <w:r>
                    <w:rPr>
                      <w:rFonts w:hint="eastAsia"/>
                      <w:sz w:val="21"/>
                      <w:szCs w:val="21"/>
                    </w:rPr>
                    <w:t>《矿山生态环境保护与恢复治理技术规范（试行）》（HJ651-2013）</w:t>
                  </w:r>
                </w:p>
              </w:tc>
              <w:tc>
                <w:tcPr>
                  <w:tcW w:w="1771" w:type="pct"/>
                  <w:vAlign w:val="center"/>
                </w:tcPr>
                <w:p>
                  <w:pPr>
                    <w:spacing w:line="240" w:lineRule="auto"/>
                    <w:ind w:firstLine="0" w:firstLineChars="0"/>
                    <w:jc w:val="center"/>
                    <w:rPr>
                      <w:sz w:val="21"/>
                      <w:szCs w:val="21"/>
                      <w:shd w:val="clear" w:color="auto" w:fill="FFFFFF"/>
                    </w:rPr>
                  </w:pPr>
                  <w:r>
                    <w:rPr>
                      <w:rFonts w:hint="eastAsia"/>
                      <w:color w:val="000000"/>
                      <w:sz w:val="21"/>
                      <w:szCs w:val="21"/>
                    </w:rPr>
                    <w:t>探矿活动结束后，应根据景观相似原则，对探矿活动造成的土壤、植被和地表景观破坏进行恢复</w:t>
                  </w:r>
                </w:p>
              </w:tc>
              <w:tc>
                <w:tcPr>
                  <w:tcW w:w="1552" w:type="pct"/>
                  <w:vAlign w:val="center"/>
                </w:tcPr>
                <w:p>
                  <w:pPr>
                    <w:spacing w:line="240" w:lineRule="auto"/>
                    <w:ind w:firstLine="0" w:firstLineChars="0"/>
                    <w:rPr>
                      <w:sz w:val="21"/>
                      <w:szCs w:val="21"/>
                    </w:rPr>
                  </w:pPr>
                  <w:r>
                    <w:rPr>
                      <w:rFonts w:hint="eastAsia"/>
                      <w:color w:val="000000"/>
                      <w:sz w:val="21"/>
                      <w:szCs w:val="21"/>
                    </w:rPr>
                    <w:t>本项目实施过程注意减少对土壤、植被、地表景观的破坏，探矿期结束后，对遗留地面的施工迹地进行恢复，对探井进行回填封闭并设置警示标识</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Merge w:val="continue"/>
                  <w:vAlign w:val="center"/>
                </w:tcPr>
                <w:p>
                  <w:pPr>
                    <w:spacing w:line="240" w:lineRule="auto"/>
                    <w:ind w:firstLine="0" w:firstLineChars="0"/>
                    <w:jc w:val="center"/>
                    <w:rPr>
                      <w:sz w:val="21"/>
                      <w:szCs w:val="21"/>
                    </w:rPr>
                  </w:pPr>
                </w:p>
              </w:tc>
              <w:tc>
                <w:tcPr>
                  <w:tcW w:w="1771" w:type="pct"/>
                  <w:vAlign w:val="center"/>
                </w:tcPr>
                <w:p>
                  <w:pPr>
                    <w:spacing w:line="240" w:lineRule="auto"/>
                    <w:ind w:firstLine="0" w:firstLineChars="0"/>
                    <w:jc w:val="center"/>
                    <w:rPr>
                      <w:color w:val="000000"/>
                      <w:sz w:val="21"/>
                      <w:szCs w:val="21"/>
                    </w:rPr>
                  </w:pPr>
                  <w:r>
                    <w:rPr>
                      <w:rFonts w:hint="eastAsia"/>
                      <w:color w:val="000000"/>
                      <w:sz w:val="21"/>
                      <w:szCs w:val="21"/>
                    </w:rPr>
                    <w:t>对水文地质条件、土地耕作及道路安全有影响或位于江、河、湖、海防护堤或重要建筑物附近的钻孔或坑井应予回填封闭，并恢复其原有生态功能</w:t>
                  </w:r>
                </w:p>
              </w:tc>
              <w:tc>
                <w:tcPr>
                  <w:tcW w:w="1552" w:type="pct"/>
                  <w:vAlign w:val="center"/>
                </w:tcPr>
                <w:p>
                  <w:pPr>
                    <w:spacing w:line="240" w:lineRule="auto"/>
                    <w:ind w:firstLine="0" w:firstLineChars="0"/>
                    <w:rPr>
                      <w:color w:val="000000"/>
                      <w:sz w:val="21"/>
                      <w:szCs w:val="21"/>
                    </w:rPr>
                  </w:pPr>
                  <w:r>
                    <w:rPr>
                      <w:rFonts w:hint="eastAsia"/>
                      <w:color w:val="000000"/>
                      <w:sz w:val="21"/>
                      <w:szCs w:val="21"/>
                    </w:rPr>
                    <w:t>本次勘探不涉及重要土地耕作及道路安全有影响的区域，同时不涉及江、河、湖、海防护堤或其他重要建筑物，钻孔进行部分回填和封闭，恢复其原有生态功能，同时设置警示标识</w:t>
                  </w:r>
                </w:p>
              </w:tc>
              <w:tc>
                <w:tcPr>
                  <w:tcW w:w="509" w:type="pct"/>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68" w:type="pct"/>
                  <w:vAlign w:val="center"/>
                </w:tcPr>
                <w:p>
                  <w:pPr>
                    <w:spacing w:line="240" w:lineRule="auto"/>
                    <w:ind w:firstLine="0" w:firstLineChars="0"/>
                    <w:rPr>
                      <w:sz w:val="21"/>
                      <w:szCs w:val="21"/>
                    </w:rPr>
                  </w:pPr>
                  <w:r>
                    <w:rPr>
                      <w:rFonts w:hint="eastAsia"/>
                      <w:sz w:val="21"/>
                      <w:szCs w:val="21"/>
                    </w:rPr>
                    <w:t>《矿山生态环境保护与污染防治技术政策》</w:t>
                  </w:r>
                </w:p>
              </w:tc>
              <w:tc>
                <w:tcPr>
                  <w:tcW w:w="1771" w:type="pct"/>
                  <w:vAlign w:val="center"/>
                </w:tcPr>
                <w:p>
                  <w:pPr>
                    <w:spacing w:line="240" w:lineRule="auto"/>
                    <w:ind w:firstLine="0" w:firstLineChars="0"/>
                    <w:rPr>
                      <w:color w:val="000000"/>
                      <w:sz w:val="21"/>
                      <w:szCs w:val="21"/>
                    </w:rPr>
                  </w:pPr>
                  <w:r>
                    <w:rPr>
                      <w:rFonts w:hint="eastAsia"/>
                      <w:color w:val="000000"/>
                      <w:sz w:val="21"/>
                      <w:szCs w:val="21"/>
                    </w:rPr>
                    <w:t>对矿山勘探性钻孔应采取封闭等措施进行处理，以确保生产安全；对矿山基建可能影响的具有保护价值的动、植物资源，应优先采取就地、就近保护措施；对表土、底土和适于植物生长的地层物质均应进行保护性堆存和利用，可优</w:t>
                  </w:r>
                </w:p>
                <w:p>
                  <w:pPr>
                    <w:spacing w:line="240" w:lineRule="auto"/>
                    <w:ind w:firstLine="0" w:firstLineChars="0"/>
                    <w:rPr>
                      <w:color w:val="000000"/>
                      <w:sz w:val="21"/>
                      <w:szCs w:val="21"/>
                    </w:rPr>
                  </w:pPr>
                  <w:r>
                    <w:rPr>
                      <w:rFonts w:hint="eastAsia"/>
                      <w:color w:val="000000"/>
                      <w:sz w:val="21"/>
                      <w:szCs w:val="21"/>
                    </w:rPr>
                    <w:t>先用作废弃地复垦时的土壤重构用土</w:t>
                  </w:r>
                </w:p>
              </w:tc>
              <w:tc>
                <w:tcPr>
                  <w:tcW w:w="1552" w:type="pct"/>
                  <w:vAlign w:val="center"/>
                </w:tcPr>
                <w:p>
                  <w:pPr>
                    <w:spacing w:line="240" w:lineRule="auto"/>
                    <w:ind w:firstLine="0" w:firstLineChars="0"/>
                    <w:rPr>
                      <w:sz w:val="21"/>
                      <w:szCs w:val="21"/>
                    </w:rPr>
                  </w:pPr>
                  <w:r>
                    <w:rPr>
                      <w:rFonts w:hint="eastAsia"/>
                      <w:sz w:val="21"/>
                      <w:szCs w:val="21"/>
                    </w:rPr>
                    <w:t>本项目主要为固体矿产地质勘探，在严格落实各项污染防治措施的前提下，项目建设对环境影响较小，</w:t>
                  </w:r>
                  <w:r>
                    <w:rPr>
                      <w:rFonts w:hint="eastAsia"/>
                      <w:color w:val="000000"/>
                      <w:sz w:val="21"/>
                      <w:szCs w:val="21"/>
                    </w:rPr>
                    <w:t>钻孔进行部分回填和封闭，恢复其原有生态功能</w:t>
                  </w:r>
                </w:p>
              </w:tc>
              <w:tc>
                <w:tcPr>
                  <w:tcW w:w="509" w:type="pct"/>
                  <w:vAlign w:val="center"/>
                </w:tcPr>
                <w:p>
                  <w:pPr>
                    <w:spacing w:line="240" w:lineRule="auto"/>
                    <w:ind w:firstLine="0" w:firstLineChars="0"/>
                    <w:rPr>
                      <w:sz w:val="21"/>
                      <w:szCs w:val="21"/>
                    </w:rPr>
                  </w:pPr>
                  <w:r>
                    <w:rPr>
                      <w:rFonts w:hint="eastAsia"/>
                      <w:sz w:val="21"/>
                      <w:szCs w:val="21"/>
                    </w:rPr>
                    <w:t>符合</w:t>
                  </w:r>
                </w:p>
              </w:tc>
            </w:tr>
            <w:bookmarkEnd w:id="1"/>
          </w:tbl>
          <w:p/>
        </w:tc>
      </w:tr>
    </w:tbl>
    <w:p>
      <w:r>
        <w:br w:type="page"/>
      </w:r>
    </w:p>
    <w:p>
      <w:pPr>
        <w:pStyle w:val="3"/>
      </w:pPr>
      <w:r>
        <w:rPr>
          <w:rFonts w:hint="eastAsia"/>
        </w:rPr>
        <w:t>二、建设内容</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9" w:hRule="atLeast"/>
          <w:jc w:val="center"/>
        </w:trPr>
        <w:tc>
          <w:tcPr>
            <w:tcW w:w="468" w:type="pct"/>
            <w:vAlign w:val="center"/>
          </w:tcPr>
          <w:p>
            <w:pPr>
              <w:ind w:firstLine="0" w:firstLineChars="0"/>
              <w:jc w:val="center"/>
            </w:pPr>
            <w:r>
              <w:rPr>
                <w:rFonts w:hint="eastAsia"/>
              </w:rPr>
              <w:t>地理位置</w:t>
            </w:r>
          </w:p>
        </w:tc>
        <w:tc>
          <w:tcPr>
            <w:tcW w:w="4531" w:type="pct"/>
          </w:tcPr>
          <w:p>
            <w:r>
              <w:t>项目区位于新疆和静县克尔古提乡西约269°方向直距约19千米处</w:t>
            </w:r>
            <w:r>
              <w:rPr>
                <w:lang w:val="zh-CN"/>
              </w:rPr>
              <w:t>。</w:t>
            </w:r>
            <w:r>
              <w:t>勘查范围中心点坐标：86°38'7.831"E，42°29'20.940"N；行政区划隶属</w:t>
            </w:r>
            <w:r>
              <w:rPr>
                <w:lang w:val="zh-CN"/>
              </w:rPr>
              <w:t>巴音郭楞蒙古自治州和静县管辖，</w:t>
            </w:r>
            <w:r>
              <w:rPr>
                <w:bCs/>
                <w:color w:val="000000"/>
              </w:rPr>
              <w:t>工区内有简易碎石路，向南约10km内可达G218国道，途径G218国道转吐和高速可达库尔勒市。交通较为便利</w:t>
            </w:r>
            <w:r>
              <w:t>。根据建设单位取得的探矿证（探矿证号：</w:t>
            </w:r>
            <w:r>
              <w:rPr>
                <w:rFonts w:eastAsiaTheme="minorEastAsia"/>
                <w:color w:val="000000" w:themeColor="text1"/>
                <w14:textFill>
                  <w14:solidFill>
                    <w14:schemeClr w14:val="tx1"/>
                  </w14:solidFill>
                </w14:textFill>
              </w:rPr>
              <w:t>T6500002008033010003964</w:t>
            </w:r>
            <w:r>
              <w:t>），项目探矿范围拐点坐标如下表所示；地理位置图见《附图1项目区行政区划图》。</w:t>
            </w:r>
          </w:p>
          <w:p>
            <w:pPr>
              <w:pStyle w:val="28"/>
              <w:spacing w:before="156"/>
            </w:pPr>
            <w:r>
              <w:t>表2-1  本项目</w:t>
            </w:r>
            <w:r>
              <w:rPr>
                <w:rFonts w:hint="eastAsia"/>
              </w:rPr>
              <w:t>探矿权范围拐点坐标</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3187"/>
              <w:gridCol w:w="3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Merge w:val="restart"/>
                  <w:vAlign w:val="center"/>
                </w:tcPr>
                <w:p>
                  <w:pPr>
                    <w:pStyle w:val="26"/>
                    <w:rPr>
                      <w:szCs w:val="21"/>
                    </w:rPr>
                  </w:pPr>
                  <w:r>
                    <w:rPr>
                      <w:szCs w:val="21"/>
                    </w:rPr>
                    <w:t>拐点序号</w:t>
                  </w:r>
                </w:p>
              </w:tc>
              <w:tc>
                <w:tcPr>
                  <w:tcW w:w="4267" w:type="pct"/>
                  <w:gridSpan w:val="2"/>
                  <w:vAlign w:val="center"/>
                </w:tcPr>
                <w:p>
                  <w:pPr>
                    <w:pStyle w:val="26"/>
                    <w:rPr>
                      <w:szCs w:val="21"/>
                    </w:rPr>
                  </w:pPr>
                  <w:r>
                    <w:rPr>
                      <w:szCs w:val="21"/>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Merge w:val="continue"/>
                  <w:vAlign w:val="center"/>
                </w:tcPr>
                <w:p>
                  <w:pPr>
                    <w:pStyle w:val="26"/>
                    <w:rPr>
                      <w:szCs w:val="21"/>
                    </w:rPr>
                  </w:pPr>
                </w:p>
              </w:tc>
              <w:tc>
                <w:tcPr>
                  <w:tcW w:w="2131" w:type="pct"/>
                  <w:vAlign w:val="center"/>
                </w:tcPr>
                <w:p>
                  <w:pPr>
                    <w:pStyle w:val="26"/>
                    <w:rPr>
                      <w:szCs w:val="21"/>
                    </w:rPr>
                  </w:pPr>
                  <w:r>
                    <w:rPr>
                      <w:szCs w:val="21"/>
                    </w:rPr>
                    <w:t>经度</w:t>
                  </w:r>
                </w:p>
              </w:tc>
              <w:tc>
                <w:tcPr>
                  <w:tcW w:w="2136" w:type="pct"/>
                  <w:vAlign w:val="center"/>
                </w:tcPr>
                <w:p>
                  <w:pPr>
                    <w:pStyle w:val="26"/>
                    <w:rPr>
                      <w:szCs w:val="21"/>
                    </w:rPr>
                  </w:pPr>
                  <w:r>
                    <w:rPr>
                      <w:szCs w:val="21"/>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33" w:type="pct"/>
                  <w:vAlign w:val="center"/>
                </w:tcPr>
                <w:p>
                  <w:pPr>
                    <w:pStyle w:val="26"/>
                    <w:rPr>
                      <w:szCs w:val="21"/>
                    </w:rPr>
                  </w:pPr>
                  <w:r>
                    <w:rPr>
                      <w:szCs w:val="21"/>
                    </w:rPr>
                    <w:t>1</w:t>
                  </w:r>
                </w:p>
              </w:tc>
              <w:tc>
                <w:tcPr>
                  <w:tcW w:w="2131" w:type="pct"/>
                  <w:vAlign w:val="center"/>
                </w:tcPr>
                <w:p>
                  <w:pPr>
                    <w:ind w:firstLine="0" w:firstLineChars="0"/>
                    <w:jc w:val="center"/>
                    <w:rPr>
                      <w:sz w:val="21"/>
                      <w:szCs w:val="21"/>
                    </w:rPr>
                  </w:pPr>
                  <w:r>
                    <w:rPr>
                      <w:color w:val="000000"/>
                      <w:sz w:val="21"/>
                      <w:szCs w:val="21"/>
                    </w:rPr>
                    <w:t>86°37′19.000″</w:t>
                  </w:r>
                </w:p>
              </w:tc>
              <w:tc>
                <w:tcPr>
                  <w:tcW w:w="2136" w:type="pct"/>
                  <w:vAlign w:val="center"/>
                </w:tcPr>
                <w:p>
                  <w:pPr>
                    <w:ind w:firstLine="0" w:firstLineChars="0"/>
                    <w:jc w:val="center"/>
                    <w:rPr>
                      <w:sz w:val="21"/>
                      <w:szCs w:val="21"/>
                    </w:rPr>
                  </w:pPr>
                  <w:r>
                    <w:rPr>
                      <w:color w:val="000000"/>
                      <w:sz w:val="21"/>
                      <w:szCs w:val="21"/>
                    </w:rPr>
                    <w:t>42°30′40.000″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2</w:t>
                  </w:r>
                </w:p>
              </w:tc>
              <w:tc>
                <w:tcPr>
                  <w:tcW w:w="2131" w:type="pct"/>
                  <w:vAlign w:val="center"/>
                </w:tcPr>
                <w:p>
                  <w:pPr>
                    <w:ind w:firstLine="0" w:firstLineChars="0"/>
                    <w:jc w:val="center"/>
                    <w:rPr>
                      <w:sz w:val="21"/>
                      <w:szCs w:val="21"/>
                    </w:rPr>
                  </w:pPr>
                  <w:r>
                    <w:rPr>
                      <w:color w:val="000000"/>
                      <w:sz w:val="21"/>
                      <w:szCs w:val="21"/>
                    </w:rPr>
                    <w:t>86°38′14.000″</w:t>
                  </w:r>
                </w:p>
              </w:tc>
              <w:tc>
                <w:tcPr>
                  <w:tcW w:w="2136" w:type="pct"/>
                  <w:vAlign w:val="center"/>
                </w:tcPr>
                <w:p>
                  <w:pPr>
                    <w:ind w:firstLine="0" w:firstLineChars="0"/>
                    <w:jc w:val="center"/>
                    <w:rPr>
                      <w:sz w:val="21"/>
                      <w:szCs w:val="21"/>
                    </w:rPr>
                  </w:pPr>
                  <w:r>
                    <w:rPr>
                      <w:color w:val="000000"/>
                      <w:sz w:val="21"/>
                      <w:szCs w:val="21"/>
                    </w:rPr>
                    <w:t>42°30′40.000″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3</w:t>
                  </w:r>
                </w:p>
              </w:tc>
              <w:tc>
                <w:tcPr>
                  <w:tcW w:w="2131" w:type="pct"/>
                  <w:vAlign w:val="center"/>
                </w:tcPr>
                <w:p>
                  <w:pPr>
                    <w:ind w:firstLine="0" w:firstLineChars="0"/>
                    <w:jc w:val="center"/>
                    <w:rPr>
                      <w:sz w:val="21"/>
                      <w:szCs w:val="21"/>
                    </w:rPr>
                  </w:pPr>
                  <w:r>
                    <w:rPr>
                      <w:color w:val="000000"/>
                      <w:sz w:val="21"/>
                      <w:szCs w:val="21"/>
                    </w:rPr>
                    <w:t>86°38′14.000″</w:t>
                  </w:r>
                </w:p>
              </w:tc>
              <w:tc>
                <w:tcPr>
                  <w:tcW w:w="2136" w:type="pct"/>
                  <w:vAlign w:val="center"/>
                </w:tcPr>
                <w:p>
                  <w:pPr>
                    <w:ind w:firstLine="0" w:firstLineChars="0"/>
                    <w:jc w:val="center"/>
                    <w:rPr>
                      <w:sz w:val="21"/>
                      <w:szCs w:val="21"/>
                    </w:rPr>
                  </w:pPr>
                  <w:r>
                    <w:rPr>
                      <w:color w:val="000000"/>
                      <w:sz w:val="21"/>
                      <w:szCs w:val="21"/>
                    </w:rPr>
                    <w:t>42°28′57.000″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4</w:t>
                  </w:r>
                </w:p>
              </w:tc>
              <w:tc>
                <w:tcPr>
                  <w:tcW w:w="2131" w:type="pct"/>
                  <w:vAlign w:val="center"/>
                </w:tcPr>
                <w:p>
                  <w:pPr>
                    <w:ind w:firstLine="0" w:firstLineChars="0"/>
                    <w:jc w:val="center"/>
                    <w:rPr>
                      <w:sz w:val="21"/>
                      <w:szCs w:val="21"/>
                    </w:rPr>
                  </w:pPr>
                  <w:r>
                    <w:rPr>
                      <w:color w:val="000000"/>
                      <w:sz w:val="21"/>
                      <w:szCs w:val="21"/>
                    </w:rPr>
                    <w:t>86°39′32.000″</w:t>
                  </w:r>
                </w:p>
              </w:tc>
              <w:tc>
                <w:tcPr>
                  <w:tcW w:w="2136" w:type="pct"/>
                  <w:vAlign w:val="center"/>
                </w:tcPr>
                <w:p>
                  <w:pPr>
                    <w:ind w:firstLine="0" w:firstLineChars="0"/>
                    <w:jc w:val="center"/>
                    <w:rPr>
                      <w:sz w:val="21"/>
                      <w:szCs w:val="21"/>
                    </w:rPr>
                  </w:pPr>
                  <w:r>
                    <w:rPr>
                      <w:color w:val="000000"/>
                      <w:sz w:val="21"/>
                      <w:szCs w:val="21"/>
                    </w:rPr>
                    <w:t>42°28′57.000″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5</w:t>
                  </w:r>
                </w:p>
              </w:tc>
              <w:tc>
                <w:tcPr>
                  <w:tcW w:w="2131" w:type="pct"/>
                  <w:vAlign w:val="center"/>
                </w:tcPr>
                <w:p>
                  <w:pPr>
                    <w:ind w:firstLine="0" w:firstLineChars="0"/>
                    <w:jc w:val="center"/>
                    <w:rPr>
                      <w:sz w:val="21"/>
                      <w:szCs w:val="21"/>
                      <w:lang w:bidi="ar"/>
                    </w:rPr>
                  </w:pPr>
                  <w:r>
                    <w:rPr>
                      <w:color w:val="000000"/>
                      <w:sz w:val="21"/>
                      <w:szCs w:val="21"/>
                    </w:rPr>
                    <w:t>86°39′32.000″</w:t>
                  </w:r>
                </w:p>
              </w:tc>
              <w:tc>
                <w:tcPr>
                  <w:tcW w:w="2136" w:type="pct"/>
                  <w:vAlign w:val="center"/>
                </w:tcPr>
                <w:p>
                  <w:pPr>
                    <w:ind w:firstLine="0" w:firstLineChars="0"/>
                    <w:jc w:val="center"/>
                    <w:rPr>
                      <w:sz w:val="21"/>
                      <w:szCs w:val="21"/>
                    </w:rPr>
                  </w:pPr>
                  <w:r>
                    <w:rPr>
                      <w:color w:val="000000"/>
                      <w:sz w:val="21"/>
                      <w:szCs w:val="21"/>
                    </w:rPr>
                    <w:t>42°28′20.000″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6</w:t>
                  </w:r>
                </w:p>
              </w:tc>
              <w:tc>
                <w:tcPr>
                  <w:tcW w:w="2131" w:type="pct"/>
                  <w:vAlign w:val="center"/>
                </w:tcPr>
                <w:p>
                  <w:pPr>
                    <w:ind w:firstLine="0" w:firstLineChars="0"/>
                    <w:jc w:val="center"/>
                    <w:rPr>
                      <w:sz w:val="21"/>
                      <w:szCs w:val="21"/>
                      <w:lang w:bidi="ar"/>
                    </w:rPr>
                  </w:pPr>
                  <w:r>
                    <w:rPr>
                      <w:color w:val="000000"/>
                      <w:sz w:val="21"/>
                      <w:szCs w:val="21"/>
                    </w:rPr>
                    <w:t>86°38′02.000″</w:t>
                  </w:r>
                </w:p>
              </w:tc>
              <w:tc>
                <w:tcPr>
                  <w:tcW w:w="2136" w:type="pct"/>
                  <w:vAlign w:val="center"/>
                </w:tcPr>
                <w:p>
                  <w:pPr>
                    <w:ind w:firstLine="0" w:firstLineChars="0"/>
                    <w:jc w:val="center"/>
                    <w:rPr>
                      <w:b/>
                      <w:bCs/>
                      <w:sz w:val="21"/>
                      <w:szCs w:val="21"/>
                    </w:rPr>
                  </w:pPr>
                  <w:r>
                    <w:rPr>
                      <w:color w:val="000000"/>
                      <w:sz w:val="21"/>
                      <w:szCs w:val="21"/>
                    </w:rPr>
                    <w:t>42°28′20.000″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733" w:type="pct"/>
                  <w:vAlign w:val="center"/>
                </w:tcPr>
                <w:p>
                  <w:pPr>
                    <w:pStyle w:val="26"/>
                    <w:rPr>
                      <w:szCs w:val="21"/>
                    </w:rPr>
                  </w:pPr>
                  <w:r>
                    <w:rPr>
                      <w:szCs w:val="21"/>
                    </w:rPr>
                    <w:t>7</w:t>
                  </w:r>
                </w:p>
              </w:tc>
              <w:tc>
                <w:tcPr>
                  <w:tcW w:w="2131" w:type="pct"/>
                  <w:vAlign w:val="center"/>
                </w:tcPr>
                <w:p>
                  <w:pPr>
                    <w:ind w:firstLine="0" w:firstLineChars="0"/>
                    <w:jc w:val="center"/>
                    <w:rPr>
                      <w:color w:val="000000"/>
                      <w:kern w:val="0"/>
                      <w:sz w:val="21"/>
                      <w:szCs w:val="21"/>
                      <w:lang w:bidi="ar"/>
                    </w:rPr>
                  </w:pPr>
                  <w:r>
                    <w:rPr>
                      <w:color w:val="000000"/>
                      <w:sz w:val="21"/>
                      <w:szCs w:val="21"/>
                    </w:rPr>
                    <w:t>86°38′02.000″</w:t>
                  </w:r>
                </w:p>
              </w:tc>
              <w:tc>
                <w:tcPr>
                  <w:tcW w:w="2136" w:type="pct"/>
                  <w:vAlign w:val="center"/>
                </w:tcPr>
                <w:p>
                  <w:pPr>
                    <w:ind w:firstLine="0" w:firstLineChars="0"/>
                    <w:jc w:val="center"/>
                    <w:rPr>
                      <w:color w:val="000000"/>
                      <w:kern w:val="0"/>
                      <w:sz w:val="21"/>
                      <w:szCs w:val="21"/>
                      <w:lang w:bidi="ar"/>
                    </w:rPr>
                  </w:pPr>
                  <w:r>
                    <w:rPr>
                      <w:color w:val="000000"/>
                      <w:sz w:val="21"/>
                      <w:szCs w:val="21"/>
                    </w:rPr>
                    <w:t>42°29′51.000″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3" w:type="pct"/>
                  <w:vAlign w:val="center"/>
                </w:tcPr>
                <w:p>
                  <w:pPr>
                    <w:pStyle w:val="26"/>
                    <w:rPr>
                      <w:szCs w:val="21"/>
                    </w:rPr>
                  </w:pPr>
                  <w:r>
                    <w:rPr>
                      <w:szCs w:val="21"/>
                    </w:rPr>
                    <w:t>8</w:t>
                  </w:r>
                </w:p>
              </w:tc>
              <w:tc>
                <w:tcPr>
                  <w:tcW w:w="2131" w:type="pct"/>
                  <w:vAlign w:val="center"/>
                </w:tcPr>
                <w:p>
                  <w:pPr>
                    <w:ind w:firstLine="0" w:firstLineChars="0"/>
                    <w:jc w:val="center"/>
                    <w:rPr>
                      <w:color w:val="000000"/>
                      <w:kern w:val="0"/>
                      <w:sz w:val="21"/>
                      <w:szCs w:val="21"/>
                      <w:lang w:bidi="ar"/>
                    </w:rPr>
                  </w:pPr>
                  <w:r>
                    <w:rPr>
                      <w:color w:val="000000"/>
                      <w:sz w:val="21"/>
                      <w:szCs w:val="21"/>
                    </w:rPr>
                    <w:t>86°37′19.000″</w:t>
                  </w:r>
                </w:p>
              </w:tc>
              <w:tc>
                <w:tcPr>
                  <w:tcW w:w="2136" w:type="pct"/>
                  <w:vAlign w:val="center"/>
                </w:tcPr>
                <w:p>
                  <w:pPr>
                    <w:ind w:firstLine="0" w:firstLineChars="0"/>
                    <w:jc w:val="center"/>
                    <w:rPr>
                      <w:color w:val="000000"/>
                      <w:kern w:val="0"/>
                      <w:sz w:val="21"/>
                      <w:szCs w:val="21"/>
                      <w:lang w:bidi="ar"/>
                    </w:rPr>
                  </w:pPr>
                  <w:r>
                    <w:rPr>
                      <w:color w:val="000000"/>
                      <w:sz w:val="21"/>
                      <w:szCs w:val="21"/>
                    </w:rPr>
                    <w:t>42°29′52.000″</w:t>
                  </w:r>
                </w:p>
              </w:tc>
            </w:tr>
          </w:tbl>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468" w:type="pct"/>
            <w:vAlign w:val="center"/>
          </w:tcPr>
          <w:p>
            <w:pPr>
              <w:ind w:firstLine="0" w:firstLineChars="0"/>
              <w:jc w:val="center"/>
            </w:pPr>
            <w:r>
              <w:rPr>
                <w:rFonts w:hint="eastAsia"/>
              </w:rPr>
              <w:t>项</w:t>
            </w:r>
          </w:p>
          <w:p>
            <w:pPr>
              <w:ind w:firstLine="0" w:firstLineChars="0"/>
              <w:jc w:val="center"/>
            </w:pPr>
            <w:r>
              <w:rPr>
                <w:rFonts w:hint="eastAsia"/>
              </w:rPr>
              <w:t>目</w:t>
            </w:r>
          </w:p>
          <w:p>
            <w:pPr>
              <w:ind w:firstLine="0" w:firstLineChars="0"/>
              <w:jc w:val="center"/>
            </w:pPr>
            <w:r>
              <w:rPr>
                <w:rFonts w:hint="eastAsia"/>
              </w:rPr>
              <w:t>组</w:t>
            </w:r>
          </w:p>
          <w:p>
            <w:pPr>
              <w:ind w:firstLine="0" w:firstLineChars="0"/>
              <w:jc w:val="center"/>
            </w:pPr>
            <w:r>
              <w:rPr>
                <w:rFonts w:hint="eastAsia"/>
              </w:rPr>
              <w:t>成</w:t>
            </w:r>
          </w:p>
          <w:p>
            <w:pPr>
              <w:ind w:firstLine="0" w:firstLineChars="0"/>
              <w:jc w:val="center"/>
            </w:pPr>
            <w:r>
              <w:rPr>
                <w:rFonts w:hint="eastAsia"/>
              </w:rPr>
              <w:t>及</w:t>
            </w:r>
          </w:p>
          <w:p>
            <w:pPr>
              <w:ind w:firstLine="0" w:firstLineChars="0"/>
              <w:jc w:val="center"/>
            </w:pPr>
            <w:r>
              <w:rPr>
                <w:rFonts w:hint="eastAsia"/>
              </w:rPr>
              <w:t>规</w:t>
            </w:r>
          </w:p>
          <w:p>
            <w:pPr>
              <w:ind w:firstLine="0" w:firstLineChars="0"/>
              <w:jc w:val="center"/>
            </w:pPr>
            <w:r>
              <w:rPr>
                <w:rFonts w:hint="eastAsia"/>
              </w:rPr>
              <w:t>模</w:t>
            </w:r>
          </w:p>
        </w:tc>
        <w:tc>
          <w:tcPr>
            <w:tcW w:w="4531" w:type="pct"/>
          </w:tcPr>
          <w:p>
            <w:pPr>
              <w:pStyle w:val="15"/>
              <w:ind w:firstLine="482" w:firstLineChars="200"/>
            </w:pPr>
            <w:r>
              <w:rPr>
                <w:rFonts w:hint="eastAsia"/>
              </w:rPr>
              <w:t>1.项目基本概况</w:t>
            </w:r>
          </w:p>
          <w:p>
            <w:r>
              <w:rPr>
                <w:rFonts w:hint="eastAsia"/>
              </w:rPr>
              <w:t>（</w:t>
            </w:r>
            <w:r>
              <w:t>1</w:t>
            </w:r>
            <w:r>
              <w:rPr>
                <w:rFonts w:hint="eastAsia"/>
              </w:rPr>
              <w:t>）项目名称：</w:t>
            </w:r>
            <w:r>
              <w:rPr>
                <w:rFonts w:hint="eastAsia" w:ascii="宋体" w:hAnsi="宋体" w:cs="仿宋"/>
                <w:bCs/>
                <w:color w:val="000000"/>
              </w:rPr>
              <w:t>新疆和静县呼噜哈其沟铜矿</w:t>
            </w:r>
            <w:r>
              <w:rPr>
                <w:rFonts w:hint="eastAsia"/>
              </w:rPr>
              <w:t>勘探</w:t>
            </w:r>
            <w:r>
              <w:t>项目</w:t>
            </w:r>
            <w:r>
              <w:rPr>
                <w:rFonts w:hint="eastAsia"/>
              </w:rPr>
              <w:t>；</w:t>
            </w:r>
          </w:p>
          <w:p>
            <w:r>
              <w:rPr>
                <w:rFonts w:hint="eastAsia"/>
              </w:rPr>
              <w:t>（</w:t>
            </w:r>
            <w:r>
              <w:t>2</w:t>
            </w:r>
            <w:r>
              <w:rPr>
                <w:rFonts w:hint="eastAsia"/>
              </w:rPr>
              <w:t>）项目性质：新建；</w:t>
            </w:r>
          </w:p>
          <w:p>
            <w:r>
              <w:rPr>
                <w:rFonts w:hint="eastAsia"/>
              </w:rPr>
              <w:t>（</w:t>
            </w:r>
            <w:r>
              <w:t>3</w:t>
            </w:r>
            <w:r>
              <w:rPr>
                <w:rFonts w:hint="eastAsia"/>
              </w:rPr>
              <w:t>）建设单位：和静县西伯雅罕矿业有限公司；</w:t>
            </w:r>
          </w:p>
          <w:p>
            <w:pPr>
              <w:rPr>
                <w:lang w:val="zh-CN"/>
              </w:rPr>
            </w:pPr>
            <w:r>
              <w:rPr>
                <w:rFonts w:hint="eastAsia"/>
              </w:rPr>
              <w:t>（</w:t>
            </w:r>
            <w:r>
              <w:t>4</w:t>
            </w:r>
            <w:r>
              <w:rPr>
                <w:rFonts w:hint="eastAsia"/>
              </w:rPr>
              <w:t>）建设地点：新疆和静县克尔古提乡西约269°方向直距约19千米处，行政区划隶属新疆和静县管辖</w:t>
            </w:r>
            <w:r>
              <w:rPr>
                <w:rFonts w:hint="eastAsia"/>
                <w:lang w:val="zh-CN"/>
              </w:rPr>
              <w:t>；</w:t>
            </w:r>
          </w:p>
          <w:p>
            <w:r>
              <w:rPr>
                <w:rFonts w:hint="eastAsia"/>
              </w:rPr>
              <w:t>（5）探矿权有效期：</w:t>
            </w:r>
            <w:r>
              <w:t>20</w:t>
            </w:r>
            <w:r>
              <w:rPr>
                <w:rFonts w:hint="eastAsia"/>
              </w:rPr>
              <w:t>2</w:t>
            </w:r>
            <w:r>
              <w:t>1年8</w:t>
            </w:r>
            <w:r>
              <w:rPr>
                <w:rFonts w:hint="eastAsia"/>
              </w:rPr>
              <w:t>月</w:t>
            </w:r>
            <w:r>
              <w:t>30</w:t>
            </w:r>
            <w:r>
              <w:rPr>
                <w:rFonts w:hint="eastAsia"/>
              </w:rPr>
              <w:t>日</w:t>
            </w:r>
            <w:r>
              <w:t>至2026年8月30日</w:t>
            </w:r>
            <w:r>
              <w:rPr>
                <w:rFonts w:hint="eastAsia"/>
              </w:rPr>
              <w:t>；</w:t>
            </w:r>
          </w:p>
          <w:p>
            <w:r>
              <w:rPr>
                <w:rFonts w:hint="eastAsia"/>
              </w:rPr>
              <w:t>（6）</w:t>
            </w:r>
            <w:r>
              <w:t>工程投资：669.22万元</w:t>
            </w:r>
            <w:r>
              <w:rPr>
                <w:rFonts w:hint="eastAsia"/>
              </w:rPr>
              <w:t>；</w:t>
            </w:r>
          </w:p>
          <w:p>
            <w:r>
              <w:rPr>
                <w:rFonts w:hint="eastAsia"/>
              </w:rPr>
              <w:t>（7）勘查面积：</w:t>
            </w:r>
            <w:r>
              <w:t>4.68</w:t>
            </w:r>
            <w:r>
              <w:rPr>
                <w:rFonts w:hint="eastAsia"/>
              </w:rPr>
              <w:t>k</w:t>
            </w:r>
            <w:r>
              <w:t>m</w:t>
            </w:r>
            <w:r>
              <w:rPr>
                <w:vertAlign w:val="superscript"/>
              </w:rPr>
              <w:t>2</w:t>
            </w:r>
            <w:r>
              <w:rPr>
                <w:rFonts w:hint="eastAsia"/>
              </w:rPr>
              <w:t>。</w:t>
            </w:r>
          </w:p>
          <w:p>
            <w:pPr>
              <w:pStyle w:val="15"/>
              <w:ind w:firstLine="482" w:firstLineChars="200"/>
            </w:pPr>
            <w:r>
              <w:rPr>
                <w:rFonts w:hint="eastAsia"/>
              </w:rPr>
              <w:t>2</w:t>
            </w:r>
            <w:r>
              <w:t>.</w:t>
            </w:r>
            <w:r>
              <w:rPr>
                <w:rFonts w:hint="eastAsia"/>
              </w:rPr>
              <w:t>建设内容及规模</w:t>
            </w:r>
          </w:p>
          <w:p>
            <w:r>
              <w:t>本项目</w:t>
            </w:r>
            <w:r>
              <w:rPr>
                <w:rFonts w:hint="eastAsia"/>
              </w:rPr>
              <w:t>为矿产资源勘探工程，不涉及采矿，因此</w:t>
            </w:r>
            <w:r>
              <w:t>只有施工期，不存在运营期。本项目组成及主要环境问题见表2-2。</w:t>
            </w:r>
          </w:p>
          <w:p>
            <w:pPr>
              <w:pStyle w:val="28"/>
              <w:spacing w:before="156"/>
            </w:pPr>
            <w:r>
              <w:t>表2-</w:t>
            </w:r>
            <w:r>
              <w:rPr>
                <w:rFonts w:hint="eastAsia"/>
              </w:rPr>
              <w:t>2</w:t>
            </w:r>
            <w:r>
              <w:t xml:space="preserve">  建设项目组成一览表</w:t>
            </w:r>
          </w:p>
          <w:tbl>
            <w:tblPr>
              <w:tblStyle w:val="19"/>
              <w:tblW w:w="750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380"/>
              <w:gridCol w:w="4635"/>
              <w:gridCol w:w="84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1351" w:type="pct"/>
                  <w:gridSpan w:val="2"/>
                  <w:tcBorders>
                    <w:top w:val="single" w:color="auto" w:sz="12" w:space="0"/>
                    <w:left w:val="single" w:color="auto" w:sz="12" w:space="0"/>
                  </w:tcBorders>
                  <w:vAlign w:val="center"/>
                </w:tcPr>
                <w:p>
                  <w:pPr>
                    <w:pStyle w:val="26"/>
                  </w:pPr>
                  <w:r>
                    <w:t>项目组成</w:t>
                  </w:r>
                </w:p>
              </w:tc>
              <w:tc>
                <w:tcPr>
                  <w:tcW w:w="3087" w:type="pct"/>
                  <w:tcBorders>
                    <w:top w:val="single" w:color="auto" w:sz="12" w:space="0"/>
                    <w:bottom w:val="single" w:color="auto" w:sz="4" w:space="0"/>
                  </w:tcBorders>
                  <w:vAlign w:val="center"/>
                </w:tcPr>
                <w:p>
                  <w:pPr>
                    <w:pStyle w:val="26"/>
                  </w:pPr>
                  <w:r>
                    <w:t>工程内容与规模</w:t>
                  </w:r>
                </w:p>
              </w:tc>
              <w:tc>
                <w:tcPr>
                  <w:tcW w:w="562" w:type="pct"/>
                  <w:tcBorders>
                    <w:top w:val="single" w:color="auto" w:sz="12" w:space="0"/>
                    <w:bottom w:val="single" w:color="auto" w:sz="4" w:space="0"/>
                    <w:right w:val="single" w:color="auto" w:sz="12" w:space="0"/>
                  </w:tcBorders>
                  <w:vAlign w:val="center"/>
                </w:tcPr>
                <w:p>
                  <w:pPr>
                    <w:pStyle w:val="26"/>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2" w:type="pct"/>
                  <w:vMerge w:val="restart"/>
                  <w:tcBorders>
                    <w:left w:val="single" w:color="auto" w:sz="12" w:space="0"/>
                  </w:tcBorders>
                  <w:vAlign w:val="center"/>
                </w:tcPr>
                <w:p>
                  <w:pPr>
                    <w:pStyle w:val="26"/>
                  </w:pPr>
                  <w:r>
                    <w:t>主体工程</w:t>
                  </w:r>
                </w:p>
              </w:tc>
              <w:tc>
                <w:tcPr>
                  <w:tcW w:w="919" w:type="pct"/>
                  <w:vAlign w:val="center"/>
                </w:tcPr>
                <w:p>
                  <w:pPr>
                    <w:pStyle w:val="26"/>
                  </w:pPr>
                  <w:r>
                    <w:t>地形测量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设计1:10000地形测量4.68km</w:t>
                  </w:r>
                  <w:r>
                    <w:rPr>
                      <w:sz w:val="21"/>
                      <w:szCs w:val="21"/>
                      <w:vertAlign w:val="superscript"/>
                    </w:rPr>
                    <w:t>2</w:t>
                  </w:r>
                  <w:r>
                    <w:rPr>
                      <w:sz w:val="21"/>
                      <w:szCs w:val="21"/>
                    </w:rPr>
                    <w:t>；1:2000地形测量2.37km</w:t>
                  </w:r>
                  <w:r>
                    <w:rPr>
                      <w:sz w:val="21"/>
                      <w:szCs w:val="21"/>
                      <w:vertAlign w:val="superscript"/>
                    </w:rPr>
                    <w:t>2</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地质测量</w:t>
                  </w:r>
                </w:p>
              </w:tc>
              <w:tc>
                <w:tcPr>
                  <w:tcW w:w="3087" w:type="pct"/>
                  <w:tcBorders>
                    <w:bottom w:val="single" w:color="auto" w:sz="4" w:space="0"/>
                  </w:tcBorders>
                  <w:vAlign w:val="center"/>
                </w:tcPr>
                <w:p>
                  <w:pPr>
                    <w:spacing w:line="240" w:lineRule="auto"/>
                    <w:ind w:firstLine="0" w:firstLineChars="0"/>
                    <w:rPr>
                      <w:sz w:val="21"/>
                      <w:szCs w:val="21"/>
                    </w:rPr>
                  </w:pPr>
                  <w:r>
                    <w:rPr>
                      <w:sz w:val="21"/>
                      <w:szCs w:val="21"/>
                    </w:rPr>
                    <w:t>设计1:10000地质测量4.68km</w:t>
                  </w:r>
                  <w:r>
                    <w:rPr>
                      <w:sz w:val="21"/>
                      <w:szCs w:val="21"/>
                      <w:vertAlign w:val="superscript"/>
                    </w:rPr>
                    <w:t>2</w:t>
                  </w:r>
                  <w:r>
                    <w:rPr>
                      <w:sz w:val="21"/>
                      <w:szCs w:val="21"/>
                    </w:rPr>
                    <w:t>；1:2000地质测量2.37km</w:t>
                  </w:r>
                  <w:r>
                    <w:rPr>
                      <w:sz w:val="21"/>
                      <w:szCs w:val="21"/>
                      <w:vertAlign w:val="superscript"/>
                    </w:rPr>
                    <w:t>2</w:t>
                  </w:r>
                  <w:r>
                    <w:rPr>
                      <w:rFonts w:hint="eastAsia"/>
                      <w:sz w:val="21"/>
                      <w:szCs w:val="21"/>
                    </w:rPr>
                    <w:t>；</w:t>
                  </w:r>
                  <w:r>
                    <w:rPr>
                      <w:sz w:val="21"/>
                      <w:szCs w:val="21"/>
                    </w:rPr>
                    <w:t>1:10000地质剖面测量20km</w:t>
                  </w:r>
                  <w:r>
                    <w:rPr>
                      <w:rFonts w:hint="eastAsia"/>
                      <w:sz w:val="21"/>
                      <w:szCs w:val="21"/>
                    </w:rPr>
                    <w:t>；</w:t>
                  </w:r>
                  <w:r>
                    <w:rPr>
                      <w:sz w:val="21"/>
                      <w:szCs w:val="21"/>
                    </w:rPr>
                    <w:t>1</w:t>
                  </w:r>
                  <w:r>
                    <w:rPr>
                      <w:rFonts w:hint="eastAsia" w:ascii="宋体" w:hAnsi="宋体" w:cs="宋体"/>
                      <w:sz w:val="21"/>
                      <w:szCs w:val="21"/>
                    </w:rPr>
                    <w:t>∶</w:t>
                  </w:r>
                  <w:r>
                    <w:rPr>
                      <w:sz w:val="21"/>
                      <w:szCs w:val="21"/>
                    </w:rPr>
                    <w:t>2000地质剖面测量4km</w:t>
                  </w:r>
                  <w:r>
                    <w:rPr>
                      <w:rFonts w:hint="eastAsia"/>
                      <w:sz w:val="21"/>
                      <w:szCs w:val="21"/>
                    </w:rPr>
                    <w:t>；</w:t>
                  </w:r>
                  <w:r>
                    <w:rPr>
                      <w:sz w:val="21"/>
                      <w:szCs w:val="21"/>
                    </w:rPr>
                    <w:t>1:10000专项水工环地质测量4.68km</w:t>
                  </w:r>
                  <w:r>
                    <w:rPr>
                      <w:sz w:val="21"/>
                      <w:szCs w:val="21"/>
                      <w:vertAlign w:val="superscript"/>
                    </w:rPr>
                    <w:t>2</w:t>
                  </w:r>
                  <w:r>
                    <w:rPr>
                      <w:rFonts w:hint="eastAsia"/>
                      <w:sz w:val="21"/>
                      <w:szCs w:val="21"/>
                    </w:rPr>
                    <w:t>；</w:t>
                  </w:r>
                  <w:r>
                    <w:rPr>
                      <w:sz w:val="21"/>
                      <w:szCs w:val="21"/>
                    </w:rPr>
                    <w:t>1:2000专项水工环地质测量2.37km</w:t>
                  </w:r>
                  <w:r>
                    <w:rPr>
                      <w:sz w:val="21"/>
                      <w:szCs w:val="21"/>
                      <w:vertAlign w:val="superscript"/>
                    </w:rPr>
                    <w:t>2</w:t>
                  </w:r>
                </w:p>
              </w:tc>
              <w:tc>
                <w:tcPr>
                  <w:tcW w:w="562" w:type="pct"/>
                  <w:tcBorders>
                    <w:right w:val="single" w:color="auto" w:sz="12" w:space="0"/>
                  </w:tcBorders>
                  <w:vAlign w:val="center"/>
                </w:tcPr>
                <w:p>
                  <w:pPr>
                    <w:pStyle w:val="26"/>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探槽</w:t>
                  </w:r>
                </w:p>
              </w:tc>
              <w:tc>
                <w:tcPr>
                  <w:tcW w:w="3087" w:type="pct"/>
                  <w:tcBorders>
                    <w:bottom w:val="single" w:color="auto" w:sz="4" w:space="0"/>
                  </w:tcBorders>
                  <w:vAlign w:val="center"/>
                </w:tcPr>
                <w:p>
                  <w:pPr>
                    <w:pStyle w:val="26"/>
                    <w:jc w:val="both"/>
                    <w:rPr>
                      <w:szCs w:val="21"/>
                    </w:rPr>
                  </w:pPr>
                  <w:r>
                    <w:rPr>
                      <w:rFonts w:hint="eastAsia"/>
                    </w:rPr>
                    <w:t>布设探槽1</w:t>
                  </w:r>
                  <w:r>
                    <w:t>4</w:t>
                  </w:r>
                  <w:r>
                    <w:rPr>
                      <w:rFonts w:hint="eastAsia"/>
                    </w:rPr>
                    <w:t>处，设计</w:t>
                  </w:r>
                  <w:r>
                    <w:t>探槽工作量</w:t>
                  </w:r>
                  <w:r>
                    <w:rPr>
                      <w:szCs w:val="21"/>
                    </w:rPr>
                    <w:t>2000m</w:t>
                  </w:r>
                  <w:r>
                    <w:rPr>
                      <w:szCs w:val="21"/>
                      <w:vertAlign w:val="superscript"/>
                    </w:rPr>
                    <w:t>3</w:t>
                  </w:r>
                  <w:r>
                    <w:rPr>
                      <w:szCs w:val="21"/>
                    </w:rPr>
                    <w:t>。</w:t>
                  </w:r>
                  <w:r>
                    <w:rPr>
                      <w:rFonts w:hint="eastAsia"/>
                      <w:szCs w:val="21"/>
                    </w:rPr>
                    <w:t>施工顺序：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rPr>
                      <w:rFonts w:hint="eastAsia"/>
                    </w:rPr>
                    <w:t>钻探</w:t>
                  </w:r>
                </w:p>
              </w:tc>
              <w:tc>
                <w:tcPr>
                  <w:tcW w:w="3087" w:type="pct"/>
                  <w:tcBorders>
                    <w:bottom w:val="single" w:color="auto" w:sz="4" w:space="0"/>
                  </w:tcBorders>
                  <w:vAlign w:val="center"/>
                </w:tcPr>
                <w:p>
                  <w:pPr>
                    <w:pStyle w:val="26"/>
                    <w:jc w:val="both"/>
                  </w:pPr>
                  <w:r>
                    <w:t>共布设12个钻孔，总钻探工作量为3500</w:t>
                  </w:r>
                  <w:r>
                    <w:rPr>
                      <w:rFonts w:hint="eastAsia"/>
                    </w:rPr>
                    <w:t>m</w:t>
                  </w:r>
                  <w:r>
                    <w:t>。其中，机械岩心钻探工作量为3000</w:t>
                  </w:r>
                  <w:r>
                    <w:rPr>
                      <w:rFonts w:hint="eastAsia"/>
                    </w:rPr>
                    <w:t>m</w:t>
                  </w:r>
                  <w:r>
                    <w:t>；水文地质钻探工作量为500</w:t>
                  </w:r>
                  <w:r>
                    <w:rPr>
                      <w:rFonts w:hint="eastAsia"/>
                    </w:rPr>
                    <w:t>m</w:t>
                  </w:r>
                  <w:r>
                    <w:t>，设计2个水文地质孔，钻探孔深为0-300</w:t>
                  </w:r>
                  <w:r>
                    <w:rPr>
                      <w:rFonts w:hint="eastAsia"/>
                    </w:rPr>
                    <w:t>m</w:t>
                  </w:r>
                </w:p>
              </w:tc>
              <w:tc>
                <w:tcPr>
                  <w:tcW w:w="562" w:type="pct"/>
                  <w:tcBorders>
                    <w:right w:val="single" w:color="auto" w:sz="12" w:space="0"/>
                  </w:tcBorders>
                  <w:vAlign w:val="center"/>
                </w:tcPr>
                <w:p>
                  <w:pPr>
                    <w:pStyle w:val="26"/>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rPr>
                      <w:rFonts w:hint="eastAsia"/>
                    </w:rPr>
                    <w:t>坑探</w:t>
                  </w:r>
                </w:p>
              </w:tc>
              <w:tc>
                <w:tcPr>
                  <w:tcW w:w="3087" w:type="pct"/>
                  <w:tcBorders>
                    <w:bottom w:val="single" w:color="auto" w:sz="4" w:space="0"/>
                  </w:tcBorders>
                  <w:vAlign w:val="center"/>
                </w:tcPr>
                <w:p>
                  <w:pPr>
                    <w:pStyle w:val="26"/>
                    <w:jc w:val="both"/>
                  </w:pPr>
                  <w:r>
                    <w:rPr>
                      <w:rFonts w:hint="eastAsia"/>
                    </w:rPr>
                    <w:t>坑探工作量为3</w:t>
                  </w:r>
                  <w:r>
                    <w:t>00m</w:t>
                  </w:r>
                </w:p>
              </w:tc>
              <w:tc>
                <w:tcPr>
                  <w:tcW w:w="562" w:type="pct"/>
                  <w:tcBorders>
                    <w:right w:val="single" w:color="auto" w:sz="12" w:space="0"/>
                  </w:tcBorders>
                  <w:vAlign w:val="center"/>
                </w:tcPr>
                <w:p>
                  <w:pPr>
                    <w:pStyle w:val="26"/>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738"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样品采集</w:t>
                  </w:r>
                </w:p>
              </w:tc>
              <w:tc>
                <w:tcPr>
                  <w:tcW w:w="3087" w:type="pct"/>
                  <w:tcBorders>
                    <w:bottom w:val="single" w:color="auto" w:sz="4" w:space="0"/>
                  </w:tcBorders>
                  <w:vAlign w:val="center"/>
                </w:tcPr>
                <w:p>
                  <w:pPr>
                    <w:pStyle w:val="26"/>
                    <w:jc w:val="both"/>
                  </w:pPr>
                  <w:r>
                    <w:t>采取基本分析样、</w:t>
                  </w:r>
                  <w:r>
                    <w:rPr>
                      <w:rFonts w:hint="eastAsia" w:ascii="宋体" w:hAnsi="宋体" w:cs="宋体"/>
                      <w:szCs w:val="21"/>
                    </w:rPr>
                    <w:t>微量元素分析样</w:t>
                  </w:r>
                  <w:r>
                    <w:t>、</w:t>
                  </w:r>
                  <w:r>
                    <w:rPr>
                      <w:rFonts w:hint="eastAsia" w:ascii="宋体" w:hAnsi="宋体" w:cs="宋体"/>
                      <w:szCs w:val="21"/>
                    </w:rPr>
                    <w:t>稀土元素分析样、硅酸盐分析样、组合分析样、光谱全分析、岩、矿石全分析样、物相分析、水系沉积物样、基岩（岩石）化探样、</w:t>
                  </w:r>
                  <w:r>
                    <w:rPr>
                      <w:rFonts w:hint="eastAsia" w:ascii="宋体" w:hAnsi="宋体" w:cs="宋体"/>
                      <w:color w:val="000000"/>
                      <w:szCs w:val="21"/>
                    </w:rPr>
                    <w:t>水质综合分析样、</w:t>
                  </w:r>
                  <w:r>
                    <w:rPr>
                      <w:rFonts w:hint="eastAsia" w:ascii="宋体" w:hAnsi="宋体" w:cs="宋体"/>
                      <w:szCs w:val="21"/>
                    </w:rPr>
                    <w:t>水质单分析样</w:t>
                  </w:r>
                </w:p>
              </w:tc>
              <w:tc>
                <w:tcPr>
                  <w:tcW w:w="562" w:type="pct"/>
                  <w:tcBorders>
                    <w:right w:val="single" w:color="auto" w:sz="12" w:space="0"/>
                  </w:tcBorders>
                  <w:vAlign w:val="center"/>
                </w:tcPr>
                <w:p>
                  <w:pPr>
                    <w:pStyle w:val="26"/>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tcBorders>
                    <w:left w:val="single" w:color="auto" w:sz="12" w:space="0"/>
                  </w:tcBorders>
                  <w:vAlign w:val="center"/>
                </w:tcPr>
                <w:p>
                  <w:pPr>
                    <w:pStyle w:val="26"/>
                  </w:pPr>
                  <w:r>
                    <w:t>辅助工程</w:t>
                  </w:r>
                </w:p>
              </w:tc>
              <w:tc>
                <w:tcPr>
                  <w:tcW w:w="919" w:type="pct"/>
                  <w:vAlign w:val="center"/>
                </w:tcPr>
                <w:p>
                  <w:pPr>
                    <w:pStyle w:val="26"/>
                  </w:pPr>
                  <w:r>
                    <w:t>施工营地</w:t>
                  </w:r>
                </w:p>
              </w:tc>
              <w:tc>
                <w:tcPr>
                  <w:tcW w:w="3087" w:type="pct"/>
                  <w:tcBorders>
                    <w:bottom w:val="single" w:color="auto" w:sz="4" w:space="0"/>
                  </w:tcBorders>
                  <w:vAlign w:val="center"/>
                </w:tcPr>
                <w:p>
                  <w:pPr>
                    <w:pStyle w:val="26"/>
                    <w:rPr>
                      <w:bCs/>
                    </w:rPr>
                  </w:pPr>
                  <w:r>
                    <w:rPr>
                      <w:rFonts w:ascii="宋体" w:hAnsi="宋体" w:cs="宋体"/>
                      <w:szCs w:val="21"/>
                    </w:rPr>
                    <w:t>本次探矿活动在探矿作业区内搭设临时帐篷</w:t>
                  </w:r>
                  <w:r>
                    <w:rPr>
                      <w:rFonts w:hint="eastAsia" w:ascii="宋体" w:hAnsi="宋体" w:cs="宋体"/>
                      <w:szCs w:val="21"/>
                    </w:rPr>
                    <w:t>用于施工人员休息使用</w:t>
                  </w:r>
                </w:p>
              </w:tc>
              <w:tc>
                <w:tcPr>
                  <w:tcW w:w="562" w:type="pct"/>
                  <w:tcBorders>
                    <w:right w:val="single" w:color="auto" w:sz="12" w:space="0"/>
                  </w:tcBorders>
                  <w:vAlign w:val="center"/>
                </w:tcPr>
                <w:p>
                  <w:pPr>
                    <w:pStyle w:val="26"/>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6"/>
                  </w:pPr>
                  <w:r>
                    <w:t>储运工程</w:t>
                  </w:r>
                </w:p>
              </w:tc>
              <w:tc>
                <w:tcPr>
                  <w:tcW w:w="919" w:type="pct"/>
                  <w:vAlign w:val="center"/>
                </w:tcPr>
                <w:p>
                  <w:pPr>
                    <w:pStyle w:val="26"/>
                  </w:pPr>
                  <w:r>
                    <w:t>施工道路</w:t>
                  </w:r>
                </w:p>
              </w:tc>
              <w:tc>
                <w:tcPr>
                  <w:tcW w:w="3087" w:type="pct"/>
                  <w:vAlign w:val="center"/>
                </w:tcPr>
                <w:p>
                  <w:pPr>
                    <w:pStyle w:val="26"/>
                  </w:pPr>
                  <w:r>
                    <w:rPr>
                      <w:rFonts w:hint="eastAsia"/>
                      <w:color w:val="000000"/>
                      <w:shd w:val="clear" w:color="auto" w:fill="FFFFFF"/>
                    </w:rPr>
                    <w:t>在原有的道路上扩宽、平整一条矿山道路，用地面积0.779019公顷</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rPr>
                      <w:color w:val="000000"/>
                      <w:shd w:val="clear" w:color="auto" w:fill="FFFFFF"/>
                    </w:rPr>
                    <w:t>临时</w:t>
                  </w:r>
                  <w:r>
                    <w:rPr>
                      <w:rFonts w:hint="eastAsia"/>
                      <w:color w:val="000000"/>
                      <w:shd w:val="clear" w:color="auto" w:fill="FFFFFF"/>
                    </w:rPr>
                    <w:t>堆场</w:t>
                  </w:r>
                </w:p>
              </w:tc>
              <w:tc>
                <w:tcPr>
                  <w:tcW w:w="3087" w:type="pct"/>
                  <w:vAlign w:val="center"/>
                </w:tcPr>
                <w:p>
                  <w:pPr>
                    <w:pStyle w:val="26"/>
                    <w:jc w:val="both"/>
                    <w:rPr>
                      <w:color w:val="000000"/>
                      <w:shd w:val="clear" w:color="auto" w:fill="FFFFFF"/>
                    </w:rPr>
                  </w:pPr>
                  <w:r>
                    <w:rPr>
                      <w:color w:val="000000"/>
                      <w:shd w:val="clear" w:color="auto" w:fill="FFFFFF"/>
                    </w:rPr>
                    <w:t>开挖探槽产生的岩土，采用可降解编织袋装袋，依次堆码于探槽两侧2m～5m范围的较平缓稳定区域，堆放高度不宜超过2m，确保堆填边坡稳定。探槽上方禁止堆放土石，预防形成滑塌或坡面泥石流等次生灾害</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施工机械及材料堆放场</w:t>
                  </w:r>
                </w:p>
              </w:tc>
              <w:tc>
                <w:tcPr>
                  <w:tcW w:w="3087" w:type="pct"/>
                  <w:vAlign w:val="center"/>
                </w:tcPr>
                <w:p>
                  <w:pPr>
                    <w:pStyle w:val="26"/>
                    <w:jc w:val="both"/>
                    <w:rPr>
                      <w:color w:val="000000"/>
                      <w:shd w:val="clear" w:color="auto" w:fill="FFFFFF"/>
                    </w:rPr>
                  </w:pPr>
                  <w:r>
                    <w:rPr>
                      <w:color w:val="000000"/>
                      <w:shd w:val="clear" w:color="auto" w:fill="FFFFFF"/>
                    </w:rPr>
                    <w:t>集中储存施工所需器械与材料，保障施工效率、安全及现场管理</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rPr>
                      <w:rFonts w:hint="eastAsia"/>
                    </w:rPr>
                    <w:t>危险废物暂存间</w:t>
                  </w:r>
                </w:p>
              </w:tc>
              <w:tc>
                <w:tcPr>
                  <w:tcW w:w="3087" w:type="pct"/>
                  <w:vAlign w:val="center"/>
                </w:tcPr>
                <w:p>
                  <w:pPr>
                    <w:pStyle w:val="26"/>
                    <w:jc w:val="both"/>
                    <w:rPr>
                      <w:color w:val="000000"/>
                      <w:shd w:val="clear" w:color="auto" w:fill="FFFFFF"/>
                    </w:rPr>
                  </w:pPr>
                  <w:r>
                    <w:rPr>
                      <w:rFonts w:hint="eastAsia"/>
                      <w:color w:val="000000"/>
                      <w:shd w:val="clear" w:color="auto" w:fill="FFFFFF"/>
                    </w:rPr>
                    <w:t>本项目建1座危险废物暂存间，建筑面积5m</w:t>
                  </w:r>
                  <w:r>
                    <w:rPr>
                      <w:rFonts w:hint="eastAsia"/>
                      <w:color w:val="000000"/>
                      <w:shd w:val="clear" w:color="auto" w:fill="FFFFFF"/>
                      <w:vertAlign w:val="superscript"/>
                    </w:rPr>
                    <w:t>2</w:t>
                  </w:r>
                  <w:r>
                    <w:rPr>
                      <w:rFonts w:hint="eastAsia"/>
                      <w:color w:val="000000"/>
                      <w:shd w:val="clear" w:color="auto" w:fill="FFFFFF"/>
                    </w:rPr>
                    <w:t>，用于储存废机油等危险废物。严格按照《危险废物贮存污染控制标准》（GB18597-2023）要求建设，基础防渗，防渗层为至少1m厚黏土层（渗透系数不大于10</w:t>
                  </w:r>
                  <w:r>
                    <w:rPr>
                      <w:rFonts w:hint="eastAsia"/>
                      <w:color w:val="000000"/>
                      <w:shd w:val="clear" w:color="auto" w:fill="FFFFFF"/>
                      <w:vertAlign w:val="superscript"/>
                    </w:rPr>
                    <w:t>-7</w:t>
                  </w:r>
                  <w:r>
                    <w:rPr>
                      <w:rFonts w:hint="eastAsia"/>
                      <w:color w:val="000000"/>
                      <w:shd w:val="clear" w:color="auto" w:fill="FFFFFF"/>
                    </w:rPr>
                    <w:t>cm/s），或至少2mm厚高密度聚乙烯膜等人工防渗材料（渗透系数不大于10</w:t>
                  </w:r>
                  <w:r>
                    <w:rPr>
                      <w:rFonts w:hint="eastAsia"/>
                      <w:color w:val="000000"/>
                      <w:shd w:val="clear" w:color="auto" w:fill="FFFFFF"/>
                      <w:vertAlign w:val="superscript"/>
                    </w:rPr>
                    <w:t>-10</w:t>
                  </w:r>
                  <w:r>
                    <w:rPr>
                      <w:rFonts w:hint="eastAsia"/>
                      <w:color w:val="000000"/>
                      <w:shd w:val="clear" w:color="auto" w:fill="FFFFFF"/>
                    </w:rPr>
                    <w:t>cm/s）</w:t>
                  </w:r>
                </w:p>
              </w:tc>
              <w:tc>
                <w:tcPr>
                  <w:tcW w:w="562" w:type="pct"/>
                  <w:tcBorders>
                    <w:right w:val="single" w:color="auto" w:sz="12" w:space="0"/>
                  </w:tcBorders>
                  <w:vAlign w:val="center"/>
                </w:tcPr>
                <w:p>
                  <w:pPr>
                    <w:pStyle w:val="26"/>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6"/>
                  </w:pPr>
                  <w:r>
                    <w:t>公用工程</w:t>
                  </w:r>
                </w:p>
              </w:tc>
              <w:tc>
                <w:tcPr>
                  <w:tcW w:w="919" w:type="pct"/>
                  <w:vAlign w:val="center"/>
                </w:tcPr>
                <w:p>
                  <w:pPr>
                    <w:pStyle w:val="26"/>
                  </w:pPr>
                  <w:r>
                    <w:t>供电</w:t>
                  </w:r>
                </w:p>
              </w:tc>
              <w:tc>
                <w:tcPr>
                  <w:tcW w:w="3087" w:type="pct"/>
                  <w:vAlign w:val="center"/>
                </w:tcPr>
                <w:p>
                  <w:pPr>
                    <w:pStyle w:val="26"/>
                    <w:jc w:val="both"/>
                  </w:pPr>
                  <w:r>
                    <w:t>本项目设置2台柴油发电机，提供生产用电</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供水</w:t>
                  </w:r>
                </w:p>
              </w:tc>
              <w:tc>
                <w:tcPr>
                  <w:tcW w:w="3087" w:type="pct"/>
                  <w:vAlign w:val="center"/>
                </w:tcPr>
                <w:p>
                  <w:pPr>
                    <w:pStyle w:val="26"/>
                    <w:jc w:val="both"/>
                  </w:pPr>
                  <w:r>
                    <w:rPr>
                      <w:rFonts w:hint="eastAsia"/>
                    </w:rPr>
                    <w:t>钻探过程用水由附近城镇拉由水车拉运至勘探区工作人员用水自带的纯净水</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排水</w:t>
                  </w:r>
                </w:p>
              </w:tc>
              <w:tc>
                <w:tcPr>
                  <w:tcW w:w="3087" w:type="pct"/>
                  <w:vAlign w:val="center"/>
                </w:tcPr>
                <w:p>
                  <w:pPr>
                    <w:pStyle w:val="26"/>
                    <w:jc w:val="both"/>
                  </w:pPr>
                  <w:r>
                    <w:t>生产废水经沉淀池沉淀后循环使用，不外排；</w:t>
                  </w:r>
                  <w:r>
                    <w:rPr>
                      <w:rFonts w:hint="eastAsia"/>
                    </w:rPr>
                    <w:t>生活污水进入防渗化粪池（10m</w:t>
                  </w:r>
                  <w:r>
                    <w:rPr>
                      <w:rFonts w:hint="eastAsia"/>
                      <w:vertAlign w:val="superscript"/>
                    </w:rPr>
                    <w:t>3</w:t>
                  </w:r>
                  <w:r>
                    <w:rPr>
                      <w:rFonts w:hint="eastAsia"/>
                    </w:rPr>
                    <w:t>）处理后自然蒸发</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供热</w:t>
                  </w:r>
                </w:p>
              </w:tc>
              <w:tc>
                <w:tcPr>
                  <w:tcW w:w="3087" w:type="pct"/>
                  <w:vAlign w:val="center"/>
                </w:tcPr>
                <w:p>
                  <w:pPr>
                    <w:pStyle w:val="26"/>
                    <w:jc w:val="both"/>
                  </w:pPr>
                  <w:r>
                    <w:t>项目冬季不开展探矿施工，无需供热</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restart"/>
                  <w:tcBorders>
                    <w:left w:val="single" w:color="auto" w:sz="12" w:space="0"/>
                  </w:tcBorders>
                  <w:vAlign w:val="center"/>
                </w:tcPr>
                <w:p>
                  <w:pPr>
                    <w:pStyle w:val="26"/>
                  </w:pPr>
                  <w:r>
                    <w:t>环保工程</w:t>
                  </w:r>
                </w:p>
              </w:tc>
              <w:tc>
                <w:tcPr>
                  <w:tcW w:w="919" w:type="pct"/>
                  <w:vAlign w:val="center"/>
                </w:tcPr>
                <w:p>
                  <w:pPr>
                    <w:pStyle w:val="26"/>
                  </w:pPr>
                  <w:r>
                    <w:t>废气</w:t>
                  </w:r>
                </w:p>
              </w:tc>
              <w:tc>
                <w:tcPr>
                  <w:tcW w:w="3087" w:type="pct"/>
                  <w:vAlign w:val="center"/>
                </w:tcPr>
                <w:p>
                  <w:pPr>
                    <w:pStyle w:val="26"/>
                    <w:jc w:val="both"/>
                  </w:pPr>
                  <w:r>
                    <w:rPr>
                      <w:b/>
                    </w:rPr>
                    <w:t>扬尘：</w:t>
                  </w:r>
                  <w:r>
                    <w:t>对土石方要求采用防尘网或篷布覆盖，运输车辆限速行驶，减少扬尘的产生并洒水抑尘处理</w:t>
                  </w:r>
                </w:p>
                <w:p>
                  <w:pPr>
                    <w:pStyle w:val="26"/>
                    <w:jc w:val="both"/>
                  </w:pPr>
                  <w:r>
                    <w:rPr>
                      <w:b/>
                    </w:rPr>
                    <w:t>燃油废气</w:t>
                  </w:r>
                  <w:r>
                    <w:t>：对柴油发电机及运输车辆定期维护保养，提高其燃烧效率，减少尾气排放量</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废水</w:t>
                  </w:r>
                </w:p>
              </w:tc>
              <w:tc>
                <w:tcPr>
                  <w:tcW w:w="3087" w:type="pct"/>
                  <w:vAlign w:val="center"/>
                </w:tcPr>
                <w:p>
                  <w:pPr>
                    <w:pStyle w:val="26"/>
                    <w:jc w:val="both"/>
                  </w:pPr>
                  <w:r>
                    <w:rPr>
                      <w:b/>
                    </w:rPr>
                    <w:t>生产废水：</w:t>
                  </w:r>
                  <w:r>
                    <w:t>在每个钻孔采用防渗膜塑料布及支架组装成简易沉淀池，每个规模为5m</w:t>
                  </w:r>
                  <w:r>
                    <w:rPr>
                      <w:vertAlign w:val="superscript"/>
                    </w:rPr>
                    <w:t>3</w:t>
                  </w:r>
                  <w:r>
                    <w:t>，生产废水经沉淀后循环使用</w:t>
                  </w:r>
                </w:p>
                <w:p>
                  <w:pPr>
                    <w:pStyle w:val="26"/>
                    <w:jc w:val="both"/>
                  </w:pPr>
                  <w:r>
                    <w:rPr>
                      <w:b/>
                    </w:rPr>
                    <w:t>生活污水</w:t>
                  </w:r>
                  <w:r>
                    <w:t>：</w:t>
                  </w:r>
                  <w:r>
                    <w:rPr>
                      <w:rFonts w:hint="eastAsia"/>
                    </w:rPr>
                    <w:t>生活污水进入防渗化粪池（10m</w:t>
                  </w:r>
                  <w:r>
                    <w:rPr>
                      <w:rFonts w:hint="eastAsia"/>
                      <w:vertAlign w:val="superscript"/>
                    </w:rPr>
                    <w:t>3</w:t>
                  </w:r>
                  <w:r>
                    <w:rPr>
                      <w:rFonts w:hint="eastAsia"/>
                    </w:rPr>
                    <w:t>）处理后自然蒸发。</w:t>
                  </w:r>
                  <w:r>
                    <w:rPr>
                      <w:szCs w:val="21"/>
                    </w:rPr>
                    <w:t>化粪池采用防渗混凝土硬化满足等效黏士防渗层Mb≥1.5m，渗透系数K≤1×10</w:t>
                  </w:r>
                  <w:r>
                    <w:rPr>
                      <w:szCs w:val="21"/>
                      <w:vertAlign w:val="superscript"/>
                    </w:rPr>
                    <w:t>-7</w:t>
                  </w:r>
                  <w:r>
                    <w:rPr>
                      <w:szCs w:val="21"/>
                    </w:rPr>
                    <w:t>cm/s。</w:t>
                  </w:r>
                </w:p>
              </w:tc>
              <w:tc>
                <w:tcPr>
                  <w:tcW w:w="562" w:type="pct"/>
                  <w:tcBorders>
                    <w:right w:val="single" w:color="auto" w:sz="12" w:space="0"/>
                  </w:tcBorders>
                  <w:vAlign w:val="center"/>
                </w:tcPr>
                <w:p>
                  <w:pPr>
                    <w:pStyle w:val="26"/>
                  </w:pPr>
                  <w: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噪声</w:t>
                  </w:r>
                </w:p>
              </w:tc>
              <w:tc>
                <w:tcPr>
                  <w:tcW w:w="3087" w:type="pct"/>
                  <w:vAlign w:val="center"/>
                </w:tcPr>
                <w:p>
                  <w:pPr>
                    <w:pStyle w:val="26"/>
                    <w:jc w:val="both"/>
                  </w:pPr>
                  <w:r>
                    <w:t>采用低噪声设备，加强对运输车辆、钻机、柴油发电机设备的维护保养工作，保持其良好工况；空压机、钻机进行基础减震，空压机进行隔声，能减小噪声传播</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407"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固废</w:t>
                  </w:r>
                </w:p>
              </w:tc>
              <w:tc>
                <w:tcPr>
                  <w:tcW w:w="3087" w:type="pct"/>
                  <w:vAlign w:val="center"/>
                </w:tcPr>
                <w:p>
                  <w:pPr>
                    <w:pStyle w:val="26"/>
                    <w:jc w:val="both"/>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562" w:type="pct"/>
                  <w:tcBorders>
                    <w:right w:val="single" w:color="auto" w:sz="12" w:space="0"/>
                  </w:tcBorders>
                  <w:vAlign w:val="center"/>
                </w:tcPr>
                <w:p>
                  <w:pPr>
                    <w:pStyle w:val="26"/>
                  </w:pPr>
                  <w: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850" w:hRule="atLeast"/>
                <w:jc w:val="center"/>
              </w:trPr>
              <w:tc>
                <w:tcPr>
                  <w:tcW w:w="432" w:type="pct"/>
                  <w:vMerge w:val="continue"/>
                  <w:tcBorders>
                    <w:left w:val="single" w:color="auto" w:sz="12" w:space="0"/>
                  </w:tcBorders>
                  <w:vAlign w:val="center"/>
                </w:tcPr>
                <w:p>
                  <w:pPr>
                    <w:pStyle w:val="26"/>
                  </w:pPr>
                </w:p>
              </w:tc>
              <w:tc>
                <w:tcPr>
                  <w:tcW w:w="919" w:type="pct"/>
                  <w:vAlign w:val="center"/>
                </w:tcPr>
                <w:p>
                  <w:pPr>
                    <w:pStyle w:val="26"/>
                  </w:pPr>
                  <w:r>
                    <w:t>生态恢复措施</w:t>
                  </w:r>
                </w:p>
              </w:tc>
              <w:tc>
                <w:tcPr>
                  <w:tcW w:w="3087" w:type="pct"/>
                  <w:vAlign w:val="center"/>
                </w:tcPr>
                <w:p>
                  <w:pPr>
                    <w:widowControl/>
                    <w:spacing w:line="240" w:lineRule="auto"/>
                    <w:ind w:firstLine="0" w:firstLineChars="0"/>
                    <w:jc w:val="left"/>
                  </w:pPr>
                  <w:r>
                    <w:rPr>
                      <w:sz w:val="21"/>
                      <w:szCs w:val="22"/>
                    </w:rPr>
                    <w:t>本项目场界周围200m范围内，施工场地生态恢复措施；施工临建的恢复情况</w:t>
                  </w:r>
                </w:p>
              </w:tc>
              <w:tc>
                <w:tcPr>
                  <w:tcW w:w="562" w:type="pct"/>
                  <w:tcBorders>
                    <w:right w:val="single" w:color="auto" w:sz="12" w:space="0"/>
                  </w:tcBorders>
                  <w:vAlign w:val="center"/>
                </w:tcPr>
                <w:p>
                  <w:pPr>
                    <w:pStyle w:val="26"/>
                  </w:pPr>
                  <w:r>
                    <w:t>/</w:t>
                  </w:r>
                </w:p>
              </w:tc>
            </w:tr>
          </w:tbl>
          <w:p>
            <w:pPr>
              <w:pStyle w:val="15"/>
              <w:ind w:firstLine="482" w:firstLineChars="200"/>
            </w:pPr>
            <w:r>
              <w:rPr>
                <w:rFonts w:hint="eastAsia"/>
              </w:rPr>
              <w:t>3、总体工作部署：</w:t>
            </w:r>
          </w:p>
          <w:p>
            <w:pPr>
              <w:ind w:firstLine="482"/>
              <w:rPr>
                <w:b/>
                <w:bCs/>
                <w:szCs w:val="32"/>
              </w:rPr>
            </w:pPr>
            <w:r>
              <w:rPr>
                <w:rFonts w:hint="eastAsia"/>
                <w:b/>
                <w:bCs/>
                <w:szCs w:val="32"/>
              </w:rPr>
              <w:t>3</w:t>
            </w:r>
            <w:r>
              <w:rPr>
                <w:b/>
                <w:bCs/>
                <w:szCs w:val="32"/>
              </w:rPr>
              <w:t>.1</w:t>
            </w:r>
            <w:r>
              <w:rPr>
                <w:rFonts w:hint="eastAsia"/>
                <w:b/>
                <w:bCs/>
                <w:szCs w:val="32"/>
              </w:rPr>
              <w:t>测量工作</w:t>
            </w:r>
          </w:p>
          <w:p>
            <w:pPr>
              <w:ind w:firstLine="482"/>
              <w:rPr>
                <w:b/>
                <w:bCs/>
              </w:rPr>
            </w:pPr>
            <w:r>
              <w:rPr>
                <w:b/>
                <w:bCs/>
              </w:rPr>
              <w:t>3.1.1</w:t>
            </w:r>
            <w:r>
              <w:rPr>
                <w:rFonts w:hint="eastAsia"/>
                <w:b/>
                <w:bCs/>
              </w:rPr>
              <w:t>控制测量</w:t>
            </w:r>
          </w:p>
          <w:p>
            <w:r>
              <w:rPr>
                <w:rFonts w:hint="eastAsia"/>
              </w:rPr>
              <w:t>以国家测量三等坐标点为起始点，在工作区进行首级控制测量，建立E级控制测量点。采用动态GPS仪器施测，以DZ/T0091《地质矿产勘查测量规范》为依据,技术要求及误差指标按《全球定位系统（GPS）测量规范》（GB</w:t>
            </w:r>
            <w:r>
              <w:t>／</w:t>
            </w:r>
            <w:r>
              <w:rPr>
                <w:rFonts w:hint="eastAsia"/>
              </w:rPr>
              <w:t>T18314-2001）执行。同时，在控制点位置进行埋石及编号，为下一步进行的地质填图、剖面测量、钻探提供基础数据。</w:t>
            </w:r>
          </w:p>
          <w:p>
            <w:r>
              <w:rPr>
                <w:rFonts w:hint="eastAsia"/>
              </w:rPr>
              <w:t>平面采用2000国家大地坐标系，高程采用1985年高程基准</w:t>
            </w:r>
            <w:r>
              <w:t>。</w:t>
            </w:r>
          </w:p>
          <w:p>
            <w:pPr>
              <w:ind w:firstLine="482"/>
              <w:rPr>
                <w:b/>
                <w:bCs/>
              </w:rPr>
            </w:pPr>
            <w:r>
              <w:rPr>
                <w:b/>
                <w:bCs/>
              </w:rPr>
              <w:t>3.1.2</w:t>
            </w:r>
            <w:r>
              <w:rPr>
                <w:rFonts w:hint="eastAsia"/>
                <w:b/>
                <w:bCs/>
              </w:rPr>
              <w:t>地形测量</w:t>
            </w:r>
          </w:p>
          <w:p>
            <w:r>
              <w:t>地形测量拟采用航测全数字摄影测量作业方法。先进行像控点的布设与测量，再进行航空摄影与激光雷达点云扫描；上述任务结束后，利用外业像控点进行空三加密，然后进行点云解算与立体像对采集，回放线划图后供外业调绘，最后完成地形图绘制。</w:t>
            </w:r>
          </w:p>
          <w:p>
            <w:r>
              <w:t>本次测绘工作坐标系统采用2000国家大地坐标系，高程基准采用1985国家高程基准。所有成果图件坐标系统均采用2000国家大地坐标系、1985国家高程基准。</w:t>
            </w:r>
          </w:p>
          <w:p>
            <w:pPr>
              <w:ind w:firstLine="482"/>
              <w:rPr>
                <w:b/>
                <w:bCs/>
                <w:szCs w:val="32"/>
              </w:rPr>
            </w:pPr>
            <w:r>
              <w:rPr>
                <w:b/>
                <w:bCs/>
                <w:szCs w:val="32"/>
              </w:rPr>
              <w:t>3.2</w:t>
            </w:r>
            <w:r>
              <w:rPr>
                <w:rFonts w:hint="eastAsia"/>
                <w:b/>
                <w:bCs/>
                <w:szCs w:val="32"/>
              </w:rPr>
              <w:t>地质测量</w:t>
            </w:r>
          </w:p>
          <w:p>
            <w:pPr>
              <w:ind w:firstLine="482"/>
              <w:rPr>
                <w:b/>
                <w:bCs/>
                <w:szCs w:val="32"/>
              </w:rPr>
            </w:pPr>
            <w:bookmarkStart w:id="2" w:name="_Toc140527732"/>
            <w:r>
              <w:rPr>
                <w:rFonts w:hint="eastAsia"/>
                <w:b/>
                <w:bCs/>
                <w:szCs w:val="32"/>
              </w:rPr>
              <w:t>1、1∶10000地质测量（草测）</w:t>
            </w:r>
            <w:bookmarkEnd w:id="2"/>
          </w:p>
          <w:p>
            <w:r>
              <w:t>选择布置2～3条主干路线，与实测剖面综合确定填图单位。填绘岩性～构造图，地层单位划分为岩性层或岩性组合，侵入岩要进行解体。</w:t>
            </w:r>
          </w:p>
          <w:p>
            <w:r>
              <w:t>线距一般100～200m，重要成矿地段可适当加密，大片掩盖区和地质构造简单区可适当放稀。点距根据实际情况而定，以能保证对地质界线和重要地质现象的控制，但点距不能大于线距，基本保证每km</w:t>
            </w:r>
            <w:r>
              <w:rPr>
                <w:vertAlign w:val="superscript"/>
              </w:rPr>
              <w:t>2</w:t>
            </w:r>
            <w:r>
              <w:t>地质点数达到30～35个。</w:t>
            </w:r>
          </w:p>
          <w:p>
            <w:r>
              <w:t>所有地质点必顺用手持GPS定位，在卫星信号弱的情况下可结合实际地形地物定位。</w:t>
            </w:r>
          </w:p>
          <w:p>
            <w:pPr>
              <w:ind w:firstLine="482"/>
              <w:rPr>
                <w:b/>
                <w:bCs/>
              </w:rPr>
            </w:pPr>
            <w:r>
              <w:rPr>
                <w:rFonts w:hint="eastAsia"/>
                <w:b/>
                <w:bCs/>
              </w:rPr>
              <w:t>2、1∶2000地质测量（草测）</w:t>
            </w:r>
          </w:p>
          <w:p>
            <w:r>
              <w:rPr>
                <w:rFonts w:hint="eastAsia"/>
              </w:rPr>
              <w:t>在1∶10000地质草测的基础上，在勘查区已发现铜矿化体分布区，以及地表磁异常分布区，圈定重点区，开展1∶2000地质测量工作。野外调查所用底图为实测的1∶2000地形图，以露头圈定法为主、配合地质界线追索法为辅的方法进行。填图原则上点距布局要合理，尽量使用有效地质观察点；综合考虑到饰面用花岗岩矿区岩性单一，地质观测点不少于200/km</w:t>
            </w:r>
            <w:r>
              <w:rPr>
                <w:rFonts w:hint="eastAsia"/>
                <w:vertAlign w:val="superscript"/>
              </w:rPr>
              <w:t>2</w:t>
            </w:r>
            <w:r>
              <w:rPr>
                <w:rFonts w:hint="eastAsia"/>
              </w:rPr>
              <w:t>。</w:t>
            </w:r>
          </w:p>
          <w:p>
            <w:pPr>
              <w:ind w:firstLine="482"/>
              <w:rPr>
                <w:b/>
                <w:bCs/>
                <w:szCs w:val="32"/>
              </w:rPr>
            </w:pPr>
            <w:r>
              <w:rPr>
                <w:rFonts w:hint="eastAsia"/>
                <w:b/>
                <w:bCs/>
                <w:szCs w:val="32"/>
              </w:rPr>
              <w:t>3</w:t>
            </w:r>
            <w:r>
              <w:rPr>
                <w:b/>
                <w:bCs/>
                <w:szCs w:val="32"/>
              </w:rPr>
              <w:t>.3</w:t>
            </w:r>
            <w:r>
              <w:rPr>
                <w:rFonts w:hint="eastAsia"/>
                <w:b/>
                <w:bCs/>
                <w:szCs w:val="32"/>
              </w:rPr>
              <w:t>物探</w:t>
            </w:r>
          </w:p>
          <w:p>
            <w:pPr>
              <w:ind w:firstLine="482"/>
              <w:rPr>
                <w:b/>
                <w:bCs/>
              </w:rPr>
            </w:pPr>
            <w:r>
              <w:rPr>
                <w:rFonts w:hint="eastAsia"/>
                <w:b/>
                <w:bCs/>
              </w:rPr>
              <w:t>1、激电中梯（短导线）剖面测量</w:t>
            </w:r>
          </w:p>
          <w:p>
            <w:r>
              <w:rPr>
                <w:rFonts w:hint="eastAsia"/>
              </w:rPr>
              <w:t>本次大功率激电测深拟采用重庆奔腾仪器厂生产的WDFZ-10型大功率激电测量系统。</w:t>
            </w:r>
            <w:r>
              <w:t>激电测深采用对称四极非等比装置</w:t>
            </w:r>
            <w:r>
              <w:rPr>
                <w:rFonts w:hint="eastAsia"/>
              </w:rPr>
              <w:t>。</w:t>
            </w:r>
          </w:p>
          <w:p>
            <w:pPr>
              <w:rPr>
                <w:color w:val="000000"/>
              </w:rPr>
            </w:pPr>
            <w:r>
              <w:rPr>
                <w:color w:val="000000"/>
              </w:rPr>
              <w:t>根据工作任务及本区地质情况，初步设计最大AB距为2000m，根据工作区目标岩体的高阻反映深度，可依实际情况调整极距。极距间隔取</w:t>
            </w:r>
            <w:r>
              <w:rPr>
                <w:rFonts w:hint="eastAsia"/>
                <w:color w:val="000000"/>
              </w:rPr>
              <w:t>20、40、80；电极距取40、80、160</w:t>
            </w:r>
            <w:r>
              <w:rPr>
                <w:color w:val="000000"/>
              </w:rPr>
              <w:t>作为供电极距。野外施测过程中,若多个工作组同时工作,为避免相互干扰，其垂向距离间隔应大于2000m。</w:t>
            </w:r>
          </w:p>
          <w:p>
            <w:pPr>
              <w:rPr>
                <w:color w:val="000000"/>
              </w:rPr>
            </w:pPr>
            <w:r>
              <w:rPr>
                <w:color w:val="000000"/>
              </w:rPr>
              <w:t>野外观测过程中,操作员和记录员应按规范要求进行读数回报、现场点画原始曲线,漏电检查及时监控。野外实测过程中，对曲线上畸变点进行重复读数。由于场地接地条件差,野外均采取加盐水等措施,保证野外施工质量。</w:t>
            </w:r>
          </w:p>
          <w:p>
            <w:pPr>
              <w:ind w:firstLine="482"/>
              <w:rPr>
                <w:b/>
                <w:bCs/>
                <w:szCs w:val="32"/>
              </w:rPr>
            </w:pPr>
            <w:r>
              <w:rPr>
                <w:rFonts w:hint="eastAsia"/>
                <w:b/>
                <w:bCs/>
                <w:szCs w:val="32"/>
              </w:rPr>
              <w:t>3</w:t>
            </w:r>
            <w:r>
              <w:rPr>
                <w:b/>
                <w:bCs/>
                <w:szCs w:val="32"/>
              </w:rPr>
              <w:t>.4</w:t>
            </w:r>
            <w:r>
              <w:rPr>
                <w:rFonts w:hint="eastAsia"/>
                <w:b/>
                <w:bCs/>
                <w:szCs w:val="32"/>
              </w:rPr>
              <w:t>水工环测量</w:t>
            </w:r>
          </w:p>
          <w:p>
            <w:pPr>
              <w:ind w:firstLine="482"/>
              <w:rPr>
                <w:b/>
                <w:bCs/>
                <w:color w:val="000000"/>
              </w:rPr>
            </w:pPr>
            <w:r>
              <w:rPr>
                <w:rFonts w:hint="eastAsia"/>
                <w:b/>
                <w:bCs/>
                <w:color w:val="000000"/>
              </w:rPr>
              <w:t>1、1:10000水工环地质测量</w:t>
            </w:r>
          </w:p>
          <w:p>
            <w:pPr>
              <w:rPr>
                <w:color w:val="000000"/>
              </w:rPr>
            </w:pPr>
            <w:r>
              <w:rPr>
                <w:rFonts w:hint="eastAsia"/>
                <w:color w:val="000000"/>
              </w:rPr>
              <w:t>收集区域和勘查区水、工、环地质信息，了解矿区水文地质、工程地质、环境地质条件，通过钻孔简易水文观测初步了解矿区地下水的补给、径流、排泄条件。</w:t>
            </w:r>
          </w:p>
          <w:p>
            <w:pPr>
              <w:rPr>
                <w:color w:val="000000"/>
              </w:rPr>
            </w:pPr>
            <w:r>
              <w:rPr>
                <w:rFonts w:hint="eastAsia"/>
                <w:color w:val="000000"/>
              </w:rPr>
              <w:t>1）收集区域水文、气象、地震资料，收集勘查区工程地质、环境地质资料。</w:t>
            </w:r>
          </w:p>
          <w:p>
            <w:pPr>
              <w:rPr>
                <w:color w:val="000000"/>
              </w:rPr>
            </w:pPr>
            <w:r>
              <w:rPr>
                <w:rFonts w:hint="eastAsia"/>
                <w:color w:val="000000"/>
              </w:rPr>
              <w:t>2）在地质填图基础上对区内民井、泉水、地表水体、民采老硐、基岩裂隙及与工程地质有关的现象（崩塌、滑坡、泥石流等）进行调查了解。</w:t>
            </w:r>
          </w:p>
          <w:p>
            <w:pPr>
              <w:rPr>
                <w:color w:val="000000"/>
              </w:rPr>
            </w:pPr>
            <w:r>
              <w:rPr>
                <w:rFonts w:hint="eastAsia"/>
                <w:color w:val="000000"/>
              </w:rPr>
              <w:t>3）对所有钻孔进行简易水文地质观测。</w:t>
            </w:r>
          </w:p>
          <w:p>
            <w:pPr>
              <w:ind w:firstLine="482"/>
              <w:rPr>
                <w:b/>
                <w:bCs/>
                <w:color w:val="000000"/>
              </w:rPr>
            </w:pPr>
            <w:r>
              <w:rPr>
                <w:rFonts w:hint="eastAsia"/>
                <w:b/>
                <w:bCs/>
                <w:color w:val="000000"/>
              </w:rPr>
              <w:t>2、1:2000水工环地质测量</w:t>
            </w:r>
          </w:p>
          <w:p>
            <w:pPr>
              <w:rPr>
                <w:color w:val="000000"/>
              </w:rPr>
            </w:pPr>
            <w:r>
              <w:rPr>
                <w:rFonts w:hint="eastAsia"/>
                <w:color w:val="000000"/>
              </w:rPr>
              <w:t>1）</w:t>
            </w:r>
            <w:r>
              <w:rPr>
                <w:color w:val="000000"/>
              </w:rPr>
              <w:t>水文地质工程地质剖面测量</w:t>
            </w:r>
          </w:p>
          <w:p>
            <w:pPr>
              <w:rPr>
                <w:color w:val="000000"/>
              </w:rPr>
            </w:pPr>
            <w:r>
              <w:rPr>
                <w:color w:val="000000"/>
              </w:rPr>
              <w:t>在开展水工环地质测量前，选择1条贯穿工作区的勘查线开展水工环地质剖面测量。勘查工作量及技术要求如下:</w:t>
            </w:r>
          </w:p>
          <w:p>
            <w:pPr>
              <w:rPr>
                <w:color w:val="000000"/>
              </w:rPr>
            </w:pPr>
            <w:r>
              <w:rPr>
                <w:rFonts w:hint="eastAsia"/>
                <w:color w:val="000000"/>
              </w:rPr>
              <w:t>2</w:t>
            </w:r>
            <w:r>
              <w:rPr>
                <w:color w:val="000000"/>
              </w:rPr>
              <w:t>）1</w:t>
            </w:r>
            <w:r>
              <w:rPr>
                <w:rFonts w:hint="eastAsia"/>
                <w:color w:val="000000"/>
              </w:rPr>
              <w:t>:</w:t>
            </w:r>
            <w:r>
              <w:rPr>
                <w:color w:val="000000"/>
              </w:rPr>
              <w:t>2000水文地质测量</w:t>
            </w:r>
          </w:p>
          <w:p>
            <w:pPr>
              <w:rPr>
                <w:color w:val="000000"/>
              </w:rPr>
            </w:pPr>
            <w:r>
              <w:rPr>
                <w:rFonts w:hint="eastAsia"/>
                <w:color w:val="000000"/>
              </w:rPr>
              <w:t>收集区域水文地质资料，尤其相邻矿区水文地质资料，进行调查、研究，为未来矿山建设水源地提供依据；对矿区供水水源地进行详细的地表水体调查，基本查明地表水水文地质特征；钻孔水文地质编录。本次设计2个水文地质孔，进行抽水或注水试验，以获得有关水文地质参数，为预测矿坑或露天采矿场涌水量提供依据</w:t>
            </w:r>
            <w:r>
              <w:rPr>
                <w:color w:val="000000"/>
              </w:rPr>
              <w:t>。</w:t>
            </w:r>
          </w:p>
          <w:p>
            <w:pPr>
              <w:ind w:firstLine="482"/>
              <w:outlineLvl w:val="2"/>
              <w:rPr>
                <w:b/>
                <w:bCs/>
                <w:color w:val="000000"/>
              </w:rPr>
            </w:pPr>
            <w:r>
              <w:rPr>
                <w:b/>
                <w:bCs/>
                <w:color w:val="000000"/>
              </w:rPr>
              <w:t>3.5</w:t>
            </w:r>
            <w:r>
              <w:rPr>
                <w:rFonts w:hint="eastAsia"/>
                <w:b/>
                <w:bCs/>
                <w:color w:val="000000"/>
              </w:rPr>
              <w:t>钻探</w:t>
            </w:r>
          </w:p>
          <w:p>
            <w:pPr>
              <w:rPr>
                <w:color w:val="000000"/>
              </w:rPr>
            </w:pPr>
            <w:bookmarkStart w:id="3" w:name="_Toc156967790"/>
            <w:bookmarkStart w:id="4" w:name="_Toc140527751"/>
            <w:bookmarkStart w:id="5" w:name="_Toc156966662"/>
            <w:r>
              <w:t>共布设12个钻孔</w:t>
            </w:r>
            <w:r>
              <w:rPr>
                <w:rFonts w:hint="eastAsia"/>
              </w:rPr>
              <w:t>，钻探工作量为3</w:t>
            </w:r>
            <w:r>
              <w:t>500m</w:t>
            </w:r>
            <w:r>
              <w:rPr>
                <w:rFonts w:hint="eastAsia"/>
              </w:rPr>
              <w:t>，其中</w:t>
            </w:r>
            <w:r>
              <w:t>机械岩心钻探工作量3000m</w:t>
            </w:r>
            <w:r>
              <w:rPr>
                <w:rFonts w:hint="eastAsia"/>
              </w:rPr>
              <w:t>，</w:t>
            </w:r>
            <w:r>
              <w:t>水文地质钻探工作量500m</w:t>
            </w:r>
            <w:r>
              <w:rPr>
                <w:color w:val="000000"/>
              </w:rPr>
              <w:t>。</w:t>
            </w:r>
          </w:p>
          <w:p>
            <w:bookmarkStart w:id="6" w:name="_Toc157078149"/>
            <w:bookmarkStart w:id="7" w:name="_Toc157023960"/>
            <w:bookmarkStart w:id="8" w:name="_Toc157080420"/>
            <w:bookmarkStart w:id="9" w:name="_Toc163822246"/>
            <w:r>
              <w:t>（1）具体质量要求</w:t>
            </w:r>
            <w:bookmarkEnd w:id="6"/>
            <w:bookmarkEnd w:id="7"/>
            <w:bookmarkEnd w:id="8"/>
            <w:bookmarkEnd w:id="9"/>
          </w:p>
          <w:p>
            <w:pPr>
              <w:rPr>
                <w:color w:val="000000"/>
              </w:rPr>
            </w:pPr>
            <w:r>
              <w:rPr>
                <w:rFonts w:hint="eastAsia" w:ascii="宋体" w:hAnsi="宋体" w:cs="宋体"/>
                <w:color w:val="000000"/>
              </w:rPr>
              <w:t>①</w:t>
            </w:r>
            <w:r>
              <w:rPr>
                <w:color w:val="000000"/>
              </w:rPr>
              <w:t>岩矿心采取率</w:t>
            </w:r>
            <w:r>
              <w:rPr>
                <w:rFonts w:hint="eastAsia" w:ascii="宋体" w:hAnsi="宋体" w:cs="宋体"/>
                <w:color w:val="000000"/>
              </w:rPr>
              <w:t>：</w:t>
            </w:r>
            <w:r>
              <w:rPr>
                <w:color w:val="000000"/>
              </w:rPr>
              <w:t>矿化体采取率（包括顶、底板上和下5m范围内的岩石）不得低于85%；围岩岩心的分层采取率不得低于80%。</w:t>
            </w:r>
          </w:p>
          <w:p>
            <w:pPr>
              <w:rPr>
                <w:color w:val="000000"/>
              </w:rPr>
            </w:pPr>
            <w:r>
              <w:rPr>
                <w:rFonts w:hint="eastAsia" w:ascii="宋体" w:hAnsi="宋体" w:cs="宋体"/>
                <w:color w:val="000000"/>
              </w:rPr>
              <w:t>②</w:t>
            </w:r>
            <w:r>
              <w:rPr>
                <w:color w:val="000000"/>
              </w:rPr>
              <w:t>钻孔弯曲度测量在钻进过程中，应系统测量倾角和方位角。所有钻孔开孔后25m应测量一次倾角和方位角；直孔每钻进100m，应测1次倾角和方位角；矿体顶、底板应加测一次倾角和方位角。直孔施工中每100m顶角偏斜不应超过2°，超差时应检查原因，校正仪器后再重测；</w:t>
            </w:r>
          </w:p>
          <w:p>
            <w:pPr>
              <w:rPr>
                <w:color w:val="000000"/>
              </w:rPr>
            </w:pPr>
            <w:r>
              <w:rPr>
                <w:rFonts w:hint="eastAsia" w:ascii="宋体" w:hAnsi="宋体" w:cs="宋体"/>
                <w:color w:val="000000"/>
              </w:rPr>
              <w:t>③</w:t>
            </w:r>
            <w:r>
              <w:rPr>
                <w:color w:val="000000"/>
              </w:rPr>
              <w:t>孔深校正除主矿体（层）及终孔应进行孔深误差验证外，一般直孔每钻进100m，换层、见矿均应验证1次。</w:t>
            </w:r>
          </w:p>
          <w:p>
            <w:pPr>
              <w:rPr>
                <w:color w:val="000000"/>
              </w:rPr>
            </w:pPr>
            <w:r>
              <w:rPr>
                <w:rFonts w:hint="eastAsia" w:ascii="宋体" w:hAnsi="宋体" w:cs="宋体"/>
                <w:color w:val="000000"/>
              </w:rPr>
              <w:t>④</w:t>
            </w:r>
            <w:r>
              <w:rPr>
                <w:color w:val="000000"/>
              </w:rPr>
              <w:t>简易水文观测所有施工钻孔均应按规范要求进行简易水文观测。在钻进中如遇有老窿、大裂隙、钻具突然下落、漏水、返水、涌水和溶洞、破碎带、气体涌出、水温异常、严重坍塌、掉块等现象和处理方法、结果均应按要求详细记录。</w:t>
            </w:r>
          </w:p>
          <w:p>
            <w:pPr>
              <w:rPr>
                <w:color w:val="000000"/>
              </w:rPr>
            </w:pPr>
            <w:r>
              <w:rPr>
                <w:rFonts w:hint="eastAsia" w:ascii="宋体" w:hAnsi="宋体" w:cs="宋体"/>
                <w:color w:val="000000"/>
              </w:rPr>
              <w:t>⑤</w:t>
            </w:r>
            <w:r>
              <w:rPr>
                <w:color w:val="000000"/>
              </w:rPr>
              <w:t>原始报表及其他编录原始班报、岩芯挡板要清晰、准确。</w:t>
            </w:r>
          </w:p>
          <w:p>
            <w:pPr>
              <w:rPr>
                <w:color w:val="000000"/>
              </w:rPr>
            </w:pPr>
            <w:r>
              <w:rPr>
                <w:color w:val="000000"/>
              </w:rPr>
              <w:t>原始现场的编录由机台各班指定记录员编录和保管，记录员必须认真反映生产情况，及时填写，内容详细，数字准确清晰、整洁，报表填写一律用钢笔现场填写。</w:t>
            </w:r>
          </w:p>
          <w:p>
            <w:pPr>
              <w:rPr>
                <w:color w:val="000000"/>
              </w:rPr>
            </w:pPr>
            <w:r>
              <w:rPr>
                <w:rFonts w:hint="eastAsia"/>
                <w:color w:val="000000"/>
              </w:rPr>
              <w:t>⑥</w:t>
            </w:r>
            <w:r>
              <w:rPr>
                <w:color w:val="000000"/>
              </w:rPr>
              <w:t>封孔</w:t>
            </w:r>
          </w:p>
          <w:p>
            <w:pPr>
              <w:rPr>
                <w:color w:val="000000"/>
              </w:rPr>
            </w:pPr>
            <w:r>
              <w:rPr>
                <w:color w:val="000000"/>
              </w:rPr>
              <w:t>终孔时，地质人员，按地质、水文共同研究的封孔要求填写在封孔通知书上交与机台，机台按有关要求封孔，将封孔实际情况填写登记表中，各级人员签名后及时交给地质编录人员，终孔后要严格封孔并做好封孔记录。</w:t>
            </w:r>
            <w:bookmarkStart w:id="10" w:name="_Toc180683156"/>
            <w:bookmarkStart w:id="11" w:name="_Toc140939805"/>
            <w:bookmarkStart w:id="12" w:name="_Toc1528"/>
            <w:bookmarkStart w:id="13" w:name="_Toc140052621"/>
            <w:bookmarkStart w:id="14" w:name="_Toc25436"/>
            <w:bookmarkStart w:id="15" w:name="_Toc948"/>
            <w:bookmarkStart w:id="16" w:name="_Toc140527753"/>
            <w:bookmarkStart w:id="17" w:name="_Toc140052696"/>
          </w:p>
          <w:p>
            <w:pPr>
              <w:ind w:firstLine="482"/>
              <w:rPr>
                <w:color w:val="000000"/>
              </w:rPr>
            </w:pPr>
            <w:r>
              <w:rPr>
                <w:b/>
                <w:bCs/>
                <w:color w:val="000000"/>
                <w:lang w:bidi="ar"/>
              </w:rPr>
              <w:t>3.6槽探</w:t>
            </w:r>
            <w:bookmarkEnd w:id="10"/>
            <w:bookmarkEnd w:id="11"/>
            <w:bookmarkEnd w:id="12"/>
            <w:bookmarkEnd w:id="13"/>
            <w:bookmarkEnd w:id="14"/>
            <w:bookmarkEnd w:id="15"/>
            <w:bookmarkEnd w:id="16"/>
            <w:bookmarkEnd w:id="17"/>
          </w:p>
          <w:p>
            <w:bookmarkStart w:id="18" w:name="_Toc140527754"/>
            <w:r>
              <w:t>（1）布置与施工</w:t>
            </w:r>
            <w:bookmarkEnd w:id="18"/>
          </w:p>
          <w:p>
            <w:pPr>
              <w:rPr>
                <w:color w:val="000000"/>
              </w:rPr>
            </w:pPr>
            <w:r>
              <w:rPr>
                <w:rFonts w:hint="eastAsia"/>
              </w:rPr>
              <w:t>布设探槽</w:t>
            </w:r>
            <w:r>
              <w:t>1</w:t>
            </w:r>
            <w:r>
              <w:rPr>
                <w:rFonts w:hint="eastAsia"/>
              </w:rPr>
              <w:t>4处，设计</w:t>
            </w:r>
            <w:r>
              <w:t>探槽工作量</w:t>
            </w:r>
            <w:r>
              <w:rPr>
                <w:szCs w:val="21"/>
              </w:rPr>
              <w:t>2000m</w:t>
            </w:r>
            <w:r>
              <w:rPr>
                <w:szCs w:val="21"/>
                <w:vertAlign w:val="superscript"/>
              </w:rPr>
              <w:t>3</w:t>
            </w:r>
            <w:r>
              <w:rPr>
                <w:szCs w:val="21"/>
              </w:rPr>
              <w:t>。</w:t>
            </w:r>
            <w:r>
              <w:rPr>
                <w:color w:val="000000"/>
                <w:lang w:bidi="ar"/>
              </w:rPr>
              <w:t>探槽尽量垂直矿带（体）或异常走向布置，间距不作具体划定，根据第四系掩盖程度、施工难易程度布置，以达到见矿最大效率为目的。施工顺序</w:t>
            </w:r>
            <w:r>
              <w:rPr>
                <w:rFonts w:hint="eastAsia" w:ascii="宋体" w:hAnsi="宋体" w:cs="宋体"/>
                <w:color w:val="000000"/>
                <w:lang w:bidi="ar"/>
              </w:rPr>
              <w:t>：</w:t>
            </w:r>
            <w:r>
              <w:rPr>
                <w:color w:val="000000"/>
                <w:lang w:bidi="ar"/>
              </w:rP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bookmarkStart w:id="19" w:name="_Toc140527755"/>
            <w:r>
              <w:rPr>
                <w:rFonts w:hint="eastAsia"/>
              </w:rPr>
              <w:t>（2）探槽编录</w:t>
            </w:r>
            <w:bookmarkEnd w:id="19"/>
          </w:p>
          <w:p>
            <w:pPr>
              <w:rPr>
                <w:rFonts w:ascii="宋体" w:hAnsi="宋体" w:cs="宋体"/>
                <w:color w:val="000000"/>
              </w:rPr>
            </w:pPr>
            <w:r>
              <w:rPr>
                <w:rFonts w:hint="eastAsia" w:ascii="宋体" w:hAnsi="宋体" w:cs="宋体"/>
                <w:color w:val="000000"/>
                <w:lang w:bidi="ar"/>
              </w:rPr>
              <w:t>槽探编录可采用野外编录系统（掌上机）直接编录，也可用传统的编录方法。</w:t>
            </w:r>
          </w:p>
          <w:bookmarkEnd w:id="3"/>
          <w:bookmarkEnd w:id="4"/>
          <w:bookmarkEnd w:id="5"/>
          <w:p>
            <w:pPr>
              <w:ind w:firstLine="482"/>
              <w:rPr>
                <w:b/>
                <w:bCs/>
                <w:color w:val="000000"/>
                <w:lang w:bidi="ar"/>
              </w:rPr>
            </w:pPr>
            <w:bookmarkStart w:id="20" w:name="_Toc156966260"/>
            <w:bookmarkStart w:id="21" w:name="_Toc27015"/>
            <w:bookmarkStart w:id="22" w:name="_Toc140052697"/>
            <w:bookmarkStart w:id="23" w:name="_Toc166330715"/>
            <w:bookmarkStart w:id="24" w:name="_Toc180683157"/>
            <w:bookmarkStart w:id="25" w:name="_Toc9976"/>
            <w:bookmarkStart w:id="26" w:name="_Toc140052622"/>
            <w:bookmarkStart w:id="27" w:name="_Toc8133"/>
            <w:bookmarkStart w:id="28" w:name="_Toc140527756"/>
            <w:r>
              <w:rPr>
                <w:b/>
                <w:bCs/>
                <w:color w:val="000000"/>
                <w:lang w:bidi="ar"/>
              </w:rPr>
              <w:t>3.7采样与测试</w:t>
            </w:r>
            <w:bookmarkEnd w:id="20"/>
            <w:bookmarkEnd w:id="21"/>
            <w:bookmarkEnd w:id="22"/>
            <w:bookmarkEnd w:id="23"/>
            <w:bookmarkEnd w:id="24"/>
            <w:bookmarkEnd w:id="25"/>
            <w:bookmarkEnd w:id="26"/>
            <w:bookmarkEnd w:id="27"/>
            <w:bookmarkEnd w:id="28"/>
          </w:p>
          <w:p>
            <w:pPr>
              <w:keepNext/>
              <w:keepLines/>
              <w:ind w:firstLine="482"/>
              <w:outlineLvl w:val="3"/>
              <w:rPr>
                <w:b/>
                <w:bCs/>
                <w:color w:val="000000"/>
              </w:rPr>
            </w:pPr>
            <w:r>
              <w:rPr>
                <w:b/>
                <w:bCs/>
                <w:color w:val="000000"/>
              </w:rPr>
              <w:t>1、水系沉积物样</w:t>
            </w:r>
          </w:p>
          <w:p>
            <w:pPr>
              <w:rPr>
                <w:color w:val="000000"/>
              </w:rPr>
            </w:pPr>
            <w:r>
              <w:rPr>
                <w:color w:val="000000"/>
              </w:rPr>
              <w:t>分析样品制备</w:t>
            </w:r>
            <w:r>
              <w:rPr>
                <w:rFonts w:hint="eastAsia"/>
                <w:color w:val="000000"/>
              </w:rPr>
              <w:t>：</w:t>
            </w:r>
            <w:r>
              <w:rPr>
                <w:color w:val="000000"/>
              </w:rPr>
              <w:t>水系沉积物和土壤样品采用无污染玛瑙球磨机细碎200目送作分析。</w:t>
            </w:r>
          </w:p>
          <w:p>
            <w:pPr>
              <w:rPr>
                <w:color w:val="000000"/>
              </w:rPr>
            </w:pPr>
            <w:r>
              <w:rPr>
                <w:color w:val="000000"/>
              </w:rPr>
              <w:t>水系沉积物样测试项目为</w:t>
            </w:r>
            <w:r>
              <w:rPr>
                <w:rFonts w:hint="eastAsia"/>
                <w:color w:val="000000"/>
              </w:rPr>
              <w:t>：</w:t>
            </w:r>
            <w:r>
              <w:rPr>
                <w:color w:val="000000"/>
              </w:rPr>
              <w:t>Au、Ag、Sn、Pb、Cu、Zn、Cr、Ni、Co、As、Sb、Bi、W、Mo、Li、Be。</w:t>
            </w:r>
          </w:p>
          <w:p>
            <w:pPr>
              <w:ind w:firstLine="482"/>
              <w:rPr>
                <w:b/>
                <w:bCs/>
                <w:color w:val="000000"/>
              </w:rPr>
            </w:pPr>
            <w:r>
              <w:rPr>
                <w:b/>
                <w:bCs/>
                <w:color w:val="000000"/>
              </w:rPr>
              <w:t>2、基本分析样</w:t>
            </w:r>
          </w:p>
          <w:p>
            <w:pPr>
              <w:rPr>
                <w:color w:val="000000"/>
              </w:rPr>
            </w:pPr>
            <w:r>
              <w:rPr>
                <w:color w:val="000000"/>
              </w:rPr>
              <w:t>基本分析样应在各项探矿工程中按矿体（分矿石类型、品级）、矿化带及夹石连续采取。样品要控制矿体、矿化带的顶底板界线，凡是矿化露头和探矿工程中揭露控制的矿体、矿化带及夹石、矿化带顶底板界线都应贯穿矿体全厚度连续采取基本分析样，对不同类型、不同品级的矿石应分段连续采取.以保证样品的代表性。</w:t>
            </w:r>
          </w:p>
          <w:p>
            <w:pPr>
              <w:ind w:firstLine="482"/>
              <w:rPr>
                <w:b/>
                <w:bCs/>
                <w:color w:val="000000"/>
              </w:rPr>
            </w:pPr>
            <w:r>
              <w:rPr>
                <w:b/>
                <w:bCs/>
                <w:color w:val="000000"/>
              </w:rPr>
              <w:t>3、组合分析样</w:t>
            </w:r>
          </w:p>
          <w:p>
            <w:pPr>
              <w:rPr>
                <w:color w:val="000000"/>
              </w:rPr>
            </w:pPr>
            <w:r>
              <w:rPr>
                <w:color w:val="000000"/>
              </w:rPr>
              <w:t>组合分析样品应按矿体从同一块段、一个或几个相邻探矿工程中提取若干个基本分析副样，分矿石类型（或品级）依样品长度的比例组合成一个样品。</w:t>
            </w:r>
          </w:p>
          <w:p>
            <w:pPr>
              <w:ind w:firstLine="482"/>
              <w:rPr>
                <w:b/>
                <w:bCs/>
                <w:color w:val="000000"/>
              </w:rPr>
            </w:pPr>
            <w:r>
              <w:rPr>
                <w:b/>
                <w:bCs/>
                <w:color w:val="000000"/>
              </w:rPr>
              <w:t>4、岩矿鉴定（光片、薄片样）</w:t>
            </w:r>
          </w:p>
          <w:p>
            <w:pPr>
              <w:rPr>
                <w:color w:val="000000"/>
              </w:rPr>
            </w:pPr>
            <w:r>
              <w:rPr>
                <w:color w:val="000000"/>
              </w:rPr>
              <w:t>光薄片鉴定样主要鉴定岩（矿）石结构、构造、矿物成分、含量、粒径、矿物生成顺序、变质变形等各种微观特征，结合野外宏观特征对岩（矿）石进行定名，为研究成矿条件提供依据。工作中要重视岩矿鉴定工作，加强微观研究，采用打块法采集有代表性的岩（矿）鉴定样品，样品规格一般为3×6×9mm，在岩心中采取时具体根据岩心大小而定，矿物标本不受规格限制。预计采集薄片20件，光片20件。</w:t>
            </w:r>
          </w:p>
          <w:p>
            <w:pPr>
              <w:ind w:firstLine="479" w:firstLineChars="199"/>
              <w:rPr>
                <w:b/>
                <w:bCs/>
                <w:color w:val="000000"/>
              </w:rPr>
            </w:pPr>
            <w:r>
              <w:rPr>
                <w:b/>
                <w:bCs/>
                <w:color w:val="000000"/>
              </w:rPr>
              <w:t>5、硅酸盐分析样（GS）</w:t>
            </w:r>
          </w:p>
          <w:p>
            <w:pPr>
              <w:rPr>
                <w:color w:val="000000"/>
              </w:rPr>
            </w:pPr>
            <w:r>
              <w:rPr>
                <w:color w:val="000000"/>
              </w:rPr>
              <w:t>样品布设在地质剖面、探槽工程上，针对侵入岩体和伟晶岩脉中配套采集。这类样品应选择具代表性的基岩露头上，以拣块法采集。所采样品要求避开、剥去风化面，新鲜、无蚀变和矿化。岩石硅酸盐样采集重量2千克～5千克。</w:t>
            </w:r>
          </w:p>
          <w:p>
            <w:pPr>
              <w:rPr>
                <w:color w:val="000000"/>
              </w:rPr>
            </w:pPr>
            <w:r>
              <w:rPr>
                <w:color w:val="000000"/>
              </w:rPr>
              <w:t>分析项目：SiO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w:t>
            </w:r>
          </w:p>
          <w:p>
            <w:pPr>
              <w:ind w:firstLine="479" w:firstLineChars="199"/>
              <w:rPr>
                <w:b/>
                <w:bCs/>
                <w:color w:val="000000"/>
              </w:rPr>
            </w:pPr>
            <w:r>
              <w:rPr>
                <w:b/>
                <w:bCs/>
                <w:color w:val="000000"/>
              </w:rPr>
              <w:t>6、小体重样</w:t>
            </w:r>
          </w:p>
          <w:p>
            <w:pPr>
              <w:rPr>
                <w:color w:val="000000"/>
              </w:rPr>
            </w:pPr>
            <w:r>
              <w:rPr>
                <w:color w:val="000000"/>
              </w:rPr>
              <w:t>小体重样主要在矿区山地探矿工程中采取，用于资源量的估算。按不同的矿体、不同的矿石类型、品级、不同深度分别采取，小体重样捡块样品规格为4×5×6cm，岩心样品直径大于5cm。</w:t>
            </w:r>
          </w:p>
          <w:p>
            <w:pPr>
              <w:ind w:firstLine="479" w:firstLineChars="199"/>
              <w:rPr>
                <w:b/>
                <w:bCs/>
                <w:color w:val="000000"/>
              </w:rPr>
            </w:pPr>
            <w:r>
              <w:rPr>
                <w:b/>
                <w:bCs/>
                <w:color w:val="000000"/>
              </w:rPr>
              <w:t>7、大体重样</w:t>
            </w:r>
          </w:p>
          <w:p>
            <w:pPr>
              <w:rPr>
                <w:color w:val="000000"/>
              </w:rPr>
            </w:pPr>
            <w:r>
              <w:rPr>
                <w:color w:val="000000"/>
              </w:rPr>
              <w:t>对工作区内疏松或多裂隙孔洞的矿石（如氧化矿石、风化壳型矿石等）应按矿石类型或品级在探矿工程中各采取2件～5件大体重样品，测定大体重值。</w:t>
            </w:r>
          </w:p>
          <w:p>
            <w:pPr>
              <w:rPr>
                <w:color w:val="000000"/>
              </w:rPr>
            </w:pPr>
            <w:r>
              <w:rPr>
                <w:color w:val="000000"/>
              </w:rPr>
              <w:t>金属、非金属矿石大体重样品的体积一般不小于0.125m</w:t>
            </w:r>
            <w:r>
              <w:rPr>
                <w:color w:val="000000"/>
                <w:vertAlign w:val="superscript"/>
              </w:rPr>
              <w:t>3</w:t>
            </w:r>
            <w:r>
              <w:rPr>
                <w:color w:val="000000"/>
              </w:rPr>
              <w:t>。野外确实不具备采样条件时，体重样的数量可根据实际情况确定。</w:t>
            </w:r>
          </w:p>
          <w:p>
            <w:pPr>
              <w:ind w:firstLine="479" w:firstLineChars="199"/>
              <w:rPr>
                <w:b/>
                <w:bCs/>
                <w:color w:val="000000"/>
              </w:rPr>
            </w:pPr>
            <w:r>
              <w:rPr>
                <w:b/>
                <w:bCs/>
                <w:color w:val="000000"/>
              </w:rPr>
              <w:t>8、定性半定量全分析样</w:t>
            </w:r>
          </w:p>
          <w:p>
            <w:pPr>
              <w:rPr>
                <w:color w:val="000000"/>
              </w:rPr>
            </w:pPr>
            <w:r>
              <w:rPr>
                <w:color w:val="000000"/>
              </w:rPr>
              <w:t>样品可按矿石类型、品级和岩石类型从基本分析样品的副样中抽取，须具有代表性。每个矿体、每种矿石类型采集样品数量3～5个。</w:t>
            </w:r>
          </w:p>
          <w:p>
            <w:pPr>
              <w:ind w:firstLine="482"/>
              <w:rPr>
                <w:b/>
                <w:bCs/>
                <w:color w:val="000000"/>
              </w:rPr>
            </w:pPr>
            <w:r>
              <w:rPr>
                <w:b/>
                <w:bCs/>
                <w:color w:val="000000"/>
              </w:rPr>
              <w:t>9、化学全分析样</w:t>
            </w:r>
          </w:p>
          <w:p>
            <w:pPr>
              <w:rPr>
                <w:color w:val="000000"/>
              </w:rPr>
            </w:pPr>
            <w:r>
              <w:rPr>
                <w:color w:val="000000"/>
              </w:rPr>
              <w:t>用以查定各种岩矿石类型中主要元素及其他组分的含量，以确定矿石性质和特点。分析项目有SiO</w:t>
            </w:r>
            <w:r>
              <w:rPr>
                <w:color w:val="000000"/>
                <w:vertAlign w:val="subscript"/>
              </w:rPr>
              <w:t>2</w:t>
            </w:r>
            <w:r>
              <w:rPr>
                <w:color w:val="000000"/>
              </w:rPr>
              <w:t>、TiO</w:t>
            </w:r>
            <w:r>
              <w:rPr>
                <w:color w:val="000000"/>
                <w:vertAlign w:val="subscript"/>
              </w:rPr>
              <w:t>2</w:t>
            </w:r>
            <w:r>
              <w:rPr>
                <w:color w:val="000000"/>
              </w:rPr>
              <w:t>、Al</w:t>
            </w:r>
            <w:r>
              <w:rPr>
                <w:color w:val="000000"/>
                <w:vertAlign w:val="subscript"/>
              </w:rPr>
              <w:t>2</w:t>
            </w:r>
            <w:r>
              <w:rPr>
                <w:color w:val="000000"/>
              </w:rPr>
              <w:t>O</w:t>
            </w:r>
            <w:r>
              <w:rPr>
                <w:color w:val="000000"/>
                <w:vertAlign w:val="subscript"/>
              </w:rPr>
              <w:t>3</w:t>
            </w:r>
            <w:r>
              <w:rPr>
                <w:color w:val="000000"/>
              </w:rPr>
              <w:t>、Fe</w:t>
            </w:r>
            <w:r>
              <w:rPr>
                <w:color w:val="000000"/>
                <w:vertAlign w:val="subscript"/>
              </w:rPr>
              <w:t>2</w:t>
            </w:r>
            <w:r>
              <w:rPr>
                <w:color w:val="000000"/>
              </w:rPr>
              <w:t>O</w:t>
            </w:r>
            <w:r>
              <w:rPr>
                <w:color w:val="000000"/>
                <w:vertAlign w:val="subscript"/>
              </w:rPr>
              <w:t>3</w:t>
            </w:r>
            <w:r>
              <w:rPr>
                <w:color w:val="000000"/>
              </w:rPr>
              <w:t>、FeO、MnO、MgO、CaO、Na</w:t>
            </w:r>
            <w:r>
              <w:rPr>
                <w:color w:val="000000"/>
                <w:vertAlign w:val="subscript"/>
              </w:rPr>
              <w:t>2</w:t>
            </w:r>
            <w:r>
              <w:rPr>
                <w:color w:val="000000"/>
              </w:rPr>
              <w:t>O、K</w:t>
            </w:r>
            <w:r>
              <w:rPr>
                <w:color w:val="000000"/>
                <w:vertAlign w:val="subscript"/>
              </w:rPr>
              <w:t>2</w:t>
            </w:r>
            <w:r>
              <w:rPr>
                <w:color w:val="000000"/>
              </w:rPr>
              <w:t>O、P</w:t>
            </w:r>
            <w:r>
              <w:rPr>
                <w:color w:val="000000"/>
                <w:vertAlign w:val="subscript"/>
              </w:rPr>
              <w:t>2</w:t>
            </w:r>
            <w:r>
              <w:rPr>
                <w:color w:val="000000"/>
              </w:rPr>
              <w:t>O</w:t>
            </w:r>
            <w:r>
              <w:rPr>
                <w:color w:val="000000"/>
                <w:vertAlign w:val="subscript"/>
              </w:rPr>
              <w:t>5</w:t>
            </w:r>
            <w:r>
              <w:rPr>
                <w:color w:val="000000"/>
              </w:rPr>
              <w:t>、H</w:t>
            </w:r>
            <w:r>
              <w:rPr>
                <w:color w:val="000000"/>
                <w:vertAlign w:val="subscript"/>
              </w:rPr>
              <w:t>2</w:t>
            </w:r>
            <w:r>
              <w:rPr>
                <w:color w:val="000000"/>
              </w:rPr>
              <w:t>O</w:t>
            </w:r>
            <w:r>
              <w:rPr>
                <w:color w:val="000000"/>
                <w:vertAlign w:val="superscript"/>
              </w:rPr>
              <w:t>+</w:t>
            </w:r>
            <w:r>
              <w:rPr>
                <w:color w:val="000000"/>
              </w:rPr>
              <w:t>、烧失量等共13项。全分析样品必须是有代表性的样品，也可采用基本分析副样。采样时应与岩石薄片样相对应，样品由同一露头上的5块左右小岩块组合而成。样品要求要新鲜、纯净，样重大于2kg。野外可对样品进行破碎缩分，取50g送样。</w:t>
            </w:r>
          </w:p>
          <w:p>
            <w:pPr>
              <w:keepNext/>
              <w:keepLines/>
              <w:widowControl/>
              <w:ind w:firstLine="482"/>
              <w:jc w:val="left"/>
              <w:outlineLvl w:val="3"/>
              <w:rPr>
                <w:b/>
                <w:bCs/>
                <w:color w:val="000000"/>
              </w:rPr>
            </w:pPr>
            <w:r>
              <w:rPr>
                <w:b/>
                <w:bCs/>
                <w:color w:val="000000"/>
              </w:rPr>
              <w:t>10、微量元素分析样</w:t>
            </w:r>
          </w:p>
          <w:p>
            <w:pPr>
              <w:rPr>
                <w:color w:val="000000"/>
              </w:rPr>
            </w:pPr>
            <w:r>
              <w:rPr>
                <w:color w:val="000000"/>
              </w:rPr>
              <w:t>用于了解岩石、矿石中微量元素的种类及含量；了解成岩、成矿过程中元素的地球化学行为；划分对比地质体；为研究岩矿石的成因及温压条件提供信息。样品分析项目有Cr、Ni、Co、V、Nb、Zr、Sr、Ba、Rb、U、Th、Sn、W、Mo、Li、Be、Sc、Ta、Hf、Cs等共20项。</w:t>
            </w:r>
          </w:p>
          <w:p>
            <w:pPr>
              <w:rPr>
                <w:color w:val="000000"/>
              </w:rPr>
            </w:pPr>
            <w:r>
              <w:rPr>
                <w:color w:val="000000"/>
              </w:rPr>
              <w:t>采样时采样点应与岩石薄片样相对应，样品由同一露头上的5块左右小岩块组合而成，样品要求要新鲜、纯净，样品重量≥2kg。野外可对样品进行破碎缩分，取50g送样。</w:t>
            </w:r>
          </w:p>
          <w:p>
            <w:pPr>
              <w:keepNext/>
              <w:keepLines/>
              <w:widowControl/>
              <w:ind w:firstLine="482"/>
              <w:jc w:val="left"/>
              <w:outlineLvl w:val="3"/>
              <w:rPr>
                <w:b/>
                <w:bCs/>
                <w:color w:val="000000"/>
              </w:rPr>
            </w:pPr>
            <w:r>
              <w:rPr>
                <w:rFonts w:hint="eastAsia"/>
                <w:b/>
                <w:bCs/>
                <w:color w:val="000000"/>
              </w:rPr>
              <w:t>1</w:t>
            </w:r>
            <w:r>
              <w:rPr>
                <w:b/>
                <w:bCs/>
                <w:color w:val="000000"/>
              </w:rPr>
              <w:t>1</w:t>
            </w:r>
            <w:r>
              <w:rPr>
                <w:rFonts w:hint="eastAsia"/>
                <w:b/>
                <w:bCs/>
                <w:color w:val="000000"/>
              </w:rPr>
              <w:t>、</w:t>
            </w:r>
            <w:r>
              <w:rPr>
                <w:b/>
                <w:bCs/>
                <w:color w:val="000000"/>
              </w:rPr>
              <w:t>物相分析样</w:t>
            </w:r>
          </w:p>
          <w:p>
            <w:pPr>
              <w:rPr>
                <w:color w:val="000000"/>
              </w:rPr>
            </w:pPr>
            <w:r>
              <w:rPr>
                <w:color w:val="000000"/>
              </w:rPr>
              <w:t>物相分析样品可从基本分析副样中抽取。</w:t>
            </w:r>
          </w:p>
          <w:p>
            <w:pPr>
              <w:keepNext/>
              <w:keepLines/>
              <w:widowControl/>
              <w:ind w:firstLine="482"/>
              <w:jc w:val="left"/>
              <w:outlineLvl w:val="3"/>
              <w:rPr>
                <w:b/>
                <w:bCs/>
                <w:color w:val="000000"/>
              </w:rPr>
            </w:pPr>
            <w:r>
              <w:rPr>
                <w:rFonts w:hint="eastAsia"/>
                <w:b/>
                <w:bCs/>
                <w:color w:val="000000"/>
              </w:rPr>
              <w:t>1</w:t>
            </w:r>
            <w:r>
              <w:rPr>
                <w:b/>
                <w:bCs/>
                <w:color w:val="000000"/>
              </w:rPr>
              <w:t>2</w:t>
            </w:r>
            <w:r>
              <w:rPr>
                <w:rFonts w:hint="eastAsia"/>
                <w:b/>
                <w:bCs/>
                <w:color w:val="000000"/>
              </w:rPr>
              <w:t>、</w:t>
            </w:r>
            <w:r>
              <w:rPr>
                <w:b/>
                <w:bCs/>
                <w:color w:val="000000"/>
              </w:rPr>
              <w:t>基岩化探样</w:t>
            </w:r>
          </w:p>
          <w:p>
            <w:pPr>
              <w:rPr>
                <w:color w:val="000000"/>
              </w:rPr>
            </w:pPr>
            <w:r>
              <w:rPr>
                <w:color w:val="000000"/>
              </w:rPr>
              <w:t>采集于岩石地球化学剖面上，对不同的岩石类型分别采集样品，分析元素有Au、Ag、Cu、Pb、Zn、W、Mo、Bi、Sn、Li、Be、Nb、Ta、Tl等共14种，编制元素相关曲线图，了解矿化体和围岩中的成矿元素分布规律，指导矿床成因分析和成矿预测。</w:t>
            </w:r>
          </w:p>
          <w:p>
            <w:pPr>
              <w:keepNext/>
              <w:keepLines/>
              <w:widowControl/>
              <w:ind w:firstLine="482"/>
              <w:jc w:val="left"/>
              <w:outlineLvl w:val="3"/>
              <w:rPr>
                <w:b/>
                <w:bCs/>
                <w:color w:val="000000"/>
              </w:rPr>
            </w:pPr>
            <w:r>
              <w:rPr>
                <w:b/>
                <w:bCs/>
                <w:color w:val="000000"/>
              </w:rPr>
              <w:t>13</w:t>
            </w:r>
            <w:r>
              <w:rPr>
                <w:rFonts w:hint="eastAsia"/>
                <w:b/>
                <w:bCs/>
                <w:color w:val="000000"/>
              </w:rPr>
              <w:t>、</w:t>
            </w:r>
            <w:r>
              <w:rPr>
                <w:b/>
                <w:bCs/>
                <w:color w:val="000000"/>
              </w:rPr>
              <w:t>岩石力学样</w:t>
            </w:r>
          </w:p>
          <w:p>
            <w:pPr>
              <w:rPr>
                <w:color w:val="000000"/>
              </w:rPr>
            </w:pPr>
            <w:r>
              <w:rPr>
                <w:color w:val="000000"/>
              </w:rPr>
              <w:t>本次采集样品部位分别在矿体、夹层、近矿围岩。采样的目的是测定矿石、夹层、近矿围岩的物理力学性能，为研究矿床开采技术条件提供依据。</w:t>
            </w:r>
          </w:p>
          <w:p>
            <w:pPr>
              <w:keepNext/>
              <w:keepLines/>
              <w:widowControl/>
              <w:ind w:firstLine="482"/>
              <w:jc w:val="left"/>
              <w:outlineLvl w:val="3"/>
              <w:rPr>
                <w:b/>
                <w:bCs/>
                <w:color w:val="000000"/>
              </w:rPr>
            </w:pPr>
            <w:r>
              <w:rPr>
                <w:rFonts w:hint="eastAsia"/>
                <w:b/>
                <w:bCs/>
                <w:color w:val="000000"/>
              </w:rPr>
              <w:t>1</w:t>
            </w:r>
            <w:r>
              <w:rPr>
                <w:b/>
                <w:bCs/>
                <w:color w:val="000000"/>
              </w:rPr>
              <w:t>4</w:t>
            </w:r>
            <w:r>
              <w:rPr>
                <w:rFonts w:hint="eastAsia"/>
                <w:b/>
                <w:bCs/>
                <w:color w:val="000000"/>
              </w:rPr>
              <w:t>、</w:t>
            </w:r>
            <w:r>
              <w:rPr>
                <w:b/>
                <w:bCs/>
                <w:color w:val="000000"/>
              </w:rPr>
              <w:t>放射性核素样</w:t>
            </w:r>
          </w:p>
          <w:p>
            <w:pPr>
              <w:rPr>
                <w:color w:val="000000"/>
              </w:rPr>
            </w:pPr>
            <w:r>
              <w:rPr>
                <w:color w:val="000000"/>
              </w:rPr>
              <w:t>分别于槽探工程和钻探工程中选择代表性矿化体采取放射性核素样，样品重量2kg。测试项目为Ra226、Th232、K40。样品测试须由核检测资质的单位承担。</w:t>
            </w:r>
          </w:p>
          <w:p>
            <w:pPr>
              <w:keepNext/>
              <w:keepLines/>
              <w:widowControl/>
              <w:ind w:firstLine="482"/>
              <w:jc w:val="left"/>
              <w:outlineLvl w:val="3"/>
              <w:rPr>
                <w:b/>
                <w:bCs/>
                <w:color w:val="000000"/>
              </w:rPr>
            </w:pPr>
            <w:r>
              <w:rPr>
                <w:rFonts w:hint="eastAsia"/>
                <w:b/>
                <w:bCs/>
                <w:color w:val="000000"/>
              </w:rPr>
              <w:t>1</w:t>
            </w:r>
            <w:r>
              <w:rPr>
                <w:b/>
                <w:bCs/>
                <w:color w:val="000000"/>
              </w:rPr>
              <w:t>5</w:t>
            </w:r>
            <w:r>
              <w:rPr>
                <w:rFonts w:hint="eastAsia"/>
                <w:b/>
                <w:bCs/>
                <w:color w:val="000000"/>
              </w:rPr>
              <w:t>、</w:t>
            </w:r>
            <w:r>
              <w:rPr>
                <w:b/>
                <w:bCs/>
                <w:color w:val="000000"/>
              </w:rPr>
              <w:t>稀土分析样</w:t>
            </w:r>
          </w:p>
          <w:p>
            <w:pPr>
              <w:rPr>
                <w:color w:val="000000"/>
              </w:rPr>
            </w:pPr>
            <w:r>
              <w:rPr>
                <w:color w:val="000000"/>
              </w:rPr>
              <w:t>分别于槽探工程和钻探工程进行采集，采集重量1kg～2kg，分析方法以电感耦合等离子体发射光谱法（ICP法）和X射线荧光光谱法为主。</w:t>
            </w:r>
          </w:p>
          <w:p>
            <w:pPr>
              <w:keepNext/>
              <w:keepLines/>
              <w:widowControl/>
              <w:ind w:firstLine="482"/>
              <w:jc w:val="left"/>
              <w:outlineLvl w:val="3"/>
              <w:rPr>
                <w:b/>
                <w:bCs/>
                <w:color w:val="000000"/>
              </w:rPr>
            </w:pPr>
            <w:r>
              <w:rPr>
                <w:rFonts w:hint="eastAsia"/>
                <w:b/>
                <w:bCs/>
                <w:color w:val="000000"/>
              </w:rPr>
              <w:t>1</w:t>
            </w:r>
            <w:r>
              <w:rPr>
                <w:b/>
                <w:bCs/>
                <w:color w:val="000000"/>
              </w:rPr>
              <w:t>6</w:t>
            </w:r>
            <w:r>
              <w:rPr>
                <w:rFonts w:hint="eastAsia"/>
                <w:b/>
                <w:bCs/>
                <w:color w:val="000000"/>
              </w:rPr>
              <w:t>、</w:t>
            </w:r>
            <w:r>
              <w:rPr>
                <w:b/>
                <w:bCs/>
                <w:color w:val="000000"/>
              </w:rPr>
              <w:t>检查分析样</w:t>
            </w:r>
          </w:p>
          <w:p>
            <w:pPr>
              <w:rPr>
                <w:color w:val="000000"/>
              </w:rPr>
            </w:pPr>
            <w:r>
              <w:rPr>
                <w:color w:val="000000"/>
              </w:rPr>
              <w:t>内检样品应由送检单位在矿石各种自然类型、工业品级及含量在边界品位（包括综合工业指标中的边界品位）附近及以上样品的粗副样（＜0.84mm，即20目）中抽取，编密码送原测试单位进行复测。按原基本分析样品总数的10%抽取，编出密码后送原实验室进行复测。内检样合格率应达到90%。组合样品内检样品的数量应不少于组合分析总量的5%，物相分析内检样品数量根据需要确定。</w:t>
            </w:r>
          </w:p>
          <w:p>
            <w:pPr>
              <w:rPr>
                <w:b/>
                <w:color w:val="000000"/>
                <w:sz w:val="28"/>
                <w:szCs w:val="28"/>
              </w:rPr>
            </w:pPr>
            <w:r>
              <w:rPr>
                <w:color w:val="000000"/>
              </w:rPr>
              <w:t>外检样数量按分析样品总数的5%抽取，不得少于30件。外检样合格率应达到80%。</w:t>
            </w:r>
          </w:p>
          <w:p>
            <w:pPr>
              <w:pStyle w:val="15"/>
              <w:ind w:firstLine="482" w:firstLineChars="200"/>
            </w:pPr>
            <w:r>
              <w:rPr>
                <w:rFonts w:hint="eastAsia"/>
              </w:rPr>
              <w:t>4</w:t>
            </w:r>
            <w:r>
              <w:t>.</w:t>
            </w:r>
            <w:r>
              <w:rPr>
                <w:rFonts w:hint="eastAsia"/>
              </w:rPr>
              <w:t>设计的主要实物工作量</w:t>
            </w:r>
          </w:p>
          <w:p>
            <w:r>
              <w:rPr>
                <w:rFonts w:hint="eastAsia"/>
              </w:rPr>
              <w:t>本次工作主要实物工作量以固体矿产地质勘查规范为依据，并结合矿区实际情况，设计工作手段有地形测量、地质测量、物探、化探、槽探、钻探等，各工作手段部署的工作量见表2</w:t>
            </w:r>
            <w:r>
              <w:t>-3。</w:t>
            </w:r>
          </w:p>
          <w:p>
            <w:pPr>
              <w:pStyle w:val="28"/>
              <w:spacing w:before="156"/>
            </w:pPr>
            <w:r>
              <w:rPr>
                <w:rFonts w:hint="eastAsia"/>
              </w:rPr>
              <w:t>表2-</w:t>
            </w:r>
            <w:r>
              <w:t xml:space="preserve">3  </w:t>
            </w:r>
            <w:r>
              <w:rPr>
                <w:rFonts w:hint="eastAsia"/>
              </w:rPr>
              <w:t>主要实物工作量一览表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365"/>
              <w:gridCol w:w="2532"/>
              <w:gridCol w:w="553"/>
              <w:gridCol w:w="636"/>
              <w:gridCol w:w="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exact"/>
                <w:tblHeader/>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序号</w:t>
                  </w:r>
                </w:p>
              </w:tc>
              <w:tc>
                <w:tcPr>
                  <w:tcW w:w="1587" w:type="pct"/>
                  <w:vAlign w:val="center"/>
                </w:tcPr>
                <w:p>
                  <w:pPr>
                    <w:widowControl/>
                    <w:spacing w:line="240" w:lineRule="auto"/>
                    <w:ind w:firstLine="0" w:firstLineChars="0"/>
                    <w:jc w:val="center"/>
                    <w:rPr>
                      <w:b/>
                      <w:bCs/>
                      <w:kern w:val="0"/>
                      <w:sz w:val="21"/>
                      <w:szCs w:val="21"/>
                    </w:rPr>
                  </w:pPr>
                  <w:r>
                    <w:rPr>
                      <w:b/>
                      <w:bCs/>
                      <w:kern w:val="0"/>
                      <w:sz w:val="21"/>
                      <w:szCs w:val="21"/>
                    </w:rPr>
                    <w:t>工作手段</w:t>
                  </w:r>
                </w:p>
              </w:tc>
              <w:tc>
                <w:tcPr>
                  <w:tcW w:w="1686" w:type="pct"/>
                  <w:vAlign w:val="center"/>
                </w:tcPr>
                <w:p>
                  <w:pPr>
                    <w:widowControl/>
                    <w:spacing w:line="240" w:lineRule="auto"/>
                    <w:ind w:firstLine="0" w:firstLineChars="0"/>
                    <w:jc w:val="center"/>
                    <w:rPr>
                      <w:b/>
                      <w:bCs/>
                      <w:kern w:val="0"/>
                      <w:sz w:val="21"/>
                      <w:szCs w:val="21"/>
                    </w:rPr>
                  </w:pPr>
                  <w:r>
                    <w:rPr>
                      <w:b/>
                      <w:bCs/>
                      <w:kern w:val="0"/>
                      <w:sz w:val="21"/>
                      <w:szCs w:val="21"/>
                    </w:rPr>
                    <w:t>技术条件</w:t>
                  </w:r>
                </w:p>
              </w:tc>
              <w:tc>
                <w:tcPr>
                  <w:tcW w:w="370" w:type="pct"/>
                  <w:vAlign w:val="center"/>
                </w:tcPr>
                <w:p>
                  <w:pPr>
                    <w:widowControl/>
                    <w:spacing w:line="240" w:lineRule="auto"/>
                    <w:ind w:firstLine="0" w:firstLineChars="0"/>
                    <w:jc w:val="center"/>
                    <w:rPr>
                      <w:b/>
                      <w:bCs/>
                      <w:kern w:val="0"/>
                      <w:sz w:val="21"/>
                      <w:szCs w:val="21"/>
                    </w:rPr>
                  </w:pPr>
                  <w:r>
                    <w:rPr>
                      <w:b/>
                      <w:bCs/>
                      <w:kern w:val="0"/>
                      <w:sz w:val="21"/>
                      <w:szCs w:val="21"/>
                    </w:rPr>
                    <w:t>单位</w:t>
                  </w:r>
                </w:p>
              </w:tc>
              <w:tc>
                <w:tcPr>
                  <w:tcW w:w="424" w:type="pct"/>
                  <w:vAlign w:val="center"/>
                </w:tcPr>
                <w:p>
                  <w:pPr>
                    <w:widowControl/>
                    <w:spacing w:line="240" w:lineRule="auto"/>
                    <w:ind w:firstLine="0" w:firstLineChars="0"/>
                    <w:jc w:val="center"/>
                    <w:rPr>
                      <w:b/>
                      <w:bCs/>
                      <w:kern w:val="0"/>
                      <w:sz w:val="21"/>
                      <w:szCs w:val="21"/>
                    </w:rPr>
                  </w:pPr>
                  <w:r>
                    <w:rPr>
                      <w:b/>
                      <w:bCs/>
                      <w:kern w:val="0"/>
                      <w:sz w:val="21"/>
                      <w:szCs w:val="21"/>
                    </w:rPr>
                    <w:t>设计工作量</w:t>
                  </w:r>
                </w:p>
              </w:tc>
              <w:tc>
                <w:tcPr>
                  <w:tcW w:w="649" w:type="pct"/>
                  <w:vAlign w:val="center"/>
                </w:tcPr>
                <w:p>
                  <w:pPr>
                    <w:widowControl/>
                    <w:spacing w:line="240" w:lineRule="auto"/>
                    <w:ind w:firstLine="0" w:firstLineChars="0"/>
                    <w:jc w:val="center"/>
                    <w:rPr>
                      <w:b/>
                      <w:bCs/>
                      <w:kern w:val="0"/>
                      <w:sz w:val="21"/>
                      <w:szCs w:val="21"/>
                    </w:rPr>
                  </w:pPr>
                  <w:r>
                    <w:rPr>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一</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地形测量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GPS控制点</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E级网</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4.68</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1:2000地形测量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Ⅴ类</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2.37</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4"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二</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地质测量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b/>
                      <w:bCs/>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10000地质测量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4.68</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2.37</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2000地质剖面测量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5</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4.68</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1:2000专项水工环地质测量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Ⅱ类草测</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2.37</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kern w:val="0"/>
                      <w:sz w:val="21"/>
                      <w:szCs w:val="21"/>
                    </w:rPr>
                  </w:pPr>
                  <w:r>
                    <w:rPr>
                      <w:b/>
                      <w:bCs/>
                      <w:kern w:val="0"/>
                      <w:sz w:val="21"/>
                      <w:szCs w:val="21"/>
                    </w:rPr>
                    <w:t>三</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物探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激电中梯（短导线）剖面测量</w:t>
                  </w:r>
                </w:p>
              </w:tc>
              <w:tc>
                <w:tcPr>
                  <w:tcW w:w="1686" w:type="pct"/>
                  <w:vAlign w:val="center"/>
                </w:tcPr>
                <w:p>
                  <w:pPr>
                    <w:widowControl/>
                    <w:spacing w:line="240" w:lineRule="auto"/>
                    <w:ind w:firstLine="0" w:firstLineChars="0"/>
                    <w:jc w:val="center"/>
                    <w:rPr>
                      <w:kern w:val="0"/>
                      <w:sz w:val="21"/>
                      <w:szCs w:val="21"/>
                    </w:rPr>
                  </w:pPr>
                  <w:r>
                    <w:rPr>
                      <w:kern w:val="0"/>
                      <w:sz w:val="21"/>
                      <w:szCs w:val="21"/>
                    </w:rPr>
                    <w:t>地形等级3.5，AB1200m，点距20m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激电测深</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地形等级3.5，点距500m</w:t>
                  </w: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80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四</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化探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1</w:t>
                  </w:r>
                  <w:r>
                    <w:rPr>
                      <w:rFonts w:hint="eastAsia" w:ascii="宋体" w:hAnsi="宋体" w:cs="宋体"/>
                      <w:kern w:val="0"/>
                      <w:sz w:val="21"/>
                      <w:szCs w:val="21"/>
                    </w:rPr>
                    <w:t>∶</w:t>
                  </w:r>
                  <w:r>
                    <w:rPr>
                      <w:kern w:val="0"/>
                      <w:sz w:val="21"/>
                      <w:szCs w:val="21"/>
                    </w:rPr>
                    <w:t>2.5水系沉积物测量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r>
                    <w:rPr>
                      <w:kern w:val="0"/>
                      <w:sz w:val="21"/>
                      <w:szCs w:val="21"/>
                      <w:vertAlign w:val="superscript"/>
                    </w:rPr>
                    <w:t>2</w:t>
                  </w:r>
                </w:p>
              </w:tc>
              <w:tc>
                <w:tcPr>
                  <w:tcW w:w="424" w:type="pct"/>
                  <w:vAlign w:val="center"/>
                </w:tcPr>
                <w:p>
                  <w:pPr>
                    <w:widowControl/>
                    <w:spacing w:line="240" w:lineRule="auto"/>
                    <w:ind w:firstLine="0" w:firstLineChars="0"/>
                    <w:jc w:val="center"/>
                    <w:rPr>
                      <w:kern w:val="0"/>
                      <w:sz w:val="21"/>
                      <w:szCs w:val="21"/>
                    </w:rPr>
                  </w:pPr>
                  <w:r>
                    <w:rPr>
                      <w:kern w:val="0"/>
                      <w:sz w:val="21"/>
                      <w:szCs w:val="21"/>
                    </w:rPr>
                    <w:t>4.68</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1:10000岩石测量</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地形等级3.5，点距20m</w:t>
                  </w: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noWrap/>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五</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钻探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机械岩心钻探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水文地质钻探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岩石级别Ⅶ</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500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六</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山地工程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坑探</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岩石级别Ⅷ</w:t>
                  </w:r>
                </w:p>
              </w:tc>
              <w:tc>
                <w:tcPr>
                  <w:tcW w:w="370" w:type="pct"/>
                  <w:vAlign w:val="center"/>
                </w:tcPr>
                <w:p>
                  <w:pPr>
                    <w:widowControl/>
                    <w:spacing w:line="240" w:lineRule="auto"/>
                    <w:ind w:firstLine="0" w:firstLineChars="0"/>
                    <w:jc w:val="center"/>
                    <w:rPr>
                      <w:kern w:val="0"/>
                      <w:sz w:val="21"/>
                      <w:szCs w:val="21"/>
                    </w:rPr>
                  </w:pPr>
                  <w:r>
                    <w:rPr>
                      <w:kern w:val="0"/>
                      <w:sz w:val="21"/>
                      <w:szCs w:val="21"/>
                    </w:rPr>
                    <w:t>m</w:t>
                  </w:r>
                </w:p>
              </w:tc>
              <w:tc>
                <w:tcPr>
                  <w:tcW w:w="424" w:type="pct"/>
                  <w:vAlign w:val="center"/>
                </w:tcPr>
                <w:p>
                  <w:pPr>
                    <w:widowControl/>
                    <w:spacing w:line="240" w:lineRule="auto"/>
                    <w:ind w:firstLine="0" w:firstLineChars="0"/>
                    <w:jc w:val="center"/>
                    <w:rPr>
                      <w:kern w:val="0"/>
                      <w:sz w:val="21"/>
                      <w:szCs w:val="21"/>
                    </w:rPr>
                  </w:pPr>
                  <w:r>
                    <w:rPr>
                      <w:kern w:val="0"/>
                      <w:sz w:val="21"/>
                      <w:szCs w:val="21"/>
                    </w:rPr>
                    <w:t>300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探槽</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0-1.5m，土石方</w:t>
                  </w:r>
                </w:p>
              </w:tc>
              <w:tc>
                <w:tcPr>
                  <w:tcW w:w="370" w:type="pct"/>
                  <w:vAlign w:val="center"/>
                </w:tcPr>
                <w:p>
                  <w:pPr>
                    <w:widowControl/>
                    <w:spacing w:line="240" w:lineRule="auto"/>
                    <w:ind w:firstLine="0" w:firstLineChars="0"/>
                    <w:jc w:val="center"/>
                    <w:rPr>
                      <w:color w:val="000000"/>
                      <w:kern w:val="0"/>
                      <w:sz w:val="21"/>
                      <w:szCs w:val="21"/>
                    </w:rPr>
                  </w:pPr>
                  <w:r>
                    <w:rPr>
                      <w:color w:val="000000"/>
                      <w:kern w:val="0"/>
                      <w:sz w:val="21"/>
                      <w:szCs w:val="21"/>
                    </w:rPr>
                    <w:t>m</w:t>
                  </w:r>
                  <w:r>
                    <w:rPr>
                      <w:kern w:val="0"/>
                      <w:sz w:val="21"/>
                      <w:szCs w:val="21"/>
                      <w:vertAlign w:val="superscript"/>
                    </w:rPr>
                    <w:t>3</w:t>
                  </w:r>
                </w:p>
              </w:tc>
              <w:tc>
                <w:tcPr>
                  <w:tcW w:w="424" w:type="pct"/>
                  <w:vAlign w:val="center"/>
                </w:tcPr>
                <w:p>
                  <w:pPr>
                    <w:widowControl/>
                    <w:spacing w:line="240" w:lineRule="auto"/>
                    <w:ind w:firstLine="0" w:firstLineChars="0"/>
                    <w:jc w:val="center"/>
                    <w:rPr>
                      <w:kern w:val="0"/>
                      <w:sz w:val="21"/>
                      <w:szCs w:val="21"/>
                    </w:rPr>
                  </w:pPr>
                  <w:r>
                    <w:rPr>
                      <w:kern w:val="0"/>
                      <w:sz w:val="21"/>
                      <w:szCs w:val="21"/>
                    </w:rPr>
                    <w:t>2000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七</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岩矿测试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w:t>
                  </w:r>
                </w:p>
              </w:tc>
              <w:tc>
                <w:tcPr>
                  <w:tcW w:w="1587" w:type="pct"/>
                  <w:vAlign w:val="center"/>
                </w:tcPr>
                <w:p>
                  <w:pPr>
                    <w:widowControl/>
                    <w:spacing w:line="240" w:lineRule="auto"/>
                    <w:ind w:firstLine="0" w:firstLineChars="0"/>
                    <w:jc w:val="center"/>
                    <w:rPr>
                      <w:kern w:val="0"/>
                      <w:sz w:val="21"/>
                      <w:szCs w:val="21"/>
                    </w:rPr>
                  </w:pPr>
                  <w:r>
                    <w:rPr>
                      <w:kern w:val="0"/>
                      <w:sz w:val="21"/>
                      <w:szCs w:val="21"/>
                    </w:rPr>
                    <w:t>基本分析样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Au、Cu</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1200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2</w:t>
                  </w:r>
                </w:p>
              </w:tc>
              <w:tc>
                <w:tcPr>
                  <w:tcW w:w="1587" w:type="pct"/>
                  <w:vAlign w:val="center"/>
                </w:tcPr>
                <w:p>
                  <w:pPr>
                    <w:widowControl/>
                    <w:spacing w:line="240" w:lineRule="auto"/>
                    <w:ind w:firstLine="0" w:firstLineChars="0"/>
                    <w:jc w:val="center"/>
                    <w:rPr>
                      <w:kern w:val="0"/>
                      <w:sz w:val="21"/>
                      <w:szCs w:val="21"/>
                    </w:rPr>
                  </w:pPr>
                  <w:r>
                    <w:rPr>
                      <w:kern w:val="0"/>
                      <w:sz w:val="21"/>
                      <w:szCs w:val="21"/>
                    </w:rPr>
                    <w:t>微量元素分析样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ICP-AES</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3</w:t>
                  </w:r>
                </w:p>
              </w:tc>
              <w:tc>
                <w:tcPr>
                  <w:tcW w:w="1587" w:type="pct"/>
                  <w:vAlign w:val="center"/>
                </w:tcPr>
                <w:p>
                  <w:pPr>
                    <w:widowControl/>
                    <w:spacing w:line="240" w:lineRule="auto"/>
                    <w:ind w:firstLine="0" w:firstLineChars="0"/>
                    <w:jc w:val="center"/>
                    <w:rPr>
                      <w:kern w:val="0"/>
                      <w:sz w:val="21"/>
                      <w:szCs w:val="21"/>
                    </w:rPr>
                  </w:pPr>
                  <w:r>
                    <w:rPr>
                      <w:kern w:val="0"/>
                      <w:sz w:val="21"/>
                      <w:szCs w:val="21"/>
                    </w:rPr>
                    <w:t>稀土元素分析样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RE15项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4</w:t>
                  </w:r>
                </w:p>
              </w:tc>
              <w:tc>
                <w:tcPr>
                  <w:tcW w:w="1587" w:type="pct"/>
                  <w:vAlign w:val="center"/>
                </w:tcPr>
                <w:p>
                  <w:pPr>
                    <w:widowControl/>
                    <w:spacing w:line="240" w:lineRule="auto"/>
                    <w:ind w:firstLine="0" w:firstLineChars="0"/>
                    <w:jc w:val="center"/>
                    <w:rPr>
                      <w:kern w:val="0"/>
                      <w:sz w:val="21"/>
                      <w:szCs w:val="21"/>
                    </w:rPr>
                  </w:pPr>
                  <w:r>
                    <w:rPr>
                      <w:kern w:val="0"/>
                      <w:sz w:val="21"/>
                      <w:szCs w:val="21"/>
                    </w:rPr>
                    <w:t>硅酸盐分析样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硅酸盐13项</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96"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6</w:t>
                  </w:r>
                </w:p>
              </w:tc>
              <w:tc>
                <w:tcPr>
                  <w:tcW w:w="1587" w:type="pct"/>
                  <w:vAlign w:val="center"/>
                </w:tcPr>
                <w:p>
                  <w:pPr>
                    <w:widowControl/>
                    <w:spacing w:line="240" w:lineRule="auto"/>
                    <w:ind w:firstLine="0" w:firstLineChars="0"/>
                    <w:jc w:val="center"/>
                    <w:rPr>
                      <w:kern w:val="0"/>
                      <w:sz w:val="21"/>
                      <w:szCs w:val="21"/>
                    </w:rPr>
                  </w:pPr>
                  <w:r>
                    <w:rPr>
                      <w:kern w:val="0"/>
                      <w:sz w:val="21"/>
                      <w:szCs w:val="21"/>
                    </w:rPr>
                    <w:t>组合分析样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Au、Cu、Pb、Zn、WO</w:t>
                  </w:r>
                  <w:r>
                    <w:rPr>
                      <w:kern w:val="0"/>
                      <w:sz w:val="21"/>
                      <w:szCs w:val="21"/>
                      <w:vertAlign w:val="subscript"/>
                    </w:rPr>
                    <w:t>3</w:t>
                  </w:r>
                  <w:r>
                    <w:rPr>
                      <w:kern w:val="0"/>
                      <w:sz w:val="21"/>
                      <w:szCs w:val="21"/>
                    </w:rPr>
                    <w:t>、Sb、Mo、As、S、Co、Ag</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7</w:t>
                  </w:r>
                </w:p>
              </w:tc>
              <w:tc>
                <w:tcPr>
                  <w:tcW w:w="1587" w:type="pct"/>
                  <w:vAlign w:val="center"/>
                </w:tcPr>
                <w:p>
                  <w:pPr>
                    <w:widowControl/>
                    <w:spacing w:line="240" w:lineRule="auto"/>
                    <w:ind w:firstLine="0" w:firstLineChars="0"/>
                    <w:jc w:val="center"/>
                    <w:rPr>
                      <w:kern w:val="0"/>
                      <w:sz w:val="21"/>
                      <w:szCs w:val="21"/>
                    </w:rPr>
                  </w:pPr>
                  <w:r>
                    <w:rPr>
                      <w:kern w:val="0"/>
                      <w:sz w:val="21"/>
                      <w:szCs w:val="21"/>
                    </w:rPr>
                    <w:t>光谱全分析</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垂直电极法</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9" w:type="pct"/>
                  <w:vAlign w:val="center"/>
                </w:tcPr>
                <w:p>
                  <w:pPr>
                    <w:widowControl/>
                    <w:spacing w:line="240" w:lineRule="auto"/>
                    <w:ind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8</w:t>
                  </w:r>
                </w:p>
              </w:tc>
              <w:tc>
                <w:tcPr>
                  <w:tcW w:w="1587" w:type="pct"/>
                  <w:vAlign w:val="center"/>
                </w:tcPr>
                <w:p>
                  <w:pPr>
                    <w:widowControl/>
                    <w:spacing w:line="240" w:lineRule="auto"/>
                    <w:ind w:firstLine="0" w:firstLineChars="0"/>
                    <w:jc w:val="center"/>
                    <w:rPr>
                      <w:kern w:val="0"/>
                      <w:sz w:val="21"/>
                      <w:szCs w:val="21"/>
                    </w:rPr>
                  </w:pPr>
                  <w:r>
                    <w:rPr>
                      <w:kern w:val="0"/>
                      <w:sz w:val="21"/>
                      <w:szCs w:val="21"/>
                    </w:rPr>
                    <w:t>岩、矿石全分析样</w:t>
                  </w:r>
                </w:p>
              </w:tc>
              <w:tc>
                <w:tcPr>
                  <w:tcW w:w="1686" w:type="pct"/>
                  <w:vAlign w:val="center"/>
                </w:tcPr>
                <w:p>
                  <w:pPr>
                    <w:widowControl/>
                    <w:spacing w:line="240" w:lineRule="auto"/>
                    <w:ind w:firstLine="0" w:firstLineChars="0"/>
                    <w:jc w:val="center"/>
                    <w:rPr>
                      <w:kern w:val="0"/>
                      <w:sz w:val="21"/>
                      <w:szCs w:val="21"/>
                    </w:rPr>
                  </w:pPr>
                  <w:r>
                    <w:rPr>
                      <w:kern w:val="0"/>
                      <w:sz w:val="21"/>
                      <w:szCs w:val="21"/>
                    </w:rPr>
                    <w:t>Pb、Zn、Mo、Co、WO、Sn、Ni、S、Bi、Au、Ag、Cu、Cd、Se、Te、Ga、Ge、Re、In、Tl</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5</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9</w:t>
                  </w:r>
                </w:p>
              </w:tc>
              <w:tc>
                <w:tcPr>
                  <w:tcW w:w="1587" w:type="pct"/>
                  <w:vAlign w:val="center"/>
                </w:tcPr>
                <w:p>
                  <w:pPr>
                    <w:widowControl/>
                    <w:spacing w:line="240" w:lineRule="auto"/>
                    <w:ind w:firstLine="0" w:firstLineChars="0"/>
                    <w:jc w:val="center"/>
                    <w:rPr>
                      <w:kern w:val="0"/>
                      <w:sz w:val="21"/>
                      <w:szCs w:val="21"/>
                    </w:rPr>
                  </w:pPr>
                  <w:r>
                    <w:rPr>
                      <w:kern w:val="0"/>
                      <w:sz w:val="21"/>
                      <w:szCs w:val="21"/>
                    </w:rPr>
                    <w:t>物相分析</w:t>
                  </w:r>
                </w:p>
              </w:tc>
              <w:tc>
                <w:tcPr>
                  <w:tcW w:w="1686" w:type="pct"/>
                  <w:noWrap/>
                  <w:vAlign w:val="center"/>
                </w:tcPr>
                <w:p>
                  <w:pPr>
                    <w:widowControl/>
                    <w:spacing w:line="240" w:lineRule="auto"/>
                    <w:ind w:firstLine="420"/>
                    <w:rPr>
                      <w:kern w:val="0"/>
                      <w:sz w:val="21"/>
                      <w:szCs w:val="21"/>
                    </w:rPr>
                  </w:pPr>
                  <w:r>
                    <w:rPr>
                      <w:kern w:val="0"/>
                      <w:sz w:val="21"/>
                      <w:szCs w:val="21"/>
                    </w:rPr>
                    <w:t>金物相、铜物相</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10</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水系沉积物样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16种元素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11</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基岩（岩石）化探样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10种元素</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600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12</w:t>
                  </w:r>
                </w:p>
              </w:tc>
              <w:tc>
                <w:tcPr>
                  <w:tcW w:w="1587" w:type="pct"/>
                  <w:shd w:val="clear" w:color="000000" w:fill="FFFFFF"/>
                  <w:vAlign w:val="center"/>
                </w:tcPr>
                <w:p>
                  <w:pPr>
                    <w:widowControl/>
                    <w:spacing w:line="240" w:lineRule="auto"/>
                    <w:ind w:firstLine="0" w:firstLineChars="0"/>
                    <w:jc w:val="center"/>
                    <w:rPr>
                      <w:color w:val="000000"/>
                      <w:kern w:val="0"/>
                      <w:sz w:val="21"/>
                      <w:szCs w:val="21"/>
                    </w:rPr>
                  </w:pPr>
                  <w:r>
                    <w:rPr>
                      <w:color w:val="000000"/>
                      <w:kern w:val="0"/>
                      <w:sz w:val="21"/>
                      <w:szCs w:val="21"/>
                    </w:rPr>
                    <w:t>水质综合分析样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全分析、简分析</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7</w:t>
                  </w:r>
                </w:p>
              </w:tc>
              <w:tc>
                <w:tcPr>
                  <w:tcW w:w="649" w:type="pct"/>
                  <w:vAlign w:val="center"/>
                </w:tcPr>
                <w:p>
                  <w:pPr>
                    <w:widowControl/>
                    <w:spacing w:line="240" w:lineRule="auto"/>
                    <w:ind w:firstLine="0" w:firstLineChars="0"/>
                    <w:jc w:val="center"/>
                    <w:rPr>
                      <w:kern w:val="0"/>
                      <w:sz w:val="21"/>
                      <w:szCs w:val="21"/>
                    </w:rPr>
                  </w:pPr>
                  <w:r>
                    <w:rPr>
                      <w:kern w:val="0"/>
                      <w:sz w:val="21"/>
                      <w:szCs w:val="21"/>
                    </w:rPr>
                    <w:t>全分析、简分析各5件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vAlign w:val="center"/>
                </w:tcPr>
                <w:p>
                  <w:pPr>
                    <w:widowControl/>
                    <w:spacing w:line="240" w:lineRule="auto"/>
                    <w:ind w:firstLine="0" w:firstLineChars="0"/>
                    <w:jc w:val="center"/>
                    <w:rPr>
                      <w:kern w:val="0"/>
                      <w:sz w:val="21"/>
                      <w:szCs w:val="21"/>
                    </w:rPr>
                  </w:pPr>
                  <w:r>
                    <w:rPr>
                      <w:kern w:val="0"/>
                      <w:sz w:val="21"/>
                      <w:szCs w:val="21"/>
                    </w:rPr>
                    <w:t>13</w:t>
                  </w:r>
                </w:p>
              </w:tc>
              <w:tc>
                <w:tcPr>
                  <w:tcW w:w="1587" w:type="pct"/>
                  <w:vAlign w:val="center"/>
                </w:tcPr>
                <w:p>
                  <w:pPr>
                    <w:widowControl/>
                    <w:spacing w:line="240" w:lineRule="auto"/>
                    <w:ind w:firstLine="0" w:firstLineChars="0"/>
                    <w:jc w:val="center"/>
                    <w:rPr>
                      <w:kern w:val="0"/>
                      <w:sz w:val="21"/>
                      <w:szCs w:val="21"/>
                    </w:rPr>
                  </w:pPr>
                  <w:r>
                    <w:rPr>
                      <w:kern w:val="0"/>
                      <w:sz w:val="21"/>
                      <w:szCs w:val="21"/>
                    </w:rPr>
                    <w:t>水质单分析样</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223Ra放射性、细菌总数</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4</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14</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薄片鉴定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15</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光片鉴定</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16</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岩石力学样</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30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17</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小体重</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60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18</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试验室试验</w:t>
                  </w:r>
                </w:p>
              </w:tc>
              <w:tc>
                <w:tcPr>
                  <w:tcW w:w="1686" w:type="pct"/>
                  <w:noWrap/>
                  <w:vAlign w:val="center"/>
                </w:tcPr>
                <w:p>
                  <w:pPr>
                    <w:widowControl/>
                    <w:spacing w:line="240" w:lineRule="auto"/>
                    <w:ind w:firstLine="0" w:firstLineChars="0"/>
                    <w:jc w:val="center"/>
                    <w:rPr>
                      <w:kern w:val="0"/>
                      <w:sz w:val="21"/>
                      <w:szCs w:val="21"/>
                    </w:rPr>
                  </w:pPr>
                  <w:r>
                    <w:rPr>
                      <w:kern w:val="0"/>
                      <w:sz w:val="21"/>
                      <w:szCs w:val="21"/>
                    </w:rPr>
                    <w:t>一般样</w:t>
                  </w:r>
                </w:p>
              </w:tc>
              <w:tc>
                <w:tcPr>
                  <w:tcW w:w="370" w:type="pct"/>
                  <w:vAlign w:val="center"/>
                </w:tcPr>
                <w:p>
                  <w:pPr>
                    <w:widowControl/>
                    <w:spacing w:line="240" w:lineRule="auto"/>
                    <w:ind w:firstLine="0" w:firstLineChars="0"/>
                    <w:jc w:val="center"/>
                    <w:rPr>
                      <w:kern w:val="0"/>
                      <w:sz w:val="21"/>
                      <w:szCs w:val="21"/>
                    </w:rPr>
                  </w:pPr>
                  <w:r>
                    <w:rPr>
                      <w:kern w:val="0"/>
                      <w:sz w:val="21"/>
                      <w:szCs w:val="21"/>
                    </w:rPr>
                    <w:t>件</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auto" w:fill="auto"/>
                  <w:vAlign w:val="center"/>
                </w:tcPr>
                <w:p>
                  <w:pPr>
                    <w:widowControl/>
                    <w:spacing w:line="240" w:lineRule="auto"/>
                    <w:ind w:firstLine="0" w:firstLineChars="0"/>
                    <w:jc w:val="center"/>
                    <w:rPr>
                      <w:kern w:val="0"/>
                      <w:sz w:val="21"/>
                      <w:szCs w:val="21"/>
                    </w:rPr>
                  </w:pPr>
                  <w:r>
                    <w:rPr>
                      <w:kern w:val="0"/>
                      <w:sz w:val="21"/>
                      <w:szCs w:val="21"/>
                    </w:rPr>
                    <w:t>19</w:t>
                  </w:r>
                </w:p>
              </w:tc>
              <w:tc>
                <w:tcPr>
                  <w:tcW w:w="1587" w:type="pct"/>
                  <w:shd w:val="clear" w:color="000000" w:fill="FFFFFF"/>
                  <w:noWrap/>
                  <w:vAlign w:val="center"/>
                </w:tcPr>
                <w:p>
                  <w:pPr>
                    <w:widowControl/>
                    <w:spacing w:line="240" w:lineRule="auto"/>
                    <w:ind w:firstLine="0" w:firstLineChars="0"/>
                    <w:jc w:val="center"/>
                    <w:rPr>
                      <w:kern w:val="0"/>
                      <w:sz w:val="21"/>
                      <w:szCs w:val="21"/>
                    </w:rPr>
                  </w:pPr>
                  <w:r>
                    <w:rPr>
                      <w:kern w:val="0"/>
                      <w:sz w:val="21"/>
                      <w:szCs w:val="21"/>
                    </w:rPr>
                    <w:t>工业指标论证</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份</w:t>
                  </w:r>
                </w:p>
              </w:tc>
              <w:tc>
                <w:tcPr>
                  <w:tcW w:w="424" w:type="pct"/>
                  <w:vAlign w:val="center"/>
                </w:tcPr>
                <w:p>
                  <w:pPr>
                    <w:widowControl/>
                    <w:spacing w:line="240" w:lineRule="auto"/>
                    <w:ind w:firstLine="0" w:firstLineChars="0"/>
                    <w:jc w:val="center"/>
                    <w:rPr>
                      <w:kern w:val="0"/>
                      <w:sz w:val="21"/>
                      <w:szCs w:val="21"/>
                    </w:rPr>
                  </w:pPr>
                  <w:r>
                    <w:rPr>
                      <w:kern w:val="0"/>
                      <w:sz w:val="21"/>
                      <w:szCs w:val="21"/>
                    </w:rPr>
                    <w:t>1</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84" w:type="pct"/>
                  <w:vAlign w:val="center"/>
                </w:tcPr>
                <w:p>
                  <w:pPr>
                    <w:widowControl/>
                    <w:spacing w:line="240" w:lineRule="auto"/>
                    <w:ind w:firstLine="0" w:firstLineChars="0"/>
                    <w:jc w:val="center"/>
                    <w:rPr>
                      <w:b/>
                      <w:bCs/>
                      <w:kern w:val="0"/>
                      <w:sz w:val="21"/>
                      <w:szCs w:val="21"/>
                    </w:rPr>
                  </w:pPr>
                  <w:r>
                    <w:rPr>
                      <w:b/>
                      <w:bCs/>
                      <w:kern w:val="0"/>
                      <w:sz w:val="21"/>
                      <w:szCs w:val="21"/>
                    </w:rPr>
                    <w:t>八</w:t>
                  </w:r>
                </w:p>
              </w:tc>
              <w:tc>
                <w:tcPr>
                  <w:tcW w:w="4716" w:type="pct"/>
                  <w:gridSpan w:val="5"/>
                  <w:vAlign w:val="center"/>
                </w:tcPr>
                <w:p>
                  <w:pPr>
                    <w:widowControl/>
                    <w:spacing w:line="240" w:lineRule="auto"/>
                    <w:ind w:firstLine="0" w:firstLineChars="0"/>
                    <w:jc w:val="center"/>
                    <w:rPr>
                      <w:b/>
                      <w:bCs/>
                      <w:kern w:val="0"/>
                      <w:sz w:val="21"/>
                      <w:szCs w:val="21"/>
                    </w:rPr>
                  </w:pPr>
                  <w:r>
                    <w:rPr>
                      <w:b/>
                      <w:bCs/>
                      <w:kern w:val="0"/>
                      <w:sz w:val="21"/>
                      <w:szCs w:val="21"/>
                    </w:rPr>
                    <w:t>其他地质工作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1</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勘探剖面测量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2</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2</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工程点测量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点</w:t>
                  </w:r>
                </w:p>
              </w:tc>
              <w:tc>
                <w:tcPr>
                  <w:tcW w:w="424" w:type="pct"/>
                  <w:vAlign w:val="center"/>
                </w:tcPr>
                <w:p>
                  <w:pPr>
                    <w:widowControl/>
                    <w:spacing w:line="240" w:lineRule="auto"/>
                    <w:ind w:firstLine="0" w:firstLineChars="0"/>
                    <w:jc w:val="center"/>
                    <w:rPr>
                      <w:kern w:val="0"/>
                      <w:sz w:val="21"/>
                      <w:szCs w:val="21"/>
                    </w:rPr>
                  </w:pPr>
                  <w:r>
                    <w:rPr>
                      <w:kern w:val="0"/>
                      <w:sz w:val="21"/>
                      <w:szCs w:val="21"/>
                    </w:rPr>
                    <w:t>20</w:t>
                  </w:r>
                </w:p>
              </w:tc>
              <w:tc>
                <w:tcPr>
                  <w:tcW w:w="649" w:type="pct"/>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284"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3</w:t>
                  </w:r>
                </w:p>
              </w:tc>
              <w:tc>
                <w:tcPr>
                  <w:tcW w:w="1587" w:type="pct"/>
                  <w:shd w:val="clear" w:color="000000" w:fill="FFFFFF"/>
                  <w:noWrap/>
                  <w:vAlign w:val="center"/>
                </w:tcPr>
                <w:p>
                  <w:pPr>
                    <w:widowControl/>
                    <w:spacing w:line="240" w:lineRule="auto"/>
                    <w:ind w:firstLine="0" w:firstLineChars="0"/>
                    <w:jc w:val="center"/>
                    <w:rPr>
                      <w:color w:val="000000"/>
                      <w:kern w:val="0"/>
                      <w:sz w:val="21"/>
                      <w:szCs w:val="21"/>
                    </w:rPr>
                  </w:pPr>
                  <w:r>
                    <w:rPr>
                      <w:color w:val="000000"/>
                      <w:kern w:val="0"/>
                      <w:sz w:val="21"/>
                      <w:szCs w:val="21"/>
                    </w:rPr>
                    <w:t>剖面测量</w:t>
                  </w:r>
                </w:p>
              </w:tc>
              <w:tc>
                <w:tcPr>
                  <w:tcW w:w="1686" w:type="pct"/>
                  <w:noWrap/>
                  <w:vAlign w:val="center"/>
                </w:tcPr>
                <w:p>
                  <w:pPr>
                    <w:widowControl/>
                    <w:spacing w:line="240" w:lineRule="auto"/>
                    <w:ind w:firstLine="0" w:firstLineChars="0"/>
                    <w:jc w:val="center"/>
                    <w:rPr>
                      <w:kern w:val="0"/>
                      <w:sz w:val="21"/>
                      <w:szCs w:val="21"/>
                    </w:rPr>
                  </w:pPr>
                </w:p>
              </w:tc>
              <w:tc>
                <w:tcPr>
                  <w:tcW w:w="370" w:type="pct"/>
                  <w:vAlign w:val="center"/>
                </w:tcPr>
                <w:p>
                  <w:pPr>
                    <w:widowControl/>
                    <w:spacing w:line="240" w:lineRule="auto"/>
                    <w:ind w:firstLine="0" w:firstLineChars="0"/>
                    <w:jc w:val="center"/>
                    <w:rPr>
                      <w:kern w:val="0"/>
                      <w:sz w:val="21"/>
                      <w:szCs w:val="21"/>
                    </w:rPr>
                  </w:pPr>
                  <w:r>
                    <w:rPr>
                      <w:kern w:val="0"/>
                      <w:sz w:val="21"/>
                      <w:szCs w:val="21"/>
                    </w:rPr>
                    <w:t>km</w:t>
                  </w:r>
                </w:p>
              </w:tc>
              <w:tc>
                <w:tcPr>
                  <w:tcW w:w="424" w:type="pct"/>
                  <w:vAlign w:val="center"/>
                </w:tcPr>
                <w:p>
                  <w:pPr>
                    <w:widowControl/>
                    <w:spacing w:line="240" w:lineRule="auto"/>
                    <w:ind w:firstLine="0" w:firstLineChars="0"/>
                    <w:jc w:val="center"/>
                    <w:rPr>
                      <w:kern w:val="0"/>
                      <w:sz w:val="21"/>
                      <w:szCs w:val="21"/>
                    </w:rPr>
                  </w:pPr>
                  <w:r>
                    <w:rPr>
                      <w:kern w:val="0"/>
                      <w:sz w:val="21"/>
                      <w:szCs w:val="21"/>
                    </w:rPr>
                    <w:t>10</w:t>
                  </w:r>
                </w:p>
              </w:tc>
              <w:tc>
                <w:tcPr>
                  <w:tcW w:w="649" w:type="pct"/>
                  <w:vAlign w:val="center"/>
                </w:tcPr>
                <w:p>
                  <w:pPr>
                    <w:widowControl/>
                    <w:spacing w:line="240" w:lineRule="auto"/>
                    <w:ind w:firstLine="0" w:firstLineChars="0"/>
                    <w:jc w:val="center"/>
                    <w:rPr>
                      <w:kern w:val="0"/>
                      <w:sz w:val="21"/>
                      <w:szCs w:val="21"/>
                    </w:rPr>
                  </w:pPr>
                </w:p>
              </w:tc>
            </w:tr>
          </w:tbl>
          <w:p>
            <w:pPr>
              <w:pStyle w:val="15"/>
              <w:ind w:firstLine="482" w:firstLineChars="200"/>
            </w:pPr>
            <w:r>
              <w:rPr>
                <w:rFonts w:hint="eastAsia"/>
              </w:rPr>
              <w:t>5.主要勘察设备</w:t>
            </w:r>
          </w:p>
          <w:p>
            <w:r>
              <w:t>本项目主要勘查设备见表2-4。</w:t>
            </w:r>
          </w:p>
          <w:p>
            <w:pPr>
              <w:pStyle w:val="28"/>
              <w:spacing w:before="156"/>
            </w:pPr>
            <w:r>
              <w:rPr>
                <w:rFonts w:hint="eastAsia"/>
              </w:rPr>
              <w:t>表2</w:t>
            </w:r>
            <w:r>
              <w:t>-4  主要</w:t>
            </w:r>
            <w:r>
              <w:rPr>
                <w:rFonts w:hint="eastAsia"/>
              </w:rPr>
              <w:t>勘查</w:t>
            </w:r>
            <w:r>
              <w:t>设备一览表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3439"/>
              <w:gridCol w:w="1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1922"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设备名称</w:t>
                  </w:r>
                </w:p>
              </w:tc>
              <w:tc>
                <w:tcPr>
                  <w:tcW w:w="2300"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型号</w:t>
                  </w:r>
                </w:p>
              </w:tc>
              <w:tc>
                <w:tcPr>
                  <w:tcW w:w="778" w:type="pct"/>
                  <w:tcMar>
                    <w:left w:w="0" w:type="dxa"/>
                    <w:right w:w="0" w:type="dxa"/>
                  </w:tcMar>
                  <w:vAlign w:val="center"/>
                </w:tcPr>
                <w:p>
                  <w:pPr>
                    <w:spacing w:line="240" w:lineRule="exact"/>
                    <w:ind w:firstLine="0" w:firstLineChars="0"/>
                    <w:jc w:val="center"/>
                    <w:rPr>
                      <w:rFonts w:ascii="宋体" w:hAnsi="宋体" w:cs="宋体"/>
                      <w:b/>
                      <w:color w:val="000000"/>
                      <w:sz w:val="21"/>
                      <w:szCs w:val="21"/>
                    </w:rPr>
                  </w:pPr>
                  <w:r>
                    <w:rPr>
                      <w:rFonts w:hint="eastAsia" w:ascii="宋体" w:hAnsi="宋体" w:cs="宋体"/>
                      <w:b/>
                      <w:color w:val="000000"/>
                      <w:sz w:val="21"/>
                      <w:szCs w:val="21"/>
                      <w:lang w:bidi="ar"/>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轻型越野车</w:t>
                  </w:r>
                </w:p>
              </w:tc>
              <w:tc>
                <w:tcPr>
                  <w:tcW w:w="2300"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尼桑皮卡ZX6494HBG4</w:t>
                  </w:r>
                </w:p>
              </w:tc>
              <w:tc>
                <w:tcPr>
                  <w:tcW w:w="778" w:type="pct"/>
                  <w:tcMar>
                    <w:left w:w="0" w:type="dxa"/>
                    <w:right w:w="0" w:type="dxa"/>
                  </w:tcMar>
                  <w:vAlign w:val="center"/>
                </w:tcPr>
                <w:p>
                  <w:pPr>
                    <w:spacing w:line="240" w:lineRule="exact"/>
                    <w:ind w:firstLine="0" w:firstLineChars="0"/>
                    <w:jc w:val="center"/>
                    <w:rPr>
                      <w:color w:val="000000"/>
                      <w:sz w:val="21"/>
                      <w:szCs w:val="21"/>
                    </w:rPr>
                  </w:pPr>
                  <w:r>
                    <w:rPr>
                      <w:color w:val="000000"/>
                      <w:sz w:val="21"/>
                      <w:szCs w:val="21"/>
                      <w:lang w:bidi="ar"/>
                    </w:rPr>
                    <w:t>3</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越野载重汽车</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东风DFS5160G2KT</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w:t>
                  </w:r>
                  <w:r>
                    <w:rPr>
                      <w:rFonts w:hint="eastAsia"/>
                      <w:color w:val="000000"/>
                      <w:sz w:val="21"/>
                      <w:szCs w:val="21"/>
                      <w:lang w:bidi="ar"/>
                    </w:rPr>
                    <w:t>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全液压岩心钻机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HYDX-2</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柴油机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S1125</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数字测井系统</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PSJ-2</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高精度测斜仪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CX-1</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笔记本电脑</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GPS卫星定位仪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集思宝</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数码相机</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富士F50FD</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10</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便携式矿</w:t>
                  </w:r>
                </w:p>
                <w:p>
                  <w:pPr>
                    <w:spacing w:line="240" w:lineRule="exact"/>
                    <w:ind w:firstLine="0" w:firstLineChars="0"/>
                    <w:jc w:val="center"/>
                    <w:rPr>
                      <w:color w:val="000000"/>
                      <w:sz w:val="21"/>
                      <w:szCs w:val="21"/>
                      <w:lang w:bidi="ar"/>
                    </w:rPr>
                  </w:pPr>
                  <w:r>
                    <w:rPr>
                      <w:color w:val="000000"/>
                      <w:sz w:val="21"/>
                      <w:szCs w:val="21"/>
                      <w:lang w:bidi="ar"/>
                    </w:rPr>
                    <w:t>石元素分析仪</w:t>
                  </w:r>
                </w:p>
              </w:tc>
              <w:tc>
                <w:tcPr>
                  <w:tcW w:w="2300"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NITONXL3T-500</w:t>
                  </w:r>
                </w:p>
              </w:tc>
              <w:tc>
                <w:tcPr>
                  <w:tcW w:w="778" w:type="pct"/>
                  <w:tcMar>
                    <w:left w:w="0" w:type="dxa"/>
                    <w:right w:w="0" w:type="dxa"/>
                  </w:tcMar>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刻槽取样机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14J</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岩芯切割机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BS355</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对讲机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KT-3207</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12</w:t>
                  </w:r>
                  <w:r>
                    <w:rPr>
                      <w:rFonts w:hint="eastAsia"/>
                      <w:sz w:val="21"/>
                      <w:szCs w:val="21"/>
                    </w:rPr>
                    <w:t>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车载电台</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好易通TM800</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台式电脑</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联想</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卫星电话</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ISATPHMEPKO</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3</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激光打印机</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HP5200LXA3</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新飞冰柜</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BCD</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大棉帐篷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5×6m</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5</w:t>
                  </w:r>
                  <w:r>
                    <w:rPr>
                      <w:rFonts w:hint="eastAsia"/>
                      <w:sz w:val="21"/>
                      <w:szCs w:val="21"/>
                    </w:rPr>
                    <w:t>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922" w:type="pct"/>
                  <w:vAlign w:val="center"/>
                </w:tcPr>
                <w:p>
                  <w:pPr>
                    <w:spacing w:line="240" w:lineRule="exact"/>
                    <w:ind w:firstLine="0" w:firstLineChars="0"/>
                    <w:jc w:val="center"/>
                    <w:rPr>
                      <w:color w:val="000000"/>
                      <w:sz w:val="21"/>
                      <w:szCs w:val="21"/>
                      <w:lang w:bidi="ar"/>
                    </w:rPr>
                  </w:pPr>
                  <w:r>
                    <w:rPr>
                      <w:color w:val="000000"/>
                      <w:sz w:val="21"/>
                      <w:szCs w:val="21"/>
                      <w:lang w:bidi="ar"/>
                    </w:rPr>
                    <w:t>小棉帐篷</w:t>
                  </w:r>
                </w:p>
              </w:tc>
              <w:tc>
                <w:tcPr>
                  <w:tcW w:w="2300" w:type="pct"/>
                  <w:vAlign w:val="center"/>
                </w:tcPr>
                <w:p>
                  <w:pPr>
                    <w:spacing w:line="240" w:lineRule="exact"/>
                    <w:ind w:firstLine="0" w:firstLineChars="0"/>
                    <w:jc w:val="center"/>
                    <w:rPr>
                      <w:color w:val="000000"/>
                      <w:sz w:val="21"/>
                      <w:szCs w:val="21"/>
                      <w:lang w:bidi="ar"/>
                    </w:rPr>
                  </w:pPr>
                  <w:r>
                    <w:rPr>
                      <w:color w:val="000000"/>
                      <w:sz w:val="21"/>
                      <w:szCs w:val="21"/>
                      <w:lang w:bidi="ar"/>
                    </w:rPr>
                    <w:t>3×4m</w:t>
                  </w:r>
                </w:p>
              </w:tc>
              <w:tc>
                <w:tcPr>
                  <w:tcW w:w="778" w:type="pct"/>
                  <w:vAlign w:val="center"/>
                </w:tcPr>
                <w:p>
                  <w:pPr>
                    <w:spacing w:line="240" w:lineRule="exact"/>
                    <w:ind w:firstLine="0" w:firstLineChars="0"/>
                    <w:jc w:val="center"/>
                    <w:rPr>
                      <w:color w:val="000000"/>
                      <w:sz w:val="21"/>
                      <w:szCs w:val="21"/>
                      <w:lang w:bidi="ar"/>
                    </w:rPr>
                  </w:pPr>
                  <w:r>
                    <w:rPr>
                      <w:color w:val="000000"/>
                      <w:sz w:val="21"/>
                      <w:szCs w:val="21"/>
                      <w:lang w:bidi="ar"/>
                    </w:rPr>
                    <w:t>2</w:t>
                  </w:r>
                  <w:r>
                    <w:rPr>
                      <w:rFonts w:hint="eastAsia"/>
                      <w:sz w:val="21"/>
                      <w:szCs w:val="21"/>
                    </w:rPr>
                    <w:t>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922" w:type="pct"/>
                  <w:vAlign w:val="center"/>
                </w:tcPr>
                <w:p>
                  <w:pPr>
                    <w:spacing w:line="240" w:lineRule="exact"/>
                    <w:ind w:firstLine="0" w:firstLineChars="0"/>
                    <w:jc w:val="center"/>
                    <w:rPr>
                      <w:color w:val="000000"/>
                      <w:sz w:val="21"/>
                      <w:szCs w:val="21"/>
                      <w:lang w:bidi="ar"/>
                    </w:rPr>
                  </w:pPr>
                  <w:r>
                    <w:rPr>
                      <w:rFonts w:hint="eastAsia"/>
                      <w:color w:val="000000"/>
                      <w:sz w:val="21"/>
                      <w:szCs w:val="21"/>
                      <w:lang w:bidi="ar"/>
                    </w:rPr>
                    <w:t>洒水车</w:t>
                  </w:r>
                </w:p>
              </w:tc>
              <w:tc>
                <w:tcPr>
                  <w:tcW w:w="2300" w:type="pct"/>
                  <w:vAlign w:val="center"/>
                </w:tcPr>
                <w:p>
                  <w:pPr>
                    <w:spacing w:line="240" w:lineRule="exact"/>
                    <w:ind w:firstLine="0" w:firstLineChars="0"/>
                    <w:jc w:val="center"/>
                    <w:rPr>
                      <w:color w:val="000000"/>
                      <w:sz w:val="21"/>
                      <w:szCs w:val="21"/>
                      <w:lang w:bidi="ar"/>
                    </w:rPr>
                  </w:pPr>
                  <w:r>
                    <w:rPr>
                      <w:rFonts w:hint="eastAsia"/>
                      <w:color w:val="000000"/>
                      <w:sz w:val="21"/>
                      <w:szCs w:val="21"/>
                      <w:lang w:bidi="ar"/>
                    </w:rPr>
                    <w:t>/</w:t>
                  </w:r>
                </w:p>
              </w:tc>
              <w:tc>
                <w:tcPr>
                  <w:tcW w:w="778" w:type="pct"/>
                  <w:vAlign w:val="center"/>
                </w:tcPr>
                <w:p>
                  <w:pPr>
                    <w:spacing w:line="240" w:lineRule="exact"/>
                    <w:ind w:firstLine="0" w:firstLineChars="0"/>
                    <w:jc w:val="center"/>
                    <w:rPr>
                      <w:color w:val="000000"/>
                      <w:sz w:val="21"/>
                      <w:szCs w:val="21"/>
                      <w:lang w:bidi="ar"/>
                    </w:rPr>
                  </w:pPr>
                  <w:r>
                    <w:rPr>
                      <w:rFonts w:hint="eastAsia"/>
                      <w:color w:val="000000"/>
                      <w:sz w:val="21"/>
                      <w:szCs w:val="21"/>
                      <w:lang w:bidi="ar"/>
                    </w:rPr>
                    <w:t>1辆</w:t>
                  </w:r>
                </w:p>
              </w:tc>
            </w:tr>
          </w:tbl>
          <w:p>
            <w:pPr>
              <w:pStyle w:val="15"/>
              <w:ind w:firstLine="482" w:firstLineChars="200"/>
            </w:pPr>
            <w:r>
              <w:t>6</w:t>
            </w:r>
            <w:r>
              <w:rPr>
                <w:rFonts w:hint="eastAsia"/>
              </w:rPr>
              <w:t>.主要</w:t>
            </w:r>
            <w:r>
              <w:t>原、辅材料</w:t>
            </w:r>
            <w:r>
              <w:rPr>
                <w:rFonts w:hint="eastAsia"/>
              </w:rPr>
              <w:t>用量</w:t>
            </w:r>
          </w:p>
          <w:p>
            <w:r>
              <w:t>本项目主要原辅材料</w:t>
            </w:r>
            <w:r>
              <w:rPr>
                <w:rFonts w:hint="eastAsia"/>
              </w:rPr>
              <w:t>消耗</w:t>
            </w:r>
            <w:r>
              <w:t>见表</w:t>
            </w:r>
            <w:r>
              <w:rPr>
                <w:rFonts w:hint="eastAsia"/>
              </w:rPr>
              <w:t>2</w:t>
            </w:r>
            <w:r>
              <w:t>-5</w:t>
            </w:r>
            <w:r>
              <w:rPr>
                <w:rFonts w:hint="eastAsia"/>
              </w:rPr>
              <w:t>。</w:t>
            </w:r>
          </w:p>
          <w:p>
            <w:pPr>
              <w:pStyle w:val="28"/>
              <w:spacing w:before="156"/>
              <w:rPr>
                <w:bCs/>
              </w:rPr>
            </w:pPr>
            <w:r>
              <w:rPr>
                <w:rFonts w:hint="eastAsia"/>
              </w:rPr>
              <w:t>表2</w:t>
            </w:r>
            <w:r>
              <w:t xml:space="preserve">-5  </w:t>
            </w:r>
            <w:r>
              <w:rPr>
                <w:rFonts w:hint="eastAsia"/>
              </w:rPr>
              <w:t>主要原、辅材料消耗一览表</w:t>
            </w:r>
          </w:p>
          <w:tbl>
            <w:tblPr>
              <w:tblStyle w:val="19"/>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1438"/>
              <w:gridCol w:w="1258"/>
              <w:gridCol w:w="1907"/>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tcPr>
                <w:p>
                  <w:pPr>
                    <w:pStyle w:val="29"/>
                  </w:pPr>
                  <w:r>
                    <w:t>序号</w:t>
                  </w:r>
                </w:p>
              </w:tc>
              <w:tc>
                <w:tcPr>
                  <w:tcW w:w="962" w:type="pct"/>
                  <w:tcBorders>
                    <w:tl2br w:val="nil"/>
                    <w:tr2bl w:val="nil"/>
                  </w:tcBorders>
                </w:tcPr>
                <w:p>
                  <w:pPr>
                    <w:pStyle w:val="29"/>
                  </w:pPr>
                  <w:r>
                    <w:t>名称</w:t>
                  </w:r>
                </w:p>
              </w:tc>
              <w:tc>
                <w:tcPr>
                  <w:tcW w:w="842" w:type="pct"/>
                  <w:tcBorders>
                    <w:tl2br w:val="nil"/>
                    <w:tr2bl w:val="nil"/>
                  </w:tcBorders>
                </w:tcPr>
                <w:p>
                  <w:pPr>
                    <w:pStyle w:val="29"/>
                  </w:pPr>
                  <w:r>
                    <w:t>用量</w:t>
                  </w:r>
                </w:p>
              </w:tc>
              <w:tc>
                <w:tcPr>
                  <w:tcW w:w="1276" w:type="pct"/>
                  <w:tcBorders>
                    <w:tl2br w:val="nil"/>
                    <w:tr2bl w:val="nil"/>
                  </w:tcBorders>
                </w:tcPr>
                <w:p>
                  <w:pPr>
                    <w:pStyle w:val="29"/>
                  </w:pPr>
                  <w:r>
                    <w:t>来源</w:t>
                  </w:r>
                </w:p>
              </w:tc>
              <w:tc>
                <w:tcPr>
                  <w:tcW w:w="1462" w:type="pct"/>
                  <w:tcBorders>
                    <w:tl2br w:val="nil"/>
                    <w:tr2bl w:val="nil"/>
                  </w:tcBorders>
                </w:tcPr>
                <w:p>
                  <w:pPr>
                    <w:pStyle w:val="29"/>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9"/>
                  </w:pPr>
                  <w:r>
                    <w:t>1</w:t>
                  </w:r>
                </w:p>
              </w:tc>
              <w:tc>
                <w:tcPr>
                  <w:tcW w:w="962" w:type="pct"/>
                  <w:tcBorders>
                    <w:tl2br w:val="nil"/>
                    <w:tr2bl w:val="nil"/>
                  </w:tcBorders>
                  <w:vAlign w:val="center"/>
                </w:tcPr>
                <w:p>
                  <w:pPr>
                    <w:pStyle w:val="29"/>
                  </w:pPr>
                  <w:r>
                    <w:rPr>
                      <w:rFonts w:hint="eastAsia"/>
                    </w:rPr>
                    <w:t>专用泥浆（润滑剂、增粘剂）</w:t>
                  </w:r>
                </w:p>
              </w:tc>
              <w:tc>
                <w:tcPr>
                  <w:tcW w:w="842" w:type="pct"/>
                  <w:tcBorders>
                    <w:tl2br w:val="nil"/>
                    <w:tr2bl w:val="nil"/>
                  </w:tcBorders>
                  <w:vAlign w:val="center"/>
                </w:tcPr>
                <w:p>
                  <w:pPr>
                    <w:pStyle w:val="29"/>
                  </w:pPr>
                  <w:r>
                    <w:rPr>
                      <w:rFonts w:hint="eastAsia"/>
                    </w:rPr>
                    <w:t>0</w:t>
                  </w:r>
                  <w:r>
                    <w:t>.1</w:t>
                  </w:r>
                  <w:r>
                    <w:rPr>
                      <w:rFonts w:hint="eastAsia"/>
                    </w:rPr>
                    <w:t>t</w:t>
                  </w:r>
                  <w:r>
                    <w:t>/</w:t>
                  </w:r>
                  <w:r>
                    <w:rPr>
                      <w:rFonts w:hint="eastAsia"/>
                    </w:rPr>
                    <w:t>a</w:t>
                  </w:r>
                </w:p>
              </w:tc>
              <w:tc>
                <w:tcPr>
                  <w:tcW w:w="1276" w:type="pct"/>
                  <w:tcBorders>
                    <w:tl2br w:val="nil"/>
                    <w:tr2bl w:val="nil"/>
                  </w:tcBorders>
                  <w:vAlign w:val="center"/>
                </w:tcPr>
                <w:p>
                  <w:pPr>
                    <w:pStyle w:val="29"/>
                  </w:pPr>
                  <w:r>
                    <w:rPr>
                      <w:rFonts w:hint="eastAsia"/>
                    </w:rPr>
                    <w:t>外购</w:t>
                  </w:r>
                </w:p>
              </w:tc>
              <w:tc>
                <w:tcPr>
                  <w:tcW w:w="1462" w:type="pct"/>
                  <w:tcBorders>
                    <w:tl2br w:val="nil"/>
                    <w:tr2bl w:val="nil"/>
                  </w:tcBorders>
                  <w:vAlign w:val="center"/>
                </w:tcPr>
                <w:p>
                  <w:pPr>
                    <w:pStyle w:val="29"/>
                  </w:pPr>
                  <w:r>
                    <w:rPr>
                      <w:rFonts w:hint="eastAsia"/>
                    </w:rPr>
                    <w:t>钻探辅料，采用水基非磺化泥浆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9"/>
                  </w:pPr>
                  <w:r>
                    <w:rPr>
                      <w:rFonts w:hint="eastAsia"/>
                    </w:rPr>
                    <w:t>2</w:t>
                  </w:r>
                </w:p>
              </w:tc>
              <w:tc>
                <w:tcPr>
                  <w:tcW w:w="962" w:type="pct"/>
                  <w:tcBorders>
                    <w:tl2br w:val="nil"/>
                    <w:tr2bl w:val="nil"/>
                  </w:tcBorders>
                  <w:vAlign w:val="center"/>
                </w:tcPr>
                <w:p>
                  <w:pPr>
                    <w:pStyle w:val="29"/>
                  </w:pPr>
                  <w:r>
                    <w:rPr>
                      <w:rFonts w:hint="eastAsia"/>
                    </w:rPr>
                    <w:t>膨润土</w:t>
                  </w:r>
                </w:p>
              </w:tc>
              <w:tc>
                <w:tcPr>
                  <w:tcW w:w="842" w:type="pct"/>
                  <w:tcBorders>
                    <w:tl2br w:val="nil"/>
                    <w:tr2bl w:val="nil"/>
                  </w:tcBorders>
                  <w:vAlign w:val="center"/>
                </w:tcPr>
                <w:p>
                  <w:pPr>
                    <w:pStyle w:val="29"/>
                  </w:pPr>
                  <w:r>
                    <w:rPr>
                      <w:rFonts w:hint="eastAsia"/>
                    </w:rPr>
                    <w:t>0</w:t>
                  </w:r>
                  <w:r>
                    <w:t>.</w:t>
                  </w:r>
                  <w:r>
                    <w:rPr>
                      <w:rFonts w:hint="eastAsia"/>
                    </w:rPr>
                    <w:t>2t</w:t>
                  </w:r>
                  <w:r>
                    <w:t>/</w:t>
                  </w:r>
                  <w:r>
                    <w:rPr>
                      <w:rFonts w:hint="eastAsia"/>
                    </w:rPr>
                    <w:t>a</w:t>
                  </w:r>
                </w:p>
              </w:tc>
              <w:tc>
                <w:tcPr>
                  <w:tcW w:w="1276" w:type="pct"/>
                  <w:tcBorders>
                    <w:tl2br w:val="nil"/>
                    <w:tr2bl w:val="nil"/>
                  </w:tcBorders>
                  <w:vAlign w:val="center"/>
                </w:tcPr>
                <w:p>
                  <w:pPr>
                    <w:pStyle w:val="29"/>
                  </w:pPr>
                  <w:r>
                    <w:rPr>
                      <w:rFonts w:hint="eastAsia"/>
                    </w:rPr>
                    <w:t>外购</w:t>
                  </w:r>
                </w:p>
              </w:tc>
              <w:tc>
                <w:tcPr>
                  <w:tcW w:w="1462" w:type="pct"/>
                  <w:tcBorders>
                    <w:tl2br w:val="nil"/>
                    <w:tr2bl w:val="nil"/>
                  </w:tcBorders>
                  <w:vAlign w:val="center"/>
                </w:tcPr>
                <w:p>
                  <w:pPr>
                    <w:pStyle w:val="29"/>
                  </w:pPr>
                  <w:r>
                    <w:rPr>
                      <w:rFonts w:hint="eastAsia"/>
                    </w:rPr>
                    <w:t>钻探辅料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9"/>
                  </w:pPr>
                  <w:r>
                    <w:rPr>
                      <w:rFonts w:hint="eastAsia"/>
                    </w:rPr>
                    <w:t>3</w:t>
                  </w:r>
                </w:p>
              </w:tc>
              <w:tc>
                <w:tcPr>
                  <w:tcW w:w="962" w:type="pct"/>
                  <w:tcBorders>
                    <w:tl2br w:val="nil"/>
                    <w:tr2bl w:val="nil"/>
                  </w:tcBorders>
                  <w:vAlign w:val="center"/>
                </w:tcPr>
                <w:p>
                  <w:pPr>
                    <w:pStyle w:val="29"/>
                  </w:pPr>
                  <w:r>
                    <w:rPr>
                      <w:rFonts w:hint="eastAsia"/>
                    </w:rPr>
                    <w:t>水泥</w:t>
                  </w:r>
                </w:p>
              </w:tc>
              <w:tc>
                <w:tcPr>
                  <w:tcW w:w="842" w:type="pct"/>
                  <w:tcBorders>
                    <w:tl2br w:val="nil"/>
                    <w:tr2bl w:val="nil"/>
                  </w:tcBorders>
                  <w:vAlign w:val="center"/>
                </w:tcPr>
                <w:p>
                  <w:pPr>
                    <w:pStyle w:val="29"/>
                  </w:pPr>
                  <w:r>
                    <w:rPr>
                      <w:rFonts w:hint="eastAsia"/>
                    </w:rPr>
                    <w:t>0.2t</w:t>
                  </w:r>
                  <w:r>
                    <w:t>/</w:t>
                  </w:r>
                  <w:r>
                    <w:rPr>
                      <w:rFonts w:hint="eastAsia"/>
                    </w:rPr>
                    <w:t>a</w:t>
                  </w:r>
                </w:p>
              </w:tc>
              <w:tc>
                <w:tcPr>
                  <w:tcW w:w="1276" w:type="pct"/>
                  <w:tcBorders>
                    <w:tl2br w:val="nil"/>
                    <w:tr2bl w:val="nil"/>
                  </w:tcBorders>
                  <w:vAlign w:val="center"/>
                </w:tcPr>
                <w:p>
                  <w:pPr>
                    <w:pStyle w:val="29"/>
                  </w:pPr>
                  <w:r>
                    <w:rPr>
                      <w:rFonts w:hint="eastAsia"/>
                    </w:rPr>
                    <w:t>外购</w:t>
                  </w:r>
                </w:p>
              </w:tc>
              <w:tc>
                <w:tcPr>
                  <w:tcW w:w="1462" w:type="pct"/>
                  <w:tcBorders>
                    <w:tl2br w:val="nil"/>
                    <w:tr2bl w:val="nil"/>
                  </w:tcBorders>
                  <w:vAlign w:val="center"/>
                </w:tcPr>
                <w:p>
                  <w:pPr>
                    <w:pStyle w:val="29"/>
                  </w:pPr>
                  <w:r>
                    <w:rPr>
                      <w:rFonts w:hint="eastAsia"/>
                    </w:rPr>
                    <w:t>用于为钻探后的孔封堵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9"/>
                  </w:pPr>
                  <w:r>
                    <w:rPr>
                      <w:rFonts w:hint="eastAsia"/>
                    </w:rPr>
                    <w:t>4</w:t>
                  </w:r>
                </w:p>
              </w:tc>
              <w:tc>
                <w:tcPr>
                  <w:tcW w:w="962" w:type="pct"/>
                  <w:tcBorders>
                    <w:tl2br w:val="nil"/>
                    <w:tr2bl w:val="nil"/>
                  </w:tcBorders>
                  <w:vAlign w:val="center"/>
                </w:tcPr>
                <w:p>
                  <w:pPr>
                    <w:pStyle w:val="29"/>
                  </w:pPr>
                  <w:r>
                    <w:t>水</w:t>
                  </w:r>
                </w:p>
              </w:tc>
              <w:tc>
                <w:tcPr>
                  <w:tcW w:w="842" w:type="pct"/>
                  <w:tcBorders>
                    <w:tl2br w:val="nil"/>
                    <w:tr2bl w:val="nil"/>
                  </w:tcBorders>
                  <w:vAlign w:val="center"/>
                </w:tcPr>
                <w:p>
                  <w:pPr>
                    <w:pStyle w:val="29"/>
                  </w:pPr>
                  <w:r>
                    <w:t>516</w:t>
                  </w:r>
                  <w:r>
                    <w:rPr>
                      <w:rFonts w:hint="eastAsia"/>
                    </w:rPr>
                    <w:t>t/a</w:t>
                  </w:r>
                </w:p>
              </w:tc>
              <w:tc>
                <w:tcPr>
                  <w:tcW w:w="1276" w:type="pct"/>
                  <w:tcBorders>
                    <w:tl2br w:val="nil"/>
                    <w:tr2bl w:val="nil"/>
                  </w:tcBorders>
                  <w:vAlign w:val="center"/>
                </w:tcPr>
                <w:p>
                  <w:pPr>
                    <w:pStyle w:val="29"/>
                  </w:pPr>
                  <w:r>
                    <w:rPr>
                      <w:rFonts w:hint="eastAsia"/>
                    </w:rPr>
                    <w:t>钻探过程用水由附近城镇拉由水车拉运至勘探区工作人员用水自带的纯净水</w:t>
                  </w:r>
                </w:p>
              </w:tc>
              <w:tc>
                <w:tcPr>
                  <w:tcW w:w="1462" w:type="pct"/>
                  <w:tcBorders>
                    <w:tl2br w:val="nil"/>
                    <w:tr2bl w:val="nil"/>
                  </w:tcBorders>
                  <w:vAlign w:val="center"/>
                </w:tcPr>
                <w:p>
                  <w:pPr>
                    <w:pStyle w:val="29"/>
                  </w:pPr>
                  <w:r>
                    <w:t>生产用水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58" w:type="pct"/>
                  <w:tcBorders>
                    <w:tl2br w:val="nil"/>
                    <w:tr2bl w:val="nil"/>
                  </w:tcBorders>
                  <w:vAlign w:val="center"/>
                </w:tcPr>
                <w:p>
                  <w:pPr>
                    <w:pStyle w:val="29"/>
                  </w:pPr>
                  <w:r>
                    <w:rPr>
                      <w:rFonts w:hint="eastAsia"/>
                    </w:rPr>
                    <w:t>5</w:t>
                  </w:r>
                </w:p>
              </w:tc>
              <w:tc>
                <w:tcPr>
                  <w:tcW w:w="962" w:type="pct"/>
                  <w:tcBorders>
                    <w:tl2br w:val="nil"/>
                    <w:tr2bl w:val="nil"/>
                  </w:tcBorders>
                  <w:vAlign w:val="center"/>
                </w:tcPr>
                <w:p>
                  <w:pPr>
                    <w:pStyle w:val="29"/>
                  </w:pPr>
                  <w:r>
                    <w:t>电</w:t>
                  </w:r>
                </w:p>
              </w:tc>
              <w:tc>
                <w:tcPr>
                  <w:tcW w:w="842" w:type="pct"/>
                  <w:tcBorders>
                    <w:tl2br w:val="nil"/>
                    <w:tr2bl w:val="nil"/>
                  </w:tcBorders>
                  <w:vAlign w:val="center"/>
                </w:tcPr>
                <w:p>
                  <w:pPr>
                    <w:pStyle w:val="29"/>
                  </w:pPr>
                  <w:r>
                    <w:rPr>
                      <w:rFonts w:hint="eastAsia"/>
                    </w:rPr>
                    <w:t>800</w:t>
                  </w:r>
                  <w:r>
                    <w:t>kW·h</w:t>
                  </w:r>
                </w:p>
              </w:tc>
              <w:tc>
                <w:tcPr>
                  <w:tcW w:w="1276" w:type="pct"/>
                  <w:tcBorders>
                    <w:tl2br w:val="nil"/>
                    <w:tr2bl w:val="nil"/>
                  </w:tcBorders>
                  <w:vAlign w:val="center"/>
                </w:tcPr>
                <w:p>
                  <w:pPr>
                    <w:pStyle w:val="29"/>
                  </w:pPr>
                  <w:r>
                    <w:rPr>
                      <w:rFonts w:hint="eastAsia"/>
                    </w:rPr>
                    <w:t>汽油</w:t>
                  </w:r>
                  <w:r>
                    <w:t>发电机</w:t>
                  </w:r>
                </w:p>
              </w:tc>
              <w:tc>
                <w:tcPr>
                  <w:tcW w:w="1462" w:type="pct"/>
                  <w:tcBorders>
                    <w:tl2br w:val="nil"/>
                    <w:tr2bl w:val="nil"/>
                  </w:tcBorders>
                  <w:vAlign w:val="center"/>
                </w:tcPr>
                <w:p>
                  <w:pPr>
                    <w:pStyle w:val="29"/>
                  </w:pPr>
                  <w:r>
                    <w:t>生产用电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blHeader/>
                <w:jc w:val="center"/>
              </w:trPr>
              <w:tc>
                <w:tcPr>
                  <w:tcW w:w="458" w:type="pct"/>
                  <w:tcBorders>
                    <w:tl2br w:val="nil"/>
                    <w:tr2bl w:val="nil"/>
                  </w:tcBorders>
                  <w:vAlign w:val="center"/>
                </w:tcPr>
                <w:p>
                  <w:pPr>
                    <w:pStyle w:val="29"/>
                  </w:pPr>
                  <w:r>
                    <w:rPr>
                      <w:rFonts w:hint="eastAsia"/>
                    </w:rPr>
                    <w:t>6</w:t>
                  </w:r>
                </w:p>
              </w:tc>
              <w:tc>
                <w:tcPr>
                  <w:tcW w:w="962" w:type="pct"/>
                  <w:tcBorders>
                    <w:tl2br w:val="nil"/>
                    <w:tr2bl w:val="nil"/>
                  </w:tcBorders>
                  <w:vAlign w:val="center"/>
                </w:tcPr>
                <w:p>
                  <w:pPr>
                    <w:pStyle w:val="29"/>
                  </w:pPr>
                  <w:r>
                    <w:rPr>
                      <w:rFonts w:hint="eastAsia"/>
                    </w:rPr>
                    <w:t>柴油</w:t>
                  </w:r>
                </w:p>
              </w:tc>
              <w:tc>
                <w:tcPr>
                  <w:tcW w:w="842" w:type="pct"/>
                  <w:tcBorders>
                    <w:tl2br w:val="nil"/>
                    <w:tr2bl w:val="nil"/>
                  </w:tcBorders>
                  <w:vAlign w:val="center"/>
                </w:tcPr>
                <w:p>
                  <w:pPr>
                    <w:pStyle w:val="29"/>
                  </w:pPr>
                  <w:r>
                    <w:t>25</w:t>
                  </w:r>
                  <w:r>
                    <w:rPr>
                      <w:rFonts w:hint="eastAsia"/>
                    </w:rPr>
                    <w:t>t/a</w:t>
                  </w:r>
                </w:p>
              </w:tc>
              <w:tc>
                <w:tcPr>
                  <w:tcW w:w="1276" w:type="pct"/>
                  <w:tcBorders>
                    <w:tl2br w:val="nil"/>
                    <w:tr2bl w:val="nil"/>
                  </w:tcBorders>
                  <w:vAlign w:val="center"/>
                </w:tcPr>
                <w:p>
                  <w:pPr>
                    <w:pStyle w:val="29"/>
                  </w:pPr>
                  <w:r>
                    <w:rPr>
                      <w:rFonts w:hint="eastAsia"/>
                    </w:rPr>
                    <w:t>外购</w:t>
                  </w:r>
                </w:p>
              </w:tc>
              <w:tc>
                <w:tcPr>
                  <w:tcW w:w="1462" w:type="pct"/>
                  <w:tcBorders>
                    <w:tl2br w:val="nil"/>
                    <w:tr2bl w:val="nil"/>
                  </w:tcBorders>
                  <w:vAlign w:val="center"/>
                </w:tcPr>
                <w:p>
                  <w:pPr>
                    <w:pStyle w:val="29"/>
                  </w:pPr>
                  <w:r>
                    <w:rPr>
                      <w:rFonts w:hint="eastAsia"/>
                    </w:rPr>
                    <w:t>柴油发电机</w:t>
                  </w:r>
                </w:p>
              </w:tc>
            </w:tr>
          </w:tbl>
          <w:p>
            <w:pPr>
              <w:pStyle w:val="15"/>
              <w:ind w:firstLine="482" w:firstLineChars="200"/>
            </w:pPr>
            <w:r>
              <w:rPr>
                <w:rFonts w:hint="eastAsia"/>
              </w:rPr>
              <w:t>7.公用工程</w:t>
            </w:r>
          </w:p>
          <w:p>
            <w:r>
              <w:rPr>
                <w:rFonts w:hint="eastAsia"/>
              </w:rPr>
              <w:t>（1）给水工程</w:t>
            </w:r>
          </w:p>
          <w:p>
            <w:r>
              <w:rPr>
                <w:rFonts w:hint="eastAsia"/>
              </w:rPr>
              <w:t>洒水抑尘用水，钻探过程用水由附近城镇拉由水车拉运至勘探区工作人员用水自带的纯净水。</w:t>
            </w:r>
          </w:p>
          <w:p>
            <w:r>
              <w:rPr>
                <w:rFonts w:hint="eastAsia"/>
              </w:rPr>
              <w:t>（2）排水工程</w:t>
            </w:r>
          </w:p>
          <w:p>
            <w:r>
              <w:rPr>
                <w:rFonts w:hint="eastAsia"/>
                <w:bCs/>
              </w:rPr>
              <w:t>项目生产废水进入沉淀池循环利用，不外排。</w:t>
            </w:r>
            <w:r>
              <w:rPr>
                <w:rFonts w:hint="eastAsia"/>
              </w:rPr>
              <w:t>生活污水进入防渗化粪池（10m</w:t>
            </w:r>
            <w:r>
              <w:rPr>
                <w:rFonts w:hint="eastAsia"/>
                <w:vertAlign w:val="superscript"/>
              </w:rPr>
              <w:t>3</w:t>
            </w:r>
            <w:r>
              <w:rPr>
                <w:rFonts w:hint="eastAsia"/>
              </w:rPr>
              <w:t>）处理后自然蒸发。</w:t>
            </w:r>
          </w:p>
          <w:p>
            <w:r>
              <w:rPr>
                <w:rFonts w:hint="eastAsia"/>
              </w:rPr>
              <w:t>（</w:t>
            </w:r>
            <w:r>
              <w:t>3</w:t>
            </w:r>
            <w:r>
              <w:rPr>
                <w:rFonts w:hint="eastAsia"/>
              </w:rPr>
              <w:t>）供电工程</w:t>
            </w:r>
          </w:p>
          <w:p>
            <w:r>
              <w:rPr>
                <w:rFonts w:hint="eastAsia"/>
                <w:bCs/>
              </w:rPr>
              <w:t>本项目生产用电来自项目自备的柴油发电机供电，</w:t>
            </w:r>
            <w:r>
              <w:rPr>
                <w:rFonts w:hint="eastAsia"/>
              </w:rPr>
              <w:t>项目不设置柴油储存场所，所有机械柴油均随买随用。</w:t>
            </w:r>
          </w:p>
          <w:p>
            <w:pPr>
              <w:pStyle w:val="15"/>
              <w:ind w:firstLine="482" w:firstLineChars="200"/>
            </w:pPr>
            <w:r>
              <w:t>8</w:t>
            </w:r>
            <w:r>
              <w:rPr>
                <w:rFonts w:hint="eastAsia"/>
              </w:rPr>
              <w:t>.土石方平衡分析</w:t>
            </w:r>
          </w:p>
          <w:p>
            <w:r>
              <w:rPr>
                <w:rFonts w:hint="eastAsia"/>
              </w:rPr>
              <w:t>本项目主要产生土石方的工程为钻探及槽探。</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12</w:t>
            </w:r>
            <w:r>
              <w:rPr>
                <w:rFonts w:hint="eastAsia"/>
              </w:rPr>
              <w:t>个钻孔计，</w:t>
            </w:r>
            <w:r>
              <w:t>共计需剥离180m</w:t>
            </w:r>
            <w:r>
              <w:rPr>
                <w:vertAlign w:val="superscript"/>
              </w:rPr>
              <w:t>2</w:t>
            </w:r>
            <w:r>
              <w:t>，剥离厚度按20cm计算，每孔需剥离</w:t>
            </w:r>
            <w:r>
              <w:rPr>
                <w:rFonts w:hint="eastAsia"/>
              </w:rPr>
              <w:t>3</w:t>
            </w:r>
            <w:r>
              <w:t>m</w:t>
            </w:r>
            <w:r>
              <w:rPr>
                <w:vertAlign w:val="superscript"/>
              </w:rPr>
              <w:t>3</w:t>
            </w:r>
            <w:r>
              <w:t>，共需要堆放约36m</w:t>
            </w:r>
            <w:r>
              <w:rPr>
                <w:vertAlign w:val="superscript"/>
              </w:rPr>
              <w:t>3</w:t>
            </w:r>
            <w:r>
              <w:t>(松散系数k=1.3</w:t>
            </w:r>
            <w:r>
              <w:rPr>
                <w:rFonts w:hint="eastAsia"/>
              </w:rPr>
              <w:t>，</w:t>
            </w:r>
            <w:r>
              <w:t>剥离松</w:t>
            </w:r>
            <w:r>
              <w:rPr>
                <w:rFonts w:hint="eastAsia"/>
              </w:rPr>
              <w:t>散</w:t>
            </w:r>
            <w:r>
              <w:t>方46.8m</w:t>
            </w:r>
            <w:r>
              <w:rPr>
                <w:vertAlign w:val="superscript"/>
              </w:rPr>
              <w:t>3</w:t>
            </w:r>
            <w:r>
              <w:t>)</w:t>
            </w:r>
            <w:r>
              <w:rPr>
                <w:rFonts w:hint="eastAsia"/>
              </w:rPr>
              <w:t>；槽探总工作量为</w:t>
            </w:r>
            <w:r>
              <w:t>2000</w:t>
            </w:r>
            <w:r>
              <w:rPr>
                <w:rFonts w:hint="eastAsia"/>
              </w:rPr>
              <w:t>m</w:t>
            </w:r>
            <w:r>
              <w:rPr>
                <w:vertAlign w:val="superscript"/>
              </w:rPr>
              <w:t>3</w:t>
            </w:r>
            <w:r>
              <w:rPr>
                <w:rFonts w:hint="eastAsia"/>
              </w:rPr>
              <w:t>。</w:t>
            </w:r>
          </w:p>
          <w:p>
            <w:pPr>
              <w:pStyle w:val="28"/>
              <w:spacing w:before="156"/>
            </w:pPr>
            <w:r>
              <w:t>表</w:t>
            </w:r>
            <w:r>
              <w:rPr>
                <w:rFonts w:hint="eastAsia"/>
              </w:rPr>
              <w:t>2</w:t>
            </w:r>
            <w:r>
              <w:t xml:space="preserve">-6  </w:t>
            </w:r>
            <w:r>
              <w:rPr>
                <w:rFonts w:hint="eastAsia"/>
              </w:rPr>
              <w:t>土石方平衡</w:t>
            </w:r>
            <w:r>
              <w:t>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1"/>
              <w:gridCol w:w="1552"/>
              <w:gridCol w:w="1567"/>
              <w:gridCol w:w="974"/>
              <w:gridCol w:w="2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 w:hRule="atLeast"/>
                <w:tblHeader/>
                <w:jc w:val="center"/>
              </w:trPr>
              <w:tc>
                <w:tcPr>
                  <w:tcW w:w="790" w:type="pct"/>
                  <w:vMerge w:val="restart"/>
                  <w:tcBorders>
                    <w:tl2br w:val="nil"/>
                    <w:tr2bl w:val="nil"/>
                  </w:tcBorders>
                  <w:vAlign w:val="center"/>
                </w:tcPr>
                <w:p>
                  <w:pPr>
                    <w:pStyle w:val="26"/>
                  </w:pPr>
                  <w:r>
                    <w:rPr>
                      <w:rFonts w:hint="eastAsia"/>
                    </w:rPr>
                    <w:t>项目</w:t>
                  </w:r>
                </w:p>
              </w:tc>
              <w:tc>
                <w:tcPr>
                  <w:tcW w:w="1038" w:type="pct"/>
                  <w:vMerge w:val="restart"/>
                  <w:tcBorders>
                    <w:tl2br w:val="nil"/>
                    <w:tr2bl w:val="nil"/>
                  </w:tcBorders>
                  <w:vAlign w:val="center"/>
                </w:tcPr>
                <w:p>
                  <w:pPr>
                    <w:pStyle w:val="26"/>
                  </w:pPr>
                  <w:r>
                    <w:rPr>
                      <w:rFonts w:hint="eastAsia"/>
                    </w:rPr>
                    <w:t>挖方m</w:t>
                  </w:r>
                  <w:r>
                    <w:rPr>
                      <w:rFonts w:hint="eastAsia"/>
                      <w:vertAlign w:val="superscript"/>
                    </w:rPr>
                    <w:t>3</w:t>
                  </w:r>
                </w:p>
              </w:tc>
              <w:tc>
                <w:tcPr>
                  <w:tcW w:w="1048" w:type="pct"/>
                  <w:vMerge w:val="restart"/>
                  <w:tcBorders>
                    <w:tl2br w:val="nil"/>
                    <w:tr2bl w:val="nil"/>
                  </w:tcBorders>
                  <w:vAlign w:val="center"/>
                </w:tcPr>
                <w:p>
                  <w:pPr>
                    <w:pStyle w:val="26"/>
                  </w:pPr>
                  <w:r>
                    <w:rPr>
                      <w:rFonts w:hint="eastAsia"/>
                    </w:rPr>
                    <w:t>填方m</w:t>
                  </w:r>
                  <w:r>
                    <w:rPr>
                      <w:rFonts w:hint="eastAsia"/>
                      <w:vertAlign w:val="superscript"/>
                    </w:rPr>
                    <w:t>3</w:t>
                  </w:r>
                </w:p>
              </w:tc>
              <w:tc>
                <w:tcPr>
                  <w:tcW w:w="2125" w:type="pct"/>
                  <w:gridSpan w:val="2"/>
                  <w:tcBorders>
                    <w:tl2br w:val="nil"/>
                    <w:tr2bl w:val="nil"/>
                  </w:tcBorders>
                  <w:vAlign w:val="center"/>
                </w:tcPr>
                <w:p>
                  <w:pPr>
                    <w:pStyle w:val="26"/>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tblHeader/>
                <w:jc w:val="center"/>
              </w:trPr>
              <w:tc>
                <w:tcPr>
                  <w:tcW w:w="790" w:type="pct"/>
                  <w:vMerge w:val="continue"/>
                  <w:tcBorders>
                    <w:tl2br w:val="nil"/>
                    <w:tr2bl w:val="nil"/>
                  </w:tcBorders>
                  <w:vAlign w:val="center"/>
                </w:tcPr>
                <w:p>
                  <w:pPr>
                    <w:pStyle w:val="26"/>
                  </w:pPr>
                </w:p>
              </w:tc>
              <w:tc>
                <w:tcPr>
                  <w:tcW w:w="1038" w:type="pct"/>
                  <w:vMerge w:val="continue"/>
                  <w:tcBorders>
                    <w:tl2br w:val="nil"/>
                    <w:tr2bl w:val="nil"/>
                  </w:tcBorders>
                  <w:vAlign w:val="center"/>
                </w:tcPr>
                <w:p>
                  <w:pPr>
                    <w:pStyle w:val="26"/>
                  </w:pPr>
                </w:p>
              </w:tc>
              <w:tc>
                <w:tcPr>
                  <w:tcW w:w="1048" w:type="pct"/>
                  <w:vMerge w:val="continue"/>
                  <w:tcBorders>
                    <w:tl2br w:val="nil"/>
                    <w:tr2bl w:val="nil"/>
                  </w:tcBorders>
                  <w:vAlign w:val="center"/>
                </w:tcPr>
                <w:p>
                  <w:pPr>
                    <w:pStyle w:val="26"/>
                  </w:pPr>
                </w:p>
              </w:tc>
              <w:tc>
                <w:tcPr>
                  <w:tcW w:w="651" w:type="pct"/>
                  <w:tcBorders>
                    <w:tl2br w:val="nil"/>
                    <w:tr2bl w:val="nil"/>
                  </w:tcBorders>
                  <w:vAlign w:val="center"/>
                </w:tcPr>
                <w:p>
                  <w:pPr>
                    <w:pStyle w:val="26"/>
                  </w:pPr>
                  <w:r>
                    <w:rPr>
                      <w:rFonts w:hint="eastAsia"/>
                    </w:rPr>
                    <w:t>数量m</w:t>
                  </w:r>
                  <w:r>
                    <w:rPr>
                      <w:rFonts w:hint="eastAsia"/>
                      <w:vertAlign w:val="superscript"/>
                    </w:rPr>
                    <w:t>3</w:t>
                  </w:r>
                </w:p>
              </w:tc>
              <w:tc>
                <w:tcPr>
                  <w:tcW w:w="1474" w:type="pct"/>
                  <w:tcBorders>
                    <w:tl2br w:val="nil"/>
                    <w:tr2bl w:val="nil"/>
                  </w:tcBorders>
                  <w:vAlign w:val="center"/>
                </w:tcPr>
                <w:p>
                  <w:pPr>
                    <w:pStyle w:val="26"/>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 w:hRule="atLeast"/>
                <w:tblHeader/>
                <w:jc w:val="center"/>
              </w:trPr>
              <w:tc>
                <w:tcPr>
                  <w:tcW w:w="790" w:type="pct"/>
                  <w:tcBorders>
                    <w:tl2br w:val="nil"/>
                    <w:tr2bl w:val="nil"/>
                  </w:tcBorders>
                  <w:vAlign w:val="center"/>
                </w:tcPr>
                <w:p>
                  <w:pPr>
                    <w:pStyle w:val="26"/>
                  </w:pPr>
                  <w:r>
                    <w:rPr>
                      <w:rFonts w:hint="eastAsia"/>
                    </w:rPr>
                    <w:t>钻探岩心</w:t>
                  </w:r>
                </w:p>
              </w:tc>
              <w:tc>
                <w:tcPr>
                  <w:tcW w:w="1038" w:type="pct"/>
                  <w:tcBorders>
                    <w:tl2br w:val="nil"/>
                    <w:tr2bl w:val="nil"/>
                  </w:tcBorders>
                  <w:vAlign w:val="center"/>
                </w:tcPr>
                <w:p>
                  <w:pPr>
                    <w:pStyle w:val="26"/>
                  </w:pPr>
                  <w:r>
                    <w:t>15.45</w:t>
                  </w:r>
                </w:p>
              </w:tc>
              <w:tc>
                <w:tcPr>
                  <w:tcW w:w="1048" w:type="pct"/>
                  <w:tcBorders>
                    <w:tl2br w:val="nil"/>
                    <w:tr2bl w:val="nil"/>
                  </w:tcBorders>
                  <w:vAlign w:val="center"/>
                </w:tcPr>
                <w:p>
                  <w:pPr>
                    <w:pStyle w:val="26"/>
                  </w:pPr>
                  <w:r>
                    <w:t>0</w:t>
                  </w:r>
                </w:p>
              </w:tc>
              <w:tc>
                <w:tcPr>
                  <w:tcW w:w="651" w:type="pct"/>
                  <w:tcBorders>
                    <w:tl2br w:val="nil"/>
                    <w:tr2bl w:val="nil"/>
                  </w:tcBorders>
                  <w:vAlign w:val="center"/>
                </w:tcPr>
                <w:p>
                  <w:pPr>
                    <w:pStyle w:val="26"/>
                    <w:rPr>
                      <w:kern w:val="0"/>
                    </w:rPr>
                  </w:pPr>
                  <w:r>
                    <w:t>15.45</w:t>
                  </w:r>
                </w:p>
              </w:tc>
              <w:tc>
                <w:tcPr>
                  <w:tcW w:w="1474" w:type="pct"/>
                  <w:tcBorders>
                    <w:tl2br w:val="nil"/>
                    <w:tr2bl w:val="nil"/>
                  </w:tcBorders>
                  <w:vAlign w:val="center"/>
                </w:tcPr>
                <w:p>
                  <w:pPr>
                    <w:pStyle w:val="26"/>
                  </w:pPr>
                  <w:r>
                    <w:rPr>
                      <w:rFonts w:hint="eastAsia"/>
                    </w:rPr>
                    <w:t>送至实验室分析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blHeader/>
                <w:jc w:val="center"/>
              </w:trPr>
              <w:tc>
                <w:tcPr>
                  <w:tcW w:w="790" w:type="pct"/>
                  <w:tcBorders>
                    <w:tl2br w:val="nil"/>
                    <w:tr2bl w:val="nil"/>
                  </w:tcBorders>
                  <w:vAlign w:val="center"/>
                </w:tcPr>
                <w:p>
                  <w:pPr>
                    <w:pStyle w:val="26"/>
                  </w:pPr>
                  <w:r>
                    <w:rPr>
                      <w:rFonts w:hint="eastAsia"/>
                    </w:rPr>
                    <w:t>钻探剥离</w:t>
                  </w:r>
                </w:p>
              </w:tc>
              <w:tc>
                <w:tcPr>
                  <w:tcW w:w="1038" w:type="pct"/>
                  <w:tcBorders>
                    <w:tl2br w:val="nil"/>
                    <w:tr2bl w:val="nil"/>
                  </w:tcBorders>
                  <w:vAlign w:val="center"/>
                </w:tcPr>
                <w:p>
                  <w:pPr>
                    <w:pStyle w:val="26"/>
                  </w:pPr>
                  <w:r>
                    <w:t>46.8</w:t>
                  </w:r>
                  <w:r>
                    <w:rPr>
                      <w:rFonts w:hint="eastAsia"/>
                    </w:rPr>
                    <w:t>（松散方）</w:t>
                  </w:r>
                </w:p>
              </w:tc>
              <w:tc>
                <w:tcPr>
                  <w:tcW w:w="1048" w:type="pct"/>
                  <w:tcBorders>
                    <w:tl2br w:val="nil"/>
                    <w:tr2bl w:val="nil"/>
                  </w:tcBorders>
                  <w:vAlign w:val="center"/>
                </w:tcPr>
                <w:p>
                  <w:pPr>
                    <w:pStyle w:val="26"/>
                    <w:rPr>
                      <w:b/>
                      <w:bCs/>
                    </w:rPr>
                  </w:pPr>
                  <w:r>
                    <w:t>46.8</w:t>
                  </w:r>
                  <w:r>
                    <w:rPr>
                      <w:rFonts w:hint="eastAsia"/>
                    </w:rPr>
                    <w:t>（松散方）</w:t>
                  </w:r>
                </w:p>
              </w:tc>
              <w:tc>
                <w:tcPr>
                  <w:tcW w:w="651" w:type="pct"/>
                  <w:tcBorders>
                    <w:tl2br w:val="nil"/>
                    <w:tr2bl w:val="nil"/>
                  </w:tcBorders>
                  <w:vAlign w:val="center"/>
                </w:tcPr>
                <w:p>
                  <w:pPr>
                    <w:pStyle w:val="26"/>
                  </w:pPr>
                  <w:r>
                    <w:rPr>
                      <w:rFonts w:hint="eastAsia"/>
                    </w:rPr>
                    <w:t>0</w:t>
                  </w:r>
                </w:p>
              </w:tc>
              <w:tc>
                <w:tcPr>
                  <w:tcW w:w="1474" w:type="pct"/>
                  <w:tcBorders>
                    <w:tl2br w:val="nil"/>
                    <w:tr2bl w:val="nil"/>
                  </w:tcBorders>
                  <w:vAlign w:val="center"/>
                </w:tcPr>
                <w:p>
                  <w:pPr>
                    <w:pStyle w:val="26"/>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blHeader/>
                <w:jc w:val="center"/>
              </w:trPr>
              <w:tc>
                <w:tcPr>
                  <w:tcW w:w="790" w:type="pct"/>
                  <w:tcBorders>
                    <w:tl2br w:val="nil"/>
                    <w:tr2bl w:val="nil"/>
                  </w:tcBorders>
                  <w:vAlign w:val="center"/>
                </w:tcPr>
                <w:p>
                  <w:pPr>
                    <w:pStyle w:val="26"/>
                  </w:pPr>
                  <w:r>
                    <w:rPr>
                      <w:rFonts w:hint="eastAsia"/>
                    </w:rPr>
                    <w:t>槽探</w:t>
                  </w:r>
                </w:p>
              </w:tc>
              <w:tc>
                <w:tcPr>
                  <w:tcW w:w="1038" w:type="pct"/>
                  <w:tcBorders>
                    <w:tl2br w:val="nil"/>
                    <w:tr2bl w:val="nil"/>
                  </w:tcBorders>
                  <w:vAlign w:val="center"/>
                </w:tcPr>
                <w:p>
                  <w:pPr>
                    <w:pStyle w:val="26"/>
                  </w:pPr>
                  <w:r>
                    <w:t>2000</w:t>
                  </w:r>
                </w:p>
              </w:tc>
              <w:tc>
                <w:tcPr>
                  <w:tcW w:w="1048" w:type="pct"/>
                  <w:tcBorders>
                    <w:tl2br w:val="nil"/>
                    <w:tr2bl w:val="nil"/>
                  </w:tcBorders>
                  <w:vAlign w:val="center"/>
                </w:tcPr>
                <w:p>
                  <w:pPr>
                    <w:pStyle w:val="26"/>
                  </w:pPr>
                  <w:r>
                    <w:t>2000</w:t>
                  </w:r>
                </w:p>
              </w:tc>
              <w:tc>
                <w:tcPr>
                  <w:tcW w:w="651" w:type="pct"/>
                  <w:tcBorders>
                    <w:tl2br w:val="nil"/>
                    <w:tr2bl w:val="nil"/>
                  </w:tcBorders>
                  <w:vAlign w:val="center"/>
                </w:tcPr>
                <w:p>
                  <w:pPr>
                    <w:pStyle w:val="26"/>
                  </w:pPr>
                  <w:r>
                    <w:rPr>
                      <w:rFonts w:hint="eastAsia"/>
                    </w:rPr>
                    <w:t>0</w:t>
                  </w:r>
                </w:p>
              </w:tc>
              <w:tc>
                <w:tcPr>
                  <w:tcW w:w="1474" w:type="pct"/>
                  <w:tcBorders>
                    <w:tl2br w:val="nil"/>
                    <w:tr2bl w:val="nil"/>
                  </w:tcBorders>
                  <w:vAlign w:val="center"/>
                </w:tcPr>
                <w:p>
                  <w:pPr>
                    <w:pStyle w:val="26"/>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blHeader/>
                <w:jc w:val="center"/>
              </w:trPr>
              <w:tc>
                <w:tcPr>
                  <w:tcW w:w="790" w:type="pct"/>
                  <w:tcBorders>
                    <w:tl2br w:val="nil"/>
                    <w:tr2bl w:val="nil"/>
                  </w:tcBorders>
                  <w:vAlign w:val="center"/>
                </w:tcPr>
                <w:p>
                  <w:pPr>
                    <w:pStyle w:val="26"/>
                  </w:pPr>
                  <w:r>
                    <w:rPr>
                      <w:rFonts w:hint="eastAsia"/>
                    </w:rPr>
                    <w:t>合计</w:t>
                  </w:r>
                </w:p>
              </w:tc>
              <w:tc>
                <w:tcPr>
                  <w:tcW w:w="1038" w:type="pct"/>
                  <w:tcBorders>
                    <w:tl2br w:val="nil"/>
                    <w:tr2bl w:val="nil"/>
                  </w:tcBorders>
                  <w:vAlign w:val="center"/>
                </w:tcPr>
                <w:p>
                  <w:pPr>
                    <w:pStyle w:val="26"/>
                  </w:pPr>
                  <w:r>
                    <w:rPr>
                      <w:rFonts w:hint="eastAsia"/>
                    </w:rPr>
                    <w:t>2</w:t>
                  </w:r>
                  <w:r>
                    <w:t>062.25</w:t>
                  </w:r>
                </w:p>
              </w:tc>
              <w:tc>
                <w:tcPr>
                  <w:tcW w:w="1048" w:type="pct"/>
                  <w:tcBorders>
                    <w:tl2br w:val="nil"/>
                    <w:tr2bl w:val="nil"/>
                  </w:tcBorders>
                  <w:vAlign w:val="center"/>
                </w:tcPr>
                <w:p>
                  <w:pPr>
                    <w:pStyle w:val="26"/>
                  </w:pPr>
                  <w:r>
                    <w:rPr>
                      <w:rFonts w:hint="eastAsia"/>
                    </w:rPr>
                    <w:t>2</w:t>
                  </w:r>
                  <w:r>
                    <w:t>046.8</w:t>
                  </w:r>
                </w:p>
              </w:tc>
              <w:tc>
                <w:tcPr>
                  <w:tcW w:w="651" w:type="pct"/>
                  <w:tcBorders>
                    <w:tl2br w:val="nil"/>
                    <w:tr2bl w:val="nil"/>
                  </w:tcBorders>
                  <w:vAlign w:val="center"/>
                </w:tcPr>
                <w:p>
                  <w:pPr>
                    <w:pStyle w:val="26"/>
                  </w:pPr>
                  <w:r>
                    <w:t>15.45</w:t>
                  </w:r>
                </w:p>
              </w:tc>
              <w:tc>
                <w:tcPr>
                  <w:tcW w:w="1474" w:type="pct"/>
                  <w:tcBorders>
                    <w:tl2br w:val="nil"/>
                    <w:tr2bl w:val="nil"/>
                  </w:tcBorders>
                  <w:vAlign w:val="center"/>
                </w:tcPr>
                <w:p>
                  <w:pPr>
                    <w:pStyle w:val="26"/>
                  </w:pPr>
                  <w:r>
                    <w:rPr>
                      <w:rFonts w:hint="eastAsia"/>
                    </w:rPr>
                    <w:t>/</w:t>
                  </w:r>
                </w:p>
              </w:tc>
            </w:tr>
          </w:tbl>
          <w:p>
            <w:pPr>
              <w:pStyle w:val="15"/>
              <w:ind w:firstLine="482" w:firstLineChars="200"/>
            </w:pPr>
            <w:r>
              <w:rPr>
                <w:rFonts w:hint="eastAsia"/>
              </w:rPr>
              <w:t>9.工作制度和职工人数</w:t>
            </w:r>
          </w:p>
          <w:p>
            <w:pPr>
              <w:rPr>
                <w:b/>
                <w:color w:val="000000"/>
                <w:szCs w:val="21"/>
              </w:rPr>
            </w:pPr>
            <w:r>
              <w:rPr>
                <w:rFonts w:hint="eastAsia"/>
              </w:rPr>
              <w:t>本项目工作人数12人，年工作200天，每天</w:t>
            </w:r>
            <w:r>
              <w:t>8</w:t>
            </w:r>
            <w:r>
              <w:rPr>
                <w:rFonts w:hint="eastAsia"/>
              </w:rPr>
              <w:t>小时，工作周期为</w:t>
            </w:r>
            <w:r>
              <w:t>2</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8" w:type="pct"/>
            <w:vAlign w:val="center"/>
          </w:tcPr>
          <w:p>
            <w:pPr>
              <w:pStyle w:val="26"/>
            </w:pPr>
            <w:r>
              <w:rPr>
                <w:rFonts w:hint="eastAsia"/>
              </w:rPr>
              <w:t>总平面及现场布置</w:t>
            </w:r>
          </w:p>
        </w:tc>
        <w:tc>
          <w:tcPr>
            <w:tcW w:w="4531" w:type="pct"/>
          </w:tcPr>
          <w:p>
            <w:r>
              <w:rPr>
                <w:rFonts w:hint="eastAsia"/>
              </w:rPr>
              <w:t>本项目探矿方式采用钻探及槽探。</w:t>
            </w:r>
          </w:p>
          <w:p>
            <w:r>
              <w:rPr>
                <w:rFonts w:hint="eastAsia"/>
              </w:rPr>
              <w:t>钻探采用钻机，配合柴油发电机组对地表进行钻探，槽探采用挖掘机，设计探槽工作量</w:t>
            </w:r>
            <w:r>
              <w:t>2000</w:t>
            </w:r>
            <w:r>
              <w:rPr>
                <w:rFonts w:hint="eastAsia"/>
              </w:rPr>
              <w:t>m</w:t>
            </w:r>
            <w:r>
              <w:rPr>
                <w:vertAlign w:val="superscript"/>
              </w:rPr>
              <w:t>3</w:t>
            </w:r>
            <w:r>
              <w:rPr>
                <w:rFonts w:hint="eastAsia"/>
              </w:rPr>
              <w:t>，噪声源强在85~95dB（A），经距离衰减后，场界能够达到《工业企业厂界环境噪声排放标准》（GB12348-2008）中2类标准，对周边影响较小。本项目钻探产生的弃渣，堆放于各施工点附近，施工完成后进行土地恢复，对环境影响较小。</w:t>
            </w:r>
          </w:p>
          <w:p>
            <w:r>
              <w:rPr>
                <w:rFonts w:hint="eastAsia"/>
              </w:rPr>
              <w:t>总平面布置相对比较简单，主要包括：办公生活区、生产区和辅助生产区，在钻探、槽探附近各设置一个临时堆场，用于存放钻探和槽探过程挖出的废石，待施工期结束后用于回填。矿区内部存在简易道路，作为探矿期临时道路；本次探矿活动在探矿作业区内搭设临时帐篷，随工程施工点位移动，钻探过程用水由附近城镇拉由水车拉运至勘探区工作人员用水自带的纯净水。产生的生产废水循环使用，不外排。</w:t>
            </w:r>
          </w:p>
          <w:p>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工程布置图》和《附图3项目区影像图》。</w:t>
            </w:r>
          </w:p>
          <w:p>
            <w:r>
              <w:rPr>
                <w:rFonts w:hint="eastAsia"/>
              </w:rPr>
              <w:t>综上所述，项目各勘探活动影响范围内无自然保护区、风景名胜保护区、饮用水源地等敏感点。探矿范围内多为山区，主要为草地生态系统，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68" w:type="pct"/>
            <w:vAlign w:val="center"/>
          </w:tcPr>
          <w:p>
            <w:pPr>
              <w:pStyle w:val="26"/>
            </w:pPr>
            <w:r>
              <w:rPr>
                <w:rFonts w:hint="eastAsia"/>
              </w:rPr>
              <w:t>施工方案</w:t>
            </w:r>
          </w:p>
        </w:tc>
        <w:tc>
          <w:tcPr>
            <w:tcW w:w="4531" w:type="pct"/>
          </w:tcPr>
          <w:p>
            <w:pPr>
              <w:ind w:firstLine="482"/>
              <w:rPr>
                <w:b/>
                <w:bCs/>
              </w:rPr>
            </w:pPr>
            <w:r>
              <w:rPr>
                <w:rFonts w:hint="eastAsia"/>
                <w:b/>
                <w:bCs/>
              </w:rPr>
              <w:t>（一）工艺流程</w:t>
            </w:r>
          </w:p>
          <w:p>
            <w:r>
              <w:rPr>
                <w:rFonts w:hint="eastAsia"/>
              </w:rPr>
              <w:t>本勘探项目产生环境影响的时段</w:t>
            </w:r>
            <w:r>
              <w:t>主要为野外勘探期。探矿工作主要包括地质测量</w:t>
            </w:r>
            <w:r>
              <w:rPr>
                <w:rFonts w:hint="eastAsia"/>
              </w:rPr>
              <w:t>、钻探及槽探</w:t>
            </w:r>
            <w:r>
              <w:t>，工程实施过程中主要的污染来</w:t>
            </w:r>
            <w:r>
              <w:rPr>
                <w:rFonts w:hint="eastAsia"/>
              </w:rPr>
              <w:t>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ind w:firstLine="482"/>
              <w:rPr>
                <w:b/>
                <w:bCs/>
              </w:rPr>
            </w:pPr>
            <w:r>
              <w:rPr>
                <w:rFonts w:hint="eastAsia"/>
                <w:b/>
                <w:bCs/>
              </w:rPr>
              <w:t>1</w:t>
            </w:r>
            <w:r>
              <w:rPr>
                <w:b/>
                <w:bCs/>
              </w:rPr>
              <w:t>.</w:t>
            </w:r>
            <w:r>
              <w:rPr>
                <w:rFonts w:hint="eastAsia"/>
                <w:b/>
                <w:bCs/>
              </w:rPr>
              <w:t>钻探施工工艺及产污流程</w:t>
            </w:r>
          </w:p>
          <w:p>
            <w:pPr>
              <w:pStyle w:val="7"/>
              <w:ind w:firstLine="480"/>
              <w:jc w:val="both"/>
            </w:pPr>
            <w:r>
              <w:rPr>
                <w:rFonts w:hint="eastAsia"/>
              </w:rPr>
              <w:t>钻探是用钻机按一定设计角度和方向施工钻孔，通过钻孔采取岩芯（或矿芯）、岩屑，以探查地下岩层、矿体等分布及储量的一种探矿手段，在研究和分析相邻工程所见的地质体、构造、蚀变、矿化的空间分布的基础上，选择地表矿化较好的矿体进行深部验证钻探验证。</w:t>
            </w:r>
          </w:p>
          <w:p>
            <w:pPr>
              <w:pStyle w:val="7"/>
              <w:ind w:firstLine="480"/>
            </w:pPr>
            <w:r>
              <w:rPr>
                <w:rFonts w:hint="eastAsia"/>
              </w:rPr>
              <w:t>钻孔全部采用金刚石钻进、绳索取心工艺，采用75mm口径金刚石钻进，岩心采取率一般不低于70%，矿心采取率一般不低于80%，岩矿心取出后，按先后顺序排好，孔斜测量、孔深验证须及时，不得终孔一次进行，结果填写表格</w:t>
            </w:r>
            <w:r>
              <w:rPr>
                <w:rFonts w:ascii="宋体" w:hAnsi="宋体" w:cs="宋体"/>
              </w:rPr>
              <w:t>。</w:t>
            </w:r>
          </w:p>
          <w:p>
            <w:pPr>
              <w:ind w:firstLine="0" w:firstLineChars="0"/>
              <w:jc w:val="center"/>
            </w:pPr>
            <w:r>
              <w:drawing>
                <wp:inline distT="0" distB="0" distL="0" distR="0">
                  <wp:extent cx="4629150" cy="1143000"/>
                  <wp:effectExtent l="19050" t="19050" r="19050" b="19050"/>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13"/>
                          <a:stretch>
                            <a:fillRect/>
                          </a:stretch>
                        </pic:blipFill>
                        <pic:spPr>
                          <a:xfrm>
                            <a:off x="0" y="0"/>
                            <a:ext cx="4629150" cy="114300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8"/>
              <w:spacing w:before="156"/>
            </w:pPr>
            <w:r>
              <w:rPr>
                <w:rFonts w:hint="eastAsia"/>
              </w:rPr>
              <w:t>图</w:t>
            </w:r>
            <w:r>
              <w:t>2-2  钻探工艺流程图</w:t>
            </w:r>
          </w:p>
          <w:p>
            <w:r>
              <w:rPr>
                <w:rFonts w:hint="eastAsia"/>
              </w:rPr>
              <w:t>工艺说明：</w:t>
            </w:r>
          </w:p>
          <w:p>
            <w:r>
              <w:rPr>
                <w:rFonts w:hint="eastAsia"/>
              </w:rPr>
              <w:t>（1）钻探</w:t>
            </w:r>
            <w:r>
              <w:rPr>
                <w:color w:val="000000"/>
              </w:rPr>
              <w:t>目的任务</w:t>
            </w:r>
          </w:p>
          <w:p>
            <w:r>
              <w:rPr>
                <w:rFonts w:hint="eastAsia"/>
              </w:rPr>
              <w:t>本次暂布置3</w:t>
            </w:r>
            <w:r>
              <w:t>500</w:t>
            </w:r>
            <w:r>
              <w:rPr>
                <w:rFonts w:hint="eastAsia"/>
              </w:rPr>
              <w:t>m钻探工作量。根据由表及里、由浅入深，在矿体上盘方向，贴近矿体露头，由近及远的原则逐渐施工。按照《实施方案》及设计图纸等资料，确定钻孔位置。</w:t>
            </w:r>
          </w:p>
          <w:p>
            <w:r>
              <w:rPr>
                <w:rFonts w:hint="eastAsia"/>
              </w:rPr>
              <w:t>（2）</w:t>
            </w:r>
            <w:r>
              <w:t>表土剥离</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12</w:t>
            </w:r>
            <w:r>
              <w:rPr>
                <w:rFonts w:hint="eastAsia"/>
              </w:rPr>
              <w:t>个钻孔计，</w:t>
            </w:r>
            <w:r>
              <w:t>共计需剥离180m</w:t>
            </w:r>
            <w:r>
              <w:rPr>
                <w:vertAlign w:val="superscript"/>
              </w:rPr>
              <w:t>2</w:t>
            </w:r>
            <w:r>
              <w:t>，剥离厚度按20cm计算，每孔需剥离</w:t>
            </w:r>
            <w:r>
              <w:rPr>
                <w:rFonts w:hint="eastAsia"/>
              </w:rPr>
              <w:t>3</w:t>
            </w:r>
            <w:r>
              <w:t>m</w:t>
            </w:r>
            <w:r>
              <w:rPr>
                <w:vertAlign w:val="superscript"/>
              </w:rPr>
              <w:t>3</w:t>
            </w:r>
            <w:r>
              <w:t>，共需要堆放约36m</w:t>
            </w:r>
            <w:r>
              <w:rPr>
                <w:vertAlign w:val="superscript"/>
              </w:rPr>
              <w:t>3</w:t>
            </w:r>
            <w:r>
              <w:t>(松散系数k=1.3</w:t>
            </w:r>
            <w:r>
              <w:rPr>
                <w:rFonts w:hint="eastAsia"/>
              </w:rPr>
              <w:t>，</w:t>
            </w:r>
            <w:r>
              <w:t>剥离松</w:t>
            </w:r>
            <w:r>
              <w:rPr>
                <w:rFonts w:hint="eastAsia"/>
              </w:rPr>
              <w:t>散</w:t>
            </w:r>
            <w:r>
              <w:t>方46.8m</w:t>
            </w:r>
            <w:r>
              <w:rPr>
                <w:vertAlign w:val="superscript"/>
              </w:rPr>
              <w:t>3</w:t>
            </w:r>
            <w:r>
              <w:t>)。</w:t>
            </w:r>
          </w:p>
          <w:p>
            <w:r>
              <w:t>（3）钻孔施工</w:t>
            </w:r>
          </w:p>
          <w:p>
            <w:r>
              <w:t>钻机运至施工地点，剥离周边表土后即可架机开孔，钻孔设备均采用新设备、钻孔孔身结构设计采用多层套管。整个工程钻孔的废弃泥浆呈点状分布，本项目钻井过程中使用黄泥、膨润土和水，黄泥作用主要是防止钻孔时塌孔和清孔时将下面的沉渣反带上来，防止污染地下水。</w:t>
            </w:r>
          </w:p>
          <w:p>
            <w:r>
              <w:t>每1孔设置一座容积约5m³的沉淀池，钻孔过程中产生的泥浆水进入沉淀池进行沉降处理，上层清水可供钻孔机循环使用。沉淀池规格为：长×宽×高=3m×2m×1m，槽体采用厚度为50mm的复合人工防渗材料制成，分为两格，分别为污泥池和清水池，中间设置隔断。槽体就地挖坑固定，其防渗性能满足《一般工业固体废物贮存和填埋污染控制标准》（GB18599-2020）中对Ⅱ类一般工业固体废物贮存场所的防渗要求。</w:t>
            </w:r>
          </w:p>
          <w:p>
            <w:pPr>
              <w:pStyle w:val="39"/>
              <w:numPr>
                <w:ilvl w:val="0"/>
                <w:numId w:val="2"/>
              </w:numPr>
              <w:ind w:firstLineChars="0"/>
            </w:pPr>
            <w:r>
              <w:rPr>
                <w:rFonts w:hint="eastAsia"/>
              </w:rPr>
              <w:t>编录、取样</w:t>
            </w:r>
          </w:p>
          <w:p>
            <w:r>
              <w:rPr>
                <w:rFonts w:hint="eastAsia"/>
              </w:rPr>
              <w:t>原始现场的编录由机台各班指定记录员编录和保管，记录员必须认真反映生产情况，及时填写，内容详细，数字准确清晰、整洁，报表填写一律用钢笔现场填写。按有关规定填写岩芯标签、对岩芯和岩芯箱编号，岩芯牌一律用中性笔填写，岩芯箱用红色油漆和毛笔编写，对一些特殊易碎的矿化岩石（如蚀变带）需用塑料布包好放于岩芯箱中，岩芯长大于5cm应编号，编号要字迹清楚，防止脱落。岩芯标签、岩芯编号记录应与班报表记录一致，不得错编、漏编。</w:t>
            </w:r>
          </w:p>
          <w:p>
            <w:r>
              <w:rPr>
                <w:rFonts w:hint="eastAsia"/>
              </w:rPr>
              <w:t>地质编录取样前，施工人员必须对岩芯妥善保管好，钻进中取出的岩矿芯应由当班人员清洗，剔除掉块等杂物，严格依次装箱，编号，不得出现岩芯丢失、颠倒混乱错位、任意拉长的现象。岩芯在现场保管因管理不慎缺失及翻箱，也为原始编录不合格。按地质要求妥善保管好岩心，运送到指定的岩心存放地点。</w:t>
            </w:r>
          </w:p>
          <w:p>
            <w:r>
              <w:rPr>
                <w:rFonts w:hint="eastAsia"/>
              </w:rPr>
              <w:t>（5）封孔</w:t>
            </w:r>
          </w:p>
          <w:p>
            <w:r>
              <w:rPr>
                <w:rFonts w:hint="eastAsia"/>
              </w:rPr>
              <w:t>终孔时，地质人员，按地质、水文共同研究的封孔要求填写在封孔通知书上交与机台，机台按有关要求封孔，将封孔实际情况填写登记表中，各级人员签名后及时交给地质编录人员，终孔后要严格封孔并做好封孔记录。要求封孔水泥柱进入基岩的长度不应小于5m；矿体所在部位（或主要含水层，含水构造、破碎带顶、底板）、矿体顶板以上5m、底板以下5m均应用325号以上水泥封孔，水灰比要符合有关要求，如矿层不厚或矿层与矿层、矿层与含水层距离比较近时，可一并封孔。其它稳定地段用浓泥浆封孔，各层间以木桩架桥。</w:t>
            </w:r>
          </w:p>
          <w:p>
            <w:pPr>
              <w:rPr>
                <w:b/>
              </w:rPr>
            </w:pPr>
            <w:r>
              <w:rPr>
                <w:rFonts w:hint="eastAsia"/>
              </w:rPr>
              <w:t>封孔时不应从孔口一次性倒入水泥，应用水泵注入水泥浆，从下往上依次封孔。凡使用泥浆钻进的钻孔，应在洗涮封孔部位的泥皮后，再行封孔。钻孔终孔后应起拔井口管，并在孔口中心处设立埋深不小于5m的水泥标志桩（标志桩要高出地面50cm），并标明钻孔编号、孔深、施工日期等。钻探技术要求按行业标准DZT0227-2010《地质岩心钻探规程》、DZ/T0032-92《地质勘查钻探岩矿心管理通则》及《关于钻探工程质量标准的暂行规定》执行。</w:t>
            </w:r>
          </w:p>
          <w:p>
            <w:pPr>
              <w:ind w:firstLine="482"/>
              <w:rPr>
                <w:b/>
                <w:bCs/>
              </w:rPr>
            </w:pPr>
            <w:r>
              <w:rPr>
                <w:rFonts w:hint="eastAsia"/>
                <w:b/>
                <w:bCs/>
              </w:rPr>
              <w:t>2</w:t>
            </w:r>
            <w:r>
              <w:rPr>
                <w:b/>
                <w:bCs/>
              </w:rPr>
              <w:t>.</w:t>
            </w:r>
            <w:r>
              <w:rPr>
                <w:rFonts w:hint="eastAsia"/>
                <w:b/>
                <w:bCs/>
              </w:rPr>
              <w:t>槽探施工工艺及产污流程</w:t>
            </w:r>
          </w:p>
          <w:p>
            <w:r>
              <w:rPr>
                <w:rFonts w:hint="eastAsia"/>
              </w:rPr>
              <w:t>（1）布置与施工</w:t>
            </w:r>
          </w:p>
          <w:p>
            <w:r>
              <w:t>探槽尽量垂直矿带（体）或异常走向布置，间距不作具体划定，根据第四系掩盖程度、施工难易程度布置，以达到见矿最大效率为目的。施工顺序</w:t>
            </w:r>
            <w:r>
              <w:rPr>
                <w:rFonts w:hint="eastAsia" w:ascii="宋体" w:hAnsi="宋体" w:cs="宋体"/>
              </w:rPr>
              <w:t>∶</w:t>
            </w:r>
            <w:r>
              <w:t>优先在见矿几率最大的部位，再沿见矿工程或矿化露头沿走向展开。开口宽度根据推测施工深度确定，一般不超过2.0m、底宽不低于0.8m，断面为倒梯形，底壁平整，深入基岩0.3—0.5m。在确保安全的前提下可酌情加深。探槽必须揭穿矿（化）体的顶、底板。</w:t>
            </w:r>
          </w:p>
          <w:p>
            <w:r>
              <w:t>（2）探槽编录</w:t>
            </w:r>
          </w:p>
          <w:p>
            <w:pPr>
              <w:rPr>
                <w:color w:val="000000"/>
              </w:rPr>
            </w:pPr>
            <w:r>
              <w:rPr>
                <w:color w:val="000000"/>
                <w:lang w:bidi="ar"/>
              </w:rPr>
              <w:t>槽探编录可采用野外编录系统（掌上机）直接编录，也可用传统的编录方法。</w:t>
            </w:r>
          </w:p>
          <w:p>
            <w:pPr>
              <w:rPr>
                <w:color w:val="000000"/>
              </w:rPr>
            </w:pPr>
            <w:r>
              <w:rPr>
                <w:rFonts w:hint="eastAsia" w:ascii="宋体" w:hAnsi="宋体" w:cs="宋体"/>
                <w:color w:val="000000"/>
                <w:lang w:bidi="ar"/>
              </w:rPr>
              <w:t>①</w:t>
            </w:r>
            <w:r>
              <w:rPr>
                <w:color w:val="000000"/>
                <w:lang w:bidi="ar"/>
              </w:rPr>
              <w:t>基线应尽量平行于槽壁与槽底交界线，便于数据采集。当探槽过长或有拐弯时，应分段设置基点及基线。</w:t>
            </w:r>
          </w:p>
          <w:p>
            <w:pPr>
              <w:rPr>
                <w:color w:val="000000"/>
              </w:rPr>
            </w:pPr>
            <w:r>
              <w:rPr>
                <w:rFonts w:hint="eastAsia" w:ascii="宋体" w:hAnsi="宋体" w:cs="宋体"/>
                <w:color w:val="000000"/>
                <w:lang w:bidi="ar"/>
              </w:rPr>
              <w:t>②</w:t>
            </w:r>
            <w:r>
              <w:rPr>
                <w:color w:val="000000"/>
                <w:lang w:bidi="ar"/>
              </w:rPr>
              <w:t>只作一壁一底展开图。地质编录槽壁，槽底以壁投影。当两壁上基岩露头的地质现象可对应吻合时，东西向或大致东西向的探槽选北壁，南北向或大致南北向探槽选东壁。</w:t>
            </w:r>
          </w:p>
          <w:p>
            <w:pPr>
              <w:rPr>
                <w:color w:val="000000"/>
              </w:rPr>
            </w:pPr>
            <w:r>
              <w:rPr>
                <w:rFonts w:hint="eastAsia" w:ascii="宋体" w:hAnsi="宋体" w:cs="宋体"/>
                <w:color w:val="000000"/>
                <w:lang w:bidi="ar"/>
              </w:rPr>
              <w:t>③</w:t>
            </w:r>
            <w:r>
              <w:rPr>
                <w:color w:val="000000"/>
                <w:lang w:bidi="ar"/>
              </w:rPr>
              <w:t>编录前应对槽壁上出露的不同的岩石类型、不同的矿化层、不同矿石类型、不同工业品级的界线及较大构造进行划分。</w:t>
            </w:r>
          </w:p>
          <w:p>
            <w:pPr>
              <w:rPr>
                <w:color w:val="000000"/>
              </w:rPr>
            </w:pPr>
            <w:r>
              <w:rPr>
                <w:rFonts w:hint="eastAsia" w:ascii="宋体" w:hAnsi="宋体" w:cs="宋体"/>
                <w:color w:val="000000"/>
                <w:lang w:bidi="ar"/>
              </w:rPr>
              <w:t>④</w:t>
            </w:r>
            <w:r>
              <w:rPr>
                <w:color w:val="000000"/>
                <w:lang w:bidi="ar"/>
              </w:rPr>
              <w:t>素描图上宽度大于1mm的地质体、虽不足1mm但有特殊意义的矿化体或地质现象都应分层表示或放大表示。</w:t>
            </w:r>
          </w:p>
          <w:p>
            <w:pPr>
              <w:rPr>
                <w:color w:val="000000"/>
              </w:rPr>
            </w:pPr>
            <w:r>
              <w:rPr>
                <w:rFonts w:hint="eastAsia" w:ascii="宋体" w:hAnsi="宋体" w:cs="宋体"/>
                <w:color w:val="000000"/>
                <w:lang w:bidi="ar"/>
              </w:rPr>
              <w:t>⑤</w:t>
            </w:r>
            <w:r>
              <w:rPr>
                <w:color w:val="000000"/>
                <w:lang w:bidi="ar"/>
              </w:rPr>
              <w:t>在保证样品代表性及样槽规格的前提下，可在槽底与槽壁交界的槽底（推荐）或槽壁布样；刻槽样必须穿越矿（化）层连续布置，顶、底板有样探制；刻槽样单样长度代表的真厚度应不大于矿体的矿体可采厚度；同一矿（化）层需布两个样及以上时，应尽量保证各样品长度的均匀性。并用红油漆对所布样品标注清楚。</w:t>
            </w:r>
          </w:p>
          <w:p>
            <w:pPr>
              <w:rPr>
                <w:color w:val="000000"/>
              </w:rPr>
            </w:pPr>
            <w:r>
              <w:rPr>
                <w:rFonts w:hint="eastAsia" w:ascii="宋体" w:hAnsi="宋体" w:cs="宋体"/>
                <w:color w:val="000000"/>
                <w:lang w:bidi="ar"/>
              </w:rPr>
              <w:t>⑥</w:t>
            </w:r>
            <w:r>
              <w:rPr>
                <w:color w:val="000000"/>
                <w:lang w:bidi="ar"/>
              </w:rPr>
              <w:t>探槽方向变化的方位差小于15°时，在拐点处设基点，但槽壁及槽底均可连续素描；探槽方向变化的方位差大于等于15°时，采用裂开法素描；作大坡度探槽素描图时，槽壁可分段垂直上下移动，形成锯齿状（槽底仍然连续）。这时要注意各段之间的地质要素应严格扣合。</w:t>
            </w:r>
          </w:p>
          <w:p>
            <w:pPr>
              <w:rPr>
                <w:color w:val="000000"/>
              </w:rPr>
            </w:pPr>
            <w:r>
              <w:rPr>
                <w:rFonts w:hint="eastAsia" w:ascii="宋体" w:hAnsi="宋体" w:cs="宋体"/>
                <w:color w:val="000000"/>
                <w:lang w:bidi="ar"/>
              </w:rPr>
              <w:t>⑦</w:t>
            </w:r>
            <w:r>
              <w:rPr>
                <w:color w:val="000000"/>
                <w:lang w:bidi="ar"/>
              </w:rPr>
              <w:t>素描图表示内容</w:t>
            </w:r>
            <w:r>
              <w:rPr>
                <w:rFonts w:hint="eastAsia" w:ascii="宋体" w:hAnsi="宋体" w:cs="宋体"/>
                <w:color w:val="000000"/>
                <w:lang w:bidi="ar"/>
              </w:rPr>
              <w:t>：</w:t>
            </w:r>
            <w:r>
              <w:rPr>
                <w:color w:val="000000"/>
                <w:lang w:bidi="ar"/>
              </w:rPr>
              <w:t>图名、比例尺（线段比例尺）、素描图、样品分析结果表、图例、图签。野外绘制素描图要求真实、准确，内容包括有岩性分层界线、矿层（体）界线、蚀变带，断层及破碎带、样品位置及编号、产状等。素描图上不画矿体花纹，应根据分析结果用颜色表示矿（化）体。</w:t>
            </w:r>
          </w:p>
          <w:p>
            <w:pPr>
              <w:ind w:firstLine="0" w:firstLineChars="0"/>
            </w:pPr>
            <w:r>
              <w:drawing>
                <wp:inline distT="0" distB="0" distL="0" distR="0">
                  <wp:extent cx="4648200" cy="2305050"/>
                  <wp:effectExtent l="9525" t="9525" r="158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48200" cy="2305050"/>
                          </a:xfrm>
                          <a:prstGeom prst="rect">
                            <a:avLst/>
                          </a:prstGeom>
                          <a:ln>
                            <a:solidFill>
                              <a:schemeClr val="tx1"/>
                            </a:solidFill>
                          </a:ln>
                        </pic:spPr>
                      </pic:pic>
                    </a:graphicData>
                  </a:graphic>
                </wp:inline>
              </w:drawing>
            </w:r>
          </w:p>
          <w:p>
            <w:pPr>
              <w:ind w:firstLine="0" w:firstLineChars="0"/>
              <w:jc w:val="center"/>
              <w:rPr>
                <w:rFonts w:ascii="宋体" w:hAnsi="宋体"/>
              </w:rPr>
            </w:pPr>
            <w:r>
              <w:rPr>
                <w:rFonts w:hint="eastAsia"/>
                <w:b/>
                <w:kern w:val="0"/>
                <w:sz w:val="21"/>
                <w:szCs w:val="20"/>
              </w:rPr>
              <w:t>图</w:t>
            </w:r>
            <w:r>
              <w:rPr>
                <w:b/>
                <w:kern w:val="0"/>
                <w:sz w:val="21"/>
                <w:szCs w:val="20"/>
              </w:rPr>
              <w:t xml:space="preserve">2-3  </w:t>
            </w:r>
            <w:r>
              <w:rPr>
                <w:rFonts w:hint="eastAsia"/>
                <w:b/>
                <w:kern w:val="0"/>
                <w:sz w:val="21"/>
                <w:szCs w:val="20"/>
              </w:rPr>
              <w:t>槽探工艺流程及产污环节图</w:t>
            </w:r>
          </w:p>
          <w:p>
            <w:r>
              <w:rPr>
                <w:rFonts w:hint="eastAsia"/>
              </w:rPr>
              <w:t>3</w:t>
            </w:r>
            <w:r>
              <w:t>.</w:t>
            </w:r>
            <w:r>
              <w:rPr>
                <w:rFonts w:hint="eastAsia"/>
              </w:rPr>
              <w:t>施工时序</w:t>
            </w:r>
          </w:p>
          <w:p>
            <w:r>
              <w:rPr>
                <w:rFonts w:hint="eastAsia"/>
              </w:rPr>
              <w:t>施工顺序为：施工放样→地面掘除清理→地表平整压实→钻探/槽探施工。</w:t>
            </w:r>
          </w:p>
          <w:p>
            <w:r>
              <w:rPr>
                <w:rFonts w:hint="eastAsia"/>
              </w:rPr>
              <w:t>4</w:t>
            </w:r>
            <w:r>
              <w:t>.</w:t>
            </w:r>
            <w:r>
              <w:rPr>
                <w:rFonts w:hint="eastAsia"/>
              </w:rPr>
              <w:t>建设周期</w:t>
            </w:r>
          </w:p>
          <w:p>
            <w:r>
              <w:t>本工程施工总工期安排2</w:t>
            </w:r>
            <w:r>
              <w:rPr>
                <w:rFonts w:hint="eastAsia"/>
              </w:rPr>
              <w:t>年，根据天气情况具体安排施工时段，一年施工期200d，</w:t>
            </w:r>
            <w:r>
              <w:t>本项目施工高峰期劳动定员可达</w:t>
            </w:r>
            <w:r>
              <w:rPr>
                <w:rFonts w:hint="eastAsia"/>
              </w:rPr>
              <w:t>12</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68" w:type="pct"/>
            <w:vAlign w:val="center"/>
          </w:tcPr>
          <w:p>
            <w:pPr>
              <w:pStyle w:val="26"/>
            </w:pPr>
            <w:r>
              <w:rPr>
                <w:rFonts w:hint="eastAsia"/>
              </w:rPr>
              <w:t>其他</w:t>
            </w:r>
          </w:p>
        </w:tc>
        <w:tc>
          <w:tcPr>
            <w:tcW w:w="4531" w:type="pct"/>
          </w:tcPr>
          <w:p/>
          <w:p/>
          <w:p/>
          <w:p>
            <w:pPr>
              <w:jc w:val="center"/>
            </w:pPr>
            <w:r>
              <w:rPr>
                <w:rFonts w:hint="eastAsia"/>
              </w:rPr>
              <w:t>无</w:t>
            </w:r>
          </w:p>
          <w:p/>
          <w:p>
            <w:pPr>
              <w:jc w:val="left"/>
            </w:pPr>
          </w:p>
          <w:p/>
          <w:p/>
        </w:tc>
      </w:tr>
    </w:tbl>
    <w:p>
      <w:pPr>
        <w:sectPr>
          <w:footerReference r:id="rId11" w:type="default"/>
          <w:pgSz w:w="11906" w:h="16838"/>
          <w:pgMar w:top="1440" w:right="1800" w:bottom="1440" w:left="1800" w:header="851" w:footer="992" w:gutter="0"/>
          <w:pgNumType w:start="1"/>
          <w:cols w:space="425" w:num="1"/>
          <w:docGrid w:type="lines" w:linePitch="312" w:charSpace="0"/>
        </w:sectPr>
      </w:pPr>
    </w:p>
    <w:p>
      <w:pPr>
        <w:pStyle w:val="3"/>
      </w:pPr>
      <w:r>
        <w:rPr>
          <w:rFonts w:hint="eastAsia"/>
        </w:rPr>
        <w:t>三、生态环境现状、保护目标及评价标准</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2" w:type="pct"/>
            <w:vAlign w:val="center"/>
          </w:tcPr>
          <w:p>
            <w:pPr>
              <w:pStyle w:val="26"/>
            </w:pPr>
            <w:r>
              <w:rPr>
                <w:rFonts w:hint="eastAsia"/>
              </w:rPr>
              <w:t>生态</w:t>
            </w:r>
          </w:p>
          <w:p>
            <w:pPr>
              <w:pStyle w:val="26"/>
            </w:pPr>
            <w:r>
              <w:rPr>
                <w:rFonts w:hint="eastAsia"/>
              </w:rPr>
              <w:t>环境</w:t>
            </w:r>
          </w:p>
          <w:p>
            <w:pPr>
              <w:pStyle w:val="26"/>
            </w:pPr>
            <w:r>
              <w:rPr>
                <w:rFonts w:hint="eastAsia"/>
              </w:rPr>
              <w:t>现状</w:t>
            </w:r>
          </w:p>
        </w:tc>
        <w:tc>
          <w:tcPr>
            <w:tcW w:w="4757" w:type="pct"/>
            <w:vAlign w:val="center"/>
          </w:tcPr>
          <w:p>
            <w:pPr>
              <w:pStyle w:val="15"/>
              <w:ind w:firstLine="482" w:firstLineChars="200"/>
            </w:pPr>
            <w:r>
              <w:rPr>
                <w:rFonts w:hint="eastAsia"/>
              </w:rPr>
              <w:t>1</w:t>
            </w:r>
            <w:r>
              <w:t>.</w:t>
            </w:r>
            <w:r>
              <w:rPr>
                <w:rFonts w:hint="eastAsia"/>
              </w:rPr>
              <w:t>与主体功能规划相符性</w:t>
            </w:r>
          </w:p>
          <w:p>
            <w: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r>
              <w:t>项目区位于新疆和静县克尔古提乡西约269</w:t>
            </w:r>
            <w:r>
              <w:rPr>
                <w:color w:val="000000"/>
              </w:rPr>
              <w:t>°方向直距约19千米</w:t>
            </w:r>
            <w:r>
              <w:t>处，行政区划隶属新疆和静县管辖</w:t>
            </w:r>
            <w:r>
              <w:rPr>
                <w:lang w:val="zh-CN"/>
              </w:rPr>
              <w:t>。</w:t>
            </w:r>
            <w:r>
              <w:t>不属于主体功能区划中确定的国家和自治区层面的禁止开发区域。</w:t>
            </w:r>
          </w:p>
          <w:p>
            <w:pPr>
              <w:pStyle w:val="15"/>
              <w:ind w:firstLine="482" w:firstLineChars="200"/>
            </w:pPr>
            <w:r>
              <w:rPr>
                <w:rFonts w:hint="eastAsia"/>
              </w:rPr>
              <w:t>2生态环境现状调查</w:t>
            </w:r>
          </w:p>
          <w:p>
            <w:pPr>
              <w:pStyle w:val="15"/>
              <w:ind w:firstLine="482" w:firstLineChars="200"/>
            </w:pPr>
            <w:r>
              <w:t>2.1</w:t>
            </w:r>
            <w:r>
              <w:rPr>
                <w:rFonts w:hint="eastAsia"/>
              </w:rPr>
              <w:t>生态功能区划</w:t>
            </w:r>
          </w:p>
          <w:p>
            <w:r>
              <w:t>根据《新疆生态功能区划》，本项目评价区域属于</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t>3</w:t>
            </w:r>
            <w:r>
              <w:rPr>
                <w:rFonts w:hint="eastAsia"/>
              </w:rPr>
              <w:t>天山南坡草原牧业、绿洲农业生态亚区-42．托木尔峰和天山南坡中段冰雪水源及生物多样性保护生态功能区</w:t>
            </w:r>
            <w:r>
              <w:t>。具体见表3-1。</w:t>
            </w:r>
          </w:p>
          <w:p>
            <w:pPr>
              <w:pStyle w:val="28"/>
              <w:spacing w:before="156"/>
            </w:pPr>
            <w:r>
              <w:t>表3-1</w:t>
            </w:r>
            <w:r>
              <w:rPr>
                <w:rFonts w:hint="eastAsia"/>
              </w:rPr>
              <w:t xml:space="preserve">  </w:t>
            </w:r>
            <w:r>
              <w:t>生态功能区划及主要环境问题和保护目标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1143"/>
              <w:gridCol w:w="1135"/>
              <w:gridCol w:w="1150"/>
              <w:gridCol w:w="1248"/>
              <w:gridCol w:w="894"/>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6"/>
                  </w:pPr>
                  <w:r>
                    <w:t>生态功能区名称</w:t>
                  </w:r>
                </w:p>
              </w:tc>
              <w:tc>
                <w:tcPr>
                  <w:tcW w:w="728" w:type="pct"/>
                  <w:shd w:val="clear" w:color="auto" w:fill="auto"/>
                  <w:vAlign w:val="center"/>
                </w:tcPr>
                <w:p>
                  <w:pPr>
                    <w:pStyle w:val="26"/>
                  </w:pPr>
                  <w:r>
                    <w:t>主要生态服务功能</w:t>
                  </w:r>
                </w:p>
              </w:tc>
              <w:tc>
                <w:tcPr>
                  <w:tcW w:w="723" w:type="pct"/>
                  <w:shd w:val="clear" w:color="auto" w:fill="auto"/>
                  <w:vAlign w:val="center"/>
                </w:tcPr>
                <w:p>
                  <w:pPr>
                    <w:pStyle w:val="26"/>
                  </w:pPr>
                  <w:r>
                    <w:t>主要生态环境问题</w:t>
                  </w:r>
                </w:p>
              </w:tc>
              <w:tc>
                <w:tcPr>
                  <w:tcW w:w="732" w:type="pct"/>
                  <w:shd w:val="clear" w:color="auto" w:fill="auto"/>
                  <w:vAlign w:val="center"/>
                </w:tcPr>
                <w:p>
                  <w:pPr>
                    <w:pStyle w:val="26"/>
                  </w:pPr>
                  <w:r>
                    <w:t>生态敏感因子敏感程度</w:t>
                  </w:r>
                </w:p>
              </w:tc>
              <w:tc>
                <w:tcPr>
                  <w:tcW w:w="795" w:type="pct"/>
                  <w:shd w:val="clear" w:color="auto" w:fill="auto"/>
                  <w:vAlign w:val="center"/>
                </w:tcPr>
                <w:p>
                  <w:pPr>
                    <w:pStyle w:val="26"/>
                  </w:pPr>
                  <w:r>
                    <w:t>保护目标</w:t>
                  </w:r>
                </w:p>
              </w:tc>
              <w:tc>
                <w:tcPr>
                  <w:tcW w:w="569" w:type="pct"/>
                  <w:shd w:val="clear" w:color="auto" w:fill="auto"/>
                  <w:vAlign w:val="center"/>
                </w:tcPr>
                <w:p>
                  <w:pPr>
                    <w:pStyle w:val="26"/>
                  </w:pPr>
                  <w:r>
                    <w:t>保护措施</w:t>
                  </w:r>
                </w:p>
              </w:tc>
              <w:tc>
                <w:tcPr>
                  <w:tcW w:w="639" w:type="pct"/>
                  <w:shd w:val="clear" w:color="auto" w:fill="auto"/>
                  <w:vAlign w:val="center"/>
                </w:tcPr>
                <w:p>
                  <w:pPr>
                    <w:pStyle w:val="26"/>
                  </w:pPr>
                  <w: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6"/>
                  </w:pPr>
                  <w:r>
                    <w:rPr>
                      <w:rFonts w:hint="eastAsia"/>
                    </w:rPr>
                    <w:t>42．托木尔峰和天山南坡中段冰雪水源及生物多样性保护生态功能区</w:t>
                  </w:r>
                </w:p>
              </w:tc>
              <w:tc>
                <w:tcPr>
                  <w:tcW w:w="728" w:type="pct"/>
                  <w:shd w:val="clear" w:color="auto" w:fill="auto"/>
                  <w:vAlign w:val="center"/>
                </w:tcPr>
                <w:p>
                  <w:pPr>
                    <w:pStyle w:val="26"/>
                  </w:pPr>
                  <w:r>
                    <w:rPr>
                      <w:rFonts w:hint="eastAsia"/>
                    </w:rPr>
                    <w:t>水源补给、生物多样性维护、土壤保持</w:t>
                  </w:r>
                </w:p>
              </w:tc>
              <w:tc>
                <w:tcPr>
                  <w:tcW w:w="723" w:type="pct"/>
                  <w:shd w:val="clear" w:color="auto" w:fill="auto"/>
                  <w:vAlign w:val="center"/>
                </w:tcPr>
                <w:p>
                  <w:pPr>
                    <w:pStyle w:val="26"/>
                  </w:pPr>
                  <w:r>
                    <w:rPr>
                      <w:rFonts w:hint="eastAsia"/>
                    </w:rPr>
                    <w:t>水土流失、野生动物减少、土壤侵蚀、森林破坏</w:t>
                  </w:r>
                </w:p>
              </w:tc>
              <w:tc>
                <w:tcPr>
                  <w:tcW w:w="732" w:type="pct"/>
                  <w:shd w:val="clear" w:color="auto" w:fill="auto"/>
                  <w:vAlign w:val="center"/>
                </w:tcPr>
                <w:p>
                  <w:pPr>
                    <w:pStyle w:val="26"/>
                  </w:pPr>
                  <w:r>
                    <w:rPr>
                      <w:rFonts w:hint="eastAsia"/>
                    </w:rPr>
                    <w:t>生物多样性及其生境极度敏感，土壤侵蚀轻度敏感</w:t>
                  </w:r>
                </w:p>
              </w:tc>
              <w:tc>
                <w:tcPr>
                  <w:tcW w:w="795" w:type="pct"/>
                  <w:shd w:val="clear" w:color="auto" w:fill="auto"/>
                  <w:vAlign w:val="center"/>
                </w:tcPr>
                <w:p>
                  <w:pPr>
                    <w:pStyle w:val="26"/>
                  </w:pPr>
                  <w:r>
                    <w:rPr>
                      <w:rFonts w:hint="eastAsia"/>
                    </w:rPr>
                    <w:t>保护托木尔峰自然景观、保护高山冰川、保护野生动物、保护森林和草原</w:t>
                  </w:r>
                </w:p>
              </w:tc>
              <w:tc>
                <w:tcPr>
                  <w:tcW w:w="569" w:type="pct"/>
                  <w:shd w:val="clear" w:color="auto" w:fill="auto"/>
                  <w:vAlign w:val="center"/>
                </w:tcPr>
                <w:p>
                  <w:pPr>
                    <w:pStyle w:val="26"/>
                  </w:pPr>
                  <w:r>
                    <w:rPr>
                      <w:rFonts w:hint="eastAsia"/>
                    </w:rPr>
                    <w:t>草地减牧、森林禁伐、禁猎、加强保护区管理</w:t>
                  </w:r>
                </w:p>
              </w:tc>
              <w:tc>
                <w:tcPr>
                  <w:tcW w:w="639" w:type="pct"/>
                  <w:shd w:val="clear" w:color="auto" w:fill="auto"/>
                  <w:vAlign w:val="center"/>
                </w:tcPr>
                <w:p>
                  <w:pPr>
                    <w:pStyle w:val="26"/>
                  </w:pPr>
                  <w:r>
                    <w:rPr>
                      <w:rFonts w:hint="eastAsia"/>
                    </w:rPr>
                    <w:t>合理利用天然草地，维护自然景观和生物多样性</w:t>
                  </w:r>
                </w:p>
              </w:tc>
            </w:tr>
          </w:tbl>
          <w:p>
            <w:pPr>
              <w:ind w:firstLine="482"/>
              <w:rPr>
                <w:b/>
                <w:bCs/>
                <w:color w:val="000000"/>
              </w:rPr>
            </w:pPr>
            <w:r>
              <w:rPr>
                <w:b/>
                <w:bCs/>
                <w:color w:val="000000"/>
              </w:rPr>
              <w:t>2.</w:t>
            </w:r>
            <w:r>
              <w:rPr>
                <w:rFonts w:hint="eastAsia"/>
                <w:b/>
                <w:bCs/>
                <w:color w:val="000000"/>
              </w:rPr>
              <w:t>2</w:t>
            </w:r>
            <w:r>
              <w:rPr>
                <w:b/>
                <w:bCs/>
                <w:snapToGrid w:val="0"/>
              </w:rPr>
              <w:t>土地利用类型及分布现状</w:t>
            </w:r>
          </w:p>
          <w:p>
            <w:r>
              <w:t>根据收集的资料及现状调查，项目区域内土壤类型较简单，主要以棕漠土为主。</w:t>
            </w:r>
          </w:p>
          <w:p>
            <w:r>
              <w:t>棕漠土（</w:t>
            </w:r>
            <w:r>
              <w:rPr>
                <w:i/>
                <w:iCs/>
              </w:rPr>
              <w:t>brown--desert soil</w:t>
            </w:r>
            <w:r>
              <w:t>）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widowControl/>
            </w:pPr>
            <w:r>
              <w:rPr>
                <w:color w:val="000000"/>
              </w:rPr>
              <w:t>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5"/>
              <w:ind w:firstLine="482" w:firstLineChars="200"/>
            </w:pPr>
            <w:r>
              <w:rPr>
                <w:rFonts w:hint="eastAsia"/>
              </w:rPr>
              <w:t>2</w:t>
            </w:r>
            <w:r>
              <w:t>.3项目区主要植被类型</w:t>
            </w:r>
          </w:p>
          <w:p>
            <w:pPr>
              <w:rPr>
                <w:color w:val="000000"/>
                <w:kern w:val="0"/>
              </w:rPr>
            </w:pPr>
            <w:r>
              <w:rPr>
                <w:rFonts w:hint="eastAsia"/>
                <w:color w:val="000000"/>
                <w:kern w:val="0"/>
              </w:rPr>
              <w:t>矿区属于天山山脉南坡低山丘陵地貌，地势大致为北高南低，冲沟极为发育，海拔高程在+1670－+2118m之间。气候属大陆性干旱—半干旱，表现为夏季多阵雨、山洪，冬季少雪。</w:t>
            </w:r>
          </w:p>
          <w:p>
            <w:pPr>
              <w:rPr>
                <w:color w:val="000000"/>
                <w:kern w:val="0"/>
              </w:rPr>
            </w:pPr>
            <w:r>
              <w:rPr>
                <w:rFonts w:hint="eastAsia"/>
                <w:color w:val="000000"/>
                <w:kern w:val="0"/>
              </w:rPr>
              <w:t>根据查询相关资料及现场勘查，进行分析汇总可知该区位于南疆地区，属温性荒漠类，本地植物区系有明显的荒漠区系成分组成。根据现场调查和植被类型分布调查可知，项目所在区域目前主要植被类型为紫菀木（</w:t>
            </w:r>
            <w:r>
              <w:rPr>
                <w:rFonts w:hint="eastAsia"/>
                <w:i/>
                <w:iCs/>
                <w:color w:val="000000"/>
                <w:kern w:val="0"/>
              </w:rPr>
              <w:t>Asterothamnus alyssoides (Turcz.) Novopokr</w:t>
            </w:r>
            <w:r>
              <w:rPr>
                <w:rFonts w:hint="eastAsia"/>
                <w:color w:val="000000"/>
                <w:kern w:val="0"/>
              </w:rPr>
              <w:t>）、灌木亚菊（</w:t>
            </w:r>
            <w:r>
              <w:rPr>
                <w:rFonts w:hint="eastAsia"/>
                <w:i/>
                <w:iCs/>
                <w:color w:val="000000"/>
                <w:kern w:val="0"/>
              </w:rPr>
              <w:t xml:space="preserve">Ajania fruticulosa </w:t>
            </w:r>
            <w:r>
              <w:rPr>
                <w:rFonts w:hint="eastAsia"/>
                <w:color w:val="000000"/>
                <w:kern w:val="0"/>
              </w:rPr>
              <w:t>(</w:t>
            </w:r>
            <w:r>
              <w:rPr>
                <w:rFonts w:hint="eastAsia"/>
                <w:i/>
                <w:iCs/>
                <w:color w:val="000000"/>
                <w:kern w:val="0"/>
              </w:rPr>
              <w:t>Ledeb.) Poljak</w:t>
            </w:r>
            <w:r>
              <w:rPr>
                <w:rFonts w:hint="eastAsia"/>
                <w:color w:val="000000"/>
                <w:kern w:val="0"/>
              </w:rPr>
              <w:t>）、沙生针矛茅（</w:t>
            </w:r>
            <w:r>
              <w:rPr>
                <w:rFonts w:hint="eastAsia"/>
                <w:i/>
                <w:iCs/>
                <w:color w:val="000000"/>
                <w:kern w:val="0"/>
              </w:rPr>
              <w:t>Stipa glareosa P.A. Smirn</w:t>
            </w:r>
            <w:r>
              <w:rPr>
                <w:rFonts w:hint="eastAsia"/>
                <w:color w:val="000000"/>
                <w:kern w:val="0"/>
              </w:rPr>
              <w:t>）等，用地现状</w:t>
            </w:r>
            <w:r>
              <w:rPr>
                <w:rFonts w:hint="eastAsia"/>
                <w:color w:val="000000"/>
              </w:rPr>
              <w:t>多为草地</w:t>
            </w:r>
            <w:r>
              <w:rPr>
                <w:rFonts w:hint="eastAsia"/>
                <w:color w:val="000000"/>
                <w:kern w:val="0"/>
              </w:rPr>
              <w:t>。项目区用地不涉及国家及地方公益林。</w:t>
            </w:r>
          </w:p>
          <w:p>
            <w:pPr>
              <w:rPr>
                <w:color w:val="000000"/>
                <w:kern w:val="0"/>
              </w:rPr>
            </w:pPr>
            <w:r>
              <w:rPr>
                <w:rFonts w:hint="eastAsia"/>
                <w:color w:val="000000"/>
                <w:kern w:val="0"/>
              </w:rPr>
              <w:t>由于本区域的气候土壤特殊性，决定了本区域荒漠植被种类贫乏、群落稀疏、植被类型简单，基本无利用价值，原始的自然植被较少。</w:t>
            </w:r>
          </w:p>
          <w:p>
            <w:r>
              <w:rPr>
                <w:rFonts w:hint="eastAsia"/>
                <w:color w:val="000000"/>
                <w:kern w:val="0"/>
              </w:rPr>
              <w:t>本项目矿区占地</w:t>
            </w:r>
            <w:r>
              <w:rPr>
                <w:rFonts w:hint="eastAsia"/>
                <w:color w:val="000000"/>
              </w:rPr>
              <w:t>为草地</w:t>
            </w:r>
            <w:r>
              <w:rPr>
                <w:rFonts w:hint="eastAsia"/>
                <w:color w:val="000000"/>
                <w:kern w:val="0"/>
              </w:rPr>
              <w:t>，矿区土地利用未涉及耕地、基本农田保护区。项目所在区域评价范围内零星分布着耐旱植被，项目区主要分布紫菀木、灌木亚菊、沙生针矛茅等无高大乔木分布，植被覆盖度低，约为5%。根据《国家重点保护野生植物名录》和《新疆维吾尔自治区重点保护野生植物名录》（2024）等名录，项目区内未发现重点保护植物</w:t>
            </w:r>
            <w:r>
              <w:rPr>
                <w:rFonts w:hint="eastAsia"/>
              </w:rPr>
              <w:t>。</w:t>
            </w:r>
          </w:p>
          <w:p>
            <w:pPr>
              <w:pStyle w:val="15"/>
              <w:ind w:firstLine="482" w:firstLineChars="200"/>
            </w:pPr>
            <w:r>
              <w:rPr>
                <w:rFonts w:hint="eastAsia"/>
              </w:rPr>
              <w:t>2</w:t>
            </w:r>
            <w:r>
              <w:t>.4野生动物现状调查</w:t>
            </w:r>
          </w:p>
          <w:p>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新疆国家重点保护野生动物名录》（2021年07月28日发布），项目区没有保护野生动物分布。</w:t>
            </w:r>
          </w:p>
          <w:p>
            <w:pPr>
              <w:pStyle w:val="15"/>
              <w:ind w:firstLine="482" w:firstLineChars="200"/>
            </w:pPr>
            <w:r>
              <w:rPr>
                <w:rFonts w:hint="eastAsia"/>
              </w:rPr>
              <w:t>2.5生物量损失分析</w:t>
            </w:r>
          </w:p>
          <w:p>
            <w:r>
              <w:t>生物损失量核算：</w:t>
            </w:r>
          </w:p>
          <w:p>
            <w:r>
              <w:t>本工程</w:t>
            </w:r>
            <w:r>
              <w:rPr>
                <w:rFonts w:hint="eastAsia"/>
              </w:rPr>
              <w:t>道路</w:t>
            </w:r>
            <w:r>
              <w:t>临时占地0.779019hm</w:t>
            </w:r>
            <w:r>
              <w:rPr>
                <w:vertAlign w:val="superscript"/>
              </w:rPr>
              <w:t>2</w:t>
            </w:r>
            <w:r>
              <w:t>，主要为矿山勘探、车辆运输等人为活动。临时用地会导致生物量损失。生物量损失按下式计算：</w:t>
            </w:r>
          </w:p>
          <w:p>
            <w:pPr>
              <w:pStyle w:val="23"/>
              <w:rPr>
                <w:rFonts w:ascii="Times New Roman"/>
              </w:rPr>
            </w:pPr>
            <m:oMathPara>
              <m:oMath>
                <m:r>
                  <m:rPr>
                    <m:sty m:val="p"/>
                  </m:rPr>
                  <w:rPr>
                    <w:rFonts w:ascii="Cambria Math" w:hAnsi="Cambria Math"/>
                  </w:rPr>
                  <m:t>Y=Si·Wi</m:t>
                </m:r>
              </m:oMath>
            </m:oMathPara>
          </w:p>
          <w:p>
            <w:r>
              <w:t>Y———</w:t>
            </w:r>
            <w:r>
              <w:rPr>
                <w:color w:val="000000"/>
              </w:rPr>
              <w:t>永久性生物量损失，t；</w:t>
            </w:r>
          </w:p>
          <w:p>
            <w:r>
              <w:t>Si———占地面积，hm²；</w:t>
            </w:r>
          </w:p>
          <w:p>
            <w:r>
              <w:t>Wi———单位面积生物量，t/hm²；</w:t>
            </w:r>
          </w:p>
          <w:p>
            <w:r>
              <w:rPr>
                <w:rFonts w:hint="eastAsia"/>
                <w:color w:val="000000"/>
              </w:rPr>
              <w:t>勘查区范围内无重要交通要道或建筑设施，无自然保护区及旅游景区，占地类型多为裸岩石砾地及低覆盖草地</w:t>
            </w:r>
            <w:r>
              <w:rPr>
                <w:color w:val="000000"/>
                <w:kern w:val="0"/>
                <w:lang w:bidi="ar"/>
              </w:rPr>
              <w:t>，植被覆盖率约为5</w:t>
            </w:r>
            <w:r>
              <w:rPr>
                <w:rFonts w:hint="eastAsia"/>
                <w:color w:val="000000"/>
                <w:kern w:val="0"/>
                <w:lang w:bidi="ar"/>
              </w:rPr>
              <w:t>~</w:t>
            </w:r>
            <w:r>
              <w:rPr>
                <w:color w:val="000000"/>
                <w:kern w:val="0"/>
                <w:lang w:bidi="ar"/>
              </w:rPr>
              <w:t>10%，平均生物量0.5t/hm²，工程的实施，将造成的1.28t临时植被损失。</w:t>
            </w:r>
          </w:p>
          <w:p>
            <w:r>
              <w:rPr>
                <w:rFonts w:hint="eastAsia"/>
              </w:rPr>
              <w:t>项目探矿期结束后，其所在区域的生态环境可以基本得到恢复，而且由于地方优势草类的共同生长，会发育形成良好的共栖共生环境而增加该地区的物种多样性。</w:t>
            </w:r>
          </w:p>
          <w:p>
            <w:pPr>
              <w:pStyle w:val="15"/>
              <w:ind w:firstLine="482" w:firstLineChars="200"/>
            </w:pPr>
            <w:r>
              <w:t>3.</w:t>
            </w:r>
            <w:r>
              <w:rPr>
                <w:rFonts w:hint="eastAsia"/>
              </w:rPr>
              <w:t>环境空气质量评价</w:t>
            </w:r>
          </w:p>
          <w:p>
            <w:r>
              <w:t>根据《</w:t>
            </w:r>
            <w:r>
              <w:rPr>
                <w:rFonts w:hint="eastAsia"/>
              </w:rPr>
              <w:t>巴音郭楞蒙古自治州2024年生态环境状况公报</w:t>
            </w:r>
            <w:r>
              <w:t>》，</w:t>
            </w:r>
            <w:r>
              <w:rPr>
                <w:rFonts w:hint="eastAsia"/>
              </w:rPr>
              <w:t>2024年，全州空气质量综合指数为5.22，同比下降7.9%，空气质量明显好于2023年。全州平均优良天数比例为62%，同比增加15.7%，PM</w:t>
            </w:r>
            <w:r>
              <w:rPr>
                <w:rFonts w:hint="eastAsia"/>
                <w:vertAlign w:val="subscript"/>
              </w:rPr>
              <w:t>10</w:t>
            </w:r>
            <w:r>
              <w:rPr>
                <w:rFonts w:hint="eastAsia"/>
              </w:rPr>
              <w:t>为首要污染物，未出现PM</w:t>
            </w:r>
            <w:r>
              <w:rPr>
                <w:rFonts w:hint="eastAsia"/>
                <w:vertAlign w:val="subscript"/>
              </w:rPr>
              <w:t>2.5</w:t>
            </w:r>
            <w:r>
              <w:rPr>
                <w:rFonts w:hint="eastAsia"/>
              </w:rPr>
              <w:t>、O</w:t>
            </w:r>
            <w:r>
              <w:rPr>
                <w:rFonts w:hint="eastAsia"/>
                <w:vertAlign w:val="subscript"/>
              </w:rPr>
              <w:t>3</w:t>
            </w:r>
            <w:r>
              <w:rPr>
                <w:rFonts w:hint="eastAsia"/>
              </w:rPr>
              <w:t>-8H、SO</w:t>
            </w:r>
            <w:r>
              <w:rPr>
                <w:rFonts w:hint="eastAsia"/>
                <w:vertAlign w:val="subscript"/>
              </w:rPr>
              <w:t>2</w:t>
            </w:r>
            <w:r>
              <w:rPr>
                <w:rFonts w:hint="eastAsia"/>
              </w:rPr>
              <w:t>、NO</w:t>
            </w:r>
            <w:r>
              <w:rPr>
                <w:rFonts w:hint="eastAsia"/>
                <w:vertAlign w:val="subscript"/>
              </w:rPr>
              <w:t>2</w:t>
            </w:r>
            <w:r>
              <w:rPr>
                <w:rFonts w:hint="eastAsia"/>
              </w:rPr>
              <w:t>、CO为首要污染物的超标天</w:t>
            </w:r>
            <w:r>
              <w:t>。</w:t>
            </w:r>
          </w:p>
          <w:p>
            <w:r>
              <w:t>根据《</w:t>
            </w:r>
            <w:r>
              <w:rPr>
                <w:rFonts w:hint="eastAsia"/>
              </w:rPr>
              <w:t>巴音郭楞蒙古自治州2024年生态环境状况公报</w:t>
            </w:r>
            <w:r>
              <w:t>》结论，项目所在区域</w:t>
            </w:r>
            <w:r>
              <w:rPr>
                <w:rFonts w:hint="eastAsia"/>
              </w:rPr>
              <w:t>PM</w:t>
            </w:r>
            <w:r>
              <w:rPr>
                <w:rFonts w:hint="eastAsia"/>
                <w:vertAlign w:val="subscript"/>
              </w:rPr>
              <w:t>2.5</w:t>
            </w:r>
            <w:r>
              <w:rPr>
                <w:rFonts w:hint="eastAsia"/>
              </w:rPr>
              <w:t>、O</w:t>
            </w:r>
            <w:r>
              <w:rPr>
                <w:rFonts w:hint="eastAsia"/>
                <w:vertAlign w:val="subscript"/>
              </w:rPr>
              <w:t>3</w:t>
            </w:r>
            <w:r>
              <w:rPr>
                <w:rFonts w:hint="eastAsia"/>
              </w:rPr>
              <w:t>-8H、SO</w:t>
            </w:r>
            <w:r>
              <w:rPr>
                <w:rFonts w:hint="eastAsia"/>
                <w:vertAlign w:val="subscript"/>
              </w:rPr>
              <w:t>2</w:t>
            </w:r>
            <w:r>
              <w:rPr>
                <w:rFonts w:hint="eastAsia"/>
              </w:rPr>
              <w:t>、NO</w:t>
            </w:r>
            <w:r>
              <w:rPr>
                <w:rFonts w:hint="eastAsia"/>
                <w:vertAlign w:val="subscript"/>
              </w:rPr>
              <w:t>2</w:t>
            </w:r>
            <w:r>
              <w:rPr>
                <w:rFonts w:hint="eastAsia"/>
              </w:rPr>
              <w:t>、CO</w:t>
            </w:r>
            <w:r>
              <w:t>均浓度均满足《环境空气质量标准》（GB3095-2012）的二级标准要求；</w:t>
            </w:r>
            <w:r>
              <w:rPr>
                <w:kern w:val="0"/>
              </w:rPr>
              <w:t>受沙尘天气影响PM</w:t>
            </w:r>
            <w:r>
              <w:rPr>
                <w:kern w:val="0"/>
                <w:vertAlign w:val="subscript"/>
              </w:rPr>
              <w:t>10</w:t>
            </w:r>
            <w:r>
              <w:rPr>
                <w:kern w:val="0"/>
              </w:rPr>
              <w:t>年均值浓度超过《环境空气质量标准》（GB3095-2012）的二级标准要求，本项目所在区域为非达标区域</w:t>
            </w:r>
            <w:r>
              <w:rPr>
                <w:rFonts w:hint="eastAsia"/>
                <w:kern w:val="0"/>
              </w:rPr>
              <w:t>。</w:t>
            </w:r>
          </w:p>
          <w:p>
            <w:pPr>
              <w:rPr>
                <w:kern w:val="0"/>
              </w:rPr>
            </w:pPr>
            <w:r>
              <w:t>对于环境空气质量不达标区域需提交《大气环境不达标区域削减方案》，根据关</w:t>
            </w:r>
            <w:r>
              <w:rPr>
                <w:kern w:val="0"/>
              </w:rPr>
              <w:t>于将巴音郭楞蒙古自治州吐鲁番市哈密市纳入执行《环境影响评价技术导则大气环境（HJ2.2-2018）》差别化政策范围的复函（环办环评函</w:t>
            </w:r>
            <w:r>
              <w:rPr>
                <w:rFonts w:hint="eastAsia"/>
                <w:kern w:val="0"/>
              </w:rPr>
              <w:t>〔2020〕</w:t>
            </w:r>
            <w:r>
              <w:rPr>
                <w:kern w:val="0"/>
              </w:rPr>
              <w:t>341号），本地区新建项目可不提供颗粒物区域削减方案。</w:t>
            </w:r>
          </w:p>
          <w:p>
            <w:pPr>
              <w:pStyle w:val="15"/>
              <w:ind w:firstLine="482" w:firstLineChars="200"/>
            </w:pPr>
            <w:r>
              <w:t>4.</w:t>
            </w:r>
            <w:r>
              <w:rPr>
                <w:rFonts w:hint="eastAsia"/>
              </w:rPr>
              <w:t>声环境质量现状</w:t>
            </w:r>
          </w:p>
          <w:p>
            <w:r>
              <w:t>根据《声环境功能区划分技术规范》（GB/T15190-2014），本项目属于声环境功能区2类区域，声环境执行《声环境质量标准》（GB3096-2008）的2类声环境功能限值。</w:t>
            </w:r>
          </w:p>
          <w:p>
            <w:r>
              <w:rPr>
                <w:rFonts w:hint="eastAsia"/>
              </w:rPr>
              <w:t>项目厂界外周边5</w:t>
            </w:r>
            <w:r>
              <w:t>0</w:t>
            </w:r>
            <w:r>
              <w:rPr>
                <w:rFonts w:hint="eastAsia"/>
              </w:rPr>
              <w:t>米范围内不存在声环境保护目标，因此对项目不进行声环境监测。</w:t>
            </w:r>
          </w:p>
          <w:p>
            <w:pPr>
              <w:pStyle w:val="15"/>
              <w:ind w:firstLine="482" w:firstLineChars="200"/>
            </w:pPr>
            <w:bookmarkStart w:id="29" w:name="_Toc29722417"/>
            <w:bookmarkStart w:id="30" w:name="_Toc240865444"/>
            <w:r>
              <w:t>5.</w:t>
            </w:r>
            <w:r>
              <w:rPr>
                <w:rFonts w:hint="eastAsia"/>
              </w:rPr>
              <w:t>地表水环境质量现状</w:t>
            </w:r>
            <w:bookmarkEnd w:id="29"/>
          </w:p>
          <w:bookmarkEnd w:id="30"/>
          <w:p>
            <w:r>
              <w:t>根据《巴音郭楞蒙古自治州2024年生态环境状况公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r>
              <w:rPr>
                <w:rFonts w:hint="eastAsia"/>
                <w:bCs/>
              </w:rPr>
              <w:t>距离本项目最近水体为本项目探矿区西南侧</w:t>
            </w:r>
            <w:r>
              <w:rPr>
                <w:bCs/>
              </w:rPr>
              <w:t>3.9k</w:t>
            </w:r>
            <w:r>
              <w:rPr>
                <w:rFonts w:hint="eastAsia"/>
                <w:bCs/>
              </w:rPr>
              <w:t>m处的乌拉斯塔河，</w:t>
            </w:r>
            <w:r>
              <w:t>属于开都河流域，</w:t>
            </w:r>
            <w:r>
              <w:rPr>
                <w:color w:val="000000"/>
              </w:rPr>
              <w:t>根据《巴音郭楞蒙古自治州2024年生态环境状况公报》，6条主要河流19个监测断面中Ⅰ~Ⅲ类优良水质断面占100%，水质状况良好。</w:t>
            </w:r>
            <w:r>
              <w:t>开都河水环境质量可达到《地表水环境质量标准》（GB3838—2002）Ⅰ类水质标准。</w:t>
            </w:r>
          </w:p>
          <w:p>
            <w:pPr>
              <w:ind w:firstLine="482"/>
              <w:rPr>
                <w:b/>
              </w:rPr>
            </w:pPr>
            <w:r>
              <w:rPr>
                <w:b/>
              </w:rPr>
              <w:t>6.</w:t>
            </w:r>
            <w:r>
              <w:rPr>
                <w:rFonts w:hint="eastAsia"/>
                <w:b/>
              </w:rPr>
              <w:t>地下水、土壤环境现状调查</w:t>
            </w:r>
          </w:p>
          <w:p>
            <w:pPr>
              <w:rPr>
                <w:b/>
                <w:kern w:val="0"/>
              </w:rPr>
            </w:pPr>
            <w:r>
              <w:rPr>
                <w:rFonts w:hint="eastAsia"/>
                <w:bCs/>
              </w:rPr>
              <w:t>本项目不涉及重金属、持久性难降解有机污染物排放，且各污染物产生量较小，故本次评价不进行土壤环境现状调查</w:t>
            </w:r>
            <w:r>
              <w:rPr>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tcMar>
              <w:left w:w="28" w:type="dxa"/>
              <w:right w:w="28" w:type="dxa"/>
            </w:tcMar>
            <w:vAlign w:val="center"/>
          </w:tcPr>
          <w:p>
            <w:pPr>
              <w:pStyle w:val="26"/>
            </w:pPr>
            <w:r>
              <w:t>与项目有关的原有</w:t>
            </w:r>
            <w:r>
              <w:rPr>
                <w:rFonts w:hint="eastAsia"/>
              </w:rPr>
              <w:t>环境</w:t>
            </w:r>
            <w:r>
              <w:t>污染</w:t>
            </w:r>
            <w:r>
              <w:rPr>
                <w:rFonts w:hint="eastAsia"/>
              </w:rPr>
              <w:t>和生态破坏</w:t>
            </w:r>
            <w:r>
              <w:t>问题</w:t>
            </w:r>
          </w:p>
        </w:tc>
        <w:tc>
          <w:tcPr>
            <w:tcW w:w="4757" w:type="pct"/>
            <w:vAlign w:val="center"/>
          </w:tcPr>
          <w:p>
            <w:pPr>
              <w:rPr>
                <w:rFonts w:ascii="宋体" w:hAnsi="宋体" w:cs="宋体"/>
                <w:kern w:val="0"/>
                <w:szCs w:val="21"/>
              </w:rPr>
            </w:pPr>
            <w:r>
              <w:rPr>
                <w:rFonts w:hint="eastAsia"/>
              </w:rPr>
              <w:t>项目区位于</w:t>
            </w:r>
            <w:r>
              <w:t>新疆和静县克尔古提乡西约269</w:t>
            </w:r>
            <w:r>
              <w:rPr>
                <w:color w:val="000000"/>
              </w:rPr>
              <w:t>°方向直距约19千米</w:t>
            </w:r>
            <w:r>
              <w:t>处</w:t>
            </w:r>
            <w:r>
              <w:rPr>
                <w:rFonts w:hint="eastAsia"/>
              </w:rPr>
              <w:t>，行政区划隶属新疆和静县管辖</w:t>
            </w:r>
            <w:r>
              <w:rPr>
                <w:rFonts w:hint="eastAsia"/>
                <w:color w:val="000000"/>
                <w:kern w:val="0"/>
              </w:rPr>
              <w:t>，</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42" w:type="pct"/>
            <w:vAlign w:val="center"/>
          </w:tcPr>
          <w:p>
            <w:pPr>
              <w:pStyle w:val="26"/>
            </w:pPr>
            <w:r>
              <w:rPr>
                <w:rFonts w:hint="eastAsia"/>
              </w:rPr>
              <w:t>生态环境保护目标</w:t>
            </w:r>
          </w:p>
        </w:tc>
        <w:tc>
          <w:tcPr>
            <w:tcW w:w="4757" w:type="pct"/>
            <w:vAlign w:val="center"/>
          </w:tcPr>
          <w:p>
            <w:pPr>
              <w:pStyle w:val="15"/>
              <w:ind w:firstLine="482" w:firstLineChars="200"/>
            </w:pPr>
            <w:bookmarkStart w:id="31" w:name="_Hlk124255559"/>
            <w:r>
              <w:rPr>
                <w:rFonts w:hint="eastAsia"/>
              </w:rPr>
              <w:t>1.大气环境</w:t>
            </w:r>
          </w:p>
          <w:p>
            <w:r>
              <w:t>本项目场界外500m范围内无自然保护区、风景名胜区、居住区、文化区和农村地区中人群较集中的区域等大气环境保护目标；</w:t>
            </w:r>
          </w:p>
          <w:p>
            <w:pPr>
              <w:pStyle w:val="15"/>
              <w:ind w:firstLine="482" w:firstLineChars="200"/>
            </w:pPr>
            <w:r>
              <w:rPr>
                <w:rFonts w:hint="eastAsia"/>
              </w:rPr>
              <w:t>2</w:t>
            </w:r>
            <w:r>
              <w:t>.</w:t>
            </w:r>
            <w:r>
              <w:rPr>
                <w:rFonts w:hint="eastAsia"/>
              </w:rPr>
              <w:t>声环境</w:t>
            </w:r>
          </w:p>
          <w:p>
            <w:r>
              <w:t>根据《环境影响评价技术导则声环境》(</w:t>
            </w:r>
            <w:r>
              <w:rPr>
                <w:rFonts w:hint="eastAsia"/>
              </w:rPr>
              <w:t>HJ2.4-2021</w:t>
            </w:r>
            <w:r>
              <w:t>)，声环境敏感目标指医院、学校、机关、科研单位、住宅、自然保护区等对噪声敏感的建筑物或区域。本项目场界外50m范围内无声环境</w:t>
            </w:r>
            <w:r>
              <w:rPr>
                <w:rFonts w:hint="eastAsia"/>
              </w:rPr>
              <w:t>敏感</w:t>
            </w:r>
            <w:r>
              <w:t>保护目标；</w:t>
            </w:r>
          </w:p>
          <w:p>
            <w:pPr>
              <w:pStyle w:val="15"/>
              <w:ind w:firstLine="482" w:firstLineChars="200"/>
            </w:pPr>
            <w:r>
              <w:rPr>
                <w:rFonts w:hint="eastAsia"/>
              </w:rPr>
              <w:t>3</w:t>
            </w:r>
            <w:r>
              <w:t>.</w:t>
            </w:r>
            <w:r>
              <w:rPr>
                <w:rFonts w:hint="eastAsia"/>
              </w:rPr>
              <w:t>生态环境</w:t>
            </w:r>
          </w:p>
          <w:p>
            <w:r>
              <w:rPr>
                <w:rFonts w:hint="eastAsia"/>
              </w:rPr>
              <w:t>根据现场踏勘，项目区位于</w:t>
            </w:r>
            <w:r>
              <w:t>巴州和静县克尔古提乡西约269°方向直距约19千米处</w:t>
            </w:r>
            <w:r>
              <w:rPr>
                <w:rFonts w:hint="eastAsia"/>
              </w:rPr>
              <w:t>，行政区划隶属新疆和静县管辖，项目矿权范围内不涉及生态保护红线、饮用水水源保护区、风景名胜区、文物古迹等生态敏感区，区域内无珍稀濒危野生动植物存在。</w:t>
            </w:r>
          </w:p>
          <w:p>
            <w:pPr>
              <w:rPr>
                <w:bCs/>
              </w:rPr>
            </w:pPr>
            <w:r>
              <w:rPr>
                <w:rFonts w:hint="eastAsia"/>
              </w:rPr>
              <w:t>本项目属于地质勘探工程，生产活动较少，采取有效的污染防治措施后对天山水</w:t>
            </w:r>
            <w:r>
              <w:rPr>
                <w:rFonts w:hint="eastAsia"/>
                <w:bCs/>
              </w:rPr>
              <w:t>源涵养与生物多样性维护生态保护红线区基本无影响。</w:t>
            </w:r>
            <w:bookmarkEnd w:id="3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6"/>
            </w:pPr>
            <w:r>
              <w:rPr>
                <w:rFonts w:hint="eastAsia"/>
              </w:rPr>
              <w:t>评价标准</w:t>
            </w:r>
          </w:p>
        </w:tc>
        <w:tc>
          <w:tcPr>
            <w:tcW w:w="4757" w:type="pct"/>
            <w:vAlign w:val="center"/>
          </w:tcPr>
          <w:p>
            <w:pPr>
              <w:pStyle w:val="15"/>
              <w:ind w:firstLine="482" w:firstLineChars="200"/>
            </w:pPr>
            <w:r>
              <w:rPr>
                <w:rFonts w:hint="eastAsia"/>
              </w:rPr>
              <w:t>1.环境质量标准</w:t>
            </w:r>
          </w:p>
          <w:p>
            <w:pPr>
              <w:pStyle w:val="15"/>
              <w:ind w:firstLine="482" w:firstLineChars="200"/>
            </w:pPr>
            <w:r>
              <w:t>1.1环境空气</w:t>
            </w:r>
          </w:p>
          <w:p>
            <w:r>
              <w:t>环境空气质量执行《环境空气质量标准》（GB3095-2012）中的二级标准</w:t>
            </w:r>
            <w:r>
              <w:rPr>
                <w:bCs/>
              </w:rPr>
              <w:t>。</w:t>
            </w:r>
          </w:p>
          <w:p>
            <w:pPr>
              <w:pStyle w:val="15"/>
              <w:ind w:firstLine="482" w:firstLineChars="200"/>
            </w:pPr>
            <w:r>
              <w:rPr>
                <w:rFonts w:hint="eastAsia"/>
              </w:rPr>
              <w:t>1</w:t>
            </w:r>
            <w:r>
              <w:t>.2声环境</w:t>
            </w:r>
          </w:p>
          <w:p>
            <w:r>
              <w:t>项目区声环境质量执行《声环境质量标准》（GB3096-2008）2类标准，即昼间≤60dB(A)，夜间≤50dB(A)。</w:t>
            </w:r>
          </w:p>
          <w:p>
            <w:pPr>
              <w:pStyle w:val="15"/>
              <w:ind w:firstLine="482" w:firstLineChars="200"/>
            </w:pPr>
            <w:r>
              <w:t>2</w:t>
            </w:r>
            <w:r>
              <w:rPr>
                <w:rFonts w:hint="eastAsia"/>
              </w:rPr>
              <w:t>.污染物排放标准</w:t>
            </w:r>
          </w:p>
          <w:p>
            <w:pPr>
              <w:pStyle w:val="15"/>
              <w:ind w:firstLine="482" w:firstLineChars="200"/>
            </w:pPr>
            <w:r>
              <w:rPr>
                <w:rFonts w:hint="eastAsia"/>
              </w:rPr>
              <w:t>2</w:t>
            </w:r>
            <w:r>
              <w:t>.1废气</w:t>
            </w:r>
          </w:p>
          <w:p>
            <w:r>
              <w:rPr>
                <w:rFonts w:hint="eastAsia"/>
              </w:rPr>
              <w:t>项目勘探期扬尘</w:t>
            </w:r>
            <w:r>
              <w:t>执行《大气污染物综合排放标准》（GB16297-</w:t>
            </w:r>
            <w:r>
              <w:rPr>
                <w:rFonts w:hint="eastAsia"/>
              </w:rPr>
              <w:t>19</w:t>
            </w:r>
            <w:r>
              <w:t>96）</w:t>
            </w:r>
            <w:r>
              <w:rPr>
                <w:rFonts w:hint="eastAsia"/>
              </w:rPr>
              <w:t>中无组织排放监控浓度限值，</w:t>
            </w:r>
            <w:r>
              <w:t>详见表</w:t>
            </w:r>
            <w:r>
              <w:rPr>
                <w:rFonts w:hint="eastAsia"/>
              </w:rPr>
              <w:t>3-</w:t>
            </w:r>
            <w:r>
              <w:t>2。</w:t>
            </w:r>
          </w:p>
          <w:p>
            <w:pPr>
              <w:pStyle w:val="28"/>
              <w:spacing w:before="156"/>
              <w:rPr>
                <w:vertAlign w:val="superscript"/>
              </w:rPr>
            </w:pPr>
            <w:r>
              <w:t>表3-2  大气污染物综合排放标准</w:t>
            </w:r>
            <w:r>
              <w:rPr>
                <w:rFonts w:hint="eastAsia"/>
              </w:rPr>
              <w:t>（摘录）</w:t>
            </w:r>
            <w:r>
              <w:t>单位：mg/m</w:t>
            </w:r>
            <w:r>
              <w:rPr>
                <w:vertAlign w:val="superscript"/>
              </w:rPr>
              <w:t>3</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4"/>
              <w:gridCol w:w="2194"/>
              <w:gridCol w:w="4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6"/>
                  </w:pPr>
                  <w:r>
                    <w:rPr>
                      <w:rFonts w:hint="eastAsia"/>
                    </w:rPr>
                    <w:t>序号</w:t>
                  </w:r>
                </w:p>
              </w:tc>
              <w:tc>
                <w:tcPr>
                  <w:tcW w:w="1397" w:type="pct"/>
                  <w:vAlign w:val="center"/>
                </w:tcPr>
                <w:p>
                  <w:pPr>
                    <w:pStyle w:val="26"/>
                  </w:pPr>
                  <w:r>
                    <w:rPr>
                      <w:rFonts w:hint="eastAsia"/>
                    </w:rPr>
                    <w:t>污染物</w:t>
                  </w:r>
                </w:p>
              </w:tc>
              <w:tc>
                <w:tcPr>
                  <w:tcW w:w="2797" w:type="pct"/>
                  <w:vAlign w:val="center"/>
                </w:tcPr>
                <w:p>
                  <w:pPr>
                    <w:pStyle w:val="26"/>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6"/>
                    <w:rPr>
                      <w:lang w:val="pt-BR"/>
                    </w:rPr>
                  </w:pPr>
                  <w:r>
                    <w:rPr>
                      <w:rFonts w:hint="eastAsia"/>
                      <w:lang w:val="pt-BR"/>
                    </w:rPr>
                    <w:t>1</w:t>
                  </w:r>
                </w:p>
              </w:tc>
              <w:tc>
                <w:tcPr>
                  <w:tcW w:w="1397" w:type="pct"/>
                  <w:vAlign w:val="center"/>
                </w:tcPr>
                <w:p>
                  <w:pPr>
                    <w:pStyle w:val="26"/>
                  </w:pPr>
                  <w:r>
                    <w:rPr>
                      <w:rFonts w:hint="eastAsia"/>
                    </w:rPr>
                    <w:t>颗粒物</w:t>
                  </w:r>
                </w:p>
              </w:tc>
              <w:tc>
                <w:tcPr>
                  <w:tcW w:w="2797" w:type="pct"/>
                  <w:vAlign w:val="center"/>
                </w:tcPr>
                <w:p>
                  <w:pPr>
                    <w:pStyle w:val="26"/>
                  </w:pPr>
                  <w:r>
                    <w:t>1.0</w:t>
                  </w:r>
                </w:p>
              </w:tc>
            </w:tr>
          </w:tbl>
          <w:p>
            <w:r>
              <w:t>2014年5月16日，</w:t>
            </w:r>
            <w:r>
              <w:rPr>
                <w:rFonts w:hint="eastAsia"/>
              </w:rPr>
              <w:t>生态环境部</w:t>
            </w:r>
            <w:r>
              <w:t>及国家质量监督检验检疫总局联合发布了《非道路移动机械用柴油机排气污染物排放限值及测量方法（中国第三、四阶段）》（GB20891-2014），标准规定了非道路移动机械用柴油机（含额定净功率不超过37k</w:t>
            </w:r>
            <w:r>
              <w:rPr>
                <w:rFonts w:hint="eastAsia"/>
              </w:rPr>
              <w:t>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8"/>
              <w:spacing w:before="156"/>
            </w:pPr>
            <w:r>
              <w:rPr>
                <w:rFonts w:hint="eastAsia"/>
              </w:rPr>
              <w:t>表</w:t>
            </w:r>
            <w:r>
              <w:t xml:space="preserve">3-3  </w:t>
            </w:r>
            <w:r>
              <w:rPr>
                <w:rFonts w:hint="eastAsia"/>
              </w:rPr>
              <w:t>非道路移动机械用柴油机排气污染物排放限值及测量方法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5"/>
              <w:gridCol w:w="1717"/>
              <w:gridCol w:w="1360"/>
              <w:gridCol w:w="1962"/>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阶段</w:t>
                  </w:r>
                </w:p>
              </w:tc>
              <w:tc>
                <w:tcPr>
                  <w:tcW w:w="1093" w:type="pct"/>
                  <w:vAlign w:val="center"/>
                </w:tcPr>
                <w:p>
                  <w:pPr>
                    <w:spacing w:line="240" w:lineRule="auto"/>
                    <w:ind w:firstLine="0" w:firstLineChars="0"/>
                    <w:jc w:val="center"/>
                    <w:rPr>
                      <w:sz w:val="21"/>
                      <w:szCs w:val="21"/>
                    </w:rPr>
                  </w:pPr>
                  <w:r>
                    <w:rPr>
                      <w:sz w:val="21"/>
                      <w:szCs w:val="21"/>
                    </w:rPr>
                    <w:t>额定定功率</w:t>
                  </w:r>
                </w:p>
              </w:tc>
              <w:tc>
                <w:tcPr>
                  <w:tcW w:w="866" w:type="pct"/>
                  <w:vAlign w:val="center"/>
                </w:tcPr>
                <w:p>
                  <w:pPr>
                    <w:spacing w:line="240" w:lineRule="auto"/>
                    <w:ind w:firstLine="0" w:firstLineChars="0"/>
                    <w:jc w:val="center"/>
                    <w:rPr>
                      <w:sz w:val="21"/>
                      <w:szCs w:val="21"/>
                    </w:rPr>
                  </w:pPr>
                  <w:r>
                    <w:rPr>
                      <w:sz w:val="21"/>
                      <w:szCs w:val="21"/>
                    </w:rPr>
                    <w:t>CO(g/kWh)</w:t>
                  </w:r>
                </w:p>
              </w:tc>
              <w:tc>
                <w:tcPr>
                  <w:tcW w:w="1249" w:type="pct"/>
                  <w:vAlign w:val="center"/>
                </w:tcPr>
                <w:p>
                  <w:pPr>
                    <w:spacing w:line="240" w:lineRule="auto"/>
                    <w:ind w:firstLine="0" w:firstLineChars="0"/>
                    <w:jc w:val="center"/>
                    <w:rPr>
                      <w:sz w:val="21"/>
                      <w:szCs w:val="21"/>
                    </w:rPr>
                  </w:pPr>
                  <w:r>
                    <w:rPr>
                      <w:sz w:val="21"/>
                      <w:szCs w:val="21"/>
                    </w:rPr>
                    <w:t>CH+NOx(g/kWh)</w:t>
                  </w:r>
                </w:p>
              </w:tc>
              <w:tc>
                <w:tcPr>
                  <w:tcW w:w="1111" w:type="pct"/>
                  <w:vAlign w:val="center"/>
                </w:tcPr>
                <w:p>
                  <w:pPr>
                    <w:spacing w:line="240" w:lineRule="auto"/>
                    <w:ind w:firstLine="0" w:firstLineChars="0"/>
                    <w:jc w:val="center"/>
                    <w:rPr>
                      <w:sz w:val="21"/>
                      <w:szCs w:val="21"/>
                    </w:rPr>
                  </w:pPr>
                  <w:r>
                    <w:rPr>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8" w:type="pct"/>
                  <w:vAlign w:val="center"/>
                </w:tcPr>
                <w:p>
                  <w:pPr>
                    <w:spacing w:line="240" w:lineRule="auto"/>
                    <w:ind w:firstLine="0" w:firstLineChars="0"/>
                    <w:jc w:val="center"/>
                    <w:rPr>
                      <w:sz w:val="21"/>
                      <w:szCs w:val="21"/>
                    </w:rPr>
                  </w:pPr>
                  <w:r>
                    <w:rPr>
                      <w:sz w:val="21"/>
                      <w:szCs w:val="21"/>
                    </w:rPr>
                    <w:t>第四阶段</w:t>
                  </w:r>
                </w:p>
              </w:tc>
              <w:tc>
                <w:tcPr>
                  <w:tcW w:w="1093" w:type="pct"/>
                  <w:vAlign w:val="center"/>
                </w:tcPr>
                <w:p>
                  <w:pPr>
                    <w:spacing w:line="240" w:lineRule="auto"/>
                    <w:ind w:firstLine="0" w:firstLineChars="0"/>
                    <w:jc w:val="center"/>
                    <w:rPr>
                      <w:sz w:val="21"/>
                      <w:szCs w:val="21"/>
                    </w:rPr>
                  </w:pPr>
                  <w:r>
                    <w:rPr>
                      <w:sz w:val="21"/>
                      <w:szCs w:val="21"/>
                    </w:rPr>
                    <w:t>130≤Pmax≤560</w:t>
                  </w:r>
                </w:p>
              </w:tc>
              <w:tc>
                <w:tcPr>
                  <w:tcW w:w="866" w:type="pct"/>
                  <w:vAlign w:val="center"/>
                </w:tcPr>
                <w:p>
                  <w:pPr>
                    <w:spacing w:line="240" w:lineRule="auto"/>
                    <w:ind w:firstLine="420"/>
                    <w:rPr>
                      <w:sz w:val="21"/>
                      <w:szCs w:val="21"/>
                    </w:rPr>
                  </w:pPr>
                  <w:r>
                    <w:rPr>
                      <w:sz w:val="21"/>
                      <w:szCs w:val="21"/>
                    </w:rPr>
                    <w:t>3.5</w:t>
                  </w:r>
                </w:p>
              </w:tc>
              <w:tc>
                <w:tcPr>
                  <w:tcW w:w="1249" w:type="pct"/>
                  <w:vAlign w:val="center"/>
                </w:tcPr>
                <w:p>
                  <w:pPr>
                    <w:spacing w:line="240" w:lineRule="auto"/>
                    <w:ind w:firstLine="420"/>
                    <w:rPr>
                      <w:sz w:val="21"/>
                      <w:szCs w:val="21"/>
                    </w:rPr>
                  </w:pPr>
                  <w:r>
                    <w:rPr>
                      <w:sz w:val="21"/>
                      <w:szCs w:val="21"/>
                    </w:rPr>
                    <w:t>6.4</w:t>
                  </w:r>
                </w:p>
              </w:tc>
              <w:tc>
                <w:tcPr>
                  <w:tcW w:w="1111" w:type="pct"/>
                  <w:vAlign w:val="center"/>
                </w:tcPr>
                <w:p>
                  <w:pPr>
                    <w:spacing w:line="240" w:lineRule="auto"/>
                    <w:ind w:firstLine="420"/>
                    <w:rPr>
                      <w:sz w:val="21"/>
                      <w:szCs w:val="21"/>
                    </w:rPr>
                  </w:pPr>
                  <w:r>
                    <w:rPr>
                      <w:sz w:val="21"/>
                      <w:szCs w:val="21"/>
                    </w:rPr>
                    <w:t>0.2</w:t>
                  </w:r>
                </w:p>
              </w:tc>
            </w:tr>
          </w:tbl>
          <w:p>
            <w:pPr>
              <w:pStyle w:val="15"/>
              <w:ind w:firstLine="482" w:firstLineChars="200"/>
            </w:pPr>
            <w:r>
              <w:rPr>
                <w:rFonts w:hint="eastAsia"/>
              </w:rPr>
              <w:t>2</w:t>
            </w:r>
            <w:r>
              <w:t>.2噪声</w:t>
            </w:r>
          </w:p>
          <w:p>
            <w:pPr>
              <w:rPr>
                <w:b/>
              </w:rPr>
            </w:pPr>
            <w:r>
              <w:rPr>
                <w:rFonts w:hint="eastAsia"/>
              </w:rPr>
              <w:t>项目勘探期噪声执行</w:t>
            </w:r>
            <w:r>
              <w:t>《</w:t>
            </w:r>
            <w:r>
              <w:rPr>
                <w:rFonts w:hint="eastAsia"/>
              </w:rPr>
              <w:t>工业企业厂界环境噪声排放标准</w:t>
            </w:r>
            <w:r>
              <w:t>》（GB</w:t>
            </w:r>
            <w:r>
              <w:rPr>
                <w:rFonts w:hint="eastAsia"/>
              </w:rPr>
              <w:t>12348</w:t>
            </w:r>
            <w:r>
              <w:t>-2008）中的</w:t>
            </w:r>
            <w:r>
              <w:rPr>
                <w:rFonts w:hint="eastAsia"/>
              </w:rPr>
              <w:t>2类</w:t>
            </w:r>
            <w:r>
              <w:t>标准，</w:t>
            </w:r>
            <w:r>
              <w:rPr>
                <w:rFonts w:hint="eastAsia"/>
              </w:rPr>
              <w:t>具体标准值见下表。</w:t>
            </w:r>
          </w:p>
          <w:p>
            <w:pPr>
              <w:pStyle w:val="28"/>
              <w:spacing w:before="156"/>
            </w:pPr>
            <w:r>
              <w:rPr>
                <w:rFonts w:hint="eastAsia"/>
              </w:rPr>
              <w:t>表</w:t>
            </w:r>
            <w:r>
              <w:t>3-4</w:t>
            </w:r>
            <w:r>
              <w:rPr>
                <w:rFonts w:hint="eastAsia"/>
              </w:rPr>
              <w:t>工业企业厂界环境噪声排放标准</w:t>
            </w:r>
            <w:r>
              <w:t>（摘录）单位：dB（A）</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2681"/>
              <w:gridCol w:w="2681"/>
              <w:gridCol w:w="24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27" w:hRule="atLeast"/>
                <w:jc w:val="center"/>
              </w:trPr>
              <w:tc>
                <w:tcPr>
                  <w:tcW w:w="1708" w:type="pct"/>
                  <w:vAlign w:val="center"/>
                </w:tcPr>
                <w:p>
                  <w:pPr>
                    <w:pStyle w:val="26"/>
                  </w:pPr>
                  <w:r>
                    <w:t>类别</w:t>
                  </w:r>
                </w:p>
              </w:tc>
              <w:tc>
                <w:tcPr>
                  <w:tcW w:w="1708" w:type="pct"/>
                  <w:vAlign w:val="center"/>
                </w:tcPr>
                <w:p>
                  <w:pPr>
                    <w:pStyle w:val="26"/>
                  </w:pPr>
                  <w:r>
                    <w:t>昼间</w:t>
                  </w:r>
                </w:p>
              </w:tc>
              <w:tc>
                <w:tcPr>
                  <w:tcW w:w="1583" w:type="pct"/>
                  <w:vAlign w:val="center"/>
                </w:tcPr>
                <w:p>
                  <w:pPr>
                    <w:pStyle w:val="26"/>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90" w:hRule="atLeast"/>
                <w:jc w:val="center"/>
              </w:trPr>
              <w:tc>
                <w:tcPr>
                  <w:tcW w:w="1708" w:type="pct"/>
                  <w:vAlign w:val="center"/>
                </w:tcPr>
                <w:p>
                  <w:pPr>
                    <w:pStyle w:val="26"/>
                  </w:pPr>
                  <w:r>
                    <w:rPr>
                      <w:rFonts w:hint="eastAsia"/>
                    </w:rPr>
                    <w:t>2</w:t>
                  </w:r>
                  <w:r>
                    <w:t>类</w:t>
                  </w:r>
                </w:p>
              </w:tc>
              <w:tc>
                <w:tcPr>
                  <w:tcW w:w="1708" w:type="pct"/>
                  <w:vAlign w:val="center"/>
                </w:tcPr>
                <w:p>
                  <w:pPr>
                    <w:pStyle w:val="26"/>
                  </w:pPr>
                  <w:r>
                    <w:t>6</w:t>
                  </w:r>
                  <w:r>
                    <w:rPr>
                      <w:rFonts w:hint="eastAsia"/>
                    </w:rPr>
                    <w:t>0</w:t>
                  </w:r>
                </w:p>
              </w:tc>
              <w:tc>
                <w:tcPr>
                  <w:tcW w:w="1583" w:type="pct"/>
                  <w:vAlign w:val="center"/>
                </w:tcPr>
                <w:p>
                  <w:pPr>
                    <w:pStyle w:val="26"/>
                  </w:pPr>
                  <w:r>
                    <w:t>5</w:t>
                  </w:r>
                  <w:r>
                    <w:rPr>
                      <w:rFonts w:hint="eastAsia"/>
                    </w:rPr>
                    <w:t>0</w:t>
                  </w:r>
                </w:p>
              </w:tc>
            </w:tr>
          </w:tbl>
          <w:p>
            <w:pPr>
              <w:pStyle w:val="15"/>
              <w:ind w:firstLine="482" w:firstLineChars="200"/>
            </w:pPr>
            <w:r>
              <w:rPr>
                <w:rFonts w:hint="eastAsia"/>
              </w:rPr>
              <w:t>2</w:t>
            </w:r>
            <w:r>
              <w:t>.3</w:t>
            </w:r>
            <w:r>
              <w:rPr>
                <w:rFonts w:hint="eastAsia"/>
              </w:rPr>
              <w:t>固体废弃物</w:t>
            </w:r>
          </w:p>
          <w:p>
            <w:r>
              <w:rPr>
                <w:rFonts w:hint="eastAsia"/>
              </w:rPr>
              <w:t>一</w:t>
            </w:r>
            <w:r>
              <w:t>般废物按照《中华人民共和国固体废物污染环境防治法》要求处置，各类固体废物妥善处置，不得形成二次污染，一般工业固废厂区内暂存执行《一般工业固体废物贮存和填埋污染控制标准》(GB18599-2020)中的“其贮存过程应满足相应防渗漏、防雨淋、防扬尘等环境保护要求”</w:t>
            </w:r>
            <w:r>
              <w:rPr>
                <w:rFonts w:hint="eastAsia"/>
              </w:rPr>
              <w:t>。危险废物执行《危险废物贮存污染控制标准》（</w:t>
            </w:r>
            <w:r>
              <w:t>GB12897-2023</w:t>
            </w:r>
            <w:r>
              <w:rPr>
                <w:rFonts w:hint="eastAsia"/>
              </w:rPr>
              <w:t>）中相关要求。</w:t>
            </w:r>
          </w:p>
          <w:p>
            <w:pPr>
              <w:pStyle w:val="15"/>
              <w:ind w:firstLine="482" w:firstLineChars="200"/>
            </w:pPr>
            <w:r>
              <w:rPr>
                <w:rFonts w:hint="eastAsia"/>
              </w:rPr>
              <w:t>2</w:t>
            </w:r>
            <w:r>
              <w:t>.4生态</w:t>
            </w:r>
            <w:r>
              <w:rPr>
                <w:rFonts w:hint="eastAsia"/>
              </w:rPr>
              <w:t>环境</w:t>
            </w:r>
          </w:p>
          <w:p>
            <w:pPr>
              <w:rPr>
                <w:b/>
                <w:bCs/>
              </w:rPr>
            </w:pPr>
            <w:r>
              <w:rPr>
                <w:rFonts w:hint="eastAsia"/>
              </w:rPr>
              <w:t>根据</w:t>
            </w:r>
            <w:r>
              <w:t>《环境影响评价技术导则生态影响》（HJ19-2022）</w:t>
            </w:r>
            <w:r>
              <w:rPr>
                <w:rFonts w:hint="eastAsia"/>
              </w:rPr>
              <w:t>，</w:t>
            </w:r>
            <w:r>
              <w:t>以不减少区域内濒危珍稀动植物种类和不破坏生态系统完整性为目标。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242" w:type="pct"/>
            <w:vAlign w:val="center"/>
          </w:tcPr>
          <w:p>
            <w:pPr>
              <w:pStyle w:val="26"/>
            </w:pPr>
            <w:r>
              <w:rPr>
                <w:rFonts w:hint="eastAsia"/>
              </w:rPr>
              <w:t>其他</w:t>
            </w:r>
          </w:p>
        </w:tc>
        <w:tc>
          <w:tcPr>
            <w:tcW w:w="4757" w:type="pct"/>
            <w:vAlign w:val="center"/>
          </w:tcPr>
          <w:p>
            <w:pPr>
              <w:ind w:firstLine="0" w:firstLineChars="0"/>
              <w:jc w:val="center"/>
            </w:pPr>
            <w:r>
              <w:rPr>
                <w:rFonts w:hint="eastAsia"/>
              </w:rPr>
              <w:t>无</w:t>
            </w:r>
          </w:p>
        </w:tc>
      </w:tr>
    </w:tbl>
    <w:p>
      <w:pPr>
        <w:sectPr>
          <w:pgSz w:w="11906" w:h="16838"/>
          <w:pgMar w:top="1440" w:right="1800" w:bottom="1440" w:left="1800" w:header="851" w:footer="992" w:gutter="0"/>
          <w:cols w:space="425" w:num="1"/>
          <w:docGrid w:type="lines" w:linePitch="312" w:charSpace="0"/>
        </w:sectPr>
      </w:pPr>
    </w:p>
    <w:p>
      <w:pPr>
        <w:pStyle w:val="3"/>
      </w:pPr>
      <w:r>
        <w:rPr>
          <w:rFonts w:hint="eastAsia"/>
        </w:rPr>
        <w:t>四、生态环境影响分析</w:t>
      </w:r>
    </w:p>
    <w:tbl>
      <w:tblPr>
        <w:tblStyle w:val="19"/>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7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1" w:type="pct"/>
            <w:tcMar>
              <w:left w:w="28" w:type="dxa"/>
              <w:right w:w="28" w:type="dxa"/>
            </w:tcMar>
            <w:vAlign w:val="center"/>
          </w:tcPr>
          <w:p>
            <w:pPr>
              <w:pStyle w:val="26"/>
            </w:pPr>
            <w:bookmarkStart w:id="32" w:name="_Hlk69138538"/>
            <w:r>
              <w:rPr>
                <w:rFonts w:hint="eastAsia"/>
              </w:rPr>
              <w:t>施工期生态环境影响分析</w:t>
            </w:r>
          </w:p>
        </w:tc>
        <w:tc>
          <w:tcPr>
            <w:tcW w:w="4568" w:type="pct"/>
            <w:vAlign w:val="center"/>
          </w:tcPr>
          <w:p>
            <w:r>
              <w:rPr>
                <w:rFonts w:hint="eastAsia"/>
              </w:rPr>
              <w:t>本项目探矿期间主要的环境影响为探矿过程产生的废水、废气、噪声、固体废物排放对环境的影响及生态保护措施。</w:t>
            </w:r>
          </w:p>
          <w:p>
            <w:pPr>
              <w:pStyle w:val="15"/>
              <w:ind w:firstLine="482" w:firstLineChars="200"/>
            </w:pPr>
            <w:r>
              <w:rPr>
                <w:rFonts w:hint="eastAsia"/>
              </w:rPr>
              <w:t>1.大气环境影响分析</w:t>
            </w:r>
          </w:p>
          <w:p>
            <w:r>
              <w:rPr>
                <w:rFonts w:hint="eastAsia"/>
              </w:rPr>
              <w:t>结合项目施工特点及施工内容，本项目施工期大气污染源主要来自于钻探、槽探等工程中产生的扬尘以及运输车辆、柴油发电机废气和施工机械等产生的燃油烟气。</w:t>
            </w:r>
          </w:p>
          <w:p>
            <w:pPr>
              <w:pStyle w:val="15"/>
              <w:ind w:firstLine="482" w:firstLineChars="200"/>
            </w:pPr>
            <w:r>
              <w:rPr>
                <w:rFonts w:hint="eastAsia"/>
              </w:rPr>
              <w:t>1.1扬尘</w:t>
            </w:r>
          </w:p>
          <w:p>
            <w:r>
              <w:rPr>
                <w:rFonts w:hint="eastAsia"/>
              </w:rPr>
              <w:t>在勘查过程中，扬尘污染主要来源于：钻探工程产生的扬尘，土石方堆放时因风力作用产生的扬尘以及运输扬尘。</w:t>
            </w:r>
          </w:p>
          <w:p>
            <w:r>
              <w:rPr>
                <w:rFonts w:hint="eastAsia" w:ascii="宋体" w:hAnsi="宋体" w:cs="宋体"/>
              </w:rPr>
              <w:t>①</w:t>
            </w:r>
            <w:r>
              <w:t>钻</w:t>
            </w:r>
            <w:r>
              <w:rPr>
                <w:rFonts w:hint="eastAsia"/>
              </w:rPr>
              <w:t>探、槽探</w:t>
            </w:r>
            <w:r>
              <w:t>粉尘</w:t>
            </w:r>
          </w:p>
          <w:p>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r>
              <w:t>本项目各作业点施工量较小，且均在山区进行，周边有山体和植被作为天然防尘屏障，同时，加强作业区洒水抑尘的情况下，扬尘影响主要集中在施工场地内，对外环境影响较小。但为确保工人身体健康，须佩戴防护口罩。</w:t>
            </w:r>
          </w:p>
          <w:p>
            <w:r>
              <w:rPr>
                <w:rFonts w:hint="eastAsia"/>
              </w:rPr>
              <w:t>②渣土堆放扬尘</w:t>
            </w:r>
          </w:p>
          <w:p>
            <w:r>
              <w:rPr>
                <w:rFonts w:hint="eastAsia"/>
              </w:rPr>
              <w:t>对临时堆放的渣土表面进行压实，必要时设置塑料薄膜加以覆盖，并辅以洒水抑尘，可有效控制尘源，进一步减轻对环境的影响。</w:t>
            </w:r>
          </w:p>
          <w:p>
            <w:r>
              <w:rPr>
                <w:rFonts w:hint="eastAsia" w:ascii="宋体" w:hAnsi="宋体" w:cs="宋体"/>
              </w:rPr>
              <w:t>③</w:t>
            </w:r>
            <w:r>
              <w:rPr>
                <w:rFonts w:hint="eastAsia"/>
              </w:rPr>
              <w:t>运输道路扬尘</w:t>
            </w:r>
          </w:p>
          <w:p>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r>
              <w:rPr>
                <w:rFonts w:hint="eastAsia"/>
              </w:rPr>
              <w:t>要求与建议：</w:t>
            </w:r>
          </w:p>
          <w:p>
            <w:r>
              <w:t>a.</w:t>
            </w:r>
            <w:r>
              <w:rPr>
                <w:rFonts w:hint="eastAsia"/>
              </w:rPr>
              <w:t>原材料运输、堆放要求遮盖；</w:t>
            </w:r>
          </w:p>
          <w:p>
            <w:r>
              <w:t>b.</w:t>
            </w:r>
            <w:r>
              <w:rPr>
                <w:rFonts w:hint="eastAsia"/>
              </w:rPr>
              <w:t>及时清理场地弃渣料，不能及时清运的要求采取覆盖，洒水抑尘等措施；</w:t>
            </w:r>
          </w:p>
          <w:p>
            <w:r>
              <w:rPr>
                <w:rFonts w:hint="eastAsia"/>
              </w:rPr>
              <w:t>c.尽量缩短施工期，干燥、大风天气施工必须采取洒水抑尘措施；</w:t>
            </w:r>
          </w:p>
          <w:p>
            <w:r>
              <w:rPr>
                <w:rFonts w:hint="eastAsia"/>
              </w:rPr>
              <w:t>d.运输道路要定时进行清扫、洒水；</w:t>
            </w:r>
          </w:p>
          <w:p>
            <w:r>
              <w:rPr>
                <w:rFonts w:hint="eastAsia"/>
              </w:rPr>
              <w:t>治理措施：在工作中建议施工人员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要求采用竹席或篷布覆盖，可有效减少扬尘的产生，</w:t>
            </w:r>
            <w:r>
              <w:rPr>
                <w:rFonts w:hint="eastAsia"/>
              </w:rPr>
              <w:t>由于挖方量较小，所以扬尘产生量较小。</w:t>
            </w:r>
          </w:p>
          <w:p>
            <w:pPr>
              <w:pStyle w:val="15"/>
              <w:ind w:firstLine="482" w:firstLineChars="200"/>
            </w:pPr>
            <w:r>
              <w:rPr>
                <w:rFonts w:hint="eastAsia"/>
              </w:rPr>
              <w:t>1.2燃油废气</w:t>
            </w:r>
          </w:p>
          <w:p>
            <w:pPr>
              <w:ind w:firstLine="482"/>
            </w:pPr>
            <w:r>
              <w:rPr>
                <w:b/>
                <w:bCs/>
              </w:rPr>
              <w:t>产生情况：</w:t>
            </w:r>
            <w:r>
              <w:t>本工程采用柴油机械作业，柴油燃烧废气中含有：CO、SO</w:t>
            </w:r>
            <w:r>
              <w:rPr>
                <w:vertAlign w:val="subscript"/>
              </w:rPr>
              <w:t>2</w:t>
            </w:r>
            <w:r>
              <w:t>、NOx、烃类等。参考有关国内柴油燃烧污染物产生系数：燃烧1t柴油，排放2000×S%kg的SO</w:t>
            </w:r>
            <w:r>
              <w:rPr>
                <w:vertAlign w:val="subscript"/>
              </w:rPr>
              <w:t>2</w:t>
            </w:r>
            <w:r>
              <w:t>，1.2万m³废气，排放1kg烟尘，排放8.4kg一氧化碳，排放氮氧化物9.0kg，排放烃类6.0kg，排放。据有关经验，本项目使用柴油含硫率不超过0.2%的机械，根据建设单位提供资料，本项目柴油消耗量约为25t/a（柴油不在项目区内储存，依</w:t>
            </w:r>
            <w:r>
              <w:rPr>
                <w:rFonts w:hint="eastAsia"/>
              </w:rPr>
              <w:t>柴油分期从和静县城购买</w:t>
            </w:r>
            <w:r>
              <w:t>），则本项目</w:t>
            </w:r>
            <w:r>
              <w:rPr>
                <w:rFonts w:hint="eastAsia"/>
              </w:rPr>
              <w:t>施工</w:t>
            </w:r>
            <w:r>
              <w:t>期间机械设备的尾气产生情况见表4-1。</w:t>
            </w:r>
          </w:p>
          <w:p>
            <w:pPr>
              <w:pStyle w:val="28"/>
              <w:spacing w:before="156"/>
            </w:pPr>
            <w:r>
              <w:rPr>
                <w:rFonts w:hint="eastAsia"/>
              </w:rPr>
              <w:t>表4-1  发电机</w:t>
            </w:r>
            <w:r>
              <w:t>产排污情况一览表</w:t>
            </w:r>
          </w:p>
          <w:tbl>
            <w:tblPr>
              <w:tblStyle w:val="19"/>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0"/>
              <w:gridCol w:w="1444"/>
              <w:gridCol w:w="1771"/>
              <w:gridCol w:w="1771"/>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9" w:type="pct"/>
                  <w:tcBorders>
                    <w:tl2br w:val="nil"/>
                    <w:tr2bl w:val="nil"/>
                  </w:tcBorders>
                  <w:shd w:val="clear" w:color="auto" w:fill="auto"/>
                  <w:vAlign w:val="center"/>
                </w:tcPr>
                <w:p>
                  <w:pPr>
                    <w:pStyle w:val="26"/>
                    <w:rPr>
                      <w:szCs w:val="21"/>
                    </w:rPr>
                  </w:pPr>
                  <w:r>
                    <w:rPr>
                      <w:szCs w:val="21"/>
                    </w:rPr>
                    <w:t>序号</w:t>
                  </w:r>
                </w:p>
              </w:tc>
              <w:tc>
                <w:tcPr>
                  <w:tcW w:w="940" w:type="pct"/>
                  <w:tcBorders>
                    <w:tl2br w:val="nil"/>
                    <w:tr2bl w:val="nil"/>
                  </w:tcBorders>
                  <w:shd w:val="clear" w:color="auto" w:fill="auto"/>
                  <w:vAlign w:val="center"/>
                </w:tcPr>
                <w:p>
                  <w:pPr>
                    <w:pStyle w:val="26"/>
                    <w:rPr>
                      <w:szCs w:val="21"/>
                    </w:rPr>
                  </w:pPr>
                  <w:r>
                    <w:rPr>
                      <w:szCs w:val="21"/>
                    </w:rPr>
                    <w:t>污染物</w:t>
                  </w:r>
                </w:p>
              </w:tc>
              <w:tc>
                <w:tcPr>
                  <w:tcW w:w="1153" w:type="pct"/>
                  <w:tcBorders>
                    <w:tl2br w:val="nil"/>
                    <w:tr2bl w:val="nil"/>
                  </w:tcBorders>
                  <w:shd w:val="clear" w:color="auto" w:fill="auto"/>
                  <w:vAlign w:val="center"/>
                </w:tcPr>
                <w:p>
                  <w:pPr>
                    <w:pStyle w:val="26"/>
                    <w:rPr>
                      <w:szCs w:val="21"/>
                    </w:rPr>
                  </w:pPr>
                  <w:r>
                    <w:rPr>
                      <w:szCs w:val="21"/>
                    </w:rPr>
                    <w:t>燃烧产污系数</w:t>
                  </w:r>
                </w:p>
              </w:tc>
              <w:tc>
                <w:tcPr>
                  <w:tcW w:w="1153" w:type="pct"/>
                  <w:tcBorders>
                    <w:tl2br w:val="nil"/>
                    <w:tr2bl w:val="nil"/>
                  </w:tcBorders>
                  <w:shd w:val="clear" w:color="auto" w:fill="auto"/>
                  <w:vAlign w:val="center"/>
                </w:tcPr>
                <w:p>
                  <w:pPr>
                    <w:pStyle w:val="26"/>
                    <w:rPr>
                      <w:szCs w:val="21"/>
                    </w:rPr>
                  </w:pPr>
                  <w:r>
                    <w:rPr>
                      <w:szCs w:val="21"/>
                    </w:rPr>
                    <w:t>污染物产生量</w:t>
                  </w:r>
                </w:p>
              </w:tc>
              <w:tc>
                <w:tcPr>
                  <w:tcW w:w="1153" w:type="pct"/>
                  <w:tcBorders>
                    <w:tl2br w:val="nil"/>
                    <w:tr2bl w:val="nil"/>
                  </w:tcBorders>
                  <w:shd w:val="clear" w:color="auto" w:fill="auto"/>
                  <w:vAlign w:val="center"/>
                </w:tcPr>
                <w:p>
                  <w:pPr>
                    <w:pStyle w:val="26"/>
                    <w:rPr>
                      <w:szCs w:val="21"/>
                    </w:rPr>
                  </w:pPr>
                  <w:r>
                    <w:rPr>
                      <w:szCs w:val="21"/>
                    </w:rPr>
                    <w:t>污染物排放量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6"/>
                    <w:rPr>
                      <w:szCs w:val="21"/>
                    </w:rPr>
                  </w:pPr>
                  <w:r>
                    <w:rPr>
                      <w:szCs w:val="21"/>
                    </w:rPr>
                    <w:t>1</w:t>
                  </w:r>
                </w:p>
              </w:tc>
              <w:tc>
                <w:tcPr>
                  <w:tcW w:w="940" w:type="pct"/>
                  <w:tcBorders>
                    <w:tl2br w:val="nil"/>
                    <w:tr2bl w:val="nil"/>
                  </w:tcBorders>
                  <w:shd w:val="clear" w:color="auto" w:fill="auto"/>
                  <w:vAlign w:val="center"/>
                </w:tcPr>
                <w:p>
                  <w:pPr>
                    <w:pStyle w:val="26"/>
                    <w:rPr>
                      <w:szCs w:val="21"/>
                    </w:rPr>
                  </w:pPr>
                  <w:r>
                    <w:rPr>
                      <w:szCs w:val="21"/>
                    </w:rPr>
                    <w:t>烟气量</w:t>
                  </w:r>
                </w:p>
              </w:tc>
              <w:tc>
                <w:tcPr>
                  <w:tcW w:w="1153" w:type="pct"/>
                  <w:tcBorders>
                    <w:tl2br w:val="nil"/>
                    <w:tr2bl w:val="nil"/>
                  </w:tcBorders>
                  <w:shd w:val="clear" w:color="auto" w:fill="auto"/>
                  <w:vAlign w:val="center"/>
                </w:tcPr>
                <w:p>
                  <w:pPr>
                    <w:pStyle w:val="26"/>
                    <w:rPr>
                      <w:szCs w:val="21"/>
                    </w:rPr>
                  </w:pPr>
                  <w:r>
                    <w:rPr>
                      <w:szCs w:val="21"/>
                    </w:rPr>
                    <w:t>1.2万N</w:t>
                  </w:r>
                  <w:r>
                    <w:rPr>
                      <w:szCs w:val="21"/>
                      <w:shd w:val="clear" w:color="auto" w:fill="FFFFFF"/>
                    </w:rPr>
                    <w:t>m</w:t>
                  </w:r>
                  <w:r>
                    <w:rPr>
                      <w:szCs w:val="21"/>
                      <w:shd w:val="clear" w:color="auto" w:fill="FFFFFF"/>
                      <w:vertAlign w:val="superscript"/>
                    </w:rPr>
                    <w:t>3</w:t>
                  </w:r>
                  <w:r>
                    <w:rPr>
                      <w:szCs w:val="21"/>
                      <w:shd w:val="clear" w:color="auto" w:fill="FFFFFF"/>
                    </w:rPr>
                    <w:t>/t</w:t>
                  </w:r>
                </w:p>
              </w:tc>
              <w:tc>
                <w:tcPr>
                  <w:tcW w:w="1153" w:type="pct"/>
                  <w:tcBorders>
                    <w:tl2br w:val="nil"/>
                    <w:tr2bl w:val="nil"/>
                  </w:tcBorders>
                  <w:shd w:val="clear" w:color="auto" w:fill="auto"/>
                  <w:vAlign w:val="center"/>
                </w:tcPr>
                <w:p>
                  <w:pPr>
                    <w:pStyle w:val="26"/>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c>
                <w:tcPr>
                  <w:tcW w:w="1723" w:type="dxa"/>
                  <w:tcBorders>
                    <w:tl2br w:val="nil"/>
                    <w:tr2bl w:val="nil"/>
                  </w:tcBorders>
                  <w:shd w:val="clear" w:color="auto" w:fill="auto"/>
                  <w:vAlign w:val="center"/>
                </w:tcPr>
                <w:p>
                  <w:pPr>
                    <w:pStyle w:val="26"/>
                    <w:rPr>
                      <w:szCs w:val="21"/>
                    </w:rPr>
                  </w:pPr>
                  <w:r>
                    <w:rPr>
                      <w:szCs w:val="21"/>
                    </w:rPr>
                    <w:t>30万N</w:t>
                  </w:r>
                  <w:r>
                    <w:rPr>
                      <w:szCs w:val="21"/>
                      <w:shd w:val="clear" w:color="auto" w:fill="FFFFFF"/>
                    </w:rPr>
                    <w:t>m</w:t>
                  </w:r>
                  <w:r>
                    <w:rPr>
                      <w:szCs w:val="21"/>
                      <w:shd w:val="clear" w:color="auto" w:fill="FFFFFF"/>
                      <w:vertAlign w:val="superscript"/>
                    </w:rPr>
                    <w:t>3</w:t>
                  </w:r>
                  <w:r>
                    <w:rPr>
                      <w:szCs w:val="21"/>
                      <w:shd w:val="clear" w:color="auto" w:fill="FFFFFF"/>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6"/>
                    <w:rPr>
                      <w:szCs w:val="21"/>
                    </w:rPr>
                  </w:pPr>
                  <w:r>
                    <w:rPr>
                      <w:szCs w:val="21"/>
                    </w:rPr>
                    <w:t>2</w:t>
                  </w:r>
                </w:p>
              </w:tc>
              <w:tc>
                <w:tcPr>
                  <w:tcW w:w="940" w:type="pct"/>
                  <w:tcBorders>
                    <w:tl2br w:val="nil"/>
                    <w:tr2bl w:val="nil"/>
                  </w:tcBorders>
                  <w:shd w:val="clear" w:color="auto" w:fill="auto"/>
                  <w:vAlign w:val="center"/>
                </w:tcPr>
                <w:p>
                  <w:pPr>
                    <w:pStyle w:val="26"/>
                    <w:rPr>
                      <w:szCs w:val="21"/>
                    </w:rPr>
                  </w:pPr>
                  <w:r>
                    <w:rPr>
                      <w:snapToGrid w:val="0"/>
                      <w:szCs w:val="21"/>
                    </w:rPr>
                    <w:t>SO</w:t>
                  </w:r>
                  <w:r>
                    <w:rPr>
                      <w:snapToGrid w:val="0"/>
                      <w:szCs w:val="21"/>
                      <w:vertAlign w:val="subscript"/>
                    </w:rPr>
                    <w:t>2</w:t>
                  </w:r>
                </w:p>
              </w:tc>
              <w:tc>
                <w:tcPr>
                  <w:tcW w:w="1153" w:type="pct"/>
                  <w:tcBorders>
                    <w:tl2br w:val="nil"/>
                    <w:tr2bl w:val="nil"/>
                  </w:tcBorders>
                  <w:shd w:val="clear" w:color="auto" w:fill="auto"/>
                  <w:vAlign w:val="center"/>
                </w:tcPr>
                <w:p>
                  <w:pPr>
                    <w:pStyle w:val="26"/>
                    <w:rPr>
                      <w:szCs w:val="21"/>
                    </w:rPr>
                  </w:pPr>
                  <w:r>
                    <w:rPr>
                      <w:szCs w:val="21"/>
                    </w:rPr>
                    <w:t>2000×S%kg/t</w:t>
                  </w:r>
                </w:p>
              </w:tc>
              <w:tc>
                <w:tcPr>
                  <w:tcW w:w="1153" w:type="pct"/>
                  <w:tcBorders>
                    <w:tl2br w:val="nil"/>
                    <w:tr2bl w:val="nil"/>
                  </w:tcBorders>
                  <w:shd w:val="clear" w:color="auto" w:fill="auto"/>
                  <w:vAlign w:val="center"/>
                </w:tcPr>
                <w:p>
                  <w:pPr>
                    <w:pStyle w:val="26"/>
                    <w:rPr>
                      <w:szCs w:val="21"/>
                    </w:rPr>
                  </w:pPr>
                  <w:r>
                    <w:rPr>
                      <w:szCs w:val="21"/>
                    </w:rPr>
                    <w:t>0.1t/</w:t>
                  </w:r>
                  <w:r>
                    <w:rPr>
                      <w:rFonts w:hint="eastAsia"/>
                      <w:szCs w:val="21"/>
                    </w:rPr>
                    <w:t>a</w:t>
                  </w:r>
                </w:p>
              </w:tc>
              <w:tc>
                <w:tcPr>
                  <w:tcW w:w="1723" w:type="dxa"/>
                  <w:tcBorders>
                    <w:tl2br w:val="nil"/>
                    <w:tr2bl w:val="nil"/>
                  </w:tcBorders>
                  <w:shd w:val="clear" w:color="auto" w:fill="auto"/>
                  <w:vAlign w:val="center"/>
                </w:tcPr>
                <w:p>
                  <w:pPr>
                    <w:pStyle w:val="26"/>
                    <w:rPr>
                      <w:szCs w:val="21"/>
                    </w:rPr>
                  </w:pPr>
                  <w:r>
                    <w:rPr>
                      <w:szCs w:val="21"/>
                    </w:rPr>
                    <w:t>0.1t/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599" w:type="pct"/>
                  <w:tcBorders>
                    <w:tl2br w:val="nil"/>
                    <w:tr2bl w:val="nil"/>
                  </w:tcBorders>
                  <w:shd w:val="clear" w:color="auto" w:fill="auto"/>
                  <w:vAlign w:val="center"/>
                </w:tcPr>
                <w:p>
                  <w:pPr>
                    <w:pStyle w:val="26"/>
                    <w:rPr>
                      <w:szCs w:val="21"/>
                    </w:rPr>
                  </w:pPr>
                  <w:r>
                    <w:rPr>
                      <w:szCs w:val="21"/>
                    </w:rPr>
                    <w:t>3</w:t>
                  </w:r>
                </w:p>
              </w:tc>
              <w:tc>
                <w:tcPr>
                  <w:tcW w:w="940" w:type="pct"/>
                  <w:tcBorders>
                    <w:tl2br w:val="nil"/>
                    <w:tr2bl w:val="nil"/>
                  </w:tcBorders>
                  <w:shd w:val="clear" w:color="auto" w:fill="auto"/>
                  <w:vAlign w:val="center"/>
                </w:tcPr>
                <w:p>
                  <w:pPr>
                    <w:pStyle w:val="26"/>
                    <w:rPr>
                      <w:szCs w:val="21"/>
                    </w:rPr>
                  </w:pPr>
                  <w:r>
                    <w:rPr>
                      <w:snapToGrid w:val="0"/>
                      <w:szCs w:val="21"/>
                    </w:rPr>
                    <w:t>NO</w:t>
                  </w:r>
                  <w:r>
                    <w:rPr>
                      <w:snapToGrid w:val="0"/>
                      <w:szCs w:val="21"/>
                      <w:vertAlign w:val="subscript"/>
                    </w:rPr>
                    <w:t>x</w:t>
                  </w:r>
                </w:p>
              </w:tc>
              <w:tc>
                <w:tcPr>
                  <w:tcW w:w="1153" w:type="pct"/>
                  <w:tcBorders>
                    <w:tl2br w:val="nil"/>
                    <w:tr2bl w:val="nil"/>
                  </w:tcBorders>
                  <w:shd w:val="clear" w:color="auto" w:fill="auto"/>
                  <w:vAlign w:val="center"/>
                </w:tcPr>
                <w:p>
                  <w:pPr>
                    <w:pStyle w:val="26"/>
                    <w:rPr>
                      <w:szCs w:val="21"/>
                    </w:rPr>
                  </w:pPr>
                  <w:r>
                    <w:rPr>
                      <w:szCs w:val="21"/>
                    </w:rPr>
                    <w:t>9.0kg</w:t>
                  </w:r>
                  <w:r>
                    <w:rPr>
                      <w:rFonts w:hint="eastAsia"/>
                      <w:szCs w:val="21"/>
                    </w:rPr>
                    <w:t>/t</w:t>
                  </w:r>
                </w:p>
              </w:tc>
              <w:tc>
                <w:tcPr>
                  <w:tcW w:w="1153" w:type="pct"/>
                  <w:tcBorders>
                    <w:tl2br w:val="nil"/>
                    <w:tr2bl w:val="nil"/>
                  </w:tcBorders>
                  <w:shd w:val="clear" w:color="auto" w:fill="auto"/>
                  <w:vAlign w:val="center"/>
                </w:tcPr>
                <w:p>
                  <w:pPr>
                    <w:pStyle w:val="26"/>
                    <w:rPr>
                      <w:szCs w:val="21"/>
                    </w:rPr>
                  </w:pPr>
                  <w:r>
                    <w:rPr>
                      <w:szCs w:val="21"/>
                    </w:rPr>
                    <w:t>0.225t/</w:t>
                  </w:r>
                  <w:r>
                    <w:rPr>
                      <w:rFonts w:hint="eastAsia"/>
                      <w:szCs w:val="21"/>
                    </w:rPr>
                    <w:t>a</w:t>
                  </w:r>
                </w:p>
              </w:tc>
              <w:tc>
                <w:tcPr>
                  <w:tcW w:w="1723" w:type="dxa"/>
                  <w:tcBorders>
                    <w:tl2br w:val="nil"/>
                    <w:tr2bl w:val="nil"/>
                  </w:tcBorders>
                  <w:shd w:val="clear" w:color="auto" w:fill="auto"/>
                  <w:vAlign w:val="center"/>
                </w:tcPr>
                <w:p>
                  <w:pPr>
                    <w:pStyle w:val="26"/>
                    <w:rPr>
                      <w:szCs w:val="21"/>
                    </w:rPr>
                  </w:pPr>
                  <w:r>
                    <w:rPr>
                      <w:szCs w:val="21"/>
                    </w:rPr>
                    <w:t>0.225t/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6"/>
                    <w:rPr>
                      <w:szCs w:val="21"/>
                    </w:rPr>
                  </w:pPr>
                  <w:r>
                    <w:rPr>
                      <w:szCs w:val="21"/>
                    </w:rPr>
                    <w:t>4</w:t>
                  </w:r>
                </w:p>
              </w:tc>
              <w:tc>
                <w:tcPr>
                  <w:tcW w:w="940" w:type="pct"/>
                  <w:tcBorders>
                    <w:tl2br w:val="nil"/>
                    <w:tr2bl w:val="nil"/>
                  </w:tcBorders>
                  <w:shd w:val="clear" w:color="auto" w:fill="auto"/>
                  <w:vAlign w:val="center"/>
                </w:tcPr>
                <w:p>
                  <w:pPr>
                    <w:pStyle w:val="26"/>
                    <w:rPr>
                      <w:szCs w:val="21"/>
                    </w:rPr>
                  </w:pPr>
                  <w:r>
                    <w:rPr>
                      <w:szCs w:val="21"/>
                    </w:rPr>
                    <w:t>烟尘</w:t>
                  </w:r>
                </w:p>
              </w:tc>
              <w:tc>
                <w:tcPr>
                  <w:tcW w:w="1153" w:type="pct"/>
                  <w:tcBorders>
                    <w:tl2br w:val="nil"/>
                    <w:tr2bl w:val="nil"/>
                  </w:tcBorders>
                  <w:shd w:val="clear" w:color="auto" w:fill="auto"/>
                  <w:vAlign w:val="center"/>
                </w:tcPr>
                <w:p>
                  <w:pPr>
                    <w:pStyle w:val="26"/>
                    <w:rPr>
                      <w:szCs w:val="21"/>
                    </w:rPr>
                  </w:pPr>
                  <w:r>
                    <w:rPr>
                      <w:szCs w:val="21"/>
                    </w:rPr>
                    <w:t>1kg/</w:t>
                  </w:r>
                  <w:r>
                    <w:rPr>
                      <w:rFonts w:hint="eastAsia"/>
                      <w:szCs w:val="21"/>
                    </w:rPr>
                    <w:t>t</w:t>
                  </w:r>
                </w:p>
              </w:tc>
              <w:tc>
                <w:tcPr>
                  <w:tcW w:w="1153" w:type="pct"/>
                  <w:tcBorders>
                    <w:tl2br w:val="nil"/>
                    <w:tr2bl w:val="nil"/>
                  </w:tcBorders>
                  <w:shd w:val="clear" w:color="auto" w:fill="auto"/>
                  <w:vAlign w:val="center"/>
                </w:tcPr>
                <w:p>
                  <w:pPr>
                    <w:pStyle w:val="26"/>
                    <w:rPr>
                      <w:szCs w:val="21"/>
                    </w:rPr>
                  </w:pPr>
                  <w:r>
                    <w:rPr>
                      <w:szCs w:val="21"/>
                    </w:rPr>
                    <w:t>0.025t/</w:t>
                  </w:r>
                  <w:r>
                    <w:rPr>
                      <w:rFonts w:hint="eastAsia"/>
                      <w:szCs w:val="21"/>
                    </w:rPr>
                    <w:t>a</w:t>
                  </w:r>
                </w:p>
              </w:tc>
              <w:tc>
                <w:tcPr>
                  <w:tcW w:w="1723" w:type="dxa"/>
                  <w:tcBorders>
                    <w:tl2br w:val="nil"/>
                    <w:tr2bl w:val="nil"/>
                  </w:tcBorders>
                  <w:shd w:val="clear" w:color="auto" w:fill="auto"/>
                  <w:vAlign w:val="center"/>
                </w:tcPr>
                <w:p>
                  <w:pPr>
                    <w:pStyle w:val="26"/>
                    <w:rPr>
                      <w:szCs w:val="21"/>
                    </w:rPr>
                  </w:pPr>
                  <w:r>
                    <w:rPr>
                      <w:szCs w:val="21"/>
                    </w:rPr>
                    <w:t>0.025t/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6"/>
                    <w:rPr>
                      <w:szCs w:val="21"/>
                    </w:rPr>
                  </w:pPr>
                  <w:r>
                    <w:rPr>
                      <w:szCs w:val="21"/>
                    </w:rPr>
                    <w:t>5</w:t>
                  </w:r>
                </w:p>
              </w:tc>
              <w:tc>
                <w:tcPr>
                  <w:tcW w:w="940" w:type="pct"/>
                  <w:tcBorders>
                    <w:tl2br w:val="nil"/>
                    <w:tr2bl w:val="nil"/>
                  </w:tcBorders>
                  <w:shd w:val="clear" w:color="auto" w:fill="auto"/>
                  <w:vAlign w:val="center"/>
                </w:tcPr>
                <w:p>
                  <w:pPr>
                    <w:pStyle w:val="26"/>
                    <w:rPr>
                      <w:szCs w:val="21"/>
                    </w:rPr>
                  </w:pPr>
                  <w:r>
                    <w:rPr>
                      <w:szCs w:val="21"/>
                    </w:rPr>
                    <w:t>烃类</w:t>
                  </w:r>
                </w:p>
              </w:tc>
              <w:tc>
                <w:tcPr>
                  <w:tcW w:w="1153" w:type="pct"/>
                  <w:tcBorders>
                    <w:tl2br w:val="nil"/>
                    <w:tr2bl w:val="nil"/>
                  </w:tcBorders>
                  <w:shd w:val="clear" w:color="auto" w:fill="auto"/>
                  <w:vAlign w:val="center"/>
                </w:tcPr>
                <w:p>
                  <w:pPr>
                    <w:pStyle w:val="26"/>
                    <w:rPr>
                      <w:szCs w:val="21"/>
                    </w:rPr>
                  </w:pPr>
                  <w:r>
                    <w:rPr>
                      <w:szCs w:val="21"/>
                    </w:rPr>
                    <w:t>6.0kg/</w:t>
                  </w:r>
                  <w:r>
                    <w:rPr>
                      <w:rFonts w:hint="eastAsia"/>
                      <w:szCs w:val="21"/>
                    </w:rPr>
                    <w:t>t</w:t>
                  </w:r>
                </w:p>
              </w:tc>
              <w:tc>
                <w:tcPr>
                  <w:tcW w:w="1153" w:type="pct"/>
                  <w:tcBorders>
                    <w:tl2br w:val="nil"/>
                    <w:tr2bl w:val="nil"/>
                  </w:tcBorders>
                  <w:shd w:val="clear" w:color="auto" w:fill="auto"/>
                  <w:vAlign w:val="center"/>
                </w:tcPr>
                <w:p>
                  <w:pPr>
                    <w:pStyle w:val="26"/>
                    <w:rPr>
                      <w:szCs w:val="21"/>
                    </w:rPr>
                  </w:pPr>
                  <w:r>
                    <w:rPr>
                      <w:szCs w:val="21"/>
                    </w:rPr>
                    <w:t>0.15t/</w:t>
                  </w:r>
                  <w:r>
                    <w:rPr>
                      <w:rFonts w:hint="eastAsia"/>
                      <w:szCs w:val="21"/>
                    </w:rPr>
                    <w:t>a</w:t>
                  </w:r>
                </w:p>
              </w:tc>
              <w:tc>
                <w:tcPr>
                  <w:tcW w:w="1723" w:type="dxa"/>
                  <w:tcBorders>
                    <w:tl2br w:val="nil"/>
                    <w:tr2bl w:val="nil"/>
                  </w:tcBorders>
                  <w:shd w:val="clear" w:color="auto" w:fill="auto"/>
                  <w:vAlign w:val="center"/>
                </w:tcPr>
                <w:p>
                  <w:pPr>
                    <w:pStyle w:val="26"/>
                    <w:rPr>
                      <w:szCs w:val="21"/>
                    </w:rPr>
                  </w:pPr>
                  <w:r>
                    <w:rPr>
                      <w:szCs w:val="21"/>
                    </w:rPr>
                    <w:t>0.15t/</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599" w:type="pct"/>
                  <w:tcBorders>
                    <w:tl2br w:val="nil"/>
                    <w:tr2bl w:val="nil"/>
                  </w:tcBorders>
                  <w:shd w:val="clear" w:color="auto" w:fill="auto"/>
                  <w:vAlign w:val="center"/>
                </w:tcPr>
                <w:p>
                  <w:pPr>
                    <w:pStyle w:val="26"/>
                    <w:rPr>
                      <w:szCs w:val="21"/>
                    </w:rPr>
                  </w:pPr>
                  <w:r>
                    <w:rPr>
                      <w:szCs w:val="21"/>
                    </w:rPr>
                    <w:t>6</w:t>
                  </w:r>
                </w:p>
              </w:tc>
              <w:tc>
                <w:tcPr>
                  <w:tcW w:w="940" w:type="pct"/>
                  <w:tcBorders>
                    <w:tl2br w:val="nil"/>
                    <w:tr2bl w:val="nil"/>
                  </w:tcBorders>
                  <w:shd w:val="clear" w:color="auto" w:fill="auto"/>
                  <w:vAlign w:val="center"/>
                </w:tcPr>
                <w:p>
                  <w:pPr>
                    <w:pStyle w:val="26"/>
                    <w:rPr>
                      <w:szCs w:val="21"/>
                    </w:rPr>
                  </w:pPr>
                  <w:r>
                    <w:rPr>
                      <w:szCs w:val="21"/>
                    </w:rPr>
                    <w:t>CO</w:t>
                  </w:r>
                </w:p>
              </w:tc>
              <w:tc>
                <w:tcPr>
                  <w:tcW w:w="1153" w:type="pct"/>
                  <w:tcBorders>
                    <w:tl2br w:val="nil"/>
                    <w:tr2bl w:val="nil"/>
                  </w:tcBorders>
                  <w:shd w:val="clear" w:color="auto" w:fill="auto"/>
                  <w:vAlign w:val="center"/>
                </w:tcPr>
                <w:p>
                  <w:pPr>
                    <w:pStyle w:val="26"/>
                    <w:rPr>
                      <w:szCs w:val="21"/>
                    </w:rPr>
                  </w:pPr>
                  <w:r>
                    <w:rPr>
                      <w:szCs w:val="21"/>
                    </w:rPr>
                    <w:t>8.4kg/</w:t>
                  </w:r>
                  <w:r>
                    <w:rPr>
                      <w:rFonts w:hint="eastAsia"/>
                      <w:szCs w:val="21"/>
                    </w:rPr>
                    <w:t>t</w:t>
                  </w:r>
                </w:p>
              </w:tc>
              <w:tc>
                <w:tcPr>
                  <w:tcW w:w="1153" w:type="pct"/>
                  <w:tcBorders>
                    <w:tl2br w:val="nil"/>
                    <w:tr2bl w:val="nil"/>
                  </w:tcBorders>
                  <w:shd w:val="clear" w:color="auto" w:fill="auto"/>
                  <w:vAlign w:val="center"/>
                </w:tcPr>
                <w:p>
                  <w:pPr>
                    <w:pStyle w:val="26"/>
                    <w:rPr>
                      <w:szCs w:val="21"/>
                    </w:rPr>
                  </w:pPr>
                  <w:r>
                    <w:rPr>
                      <w:szCs w:val="21"/>
                    </w:rPr>
                    <w:t>0.21t/</w:t>
                  </w:r>
                  <w:r>
                    <w:rPr>
                      <w:rFonts w:hint="eastAsia"/>
                      <w:szCs w:val="21"/>
                    </w:rPr>
                    <w:t>a</w:t>
                  </w:r>
                </w:p>
              </w:tc>
              <w:tc>
                <w:tcPr>
                  <w:tcW w:w="1723" w:type="dxa"/>
                  <w:tcBorders>
                    <w:tl2br w:val="nil"/>
                    <w:tr2bl w:val="nil"/>
                  </w:tcBorders>
                  <w:shd w:val="clear" w:color="auto" w:fill="auto"/>
                  <w:vAlign w:val="center"/>
                </w:tcPr>
                <w:p>
                  <w:pPr>
                    <w:pStyle w:val="26"/>
                    <w:rPr>
                      <w:szCs w:val="21"/>
                    </w:rPr>
                  </w:pPr>
                  <w:r>
                    <w:rPr>
                      <w:szCs w:val="21"/>
                    </w:rPr>
                    <w:t>0.21t/</w:t>
                  </w:r>
                  <w:r>
                    <w:rPr>
                      <w:rFonts w:hint="eastAsia"/>
                      <w:szCs w:val="21"/>
                    </w:rPr>
                    <w:t>a</w:t>
                  </w:r>
                </w:p>
              </w:tc>
            </w:tr>
          </w:tbl>
          <w:p>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5"/>
              <w:ind w:firstLine="482" w:firstLineChars="200"/>
            </w:pPr>
            <w:r>
              <w:rPr>
                <w:rFonts w:hint="eastAsia"/>
              </w:rPr>
              <w:t>2.地表水环境影响分析</w:t>
            </w:r>
          </w:p>
          <w:p>
            <w:r>
              <w:rPr>
                <w:rFonts w:hint="eastAsia"/>
              </w:rPr>
              <w:t>勘探作业期间产生的废水分为生产废水和生活废水，其中生产废水为钻探废水。</w:t>
            </w:r>
          </w:p>
          <w:p>
            <w:pPr>
              <w:pStyle w:val="15"/>
              <w:ind w:firstLine="482" w:firstLineChars="200"/>
            </w:pPr>
            <w:r>
              <w:rPr>
                <w:rFonts w:hint="eastAsia"/>
              </w:rPr>
              <w:t>1.1生产废水</w:t>
            </w:r>
          </w:p>
          <w:p>
            <w:pPr>
              <w:ind w:firstLine="482"/>
            </w:pPr>
            <w:r>
              <w:rPr>
                <w:b/>
                <w:bCs/>
              </w:rPr>
              <w:t>产生情况：</w:t>
            </w:r>
            <w:r>
              <w:t>钻探过程中会产生一定量的钻探废水，预计为4m</w:t>
            </w:r>
            <w:r>
              <w:rPr>
                <w:vertAlign w:val="superscript"/>
              </w:rPr>
              <w:t>3</w:t>
            </w:r>
            <w:r>
              <w:t>/d，该废水主要污染物为SS。本项目在每个钻孔附近设置1个5m</w:t>
            </w:r>
            <w:r>
              <w:rPr>
                <w:vertAlign w:val="superscript"/>
              </w:rPr>
              <w:t>3</w:t>
            </w:r>
            <w:r>
              <w:t>的沉淀池收集废水，废水沉淀后回用于</w:t>
            </w:r>
            <w:r>
              <w:rPr>
                <w:rFonts w:hint="eastAsia"/>
              </w:rPr>
              <w:t>钻探</w:t>
            </w:r>
            <w:r>
              <w:t>，不外排。钻探废水损耗量按10%计，每日需补充新鲜水0.4m</w:t>
            </w:r>
            <w:r>
              <w:rPr>
                <w:vertAlign w:val="superscript"/>
              </w:rPr>
              <w:t>3</w:t>
            </w:r>
            <w:r>
              <w:t>。废水中SS的浓度一般约为2000mg/L，则SS产生量约为0.0008t/d（0.16t/a）。</w:t>
            </w:r>
          </w:p>
          <w:p>
            <w:pPr>
              <w:ind w:firstLine="482"/>
            </w:pPr>
            <w:r>
              <w:rPr>
                <w:rFonts w:hint="eastAsia"/>
                <w:b/>
                <w:bCs/>
              </w:rPr>
              <w:t>治理措施：</w:t>
            </w:r>
            <w:r>
              <w:rPr>
                <w:rFonts w:hint="eastAsia"/>
              </w:rPr>
              <w:t>本项目共有1</w:t>
            </w:r>
            <w:r>
              <w:t>2</w:t>
            </w:r>
            <w:r>
              <w:rPr>
                <w:rFonts w:hint="eastAsia"/>
              </w:rPr>
              <w:t>个钻孔，每孔钻井设置</w:t>
            </w:r>
            <w:r>
              <w:t>1</w:t>
            </w:r>
            <w:r>
              <w:rPr>
                <w:rFonts w:hint="eastAsia"/>
              </w:rPr>
              <w:t>个沉淀池（设计容积5m</w:t>
            </w:r>
            <w:r>
              <w:rPr>
                <w:rFonts w:hint="eastAsia"/>
                <w:vertAlign w:val="superscript"/>
              </w:rPr>
              <w:t>3</w:t>
            </w:r>
            <w:r>
              <w:rPr>
                <w:rFonts w:hint="eastAsia"/>
              </w:rPr>
              <w:t>），采用防渗膜塑料布及支架组装，循环使用定期补充，不外排，在所有钻探工作完成后，最终产生的废泥浆（主要成分为SS，不含有毒有害成分）进行固化后无害化处理，措施可行。</w:t>
            </w:r>
          </w:p>
          <w:p>
            <w:pPr>
              <w:pStyle w:val="15"/>
              <w:ind w:firstLine="482" w:firstLineChars="200"/>
            </w:pPr>
            <w:r>
              <w:rPr>
                <w:rFonts w:hint="eastAsia"/>
              </w:rPr>
              <w:t>1</w:t>
            </w:r>
            <w:r>
              <w:t>.2</w:t>
            </w:r>
            <w:r>
              <w:rPr>
                <w:rFonts w:hint="eastAsia"/>
              </w:rPr>
              <w:t>洒水降尘</w:t>
            </w:r>
          </w:p>
          <w:p>
            <w:r>
              <w:t>为减少临时道路及钻探工作区建设过程中的扬尘，本环评提出采用洒水抑尘的方法控制扬尘。根据同类型报告</w:t>
            </w:r>
            <w:r>
              <w:rPr>
                <w:rFonts w:hint="eastAsia"/>
                <w:color w:val="000000"/>
              </w:rPr>
              <w:t>，洒水用水量为</w:t>
            </w:r>
            <w:r>
              <w:rPr>
                <w:rFonts w:ascii="TimesNewRomanPSMT" w:hAnsi="TimesNewRomanPSMT"/>
                <w:color w:val="000000"/>
              </w:rPr>
              <w:t>2m³/d</w:t>
            </w:r>
            <w:r>
              <w:rPr>
                <w:rFonts w:hint="eastAsia"/>
                <w:color w:val="000000"/>
              </w:rPr>
              <w:t>，</w:t>
            </w:r>
            <w:r>
              <w:rPr>
                <w:rFonts w:ascii="TimesNewRomanPSMT" w:hAnsi="TimesNewRomanPSMT"/>
                <w:color w:val="000000"/>
              </w:rPr>
              <w:t>400m³/a</w:t>
            </w:r>
            <w:r>
              <w:rPr>
                <w:rFonts w:hint="eastAsia"/>
                <w:color w:val="000000"/>
              </w:rPr>
              <w:t>。此部分水全部蒸发损耗。</w:t>
            </w:r>
          </w:p>
          <w:p>
            <w:pPr>
              <w:pStyle w:val="15"/>
              <w:ind w:firstLine="482" w:firstLineChars="200"/>
            </w:pPr>
            <w:r>
              <w:rPr>
                <w:rFonts w:hint="eastAsia"/>
              </w:rPr>
              <w:t>1.</w:t>
            </w:r>
            <w:r>
              <w:t>3</w:t>
            </w:r>
            <w:r>
              <w:rPr>
                <w:rFonts w:hint="eastAsia"/>
              </w:rPr>
              <w:t>生活污水</w:t>
            </w:r>
          </w:p>
          <w:p>
            <w:r>
              <w:rPr>
                <w:rFonts w:hint="eastAsia"/>
              </w:rPr>
              <w:t>本项目探矿期间在工作区域生活用水较少，生活用水水仅为洗手用水，用水量按15L/人·d计，年生产200天，本项目按照最大施工人员12人计算，排污按照80%计算，则项目生活水量为0.18m</w:t>
            </w:r>
            <w:r>
              <w:rPr>
                <w:rFonts w:hint="eastAsia"/>
                <w:vertAlign w:val="superscript"/>
              </w:rPr>
              <w:t>3</w:t>
            </w:r>
            <w:r>
              <w:rPr>
                <w:rFonts w:hint="eastAsia"/>
              </w:rPr>
              <w:t>/d、36</w:t>
            </w:r>
            <w:r>
              <w:t>m</w:t>
            </w:r>
            <w:r>
              <w:rPr>
                <w:vertAlign w:val="superscript"/>
              </w:rPr>
              <w:t>3</w:t>
            </w:r>
            <w:r>
              <w:t>/a</w:t>
            </w:r>
            <w:r>
              <w:rPr>
                <w:rFonts w:hint="eastAsia"/>
              </w:rPr>
              <w:t>，废水产生量为0.144m</w:t>
            </w:r>
            <w:r>
              <w:rPr>
                <w:rFonts w:hint="eastAsia"/>
                <w:vertAlign w:val="superscript"/>
              </w:rPr>
              <w:t>3</w:t>
            </w:r>
            <w:r>
              <w:rPr>
                <w:rFonts w:hint="eastAsia"/>
              </w:rPr>
              <w:t>/d、28.8</w:t>
            </w:r>
            <w:r>
              <w:t>m</w:t>
            </w:r>
            <w:r>
              <w:rPr>
                <w:vertAlign w:val="superscript"/>
              </w:rPr>
              <w:t>3</w:t>
            </w:r>
            <w:r>
              <w:t>/a</w:t>
            </w:r>
            <w:r>
              <w:rPr>
                <w:rFonts w:hint="eastAsia"/>
              </w:rPr>
              <w:t>。</w:t>
            </w:r>
          </w:p>
          <w:p>
            <w:pPr>
              <w:ind w:firstLine="482"/>
              <w:rPr>
                <w:b/>
                <w:bCs/>
              </w:rPr>
            </w:pPr>
            <w:r>
              <w:rPr>
                <w:rFonts w:hint="eastAsia"/>
                <w:b/>
                <w:bCs/>
              </w:rPr>
              <w:t>生活污水治理措施：</w:t>
            </w:r>
          </w:p>
          <w:p>
            <w:r>
              <w:rPr>
                <w:rFonts w:hint="eastAsia"/>
              </w:rPr>
              <w:t>生活污水进入防渗化粪池（10m</w:t>
            </w:r>
            <w:r>
              <w:rPr>
                <w:rFonts w:hint="eastAsia"/>
                <w:vertAlign w:val="superscript"/>
              </w:rPr>
              <w:t>3</w:t>
            </w:r>
            <w:r>
              <w:rPr>
                <w:rFonts w:hint="eastAsia"/>
              </w:rPr>
              <w:t>）处理后自然蒸发。</w:t>
            </w:r>
          </w:p>
          <w:p>
            <w:pPr>
              <w:ind w:firstLine="482"/>
              <w:rPr>
                <w:b/>
                <w:bCs/>
              </w:rPr>
            </w:pPr>
            <w:r>
              <w:rPr>
                <w:rFonts w:hint="eastAsia"/>
                <w:b/>
                <w:bCs/>
              </w:rPr>
              <w:t>生活污水防治措施可行性分析：</w:t>
            </w:r>
          </w:p>
          <w:p>
            <w:pPr>
              <w:pStyle w:val="5"/>
              <w:ind w:firstLine="480"/>
              <w:jc w:val="both"/>
              <w:rPr>
                <w:sz w:val="24"/>
                <w:szCs w:val="22"/>
              </w:rPr>
            </w:pPr>
            <w:r>
              <w:rPr>
                <w:rFonts w:hint="eastAsia"/>
                <w:sz w:val="24"/>
                <w:szCs w:val="22"/>
              </w:rPr>
              <w:t>项目区</w:t>
            </w:r>
            <w:r>
              <w:rPr>
                <w:rFonts w:ascii="宋体" w:hAnsi="宋体" w:cs="宋体"/>
                <w:color w:val="000000"/>
                <w:sz w:val="24"/>
                <w:szCs w:val="24"/>
              </w:rPr>
              <w:t>属温暖带大陆性干旱季风气候，蒸发量大于降水量。由于蒸发量大，污水中的水分可以较快地自然蒸发，减少污水积累。化粪池使用混凝土和防腐材料做防渗处理，防止污水渗入地下造成污染。此外，本项目生活污水产生量较少，水质相对简单，对环境污染影响不大</w:t>
            </w:r>
            <w:r>
              <w:rPr>
                <w:rFonts w:hint="eastAsia" w:ascii="宋体" w:hAnsi="宋体" w:cs="宋体"/>
                <w:color w:val="000000"/>
                <w:sz w:val="24"/>
                <w:szCs w:val="24"/>
              </w:rPr>
              <w:t>。</w:t>
            </w:r>
          </w:p>
          <w:p>
            <w:r>
              <w:rPr>
                <w:rFonts w:hint="eastAsia"/>
              </w:rPr>
              <w:t>本项目用水一览表见表4-2。</w:t>
            </w:r>
          </w:p>
          <w:p>
            <w:pPr>
              <w:pStyle w:val="28"/>
              <w:spacing w:before="156"/>
            </w:pPr>
            <w:r>
              <w:rPr>
                <w:rFonts w:hint="eastAsia"/>
              </w:rPr>
              <w:t>表4-2</w:t>
            </w:r>
            <w:r>
              <w:t xml:space="preserve">  </w:t>
            </w:r>
            <w:r>
              <w:rPr>
                <w:rFonts w:hint="eastAsia"/>
              </w:rPr>
              <w:t>项目用水情况一览表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4"/>
              <w:gridCol w:w="2460"/>
              <w:gridCol w:w="1693"/>
              <w:gridCol w:w="26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6"/>
                  </w:pPr>
                  <w:r>
                    <w:t>序号</w:t>
                  </w:r>
                </w:p>
              </w:tc>
              <w:tc>
                <w:tcPr>
                  <w:tcW w:w="1601" w:type="pct"/>
                  <w:tcBorders>
                    <w:tl2br w:val="nil"/>
                    <w:tr2bl w:val="nil"/>
                  </w:tcBorders>
                  <w:shd w:val="clear" w:color="auto" w:fill="auto"/>
                  <w:vAlign w:val="center"/>
                </w:tcPr>
                <w:p>
                  <w:pPr>
                    <w:pStyle w:val="26"/>
                  </w:pPr>
                  <w:r>
                    <w:t>用水位置</w:t>
                  </w:r>
                </w:p>
              </w:tc>
              <w:tc>
                <w:tcPr>
                  <w:tcW w:w="1102" w:type="pct"/>
                  <w:tcBorders>
                    <w:tl2br w:val="nil"/>
                    <w:tr2bl w:val="nil"/>
                  </w:tcBorders>
                  <w:shd w:val="clear" w:color="auto" w:fill="auto"/>
                  <w:vAlign w:val="center"/>
                </w:tcPr>
                <w:p>
                  <w:pPr>
                    <w:pStyle w:val="26"/>
                  </w:pPr>
                  <w:r>
                    <w:t>用水方式</w:t>
                  </w:r>
                </w:p>
              </w:tc>
              <w:tc>
                <w:tcPr>
                  <w:tcW w:w="1720" w:type="pct"/>
                  <w:tcBorders>
                    <w:tl2br w:val="nil"/>
                    <w:tr2bl w:val="nil"/>
                  </w:tcBorders>
                  <w:shd w:val="clear" w:color="auto" w:fill="auto"/>
                  <w:vAlign w:val="center"/>
                </w:tcPr>
                <w:p>
                  <w:pPr>
                    <w:pStyle w:val="26"/>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6"/>
                  </w:pPr>
                  <w:r>
                    <w:t>1</w:t>
                  </w:r>
                </w:p>
              </w:tc>
              <w:tc>
                <w:tcPr>
                  <w:tcW w:w="1601" w:type="pct"/>
                  <w:tcBorders>
                    <w:tl2br w:val="nil"/>
                    <w:tr2bl w:val="nil"/>
                  </w:tcBorders>
                  <w:shd w:val="clear" w:color="auto" w:fill="auto"/>
                  <w:vAlign w:val="center"/>
                </w:tcPr>
                <w:p>
                  <w:pPr>
                    <w:pStyle w:val="26"/>
                  </w:pPr>
                  <w:r>
                    <w:t>钻探</w:t>
                  </w:r>
                </w:p>
              </w:tc>
              <w:tc>
                <w:tcPr>
                  <w:tcW w:w="1102" w:type="pct"/>
                  <w:tcBorders>
                    <w:tl2br w:val="nil"/>
                    <w:tr2bl w:val="nil"/>
                  </w:tcBorders>
                  <w:shd w:val="clear" w:color="auto" w:fill="auto"/>
                  <w:vAlign w:val="center"/>
                </w:tcPr>
                <w:p>
                  <w:pPr>
                    <w:pStyle w:val="26"/>
                  </w:pPr>
                  <w:r>
                    <w:t>钻探废水</w:t>
                  </w:r>
                </w:p>
              </w:tc>
              <w:tc>
                <w:tcPr>
                  <w:tcW w:w="1720" w:type="pct"/>
                  <w:tcBorders>
                    <w:tl2br w:val="nil"/>
                    <w:tr2bl w:val="nil"/>
                  </w:tcBorders>
                  <w:shd w:val="clear" w:color="auto" w:fill="auto"/>
                  <w:vAlign w:val="center"/>
                </w:tcPr>
                <w:p>
                  <w:pPr>
                    <w:pStyle w:val="26"/>
                  </w:pPr>
                  <w:r>
                    <w:rPr>
                      <w:rFonts w:hint="eastAsia"/>
                    </w:rPr>
                    <w:t>0.</w:t>
                  </w:r>
                  <w:r>
                    <w:t>4m</w:t>
                  </w:r>
                  <w:r>
                    <w:rPr>
                      <w:vertAlign w:val="superscript"/>
                    </w:rPr>
                    <w:t>3</w:t>
                  </w:r>
                  <w:r>
                    <w:t>/d</w:t>
                  </w:r>
                  <w:r>
                    <w:rPr>
                      <w:rFonts w:hint="eastAsia"/>
                    </w:rPr>
                    <w:t>，80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6"/>
                  </w:pPr>
                  <w:r>
                    <w:t>2</w:t>
                  </w:r>
                </w:p>
              </w:tc>
              <w:tc>
                <w:tcPr>
                  <w:tcW w:w="1601" w:type="pct"/>
                  <w:tcBorders>
                    <w:tl2br w:val="nil"/>
                    <w:tr2bl w:val="nil"/>
                  </w:tcBorders>
                  <w:shd w:val="clear" w:color="auto" w:fill="auto"/>
                  <w:vAlign w:val="center"/>
                </w:tcPr>
                <w:p>
                  <w:pPr>
                    <w:pStyle w:val="26"/>
                  </w:pPr>
                  <w:r>
                    <w:rPr>
                      <w:rFonts w:hint="eastAsia"/>
                    </w:rPr>
                    <w:t>临时堆场</w:t>
                  </w:r>
                  <w:r>
                    <w:t>、便道</w:t>
                  </w:r>
                </w:p>
              </w:tc>
              <w:tc>
                <w:tcPr>
                  <w:tcW w:w="1102" w:type="pct"/>
                  <w:tcBorders>
                    <w:tl2br w:val="nil"/>
                    <w:tr2bl w:val="nil"/>
                  </w:tcBorders>
                  <w:shd w:val="clear" w:color="auto" w:fill="auto"/>
                  <w:vAlign w:val="center"/>
                </w:tcPr>
                <w:p>
                  <w:pPr>
                    <w:pStyle w:val="26"/>
                  </w:pPr>
                  <w:r>
                    <w:t>抑尘废水</w:t>
                  </w:r>
                </w:p>
              </w:tc>
              <w:tc>
                <w:tcPr>
                  <w:tcW w:w="1720" w:type="pct"/>
                  <w:tcBorders>
                    <w:tl2br w:val="nil"/>
                    <w:tr2bl w:val="nil"/>
                  </w:tcBorders>
                  <w:shd w:val="clear" w:color="auto" w:fill="auto"/>
                  <w:vAlign w:val="center"/>
                </w:tcPr>
                <w:p>
                  <w:pPr>
                    <w:pStyle w:val="26"/>
                  </w:pPr>
                  <w:r>
                    <w:t>2m</w:t>
                  </w:r>
                  <w:r>
                    <w:rPr>
                      <w:vertAlign w:val="superscript"/>
                    </w:rPr>
                    <w:t>3</w:t>
                  </w:r>
                  <w:r>
                    <w:t>/d，400m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6"/>
                  </w:pPr>
                  <w:r>
                    <w:t>3</w:t>
                  </w:r>
                </w:p>
              </w:tc>
              <w:tc>
                <w:tcPr>
                  <w:tcW w:w="1601" w:type="pct"/>
                  <w:tcBorders>
                    <w:tl2br w:val="nil"/>
                    <w:tr2bl w:val="nil"/>
                  </w:tcBorders>
                  <w:shd w:val="clear" w:color="auto" w:fill="auto"/>
                  <w:vAlign w:val="center"/>
                </w:tcPr>
                <w:p>
                  <w:pPr>
                    <w:pStyle w:val="26"/>
                  </w:pPr>
                  <w:r>
                    <w:t>生活区</w:t>
                  </w:r>
                </w:p>
              </w:tc>
              <w:tc>
                <w:tcPr>
                  <w:tcW w:w="1102" w:type="pct"/>
                  <w:tcBorders>
                    <w:tl2br w:val="nil"/>
                    <w:tr2bl w:val="nil"/>
                  </w:tcBorders>
                  <w:shd w:val="clear" w:color="auto" w:fill="auto"/>
                  <w:vAlign w:val="center"/>
                </w:tcPr>
                <w:p>
                  <w:pPr>
                    <w:pStyle w:val="26"/>
                  </w:pPr>
                  <w:r>
                    <w:t>生活废水</w:t>
                  </w:r>
                </w:p>
              </w:tc>
              <w:tc>
                <w:tcPr>
                  <w:tcW w:w="1720" w:type="pct"/>
                  <w:tcBorders>
                    <w:tl2br w:val="nil"/>
                    <w:tr2bl w:val="nil"/>
                  </w:tcBorders>
                  <w:shd w:val="clear" w:color="auto" w:fill="auto"/>
                  <w:vAlign w:val="center"/>
                </w:tcPr>
                <w:p>
                  <w:pPr>
                    <w:pStyle w:val="26"/>
                  </w:pPr>
                  <w:r>
                    <w:rPr>
                      <w:rFonts w:hint="eastAsia"/>
                      <w:bCs/>
                    </w:rPr>
                    <w:t>0.036</w:t>
                  </w:r>
                  <w:r>
                    <w:rPr>
                      <w:bCs/>
                    </w:rPr>
                    <w:t>m</w:t>
                  </w:r>
                  <w:r>
                    <w:rPr>
                      <w:bCs/>
                      <w:vertAlign w:val="superscript"/>
                    </w:rPr>
                    <w:t>3</w:t>
                  </w:r>
                  <w:r>
                    <w:rPr>
                      <w:bCs/>
                    </w:rPr>
                    <w:t>/d</w:t>
                  </w:r>
                  <w:r>
                    <w:t>，</w:t>
                  </w:r>
                  <w:r>
                    <w:rPr>
                      <w:rFonts w:hint="eastAsia"/>
                    </w:rPr>
                    <w:t>7.2</w:t>
                  </w:r>
                  <w:r>
                    <w:t>m</w:t>
                  </w:r>
                  <w:r>
                    <w:rPr>
                      <w:vertAlign w:val="superscript"/>
                    </w:rPr>
                    <w:t>3</w:t>
                  </w:r>
                  <w:r>
                    <w:t>/a</w:t>
                  </w:r>
                </w:p>
              </w:tc>
            </w:tr>
          </w:tbl>
          <w:p>
            <w:pPr>
              <w:ind w:firstLine="0" w:firstLineChars="0"/>
              <w:jc w:val="center"/>
            </w:pPr>
            <w:r>
              <w:drawing>
                <wp:inline distT="0" distB="0" distL="0" distR="0">
                  <wp:extent cx="4860925" cy="2129790"/>
                  <wp:effectExtent l="19050" t="19050" r="15875" b="228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871386" cy="2134237"/>
                          </a:xfrm>
                          <a:prstGeom prst="rect">
                            <a:avLst/>
                          </a:prstGeom>
                          <a:ln>
                            <a:solidFill>
                              <a:schemeClr val="tx1"/>
                            </a:solidFill>
                          </a:ln>
                        </pic:spPr>
                      </pic:pic>
                    </a:graphicData>
                  </a:graphic>
                </wp:inline>
              </w:drawing>
            </w:r>
          </w:p>
          <w:p>
            <w:pPr>
              <w:pStyle w:val="28"/>
              <w:spacing w:before="156"/>
            </w:pPr>
            <w:r>
              <w:rPr>
                <w:rFonts w:hint="eastAsia"/>
              </w:rPr>
              <w:t>图4</w:t>
            </w:r>
            <w:r>
              <w:t xml:space="preserve">-1  </w:t>
            </w:r>
            <w:r>
              <w:rPr>
                <w:rFonts w:hint="eastAsia"/>
              </w:rPr>
              <w:t>本项目水平衡图单位：m</w:t>
            </w:r>
            <w:r>
              <w:rPr>
                <w:rFonts w:hint="eastAsia"/>
                <w:vertAlign w:val="superscript"/>
              </w:rPr>
              <w:t>3</w:t>
            </w:r>
            <w:r>
              <w:rPr>
                <w:rFonts w:hint="eastAsia"/>
              </w:rPr>
              <w:t>/a</w:t>
            </w:r>
          </w:p>
          <w:p>
            <w:r>
              <w:rPr>
                <w:rFonts w:hint="eastAsia"/>
              </w:rPr>
              <w:t>因此，本项目施工期间废水产生量较小，水质较为简单，采取上述措施后施工期间产生的废水能够全部做到综合利用不外排。本次评价认为，项目施工期基本不对周边地表水环境产生污染影响。</w:t>
            </w:r>
          </w:p>
          <w:p>
            <w:pPr>
              <w:pStyle w:val="15"/>
              <w:ind w:firstLine="482" w:firstLineChars="200"/>
            </w:pPr>
            <w:r>
              <w:rPr>
                <w:rFonts w:hint="eastAsia"/>
              </w:rPr>
              <w:t>3.施工期噪声影响分析</w:t>
            </w:r>
          </w:p>
          <w:p>
            <w:pPr>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主要噪声源及声级详见表</w:t>
            </w:r>
            <w:r>
              <w:rPr>
                <w:rFonts w:hint="eastAsia"/>
              </w:rPr>
              <w:t>4-</w:t>
            </w:r>
            <w:r>
              <w:t>3</w:t>
            </w:r>
            <w:r>
              <w:rPr>
                <w:b/>
              </w:rPr>
              <w:t>：</w:t>
            </w:r>
          </w:p>
          <w:p>
            <w:pPr>
              <w:pStyle w:val="28"/>
              <w:spacing w:before="156"/>
            </w:pPr>
            <w:r>
              <w:rPr>
                <w:rFonts w:hint="eastAsia"/>
              </w:rPr>
              <w:t>表4-</w:t>
            </w:r>
            <w:r>
              <w:t xml:space="preserve">3  </w:t>
            </w:r>
            <w:r>
              <w:rPr>
                <w:rFonts w:hint="eastAsia"/>
              </w:rPr>
              <w:t>主要噪声源及声级一览表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4"/>
              <w:gridCol w:w="1263"/>
              <w:gridCol w:w="2237"/>
              <w:gridCol w:w="776"/>
              <w:gridCol w:w="1105"/>
              <w:gridCol w:w="17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367" w:type="pct"/>
                  <w:tcBorders>
                    <w:tl2br w:val="nil"/>
                    <w:tr2bl w:val="nil"/>
                  </w:tcBorders>
                  <w:vAlign w:val="center"/>
                </w:tcPr>
                <w:p>
                  <w:pPr>
                    <w:pStyle w:val="26"/>
                  </w:pPr>
                  <w:r>
                    <w:t>序号</w:t>
                  </w:r>
                </w:p>
              </w:tc>
              <w:tc>
                <w:tcPr>
                  <w:tcW w:w="822" w:type="pct"/>
                  <w:tcBorders>
                    <w:tl2br w:val="nil"/>
                    <w:tr2bl w:val="nil"/>
                  </w:tcBorders>
                  <w:vAlign w:val="center"/>
                </w:tcPr>
                <w:p>
                  <w:pPr>
                    <w:pStyle w:val="26"/>
                  </w:pPr>
                  <w:r>
                    <w:t>声源名称</w:t>
                  </w:r>
                </w:p>
              </w:tc>
              <w:tc>
                <w:tcPr>
                  <w:tcW w:w="1456" w:type="pct"/>
                  <w:tcBorders>
                    <w:tl2br w:val="nil"/>
                    <w:tr2bl w:val="nil"/>
                  </w:tcBorders>
                  <w:vAlign w:val="center"/>
                </w:tcPr>
                <w:p>
                  <w:pPr>
                    <w:pStyle w:val="26"/>
                  </w:pPr>
                  <w:r>
                    <w:t>噪声级dB</w:t>
                  </w:r>
                  <w:r>
                    <w:rPr>
                      <w:rFonts w:hint="eastAsia"/>
                    </w:rPr>
                    <w:t>(</w:t>
                  </w:r>
                  <w:r>
                    <w:t>A)</w:t>
                  </w:r>
                </w:p>
              </w:tc>
              <w:tc>
                <w:tcPr>
                  <w:tcW w:w="505" w:type="pct"/>
                  <w:tcBorders>
                    <w:tl2br w:val="nil"/>
                    <w:tr2bl w:val="nil"/>
                  </w:tcBorders>
                  <w:vAlign w:val="center"/>
                </w:tcPr>
                <w:p>
                  <w:pPr>
                    <w:pStyle w:val="26"/>
                  </w:pPr>
                  <w:r>
                    <w:rPr>
                      <w:rFonts w:hint="eastAsia"/>
                    </w:rPr>
                    <w:t>数量</w:t>
                  </w:r>
                </w:p>
              </w:tc>
              <w:tc>
                <w:tcPr>
                  <w:tcW w:w="719" w:type="pct"/>
                  <w:tcBorders>
                    <w:tl2br w:val="nil"/>
                    <w:tr2bl w:val="nil"/>
                  </w:tcBorders>
                  <w:vAlign w:val="center"/>
                </w:tcPr>
                <w:p>
                  <w:pPr>
                    <w:pStyle w:val="26"/>
                  </w:pPr>
                  <w:r>
                    <w:t>距声源</w:t>
                  </w:r>
                </w:p>
              </w:tc>
              <w:tc>
                <w:tcPr>
                  <w:tcW w:w="1129" w:type="pct"/>
                  <w:tcBorders>
                    <w:tl2br w:val="nil"/>
                    <w:tr2bl w:val="nil"/>
                  </w:tcBorders>
                  <w:vAlign w:val="center"/>
                </w:tcPr>
                <w:p>
                  <w:pPr>
                    <w:pStyle w:val="26"/>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6"/>
                  </w:pPr>
                  <w:r>
                    <w:rPr>
                      <w:rFonts w:hint="eastAsia"/>
                    </w:rPr>
                    <w:t>1</w:t>
                  </w:r>
                </w:p>
              </w:tc>
              <w:tc>
                <w:tcPr>
                  <w:tcW w:w="822" w:type="pct"/>
                  <w:tcBorders>
                    <w:tl2br w:val="nil"/>
                    <w:tr2bl w:val="nil"/>
                  </w:tcBorders>
                  <w:vAlign w:val="center"/>
                </w:tcPr>
                <w:p>
                  <w:pPr>
                    <w:pStyle w:val="26"/>
                  </w:pPr>
                  <w:r>
                    <w:t>空压机</w:t>
                  </w:r>
                </w:p>
              </w:tc>
              <w:tc>
                <w:tcPr>
                  <w:tcW w:w="1456" w:type="pct"/>
                  <w:tcBorders>
                    <w:tl2br w:val="nil"/>
                    <w:tr2bl w:val="nil"/>
                  </w:tcBorders>
                  <w:vAlign w:val="center"/>
                </w:tcPr>
                <w:p>
                  <w:pPr>
                    <w:pStyle w:val="26"/>
                  </w:pPr>
                  <w:r>
                    <w:t>90</w:t>
                  </w:r>
                </w:p>
              </w:tc>
              <w:tc>
                <w:tcPr>
                  <w:tcW w:w="505" w:type="pct"/>
                  <w:tcBorders>
                    <w:tl2br w:val="nil"/>
                    <w:tr2bl w:val="nil"/>
                  </w:tcBorders>
                  <w:vAlign w:val="center"/>
                </w:tcPr>
                <w:p>
                  <w:pPr>
                    <w:pStyle w:val="26"/>
                  </w:pPr>
                  <w:r>
                    <w:rPr>
                      <w:rFonts w:hint="eastAsia"/>
                    </w:rPr>
                    <w:t>1</w:t>
                  </w:r>
                </w:p>
              </w:tc>
              <w:tc>
                <w:tcPr>
                  <w:tcW w:w="719" w:type="pct"/>
                  <w:tcBorders>
                    <w:tl2br w:val="nil"/>
                    <w:tr2bl w:val="nil"/>
                  </w:tcBorders>
                  <w:vAlign w:val="center"/>
                </w:tcPr>
                <w:p>
                  <w:pPr>
                    <w:pStyle w:val="26"/>
                  </w:pPr>
                  <w:r>
                    <w:t>1m</w:t>
                  </w:r>
                </w:p>
              </w:tc>
              <w:tc>
                <w:tcPr>
                  <w:tcW w:w="1129" w:type="pct"/>
                  <w:tcBorders>
                    <w:tl2br w:val="nil"/>
                    <w:tr2bl w:val="nil"/>
                  </w:tcBorders>
                  <w:vAlign w:val="center"/>
                </w:tcPr>
                <w:p>
                  <w:pPr>
                    <w:pStyle w:val="26"/>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6"/>
                  </w:pPr>
                  <w:r>
                    <w:rPr>
                      <w:rFonts w:hint="eastAsia"/>
                    </w:rPr>
                    <w:t>2</w:t>
                  </w:r>
                </w:p>
              </w:tc>
              <w:tc>
                <w:tcPr>
                  <w:tcW w:w="822" w:type="pct"/>
                  <w:tcBorders>
                    <w:tl2br w:val="nil"/>
                    <w:tr2bl w:val="nil"/>
                  </w:tcBorders>
                  <w:vAlign w:val="center"/>
                </w:tcPr>
                <w:p>
                  <w:pPr>
                    <w:pStyle w:val="26"/>
                    <w:rPr>
                      <w:szCs w:val="24"/>
                    </w:rPr>
                  </w:pPr>
                  <w:r>
                    <w:rPr>
                      <w:rFonts w:hint="eastAsia"/>
                    </w:rPr>
                    <w:t>钻探设备</w:t>
                  </w:r>
                </w:p>
              </w:tc>
              <w:tc>
                <w:tcPr>
                  <w:tcW w:w="1456" w:type="pct"/>
                  <w:tcBorders>
                    <w:tl2br w:val="nil"/>
                    <w:tr2bl w:val="nil"/>
                  </w:tcBorders>
                  <w:vAlign w:val="center"/>
                </w:tcPr>
                <w:p>
                  <w:pPr>
                    <w:pStyle w:val="26"/>
                    <w:rPr>
                      <w:szCs w:val="24"/>
                    </w:rPr>
                  </w:pPr>
                  <w:r>
                    <w:rPr>
                      <w:rFonts w:hint="eastAsia"/>
                    </w:rPr>
                    <w:t>90~100</w:t>
                  </w:r>
                </w:p>
              </w:tc>
              <w:tc>
                <w:tcPr>
                  <w:tcW w:w="505" w:type="pct"/>
                  <w:tcBorders>
                    <w:tl2br w:val="nil"/>
                    <w:tr2bl w:val="nil"/>
                  </w:tcBorders>
                  <w:vAlign w:val="center"/>
                </w:tcPr>
                <w:p>
                  <w:pPr>
                    <w:pStyle w:val="26"/>
                    <w:rPr>
                      <w:szCs w:val="24"/>
                    </w:rPr>
                  </w:pPr>
                  <w:r>
                    <w:rPr>
                      <w:rFonts w:hint="eastAsia"/>
                    </w:rPr>
                    <w:t>2</w:t>
                  </w:r>
                </w:p>
              </w:tc>
              <w:tc>
                <w:tcPr>
                  <w:tcW w:w="719" w:type="pct"/>
                  <w:tcBorders>
                    <w:tl2br w:val="nil"/>
                    <w:tr2bl w:val="nil"/>
                  </w:tcBorders>
                  <w:vAlign w:val="center"/>
                </w:tcPr>
                <w:p>
                  <w:pPr>
                    <w:pStyle w:val="26"/>
                    <w:rPr>
                      <w:szCs w:val="24"/>
                    </w:rPr>
                  </w:pPr>
                  <w:r>
                    <w:rPr>
                      <w:rFonts w:hint="eastAsia"/>
                    </w:rPr>
                    <w:t>5m</w:t>
                  </w:r>
                </w:p>
              </w:tc>
              <w:tc>
                <w:tcPr>
                  <w:tcW w:w="1129" w:type="pct"/>
                  <w:tcBorders>
                    <w:tl2br w:val="nil"/>
                    <w:tr2bl w:val="nil"/>
                  </w:tcBorders>
                  <w:vAlign w:val="center"/>
                </w:tcPr>
                <w:p>
                  <w:pPr>
                    <w:pStyle w:val="26"/>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7" w:type="pct"/>
                  <w:tcBorders>
                    <w:tl2br w:val="nil"/>
                    <w:tr2bl w:val="nil"/>
                  </w:tcBorders>
                  <w:vAlign w:val="center"/>
                </w:tcPr>
                <w:p>
                  <w:pPr>
                    <w:pStyle w:val="26"/>
                  </w:pPr>
                  <w:r>
                    <w:rPr>
                      <w:rFonts w:hint="eastAsia"/>
                    </w:rPr>
                    <w:t>3</w:t>
                  </w:r>
                </w:p>
              </w:tc>
              <w:tc>
                <w:tcPr>
                  <w:tcW w:w="822" w:type="pct"/>
                  <w:tcBorders>
                    <w:tl2br w:val="nil"/>
                    <w:tr2bl w:val="nil"/>
                  </w:tcBorders>
                  <w:vAlign w:val="center"/>
                </w:tcPr>
                <w:p>
                  <w:pPr>
                    <w:pStyle w:val="26"/>
                    <w:rPr>
                      <w:szCs w:val="24"/>
                    </w:rPr>
                  </w:pPr>
                  <w:r>
                    <w:rPr>
                      <w:rFonts w:hint="eastAsia"/>
                    </w:rPr>
                    <w:t>发电机</w:t>
                  </w:r>
                </w:p>
              </w:tc>
              <w:tc>
                <w:tcPr>
                  <w:tcW w:w="1456" w:type="pct"/>
                  <w:tcBorders>
                    <w:tl2br w:val="nil"/>
                    <w:tr2bl w:val="nil"/>
                  </w:tcBorders>
                  <w:vAlign w:val="center"/>
                </w:tcPr>
                <w:p>
                  <w:pPr>
                    <w:pStyle w:val="26"/>
                    <w:rPr>
                      <w:szCs w:val="24"/>
                    </w:rPr>
                  </w:pPr>
                  <w:r>
                    <w:rPr>
                      <w:rFonts w:hint="eastAsia"/>
                    </w:rPr>
                    <w:t>85~90</w:t>
                  </w:r>
                </w:p>
              </w:tc>
              <w:tc>
                <w:tcPr>
                  <w:tcW w:w="505" w:type="pct"/>
                  <w:tcBorders>
                    <w:tl2br w:val="nil"/>
                    <w:tr2bl w:val="nil"/>
                  </w:tcBorders>
                  <w:vAlign w:val="center"/>
                </w:tcPr>
                <w:p>
                  <w:pPr>
                    <w:pStyle w:val="26"/>
                    <w:rPr>
                      <w:szCs w:val="24"/>
                    </w:rPr>
                  </w:pPr>
                  <w:r>
                    <w:rPr>
                      <w:rFonts w:hint="eastAsia"/>
                    </w:rPr>
                    <w:t>2</w:t>
                  </w:r>
                </w:p>
              </w:tc>
              <w:tc>
                <w:tcPr>
                  <w:tcW w:w="719" w:type="pct"/>
                  <w:tcBorders>
                    <w:tl2br w:val="nil"/>
                    <w:tr2bl w:val="nil"/>
                  </w:tcBorders>
                  <w:vAlign w:val="center"/>
                </w:tcPr>
                <w:p>
                  <w:pPr>
                    <w:pStyle w:val="26"/>
                    <w:rPr>
                      <w:szCs w:val="24"/>
                    </w:rPr>
                  </w:pPr>
                  <w:r>
                    <w:rPr>
                      <w:rFonts w:hint="eastAsia"/>
                    </w:rPr>
                    <w:t>5m</w:t>
                  </w:r>
                </w:p>
              </w:tc>
              <w:tc>
                <w:tcPr>
                  <w:tcW w:w="1129" w:type="pct"/>
                  <w:tcBorders>
                    <w:tl2br w:val="nil"/>
                    <w:tr2bl w:val="nil"/>
                  </w:tcBorders>
                  <w:vAlign w:val="center"/>
                </w:tcPr>
                <w:p>
                  <w:pPr>
                    <w:pStyle w:val="26"/>
                  </w:pPr>
                  <w:r>
                    <w:rPr>
                      <w:rFonts w:hint="eastAsia"/>
                    </w:rPr>
                    <w:t>/</w:t>
                  </w:r>
                </w:p>
              </w:tc>
            </w:tr>
          </w:tbl>
          <w:p>
            <w:r>
              <w:rPr>
                <w:rFonts w:hint="eastAsia"/>
              </w:rPr>
              <w:t>防治措施：合理布设施工场地，使用低噪声设备，加强钻探设备、凿岩机、空压机、柴油发电机设备的维护保养工作，保持其良好工况，夜间禁止施工。而且要对连续接触高噪声源的操作人员，采取相应防护措施。</w:t>
            </w:r>
          </w:p>
          <w:p>
            <w:pPr>
              <w:pStyle w:val="15"/>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4.施工期固体废物</w:t>
            </w:r>
          </w:p>
          <w:p>
            <w:pPr>
              <w:rPr>
                <w:color w:val="000000" w:themeColor="text1"/>
                <w14:textFill>
                  <w14:solidFill>
                    <w14:schemeClr w14:val="tx1"/>
                  </w14:solidFill>
                </w14:textFill>
              </w:rPr>
            </w:pPr>
            <w:r>
              <w:rPr>
                <w:color w:val="000000" w:themeColor="text1"/>
                <w14:textFill>
                  <w14:solidFill>
                    <w14:schemeClr w14:val="tx1"/>
                  </w14:solidFill>
                </w14:textFill>
              </w:rPr>
              <w:t>本项目固体废物</w:t>
            </w:r>
            <w:r>
              <w:rPr>
                <w:rFonts w:hint="eastAsia"/>
                <w:color w:val="000000" w:themeColor="text1"/>
                <w14:textFill>
                  <w14:solidFill>
                    <w14:schemeClr w14:val="tx1"/>
                  </w14:solidFill>
                </w14:textFill>
              </w:rPr>
              <w:t>分为一般固废和危险废物。一般固废</w:t>
            </w:r>
            <w:r>
              <w:rPr>
                <w:color w:val="000000" w:themeColor="text1"/>
                <w14:textFill>
                  <w14:solidFill>
                    <w14:schemeClr w14:val="tx1"/>
                  </w14:solidFill>
                </w14:textFill>
              </w:rPr>
              <w:t>主要为</w:t>
            </w:r>
            <w:r>
              <w:rPr>
                <w:rFonts w:hint="eastAsia"/>
                <w:color w:val="000000" w:themeColor="text1"/>
                <w14:textFill>
                  <w14:solidFill>
                    <w14:schemeClr w14:val="tx1"/>
                  </w14:solidFill>
                </w14:textFill>
              </w:rPr>
              <w:t>钻探</w:t>
            </w:r>
            <w:r>
              <w:rPr>
                <w:color w:val="000000" w:themeColor="text1"/>
                <w14:textFill>
                  <w14:solidFill>
                    <w14:schemeClr w14:val="tx1"/>
                  </w14:solidFill>
                </w14:textFill>
              </w:rPr>
              <w:t>产生的临时土石方</w:t>
            </w:r>
            <w:r>
              <w:rPr>
                <w:rFonts w:hint="eastAsia"/>
                <w:color w:val="000000" w:themeColor="text1"/>
                <w14:textFill>
                  <w14:solidFill>
                    <w14:schemeClr w14:val="tx1"/>
                  </w14:solidFill>
                </w14:textFill>
              </w:rPr>
              <w:t>、钻探泥浆、化粪池污泥及施工人员产生的生活垃圾。危险废物包括废机油。</w:t>
            </w:r>
          </w:p>
          <w:p>
            <w:pPr>
              <w:pStyle w:val="15"/>
              <w:ind w:firstLine="482" w:firstLineChars="200"/>
            </w:pPr>
            <w:r>
              <w:rPr>
                <w:rFonts w:hint="eastAsia"/>
              </w:rPr>
              <w:t>4.1</w:t>
            </w:r>
            <w:r>
              <w:rPr>
                <w:rFonts w:hint="eastAsia"/>
                <w:color w:val="000000" w:themeColor="text1"/>
                <w14:textFill>
                  <w14:solidFill>
                    <w14:schemeClr w14:val="tx1"/>
                  </w14:solidFill>
                </w14:textFill>
              </w:rPr>
              <w:t>固体废物</w:t>
            </w:r>
          </w:p>
          <w:p>
            <w:pPr>
              <w:rPr>
                <w:snapToGrid w:val="0"/>
              </w:rPr>
            </w:pPr>
            <w:r>
              <w:rPr>
                <w:rFonts w:hint="eastAsia"/>
                <w:snapToGrid w:val="0"/>
              </w:rPr>
              <w:t>①土石方</w:t>
            </w:r>
          </w:p>
          <w:p>
            <w:r>
              <w:t>本项目</w:t>
            </w:r>
            <w:r>
              <w:rPr>
                <w:rFonts w:hint="eastAsia"/>
              </w:rPr>
              <w:t>机械岩心钻探工作量为3</w:t>
            </w:r>
            <w:r>
              <w:t>000m</w:t>
            </w:r>
            <w:r>
              <w:rPr>
                <w:rFonts w:hint="eastAsia"/>
              </w:rPr>
              <w:t>，水文地质钻探工作量为5</w:t>
            </w:r>
            <w:r>
              <w:t>00m</w:t>
            </w:r>
            <w:r>
              <w:rPr>
                <w:rFonts w:hint="eastAsia"/>
              </w:rPr>
              <w:t>，钻探</w:t>
            </w:r>
            <w:r>
              <w:t>总</w:t>
            </w:r>
            <w:r>
              <w:rPr>
                <w:rFonts w:hint="eastAsia"/>
              </w:rPr>
              <w:t>工作</w:t>
            </w:r>
            <w:r>
              <w:t>量为3500m，钻探</w:t>
            </w:r>
            <w:r>
              <w:rPr>
                <w:rFonts w:hint="eastAsia"/>
              </w:rPr>
              <w:t>开孔直径不小于75</w:t>
            </w:r>
            <w:r>
              <w:t>mm</w:t>
            </w:r>
            <w:r>
              <w:rPr>
                <w:rFonts w:hint="eastAsia"/>
              </w:rPr>
              <w:t>，</w:t>
            </w:r>
            <w:r>
              <w:t>岩心产生的土方量为15.45m</w:t>
            </w:r>
            <w:r>
              <w:rPr>
                <w:vertAlign w:val="superscript"/>
              </w:rPr>
              <w:t>3</w:t>
            </w:r>
            <w:r>
              <w:t>(V=πr</w:t>
            </w:r>
            <w:r>
              <w:rPr>
                <w:vertAlign w:val="superscript"/>
              </w:rPr>
              <w:t>2</w:t>
            </w:r>
            <w:r>
              <w:t>×h)，全部带回实验室分析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w:t>
            </w:r>
            <w:r>
              <w:t>12</w:t>
            </w:r>
            <w:r>
              <w:rPr>
                <w:rFonts w:hint="eastAsia"/>
              </w:rPr>
              <w:t>个钻孔计，</w:t>
            </w:r>
            <w:r>
              <w:t>共计需剥离180m</w:t>
            </w:r>
            <w:r>
              <w:rPr>
                <w:vertAlign w:val="superscript"/>
              </w:rPr>
              <w:t>2</w:t>
            </w:r>
            <w:r>
              <w:t>，剥离厚度按20cm计算，每孔需剥离</w:t>
            </w:r>
            <w:r>
              <w:rPr>
                <w:rFonts w:hint="eastAsia"/>
              </w:rPr>
              <w:t>3</w:t>
            </w:r>
            <w:r>
              <w:t>m</w:t>
            </w:r>
            <w:r>
              <w:rPr>
                <w:vertAlign w:val="superscript"/>
              </w:rPr>
              <w:t>3</w:t>
            </w:r>
            <w:r>
              <w:t>，共需要堆放约36m</w:t>
            </w:r>
            <w:r>
              <w:rPr>
                <w:vertAlign w:val="superscript"/>
              </w:rPr>
              <w:t>3</w:t>
            </w:r>
            <w:r>
              <w:t>(松散系数k=1.3</w:t>
            </w:r>
            <w:r>
              <w:rPr>
                <w:rFonts w:hint="eastAsia"/>
              </w:rPr>
              <w:t>，</w:t>
            </w:r>
            <w:r>
              <w:t>剥离松</w:t>
            </w:r>
            <w:r>
              <w:rPr>
                <w:rFonts w:hint="eastAsia"/>
              </w:rPr>
              <w:t>散</w:t>
            </w:r>
            <w:r>
              <w:t>方46.8m</w:t>
            </w:r>
            <w:r>
              <w:rPr>
                <w:vertAlign w:val="superscript"/>
              </w:rPr>
              <w:t>3</w:t>
            </w:r>
            <w:r>
              <w:t>)</w:t>
            </w:r>
            <w:r>
              <w:rPr>
                <w:rFonts w:hint="eastAsia"/>
              </w:rPr>
              <w:t>；槽探总工作量为</w:t>
            </w:r>
            <w:r>
              <w:t>2000</w:t>
            </w:r>
            <w:r>
              <w:rPr>
                <w:rFonts w:hint="eastAsia"/>
              </w:rPr>
              <w:t>m</w:t>
            </w:r>
            <w:r>
              <w:rPr>
                <w:vertAlign w:val="superscript"/>
              </w:rPr>
              <w:t>3</w:t>
            </w:r>
            <w:r>
              <w:rPr>
                <w:rFonts w:hint="eastAsia"/>
              </w:rPr>
              <w:t>。详见表2-</w:t>
            </w:r>
            <w:r>
              <w:t>6</w:t>
            </w:r>
            <w:r>
              <w:rPr>
                <w:rFonts w:hint="eastAsia"/>
              </w:rPr>
              <w:t>土石方平衡一览表。由于本项目产生的土石方量较少，因此不单独设置废石场，废石与剥离的表土分类暂存于个钻孔附近的临时表土堆放场，用于回填</w:t>
            </w:r>
            <w:r>
              <w:t>。</w:t>
            </w:r>
          </w:p>
          <w:p>
            <w:pPr>
              <w:rPr>
                <w:snapToGrid w:val="0"/>
              </w:rPr>
            </w:pPr>
            <w:r>
              <w:rPr>
                <w:rFonts w:hint="eastAsia"/>
                <w:snapToGrid w:val="0"/>
              </w:rPr>
              <w:t>②钻探泥浆</w:t>
            </w:r>
          </w:p>
          <w:p>
            <w:r>
              <w:rPr>
                <w:rFonts w:hint="eastAsia"/>
              </w:rPr>
              <w:t>钻探使用的泥浆采用水基非磺化泥浆，从钻孔孔口返回后引至沉淀池，通过沉淀处理后，上清液循环使用，不外排。该类固废含水率</w:t>
            </w:r>
            <w:r>
              <w:t>90%</w:t>
            </w:r>
            <w:r>
              <w:rPr>
                <w:rFonts w:hint="eastAsia"/>
              </w:rPr>
              <w:t>。主要为岩屑胶结水团与泥沙混合物，属于一般固体废物，根据业主提供的施工经验数据，在现有施工机具及环境条件下产生泥浆</w:t>
            </w:r>
            <w:r>
              <w:t>0.5t/100m</w:t>
            </w:r>
            <w:r>
              <w:rPr>
                <w:rFonts w:hint="eastAsia"/>
              </w:rPr>
              <w:t>。本项目钻探工作量为</w:t>
            </w:r>
            <w:r>
              <w:t>35</w:t>
            </w:r>
            <w:r>
              <w:rPr>
                <w:rFonts w:hint="eastAsia"/>
              </w:rPr>
              <w:t>00</w:t>
            </w:r>
            <w:r>
              <w:t>m</w:t>
            </w:r>
            <w:r>
              <w:rPr>
                <w:rFonts w:hint="eastAsia"/>
              </w:rPr>
              <w:t>，则整个探矿期泥浆产生量约为</w:t>
            </w:r>
            <w:r>
              <w:t>17.5t</w:t>
            </w:r>
            <w:r>
              <w:rPr>
                <w:rFonts w:hint="eastAsia"/>
              </w:rPr>
              <w:t>。最终产生的废泥浆无任何添加剂成分，泥浆主要成分为SS，属于一般固体废物，钻探泥浆完工后，将钻探泥浆</w:t>
            </w:r>
            <w:r>
              <w:t>填入沉淀池内，并采用水泥固化填埋。本项目对钻探泥浆采取固化处理措施合理可行。</w:t>
            </w:r>
          </w:p>
          <w:p>
            <w:r>
              <w:rPr>
                <w:snapToGrid w:val="0"/>
              </w:rPr>
              <w:fldChar w:fldCharType="begin"/>
            </w:r>
            <w:r>
              <w:rPr>
                <w:snapToGrid w:val="0"/>
              </w:rPr>
              <w:instrText xml:space="preserve"> = 3 \* GB3 \* MERGEFORMAT </w:instrText>
            </w:r>
            <w:r>
              <w:rPr>
                <w:snapToGrid w:val="0"/>
              </w:rPr>
              <w:fldChar w:fldCharType="separate"/>
            </w:r>
            <w:r>
              <w:rPr>
                <w:rFonts w:hint="eastAsia" w:ascii="宋体" w:hAnsi="宋体" w:cs="宋体"/>
                <w:snapToGrid w:val="0"/>
              </w:rPr>
              <w:t>③</w:t>
            </w:r>
            <w:r>
              <w:rPr>
                <w:snapToGrid w:val="0"/>
              </w:rPr>
              <w:fldChar w:fldCharType="end"/>
            </w:r>
            <w:r>
              <w:rPr>
                <w:rFonts w:hint="eastAsia"/>
              </w:rPr>
              <w:t>钻孔岩屑</w:t>
            </w:r>
          </w:p>
          <w:p>
            <w:pPr>
              <w:rPr>
                <w:color w:val="000000"/>
              </w:rPr>
            </w:pPr>
            <w:r>
              <w:rPr>
                <w:rFonts w:hint="eastAsia"/>
                <w:color w:val="000000"/>
              </w:rPr>
              <w:t>钻孔岩屑是在钻孔过程中钻头切屑地层岩石而产生的碎屑，并通过钻井泥浆带出至地面，主要成分为岩石（屑）。每个钻孔完毕后，</w:t>
            </w:r>
            <w:r>
              <w:rPr>
                <w:rFonts w:hint="eastAsia"/>
              </w:rPr>
              <w:t>钻孔岩屑</w:t>
            </w:r>
            <w:r>
              <w:rPr>
                <w:rFonts w:hint="eastAsia"/>
                <w:color w:val="000000"/>
              </w:rPr>
              <w:t>用于封孔，对钻孔进行密封。</w:t>
            </w:r>
          </w:p>
          <w:p>
            <w:pPr>
              <w:rPr>
                <w:color w:val="000000"/>
              </w:rPr>
            </w:pPr>
            <w:r>
              <w:rPr>
                <w:color w:val="000000"/>
              </w:rPr>
              <w:t>钻屑产生量参考同类型项目经验公式进行计算：</w:t>
            </w:r>
          </w:p>
          <w:p>
            <w:pPr>
              <w:jc w:val="center"/>
            </w:pPr>
            <w:r>
              <w:t>V=πr</w:t>
            </w:r>
            <w:r>
              <w:rPr>
                <w:vertAlign w:val="superscript"/>
              </w:rPr>
              <w:t>2</w:t>
            </w:r>
            <w:r>
              <w:t>×h×k</w:t>
            </w:r>
          </w:p>
          <w:p>
            <w:pPr>
              <w:rPr>
                <w:color w:val="000000"/>
              </w:rPr>
            </w:pPr>
            <w:r>
              <w:rPr>
                <w:color w:val="000000"/>
              </w:rPr>
              <w:t>其中：V——钻屑体积，m</w:t>
            </w:r>
            <w:r>
              <w:rPr>
                <w:color w:val="000000"/>
                <w:vertAlign w:val="superscript"/>
              </w:rPr>
              <w:t>3</w:t>
            </w:r>
            <w:r>
              <w:rPr>
                <w:color w:val="000000"/>
              </w:rPr>
              <w:t>；</w:t>
            </w:r>
          </w:p>
          <w:p>
            <w:pPr>
              <w:rPr>
                <w:color w:val="000000"/>
              </w:rPr>
            </w:pPr>
            <w:r>
              <w:rPr>
                <w:color w:val="000000"/>
              </w:rPr>
              <w:t>π——圆周率，圆的周长与直径的比值，本次取3.14；</w:t>
            </w:r>
          </w:p>
          <w:p>
            <w:pPr>
              <w:rPr>
                <w:color w:val="000000"/>
              </w:rPr>
            </w:pPr>
            <w:r>
              <w:rPr>
                <w:color w:val="000000"/>
              </w:rPr>
              <w:t>r—钻井半径，m，0.075m；</w:t>
            </w:r>
          </w:p>
          <w:p>
            <w:pPr>
              <w:rPr>
                <w:color w:val="000000"/>
              </w:rPr>
            </w:pPr>
            <w:r>
              <w:rPr>
                <w:color w:val="000000"/>
              </w:rPr>
              <w:t>h——最大钻孔深度，300m；</w:t>
            </w:r>
          </w:p>
          <w:p>
            <w:pPr>
              <w:rPr>
                <w:color w:val="000000"/>
              </w:rPr>
            </w:pPr>
            <w:r>
              <w:rPr>
                <w:color w:val="000000"/>
              </w:rPr>
              <w:t>k——井眼扩大率，本次取，10%。</w:t>
            </w:r>
          </w:p>
          <w:p>
            <w:pPr>
              <w:rPr>
                <w:color w:val="000000"/>
              </w:rPr>
            </w:pPr>
            <w:r>
              <w:rPr>
                <w:color w:val="000000"/>
              </w:rPr>
              <w:t>经计算，整个钻孔其钻屑V产生量为0.53m³，每个钻孔完毕后，钻屑用于封孔。</w:t>
            </w:r>
          </w:p>
          <w:p>
            <w:pPr>
              <w:rPr>
                <w:snapToGrid w:val="0"/>
              </w:rPr>
            </w:pPr>
            <w:r>
              <w:rPr>
                <w:snapToGrid w:val="0"/>
              </w:rPr>
              <w:fldChar w:fldCharType="begin"/>
            </w:r>
            <w:r>
              <w:rPr>
                <w:snapToGrid w:val="0"/>
              </w:rPr>
              <w:instrText xml:space="preserve"> = 4 \* GB3 </w:instrText>
            </w:r>
            <w:r>
              <w:rPr>
                <w:snapToGrid w:val="0"/>
              </w:rPr>
              <w:fldChar w:fldCharType="separate"/>
            </w:r>
            <w:r>
              <w:rPr>
                <w:rFonts w:hint="eastAsia"/>
                <w:snapToGrid w:val="0"/>
              </w:rPr>
              <w:t>④</w:t>
            </w:r>
            <w:r>
              <w:rPr>
                <w:snapToGrid w:val="0"/>
              </w:rPr>
              <w:fldChar w:fldCharType="end"/>
            </w:r>
            <w:r>
              <w:rPr>
                <w:snapToGrid w:val="0"/>
              </w:rPr>
              <w:t>生活垃圾</w:t>
            </w:r>
          </w:p>
          <w:p>
            <w:r>
              <w:t>生活垃圾来自探矿人员日常生活，以纸张、塑料瓶为主。本项目野外探矿作业人员为12人，按每人每天产生0.35kg生活垃圾计算，则生活垃圾产生量为4.2kg/d，整个探矿期生活垃圾产生量约为0.84t，集中收集后统一拉运到垃圾填埋场进行填埋。工作人员严禁将生活垃圾遗弃在矿区内。</w:t>
            </w:r>
          </w:p>
          <w:p>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化粪池污泥</w:t>
            </w:r>
          </w:p>
          <w:p>
            <w:pPr>
              <w:rPr>
                <w:rFonts w:ascii="宋体" w:hAnsi="宋体" w:cs="宋体"/>
                <w:bCs/>
              </w:rPr>
            </w:pPr>
            <w:r>
              <w:rPr>
                <w:rFonts w:hint="eastAsia" w:ascii="宋体" w:hAnsi="宋体"/>
                <w:kern w:val="0"/>
                <w:lang w:bidi="ar"/>
              </w:rPr>
              <w:t>化粪池污泥</w:t>
            </w:r>
            <w:r>
              <w:rPr>
                <w:rFonts w:hint="eastAsia" w:ascii="宋体" w:hAnsi="宋体" w:cs="宋体"/>
                <w:bCs/>
              </w:rPr>
              <w:t>定期清掏后委托周边农户做为农肥消耗</w:t>
            </w:r>
            <w:r>
              <w:rPr>
                <w:rFonts w:ascii="宋体" w:hAnsi="宋体" w:cs="宋体"/>
                <w:bCs/>
              </w:rPr>
              <w:t>。</w:t>
            </w:r>
          </w:p>
          <w:p>
            <w:pPr>
              <w:rPr>
                <w:rFonts w:ascii="宋体" w:hAnsi="宋体" w:cs="宋体"/>
                <w:bCs/>
              </w:rPr>
            </w:pPr>
            <w:r>
              <w:rPr>
                <w:rFonts w:ascii="宋体" w:hAnsi="宋体" w:cs="宋体"/>
                <w:bCs/>
              </w:rPr>
              <w:fldChar w:fldCharType="begin"/>
            </w:r>
            <w:r>
              <w:rPr>
                <w:rFonts w:ascii="宋体" w:hAnsi="宋体" w:cs="宋体"/>
                <w:bCs/>
              </w:rPr>
              <w:instrText xml:space="preserve"> </w:instrText>
            </w:r>
            <w:r>
              <w:rPr>
                <w:rFonts w:hint="eastAsia" w:ascii="宋体" w:hAnsi="宋体" w:cs="宋体"/>
                <w:bCs/>
              </w:rPr>
              <w:instrText xml:space="preserve">= 6 \* GB3</w:instrText>
            </w:r>
            <w:r>
              <w:rPr>
                <w:rFonts w:ascii="宋体" w:hAnsi="宋体" w:cs="宋体"/>
                <w:bCs/>
              </w:rPr>
              <w:instrText xml:space="preserve"> </w:instrText>
            </w:r>
            <w:r>
              <w:rPr>
                <w:rFonts w:ascii="宋体" w:hAnsi="宋体" w:cs="宋体"/>
                <w:bCs/>
              </w:rPr>
              <w:fldChar w:fldCharType="separate"/>
            </w:r>
            <w:r>
              <w:rPr>
                <w:rFonts w:hint="eastAsia" w:ascii="宋体" w:hAnsi="宋体" w:cs="宋体"/>
                <w:bCs/>
              </w:rPr>
              <w:t>⑥</w:t>
            </w:r>
            <w:r>
              <w:rPr>
                <w:rFonts w:ascii="宋体" w:hAnsi="宋体" w:cs="宋体"/>
                <w:bCs/>
              </w:rPr>
              <w:fldChar w:fldCharType="end"/>
            </w:r>
            <w:r>
              <w:rPr>
                <w:rFonts w:hint="eastAsia" w:ascii="宋体" w:hAnsi="宋体" w:cs="宋体"/>
                <w:bCs/>
              </w:rPr>
              <w:t>岩心</w:t>
            </w:r>
          </w:p>
          <w:p>
            <w:pPr>
              <w:rPr>
                <w:color w:val="000000" w:themeColor="text1"/>
                <w14:textFill>
                  <w14:solidFill>
                    <w14:schemeClr w14:val="tx1"/>
                  </w14:solidFill>
                </w14:textFill>
              </w:rPr>
            </w:pPr>
            <w:r>
              <w:t>岩心产生的土方量为15.45m</w:t>
            </w:r>
            <w:r>
              <w:rPr>
                <w:vertAlign w:val="superscript"/>
              </w:rPr>
              <w:t>3</w:t>
            </w:r>
            <w:r>
              <w:rPr>
                <w:rFonts w:hint="eastAsia"/>
              </w:rPr>
              <w:t>，岩心委托第三方进行分析，分析完成后由第三方妥善保存在专门的岩心库中。用于长期存档，以便将来复查或进一步研究。</w:t>
            </w:r>
          </w:p>
          <w:p>
            <w:pPr>
              <w:pStyle w:val="15"/>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4.2危险废物</w:t>
            </w:r>
          </w:p>
          <w:p>
            <w:r>
              <w:rPr>
                <w:rFonts w:hint="eastAsia"/>
                <w:color w:val="000000" w:themeColor="text1"/>
                <w14:textFill>
                  <w14:solidFill>
                    <w14:schemeClr w14:val="tx1"/>
                  </w14:solidFill>
                </w14:textFill>
              </w:rPr>
              <w:t>本项目工作中使用柴油发电机及钻机，会定期更换机油而产生的少量废机油。根据《国家</w:t>
            </w:r>
            <w:r>
              <w:rPr>
                <w:color w:val="000000" w:themeColor="text1"/>
                <w14:textFill>
                  <w14:solidFill>
                    <w14:schemeClr w14:val="tx1"/>
                  </w14:solidFill>
                </w14:textFill>
              </w:rPr>
              <w:t>危</w:t>
            </w:r>
            <w:r>
              <w:t>险废物名录</w:t>
            </w:r>
            <w:r>
              <w:rPr>
                <w:rFonts w:hint="eastAsia"/>
              </w:rPr>
              <w:t>》（2</w:t>
            </w:r>
            <w:r>
              <w:t>025</w:t>
            </w:r>
            <w:r>
              <w:rPr>
                <w:rFonts w:hint="eastAsia"/>
              </w:rPr>
              <w:t>年版），</w:t>
            </w:r>
            <w:r>
              <w:t>废机油</w:t>
            </w:r>
            <w:r>
              <w:rPr>
                <w:rFonts w:hint="eastAsia"/>
              </w:rPr>
              <w:t>废物</w:t>
            </w:r>
            <w:r>
              <w:t>类别为HW08</w:t>
            </w:r>
            <w:r>
              <w:rPr>
                <w:rFonts w:hint="eastAsia"/>
              </w:rPr>
              <w:t>废矿物油与含矿物，废物</w:t>
            </w:r>
            <w:r>
              <w:t>代码为900-214-08</w:t>
            </w:r>
            <w:r>
              <w:rPr>
                <w:rFonts w:hint="eastAsia"/>
              </w:rPr>
              <w:t>。探矿期产生量约为0.01t，柴油发电机及钻机在设备商家处更换机油，其废机油由商家处置，最终由有危废处置资质单位处理，日常维修产生的废机油暂存于</w:t>
            </w:r>
            <w:r>
              <w:t>危废暂存间，</w:t>
            </w:r>
            <w:r>
              <w:rPr>
                <w:rFonts w:hint="eastAsia"/>
              </w:rPr>
              <w:t>最终</w:t>
            </w:r>
            <w:r>
              <w:t>交由有危废处置资质单位处理</w:t>
            </w:r>
            <w:r>
              <w:rPr>
                <w:rFonts w:hint="eastAsia"/>
              </w:rPr>
              <w:t>。</w:t>
            </w:r>
          </w:p>
          <w:p>
            <w:r>
              <w:rPr>
                <w:rFonts w:hint="eastAsia"/>
              </w:rPr>
              <w:t>综上，本项目产生的固废均能够妥善处置。</w:t>
            </w:r>
          </w:p>
          <w:p>
            <w:r>
              <w:rPr>
                <w:rFonts w:hint="eastAsia"/>
              </w:rPr>
              <w:t>根据《建设项目危险废物环境影响评价指南》危险废物污染防治措施情况详见表4-</w:t>
            </w:r>
            <w:r>
              <w:t>4</w:t>
            </w:r>
            <w:r>
              <w:rPr>
                <w:rFonts w:hint="eastAsia"/>
              </w:rPr>
              <w:t>：</w:t>
            </w:r>
          </w:p>
          <w:p>
            <w:pPr>
              <w:pStyle w:val="28"/>
              <w:spacing w:before="156"/>
            </w:pPr>
            <w:r>
              <w:rPr>
                <w:rFonts w:hint="eastAsia"/>
              </w:rPr>
              <w:t>表4-</w:t>
            </w:r>
            <w:r>
              <w:t xml:space="preserve">4  </w:t>
            </w:r>
            <w:r>
              <w:rPr>
                <w:rFonts w:hint="eastAsia"/>
              </w:rPr>
              <w:t>危险废物产生及处置情况汇总表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557"/>
              <w:gridCol w:w="776"/>
              <w:gridCol w:w="1196"/>
              <w:gridCol w:w="584"/>
              <w:gridCol w:w="638"/>
              <w:gridCol w:w="426"/>
              <w:gridCol w:w="526"/>
              <w:gridCol w:w="526"/>
              <w:gridCol w:w="529"/>
              <w:gridCol w:w="555"/>
              <w:gridCol w:w="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jc w:val="center"/>
              </w:trPr>
              <w:tc>
                <w:tcPr>
                  <w:tcW w:w="267" w:type="pct"/>
                  <w:vAlign w:val="center"/>
                </w:tcPr>
                <w:p>
                  <w:pPr>
                    <w:pStyle w:val="26"/>
                  </w:pPr>
                  <w:r>
                    <w:t>序号</w:t>
                  </w:r>
                </w:p>
              </w:tc>
              <w:tc>
                <w:tcPr>
                  <w:tcW w:w="377" w:type="pct"/>
                  <w:vAlign w:val="center"/>
                </w:tcPr>
                <w:p>
                  <w:pPr>
                    <w:pStyle w:val="26"/>
                  </w:pPr>
                  <w:r>
                    <w:t>危险废物名称</w:t>
                  </w:r>
                </w:p>
              </w:tc>
              <w:tc>
                <w:tcPr>
                  <w:tcW w:w="487" w:type="pct"/>
                  <w:vAlign w:val="center"/>
                </w:tcPr>
                <w:p>
                  <w:pPr>
                    <w:pStyle w:val="26"/>
                  </w:pPr>
                  <w:r>
                    <w:t>危险废物类别</w:t>
                  </w:r>
                </w:p>
              </w:tc>
              <w:tc>
                <w:tcPr>
                  <w:tcW w:w="751" w:type="pct"/>
                  <w:vAlign w:val="center"/>
                </w:tcPr>
                <w:p>
                  <w:pPr>
                    <w:pStyle w:val="26"/>
                  </w:pPr>
                  <w:r>
                    <w:t>危险废物代码</w:t>
                  </w:r>
                </w:p>
              </w:tc>
              <w:tc>
                <w:tcPr>
                  <w:tcW w:w="367" w:type="pct"/>
                  <w:vAlign w:val="center"/>
                </w:tcPr>
                <w:p>
                  <w:pPr>
                    <w:pStyle w:val="26"/>
                  </w:pPr>
                  <w:r>
                    <w:t>产生量t/a</w:t>
                  </w:r>
                </w:p>
              </w:tc>
              <w:tc>
                <w:tcPr>
                  <w:tcW w:w="430" w:type="pct"/>
                  <w:vAlign w:val="center"/>
                </w:tcPr>
                <w:p>
                  <w:pPr>
                    <w:pStyle w:val="26"/>
                  </w:pPr>
                  <w:r>
                    <w:t>产生工序及装置</w:t>
                  </w:r>
                </w:p>
              </w:tc>
              <w:tc>
                <w:tcPr>
                  <w:tcW w:w="267" w:type="pct"/>
                  <w:vAlign w:val="center"/>
                </w:tcPr>
                <w:p>
                  <w:pPr>
                    <w:pStyle w:val="26"/>
                  </w:pPr>
                  <w:r>
                    <w:t>形态</w:t>
                  </w:r>
                </w:p>
              </w:tc>
              <w:tc>
                <w:tcPr>
                  <w:tcW w:w="357" w:type="pct"/>
                  <w:vAlign w:val="center"/>
                </w:tcPr>
                <w:p>
                  <w:pPr>
                    <w:pStyle w:val="26"/>
                  </w:pPr>
                  <w:r>
                    <w:t>主要成分</w:t>
                  </w:r>
                </w:p>
              </w:tc>
              <w:tc>
                <w:tcPr>
                  <w:tcW w:w="357" w:type="pct"/>
                  <w:vAlign w:val="center"/>
                </w:tcPr>
                <w:p>
                  <w:pPr>
                    <w:pStyle w:val="26"/>
                  </w:pPr>
                  <w:r>
                    <w:t>有害成分</w:t>
                  </w:r>
                </w:p>
              </w:tc>
              <w:tc>
                <w:tcPr>
                  <w:tcW w:w="359" w:type="pct"/>
                  <w:vAlign w:val="center"/>
                </w:tcPr>
                <w:p>
                  <w:pPr>
                    <w:pStyle w:val="26"/>
                  </w:pPr>
                  <w:r>
                    <w:t>产废周期</w:t>
                  </w:r>
                </w:p>
              </w:tc>
              <w:tc>
                <w:tcPr>
                  <w:tcW w:w="349" w:type="pct"/>
                  <w:vAlign w:val="center"/>
                </w:tcPr>
                <w:p>
                  <w:pPr>
                    <w:pStyle w:val="26"/>
                  </w:pPr>
                  <w:r>
                    <w:t>危险</w:t>
                  </w:r>
                </w:p>
                <w:p>
                  <w:pPr>
                    <w:pStyle w:val="26"/>
                  </w:pPr>
                  <w:r>
                    <w:t>特性</w:t>
                  </w:r>
                </w:p>
              </w:tc>
              <w:tc>
                <w:tcPr>
                  <w:tcW w:w="627" w:type="pct"/>
                  <w:vAlign w:val="center"/>
                </w:tcPr>
                <w:p>
                  <w:pPr>
                    <w:pStyle w:val="26"/>
                  </w:pPr>
                  <w:r>
                    <w:t>污染防治措施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267" w:type="pct"/>
                  <w:vAlign w:val="center"/>
                </w:tcPr>
                <w:p>
                  <w:pPr>
                    <w:pStyle w:val="26"/>
                  </w:pPr>
                  <w:r>
                    <w:t>1</w:t>
                  </w:r>
                </w:p>
              </w:tc>
              <w:tc>
                <w:tcPr>
                  <w:tcW w:w="377" w:type="pct"/>
                  <w:vAlign w:val="center"/>
                </w:tcPr>
                <w:p>
                  <w:pPr>
                    <w:pStyle w:val="26"/>
                  </w:pPr>
                  <w:r>
                    <w:t>废机油</w:t>
                  </w:r>
                </w:p>
              </w:tc>
              <w:tc>
                <w:tcPr>
                  <w:tcW w:w="487" w:type="pct"/>
                  <w:vAlign w:val="center"/>
                </w:tcPr>
                <w:p>
                  <w:pPr>
                    <w:pStyle w:val="26"/>
                  </w:pPr>
                  <w:r>
                    <w:t>HW08</w:t>
                  </w:r>
                  <w:r>
                    <w:rPr>
                      <w:rFonts w:hint="eastAsia"/>
                    </w:rPr>
                    <w:t>废矿物油与含矿物油废物</w:t>
                  </w:r>
                </w:p>
              </w:tc>
              <w:tc>
                <w:tcPr>
                  <w:tcW w:w="751" w:type="pct"/>
                  <w:vAlign w:val="center"/>
                </w:tcPr>
                <w:p>
                  <w:pPr>
                    <w:pStyle w:val="26"/>
                  </w:pPr>
                  <w:r>
                    <w:t>900-214-08</w:t>
                  </w:r>
                </w:p>
              </w:tc>
              <w:tc>
                <w:tcPr>
                  <w:tcW w:w="367" w:type="pct"/>
                  <w:vAlign w:val="center"/>
                </w:tcPr>
                <w:p>
                  <w:pPr>
                    <w:pStyle w:val="26"/>
                  </w:pPr>
                  <w:r>
                    <w:t>0.01</w:t>
                  </w:r>
                </w:p>
              </w:tc>
              <w:tc>
                <w:tcPr>
                  <w:tcW w:w="430" w:type="pct"/>
                  <w:vAlign w:val="center"/>
                </w:tcPr>
                <w:p>
                  <w:pPr>
                    <w:pStyle w:val="26"/>
                  </w:pPr>
                  <w:r>
                    <w:t>设备保养</w:t>
                  </w:r>
                </w:p>
              </w:tc>
              <w:tc>
                <w:tcPr>
                  <w:tcW w:w="267" w:type="pct"/>
                  <w:vAlign w:val="center"/>
                </w:tcPr>
                <w:p>
                  <w:pPr>
                    <w:pStyle w:val="26"/>
                  </w:pPr>
                  <w:r>
                    <w:t>液态</w:t>
                  </w:r>
                </w:p>
              </w:tc>
              <w:tc>
                <w:tcPr>
                  <w:tcW w:w="357" w:type="pct"/>
                  <w:vAlign w:val="center"/>
                </w:tcPr>
                <w:p>
                  <w:pPr>
                    <w:pStyle w:val="26"/>
                  </w:pPr>
                  <w:r>
                    <w:t>烃类</w:t>
                  </w:r>
                </w:p>
              </w:tc>
              <w:tc>
                <w:tcPr>
                  <w:tcW w:w="357" w:type="pct"/>
                  <w:vAlign w:val="center"/>
                </w:tcPr>
                <w:p>
                  <w:pPr>
                    <w:pStyle w:val="26"/>
                  </w:pPr>
                  <w:r>
                    <w:t>烃类</w:t>
                  </w:r>
                </w:p>
              </w:tc>
              <w:tc>
                <w:tcPr>
                  <w:tcW w:w="359" w:type="pct"/>
                  <w:vAlign w:val="center"/>
                </w:tcPr>
                <w:p>
                  <w:pPr>
                    <w:pStyle w:val="26"/>
                  </w:pPr>
                  <w:r>
                    <w:t>一年</w:t>
                  </w:r>
                </w:p>
              </w:tc>
              <w:tc>
                <w:tcPr>
                  <w:tcW w:w="349" w:type="pct"/>
                  <w:vAlign w:val="center"/>
                </w:tcPr>
                <w:p>
                  <w:pPr>
                    <w:pStyle w:val="26"/>
                  </w:pPr>
                  <w:r>
                    <w:t>T，I</w:t>
                  </w:r>
                </w:p>
              </w:tc>
              <w:tc>
                <w:tcPr>
                  <w:tcW w:w="627" w:type="pct"/>
                </w:tcPr>
                <w:p>
                  <w:pPr>
                    <w:pStyle w:val="26"/>
                    <w:rPr>
                      <w:bCs/>
                    </w:rPr>
                  </w:pPr>
                  <w:r>
                    <w:rPr>
                      <w:rFonts w:hint="eastAsia"/>
                    </w:rPr>
                    <w:t>日常维修产生的废机油暂存于</w:t>
                  </w:r>
                  <w:r>
                    <w:t>危废暂存间，</w:t>
                  </w:r>
                  <w:r>
                    <w:rPr>
                      <w:rFonts w:hint="eastAsia"/>
                    </w:rPr>
                    <w:t>最终</w:t>
                  </w:r>
                  <w:r>
                    <w:t>交由有危废处置资质单位处理</w:t>
                  </w:r>
                </w:p>
              </w:tc>
            </w:tr>
          </w:tbl>
          <w:p>
            <w:pPr>
              <w:pStyle w:val="15"/>
              <w:ind w:firstLine="482" w:firstLineChars="200"/>
            </w:pPr>
            <w:r>
              <w:rPr>
                <w:rFonts w:hint="eastAsia"/>
              </w:rPr>
              <w:t>4</w:t>
            </w:r>
            <w:r>
              <w:t>.3</w:t>
            </w:r>
            <w:r>
              <w:rPr>
                <w:rFonts w:hint="eastAsia"/>
              </w:rPr>
              <w:t>环境管理要求</w:t>
            </w:r>
          </w:p>
          <w:p>
            <w:pPr>
              <w:widowControl/>
              <w:adjustRightInd w:val="0"/>
              <w:snapToGrid w:val="0"/>
              <w:ind w:firstLine="482"/>
              <w:jc w:val="left"/>
              <w:rPr>
                <w:rFonts w:ascii="宋体" w:hAnsi="宋体" w:cs="宋体"/>
                <w:b/>
              </w:rPr>
            </w:pPr>
            <w:r>
              <w:rPr>
                <w:rFonts w:hint="eastAsia" w:ascii="宋体" w:hAnsi="宋体" w:cs="宋体"/>
                <w:b/>
                <w:color w:val="000000"/>
                <w:kern w:val="0"/>
                <w:lang w:bidi="ar"/>
              </w:rPr>
              <w:t>（1）一般固体废物暂存间建设及管理要求：</w:t>
            </w:r>
          </w:p>
          <w:p>
            <w:pPr>
              <w:widowControl/>
              <w:adjustRightInd w:val="0"/>
              <w:snapToGrid w:val="0"/>
              <w:rPr>
                <w:color w:val="000000"/>
                <w:kern w:val="0"/>
                <w:lang w:bidi="ar"/>
              </w:rPr>
            </w:pPr>
            <w:r>
              <w:rPr>
                <w:color w:val="000000"/>
                <w:kern w:val="0"/>
                <w:lang w:bidi="ar"/>
              </w:rPr>
              <w:t>1）一般固体废物暂存区按照《一般工业固体废物贮存和填埋污染物控制指标》(GB18599-2020)中标准要求进行管理；</w:t>
            </w:r>
          </w:p>
          <w:p>
            <w:pPr>
              <w:widowControl/>
              <w:adjustRightInd w:val="0"/>
              <w:snapToGrid w:val="0"/>
              <w:rPr>
                <w:color w:val="000000"/>
                <w:kern w:val="0"/>
                <w:lang w:bidi="ar"/>
              </w:rPr>
            </w:pPr>
            <w:r>
              <w:rPr>
                <w:rFonts w:hint="eastAsia"/>
                <w:color w:val="000000"/>
                <w:kern w:val="0"/>
                <w:lang w:bidi="ar"/>
              </w:rPr>
              <w:t>2）</w:t>
            </w:r>
            <w:r>
              <w:rPr>
                <w:color w:val="000000"/>
                <w:kern w:val="0"/>
                <w:lang w:bidi="ar"/>
              </w:rPr>
              <w:t>对固体废物实行从产生、收集、运输、贮存直至最终处理实行全过程管理，按照有关法律、法规的要求，对固体废弃物全过程管理应报当地生态环境行政主管部门等批准。</w:t>
            </w:r>
          </w:p>
          <w:p>
            <w:pPr>
              <w:widowControl/>
              <w:adjustRightInd w:val="0"/>
              <w:snapToGrid w:val="0"/>
              <w:rPr>
                <w:color w:val="000000"/>
                <w:kern w:val="0"/>
                <w:lang w:bidi="ar"/>
              </w:rPr>
            </w:pPr>
            <w:r>
              <w:rPr>
                <w:rFonts w:hint="eastAsia"/>
                <w:color w:val="000000"/>
                <w:kern w:val="0"/>
                <w:lang w:bidi="ar"/>
              </w:rPr>
              <w:t>3）</w:t>
            </w:r>
            <w:r>
              <w:rPr>
                <w:color w:val="000000"/>
                <w:kern w:val="0"/>
                <w:lang w:bidi="ar"/>
              </w:rPr>
              <w:t>加强固体废物规范化管理，固体废物分类定点堆放，堆放场所远离办公区</w:t>
            </w:r>
            <w:r>
              <w:rPr>
                <w:rFonts w:hint="eastAsia"/>
                <w:color w:val="000000"/>
                <w:kern w:val="0"/>
                <w:lang w:bidi="ar"/>
              </w:rPr>
              <w:t>。</w:t>
            </w:r>
          </w:p>
          <w:p>
            <w:pPr>
              <w:widowControl/>
              <w:adjustRightInd w:val="0"/>
              <w:snapToGrid w:val="0"/>
              <w:jc w:val="left"/>
              <w:rPr>
                <w:color w:val="000000"/>
                <w:kern w:val="0"/>
                <w:lang w:bidi="ar"/>
              </w:rPr>
            </w:pPr>
            <w:r>
              <w:rPr>
                <w:rFonts w:hint="eastAsia"/>
                <w:color w:val="000000"/>
                <w:kern w:val="0"/>
                <w:lang w:bidi="ar"/>
              </w:rPr>
              <w:t>4）</w:t>
            </w:r>
            <w:r>
              <w:rPr>
                <w:color w:val="000000"/>
                <w:kern w:val="0"/>
                <w:lang w:bidi="ar"/>
              </w:rPr>
              <w:t>固体废物要及时清运，避免产生二次污染。</w:t>
            </w:r>
          </w:p>
          <w:p>
            <w:r>
              <w:rPr>
                <w:color w:val="000000"/>
                <w:kern w:val="0"/>
                <w:lang w:bidi="ar"/>
              </w:rPr>
              <w:t>一般工业固体废物贮存、处置场，禁止危险废物和生活垃圾混入。贮存、处置场使用单位，应建立检查维护制度。发现有损坏可能或异常，应及时采取必要措施，以保障正常运行。贮存、处置场的使用单位，应建立档案制度。应将入场的一般工业固体废物的种类和数量以及下列资料，详细记录在案，长期保存，供随时查阅。贮存、处置场的环境保护图形标志，应按相关规定进行检查和维护</w:t>
            </w:r>
            <w:r>
              <w:t>。</w:t>
            </w:r>
          </w:p>
          <w:p>
            <w:pPr>
              <w:ind w:firstLine="482"/>
              <w:rPr>
                <w:b/>
                <w:bCs/>
              </w:rPr>
            </w:pPr>
            <w:r>
              <w:rPr>
                <w:rFonts w:hint="eastAsia"/>
                <w:b/>
                <w:bCs/>
              </w:rPr>
              <w:t>（2）危险废物暂存间建设及管理要求：</w:t>
            </w:r>
          </w:p>
          <w:p>
            <w:r>
              <w:rPr>
                <w:rFonts w:hint="eastAsia"/>
                <w:bCs/>
              </w:rPr>
              <w:t>本项目主要风险物质为</w:t>
            </w:r>
            <w:r>
              <w:rPr>
                <w:rFonts w:hint="eastAsia"/>
              </w:rPr>
              <w:t>废机油，废机油集中收集后委托有资质的处理单位进行处理。本项目危险废物临时贮存场所的建设必须满足《危险废物贮存污染控制标准》（GB18597-2023）的相关要求。</w:t>
            </w:r>
          </w:p>
          <w:p>
            <w:pPr>
              <w:adjustRightInd w:val="0"/>
              <w:snapToGrid w:val="0"/>
              <w:ind w:firstLine="482"/>
              <w:rPr>
                <w:rFonts w:ascii="宋体" w:hAnsi="宋体" w:cs="宋体"/>
                <w:b/>
                <w:bCs/>
              </w:rPr>
            </w:pPr>
            <w:r>
              <w:rPr>
                <w:rFonts w:hint="eastAsia" w:ascii="宋体" w:hAnsi="宋体" w:cs="宋体"/>
                <w:b/>
                <w:bCs/>
              </w:rPr>
              <w:t>1）危险废物的收集和临时贮存要求</w:t>
            </w:r>
          </w:p>
          <w:p>
            <w:pPr>
              <w:adjustRightInd w:val="0"/>
              <w:snapToGrid w:val="0"/>
            </w:pPr>
            <w:r>
              <w:rPr>
                <w:rFonts w:hint="eastAsia"/>
                <w:bCs/>
              </w:rPr>
              <w:t>本项目危险废物为</w:t>
            </w:r>
            <w:r>
              <w:rPr>
                <w:rFonts w:hint="eastAsia"/>
              </w:rPr>
              <w:t>废机油，废机油集中收集后委托有资质的处理单位进行处理</w:t>
            </w:r>
            <w:r>
              <w:t>。危险废物暂存间应按《危险废物贮存污染控制标准》</w:t>
            </w:r>
            <w:r>
              <w:rPr>
                <w:rFonts w:hint="eastAsia"/>
              </w:rPr>
              <w:t>（</w:t>
            </w:r>
            <w:r>
              <w:t>GB18597-2023</w:t>
            </w:r>
            <w:r>
              <w:rPr>
                <w:rFonts w:hint="eastAsia"/>
              </w:rPr>
              <w:t>）</w:t>
            </w:r>
            <w:r>
              <w:t>的要求设计建设，可以做到</w:t>
            </w:r>
            <w:r>
              <w:rPr>
                <w:rFonts w:hint="eastAsia"/>
              </w:rPr>
              <w:t>“</w:t>
            </w:r>
            <w:r>
              <w:t>四防</w:t>
            </w:r>
            <w:r>
              <w:rPr>
                <w:rFonts w:hint="eastAsia"/>
              </w:rPr>
              <w:t>”（</w:t>
            </w:r>
            <w:r>
              <w:t>防风、防雨、防晒、防渗漏</w:t>
            </w:r>
            <w:r>
              <w:rPr>
                <w:rFonts w:hint="eastAsia"/>
              </w:rPr>
              <w:t>）</w:t>
            </w:r>
            <w:r>
              <w:t>。同时还需委托有资质的单位处置。根据《中华人民共和国固体废物污染环境防治法》、《危险废物收集、贮存、运输技术规范》</w:t>
            </w:r>
            <w:r>
              <w:rPr>
                <w:rFonts w:hint="eastAsia"/>
              </w:rPr>
              <w:t>（</w:t>
            </w:r>
            <w:r>
              <w:t>HJ2025-2012</w:t>
            </w:r>
            <w:r>
              <w:rPr>
                <w:rFonts w:hint="eastAsia"/>
              </w:rPr>
              <w:t>）</w:t>
            </w:r>
            <w:r>
              <w:t>、《危险废物贮存污染控制标准》</w:t>
            </w:r>
            <w:r>
              <w:rPr>
                <w:rFonts w:hint="eastAsia"/>
              </w:rPr>
              <w:t>（</w:t>
            </w:r>
            <w:r>
              <w:t>18597-2023</w:t>
            </w:r>
            <w:r>
              <w:rPr>
                <w:rFonts w:hint="eastAsia"/>
              </w:rPr>
              <w:t>）</w:t>
            </w:r>
            <w:r>
              <w:t>，项目在运营过程中，按照以下要求管理危险废物：</w:t>
            </w:r>
          </w:p>
          <w:p>
            <w:pPr>
              <w:adjustRightInd w:val="0"/>
              <w:snapToGrid w:val="0"/>
            </w:pPr>
            <w:r>
              <w:t>a.应加强危险废物管理，制定危险废物管理计划，并报当地环保部门备案。对员工进行培训，提高全体人员对危险废物管理的认识。确保相关管理人员和从事危废收集、运送、暂存等工作的人员掌握国家相关法律法规、规章和有关规范性文件的规定，熟悉本单位制定的危险废物管理规章制度、工作流程等各项工作要求；掌握危险废物分类收集、运送、暂存的正确方法和操作程序，提高安全防护和应急处置能力。</w:t>
            </w:r>
          </w:p>
          <w:p>
            <w:pPr>
              <w:pStyle w:val="18"/>
              <w:adjustRightInd w:val="0"/>
              <w:snapToGrid w:val="0"/>
              <w:spacing w:after="0"/>
              <w:ind w:firstLine="480"/>
              <w:rPr>
                <w:sz w:val="24"/>
              </w:rPr>
            </w:pPr>
            <w:r>
              <w:rPr>
                <w:sz w:val="24"/>
              </w:rPr>
              <w:t>b.建设单位必须严格按照《危险废物收集贮存运输技术规范》的要求来进行危险废物的收集、贮存和运输。危险废物的收集、贮存，须按照其特性分类进行。禁止混合收集、贮存、运输、处置性质不相容而未经安全性处置的危废。装</w:t>
            </w:r>
            <w:r>
              <w:rPr>
                <w:rFonts w:hint="eastAsia"/>
                <w:sz w:val="24"/>
              </w:rPr>
              <w:t>危险废物</w:t>
            </w:r>
            <w:r>
              <w:rPr>
                <w:sz w:val="24"/>
              </w:rPr>
              <w:t>的容器和包装物，要确保无破损、泄漏和其他缺陷，并依据《危险废物贮存污染控制标准》</w:t>
            </w:r>
            <w:r>
              <w:rPr>
                <w:rFonts w:hint="eastAsia"/>
                <w:sz w:val="24"/>
              </w:rPr>
              <w:t>（</w:t>
            </w:r>
            <w:r>
              <w:rPr>
                <w:sz w:val="24"/>
              </w:rPr>
              <w:t>GB18597-2023</w:t>
            </w:r>
            <w:r>
              <w:rPr>
                <w:rFonts w:hint="eastAsia"/>
                <w:sz w:val="24"/>
              </w:rPr>
              <w:t>）</w:t>
            </w:r>
            <w:r>
              <w:rPr>
                <w:sz w:val="24"/>
              </w:rPr>
              <w:t>的规范建设</w:t>
            </w:r>
            <w:r>
              <w:rPr>
                <w:rFonts w:hint="eastAsia"/>
                <w:sz w:val="24"/>
              </w:rPr>
              <w:t>危险废物</w:t>
            </w:r>
            <w:r>
              <w:rPr>
                <w:sz w:val="24"/>
              </w:rPr>
              <w:t>贮存场所并设置</w:t>
            </w:r>
            <w:r>
              <w:rPr>
                <w:rFonts w:hint="eastAsia"/>
                <w:sz w:val="24"/>
              </w:rPr>
              <w:t>危险废物</w:t>
            </w:r>
            <w:r>
              <w:rPr>
                <w:sz w:val="24"/>
              </w:rPr>
              <w:t>标识。危险废物运输应由持有危险废物经营许可证的单位按照其许可证的经营范围组织实施，承担危险废物运输的单位应获得交通运输部门颁发的危险货物运输资质。</w:t>
            </w:r>
          </w:p>
          <w:p>
            <w:pPr>
              <w:pStyle w:val="18"/>
              <w:adjustRightInd w:val="0"/>
              <w:snapToGrid w:val="0"/>
              <w:spacing w:after="0"/>
              <w:ind w:firstLine="480"/>
              <w:rPr>
                <w:sz w:val="24"/>
              </w:rPr>
            </w:pPr>
            <w:r>
              <w:rPr>
                <w:sz w:val="24"/>
              </w:rPr>
              <w:t>c.建危险废物临时存放间。危险废物临时贮存区应设置明显标志，并对地面进行硬化，并具有防雨淋、防日晒、防渗漏、密闭等措施，并建立健全危险废物管理台账、专人管理。禁止将</w:t>
            </w:r>
            <w:r>
              <w:rPr>
                <w:rFonts w:hint="eastAsia"/>
                <w:sz w:val="24"/>
              </w:rPr>
              <w:t>危险废物</w:t>
            </w:r>
            <w:r>
              <w:rPr>
                <w:sz w:val="24"/>
              </w:rPr>
              <w:t>混入非危险废物中贮存。并且，贮存时间不得超过一年。</w:t>
            </w:r>
          </w:p>
          <w:p>
            <w:pPr>
              <w:rPr>
                <w:kern w:val="0"/>
              </w:rPr>
            </w:pPr>
            <w:r>
              <w:t>d.严格执行危险废物转移管理制度，禁止将危险废物提供或委托给无危险废</w:t>
            </w:r>
            <w:r>
              <w:rPr>
                <w:kern w:val="0"/>
              </w:rPr>
              <w:t>物经营许可证的单位从事收集、贮存、利用、处置等经营活动。</w:t>
            </w:r>
          </w:p>
          <w:p>
            <w:pPr>
              <w:ind w:firstLine="482"/>
              <w:rPr>
                <w:b/>
                <w:bCs/>
                <w:kern w:val="0"/>
              </w:rPr>
            </w:pPr>
            <w:r>
              <w:rPr>
                <w:rFonts w:hint="eastAsia"/>
                <w:b/>
                <w:bCs/>
                <w:kern w:val="0"/>
              </w:rPr>
              <w:t>2）危险废物暂存间标识要求</w:t>
            </w:r>
          </w:p>
          <w:p>
            <w:r>
              <w:rPr>
                <w:kern w:val="0"/>
              </w:rPr>
              <w:t>根据《危险废物贮存污染控制标准》(GB18597-2023)、《危险废物识别标志设置技术规范》(HJ1276-2022)、《危险废物识别标志设置技术规范》（HJ1276—2022）、《排污单位污染物排放口二维码标识技术规范》（HJ1297—2023）</w:t>
            </w:r>
            <w:r>
              <w:rPr>
                <w:rFonts w:hint="eastAsia"/>
                <w:kern w:val="0"/>
              </w:rPr>
              <w:t>、《环境保护图形标志—固体废物贮存（处置）场》（GB15562.2-1995）修改单</w:t>
            </w:r>
            <w:r>
              <w:rPr>
                <w:kern w:val="0"/>
              </w:rPr>
              <w:t>等相关规定要求危险废物暂存间及危险废物贮存相关标志设置</w:t>
            </w:r>
            <w:r>
              <w:rPr>
                <w:rFonts w:hint="eastAsia"/>
              </w:rPr>
              <w:t>。</w:t>
            </w:r>
          </w:p>
          <w:p>
            <w:pPr>
              <w:pStyle w:val="15"/>
              <w:ind w:firstLine="482" w:firstLineChars="200"/>
            </w:pPr>
            <w:r>
              <w:rPr>
                <w:rFonts w:hint="eastAsia"/>
              </w:rPr>
              <w:t>5.施工期生态环境影响分析</w:t>
            </w:r>
          </w:p>
          <w:p>
            <w:pPr>
              <w:pStyle w:val="15"/>
              <w:ind w:firstLine="482" w:firstLineChars="200"/>
            </w:pPr>
            <w:r>
              <w:rPr>
                <w:rFonts w:hint="eastAsia"/>
              </w:rPr>
              <w:t>5.1</w:t>
            </w:r>
            <w:r>
              <w:t>对土壤及土地利用的影响</w:t>
            </w:r>
          </w:p>
          <w:p>
            <w:pPr>
              <w:rPr>
                <w:rFonts w:ascii="宋体" w:hAnsi="宋体" w:cs="宋体"/>
              </w:rPr>
            </w:pPr>
            <w:r>
              <w:rPr>
                <w:rFonts w:hint="eastAsia"/>
              </w:rPr>
              <w:t>本项目勘查面积为</w:t>
            </w:r>
            <w:r>
              <w:t>4.68</w:t>
            </w:r>
            <w:r>
              <w:rPr>
                <w:rFonts w:hint="eastAsia"/>
              </w:rPr>
              <w:t>k</w:t>
            </w:r>
            <w:r>
              <w:t>m</w:t>
            </w:r>
            <w:r>
              <w:rPr>
                <w:vertAlign w:val="superscript"/>
              </w:rPr>
              <w:t>2</w:t>
            </w:r>
            <w:r>
              <w:rPr>
                <w:rFonts w:hint="eastAsia"/>
              </w:rPr>
              <w:t>，根据《</w:t>
            </w:r>
            <w:r>
              <w:t>GBT21010-2017</w:t>
            </w:r>
            <w:r>
              <w:rPr>
                <w:rFonts w:hint="eastAsia"/>
              </w:rPr>
              <w:t>土地利用现状分类》，项目区占地类型主要为草地，建设期工程对土壤的影响主要表现为对土壤理化性质、土壤肥力的影响和土壤污染三个方面</w:t>
            </w:r>
            <w:r>
              <w:rPr>
                <w:rFonts w:ascii="宋体" w:hAnsi="宋体" w:cs="宋体"/>
              </w:rPr>
              <w:t>。</w:t>
            </w:r>
          </w:p>
          <w:p>
            <w:r>
              <w:rPr>
                <w:rFonts w:hint="eastAsia"/>
              </w:rPr>
              <w:t>①土壤理化性质影响</w:t>
            </w:r>
          </w:p>
          <w:p>
            <w:r>
              <w:rPr>
                <w:rFonts w:hint="eastAsia"/>
              </w:rPr>
              <w:t>施工过程中，土石方开挖、堆放、回填及材料堆放、人工践踏、机械设备碾压等活动对土壤理化性质影响较大。</w:t>
            </w:r>
          </w:p>
          <w:p>
            <w:r>
              <w:rPr>
                <w:rFonts w:hint="eastAsia"/>
              </w:rPr>
              <w:t>A、扰乱土壤表层，破坏土壤结构</w:t>
            </w:r>
          </w:p>
          <w:p>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r>
              <w:rPr>
                <w:rFonts w:hint="eastAsia"/>
              </w:rPr>
              <w:t>B、混合土壤层次，改变土体构型</w:t>
            </w:r>
          </w:p>
          <w:p>
            <w:r>
              <w:rPr>
                <w:rFonts w:hint="eastAsia"/>
              </w:rPr>
              <w:t>施工期的土石方开挖与回填，使原土壤层次混合，原土体构型破坏。土体构型的破坏，将改变土体中物质和能量的运动变化规律，使表层通气透水性变差，使亚表层保水、保肥性能降低。</w:t>
            </w:r>
          </w:p>
          <w:p>
            <w:r>
              <w:rPr>
                <w:rFonts w:hint="eastAsia"/>
              </w:rPr>
              <w:t>C、影响土壤紧实度</w:t>
            </w:r>
          </w:p>
          <w:p>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r>
              <w:rPr>
                <w:rFonts w:hint="eastAsia"/>
              </w:rPr>
              <w:t>②土壤肥力影响</w:t>
            </w:r>
          </w:p>
          <w:p>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的减小对土壤肥力的影响。</w:t>
            </w:r>
          </w:p>
          <w:p>
            <w:r>
              <w:rPr>
                <w:rFonts w:hint="eastAsia"/>
              </w:rPr>
              <w:t>③土壤污染影响</w:t>
            </w:r>
          </w:p>
          <w:p>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r>
              <w:t>总体而言，本工程所在区域土地开发强度较</w:t>
            </w:r>
            <w:r>
              <w:rPr>
                <w:rFonts w:hint="eastAsia"/>
              </w:rPr>
              <w:t>小</w:t>
            </w:r>
            <w:r>
              <w:t>，项目占用土地量相对</w:t>
            </w:r>
            <w:r>
              <w:rPr>
                <w:rFonts w:hint="eastAsia"/>
              </w:rPr>
              <w:t>较小</w:t>
            </w:r>
            <w:r>
              <w:t>，对</w:t>
            </w:r>
            <w:r>
              <w:rPr>
                <w:rFonts w:hint="eastAsia"/>
              </w:rPr>
              <w:t>和静县</w:t>
            </w:r>
            <w:r>
              <w:t>土地利用的影响较小。</w:t>
            </w:r>
          </w:p>
          <w:p>
            <w:pPr>
              <w:pStyle w:val="15"/>
              <w:ind w:firstLine="482" w:firstLineChars="200"/>
            </w:pPr>
            <w:r>
              <w:rPr>
                <w:rFonts w:hint="eastAsia"/>
              </w:rPr>
              <w:t>5.2</w:t>
            </w:r>
            <w:r>
              <w:t>对植被与动物的影响</w:t>
            </w:r>
          </w:p>
          <w:p>
            <w:pPr>
              <w:rPr>
                <w:rFonts w:ascii="宋体" w:hAnsi="宋体" w:cs="宋体"/>
              </w:rPr>
            </w:pPr>
            <w:r>
              <w:rPr>
                <w:rFonts w:hint="eastAsia"/>
              </w:rPr>
              <w:t>①</w:t>
            </w:r>
            <w:r>
              <w:rPr>
                <w:rFonts w:ascii="宋体" w:hAnsi="宋体" w:cs="宋体"/>
              </w:rPr>
              <w:t>对地表植被的影响分析</w:t>
            </w:r>
          </w:p>
          <w:p>
            <w:pPr>
              <w:rPr>
                <w:color w:val="000000"/>
              </w:rPr>
            </w:pPr>
            <w:r>
              <w:rPr>
                <w:rFonts w:hint="eastAsia"/>
                <w:color w:val="000000"/>
              </w:rPr>
              <w:t>本项目建设过程中，进行钻孔以及填挖时将破坏原有的地形地貌，使地表裸露，施工过程中弃土等均要破坏植被，从而使项目区的生物量有所减少。但随着施工期结束和人工恢复，本项目建设对其造成的影响将逐步减弱。本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生一定的影响，特别是植物的美观。本项目用地面积相对较小，对本项目周围的植被破坏较小。随着施工期结束及人工恢复，本项目建设对其造成的影响将逐步减弱。</w:t>
            </w:r>
          </w:p>
          <w:p>
            <w:pPr>
              <w:rPr>
                <w:color w:val="000000"/>
              </w:rPr>
            </w:pPr>
            <w:r>
              <w:rPr>
                <w:rFonts w:hint="eastAsia" w:ascii="宋体" w:hAnsi="宋体" w:cs="宋体"/>
                <w:color w:val="000000"/>
              </w:rPr>
              <w:t>②</w:t>
            </w:r>
            <w:r>
              <w:rPr>
                <w:color w:val="000000"/>
              </w:rPr>
              <w:t>对野生动物影响分析</w:t>
            </w:r>
          </w:p>
          <w:p>
            <w:pPr>
              <w:rPr>
                <w:color w:val="000000"/>
              </w:rPr>
            </w:pPr>
            <w:r>
              <w:rPr>
                <w:rFonts w:hint="eastAsia"/>
                <w:color w:val="000000"/>
              </w:rPr>
              <w:t>本项目位于高寒山区，主要是适应这种环境的常见种类，未发现珍稀保护野40生动物。因此，工程建设对动物的影响较小</w:t>
            </w:r>
            <w:r>
              <w:rPr>
                <w:color w:val="000000"/>
              </w:rPr>
              <w:t>。</w:t>
            </w:r>
          </w:p>
          <w:p>
            <w:pPr>
              <w:pStyle w:val="15"/>
              <w:ind w:firstLine="482" w:firstLineChars="200"/>
            </w:pPr>
            <w:r>
              <w:rPr>
                <w:rFonts w:hint="eastAsia"/>
              </w:rPr>
              <w:t>5.3</w:t>
            </w:r>
            <w:r>
              <w:t>对景观环境的影响</w:t>
            </w:r>
          </w:p>
          <w:p>
            <w:r>
              <w:rPr>
                <w:rFonts w:hint="eastAsia"/>
              </w:rPr>
              <w:t>①</w:t>
            </w:r>
            <w:r>
              <w:t>主体工程施工对景观环境的影响</w:t>
            </w:r>
          </w:p>
          <w:p>
            <w:r>
              <w:t>由于工程施工对地表植被的破坏和工程区土壤的扰动，在雨季松散裸露的坡面易形成水土流失，导致区域土壤侵蚀模数增大，对区域景观环境质量产生影响。而在旱季，松散的地表在有风和车辆行驶时易形成扬尘，扬尘覆盖在施工场植被，使周围景观的美度降低。</w:t>
            </w:r>
          </w:p>
          <w:p>
            <w:r>
              <w:rPr>
                <w:rFonts w:hint="eastAsia"/>
              </w:rPr>
              <w:t>②</w:t>
            </w:r>
            <w:r>
              <w:t>临时工程设施对景观环境的影响</w:t>
            </w:r>
          </w:p>
          <w:p>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5"/>
              <w:ind w:firstLine="482" w:firstLineChars="200"/>
            </w:pPr>
            <w:r>
              <w:rPr>
                <w:rFonts w:hint="eastAsia"/>
              </w:rPr>
              <w:t>5.</w:t>
            </w:r>
            <w:r>
              <w:t>4</w:t>
            </w:r>
            <w:r>
              <w:rPr>
                <w:rFonts w:hint="eastAsia"/>
              </w:rPr>
              <w:t>水土流失影响分析</w:t>
            </w:r>
          </w:p>
          <w:p>
            <w:r>
              <w:rPr>
                <w:rFonts w:ascii="宋体" w:hAnsi="宋体" w:cs="宋体"/>
              </w:rPr>
              <w:t>本项目建设将破坏地表原有稳定结构，如砾石层等，对地表造成扰动，增大风蚀量。施工作业范围内的土壤地表表层遭到破坏，下层的粉细物质暴露在地层表面，在风力的作用下，风蚀量会明显加大，这种影响在短时间内不会完全恢复。但随着时间的推移，风蚀量会随着地表新保护层的逐渐形成而减弱。项目在建设过程中，应避免在大风天气作业，土石方开挖时应分层开挖、分层堆放，堆放的土方应压实并采用苫布遮盖，避免风蚀从而造成水土流失</w:t>
            </w:r>
            <w:r>
              <w:rPr>
                <w:rFonts w:hint="eastAsia"/>
              </w:rPr>
              <w:t>。</w:t>
            </w:r>
          </w:p>
          <w:p>
            <w:pPr>
              <w:pStyle w:val="15"/>
              <w:ind w:firstLine="482" w:firstLineChars="200"/>
            </w:pPr>
            <w:r>
              <w:rPr>
                <w:rFonts w:hint="eastAsia"/>
              </w:rPr>
              <w:t>5.</w:t>
            </w:r>
            <w:r>
              <w:t>5</w:t>
            </w:r>
            <w:r>
              <w:rPr>
                <w:rFonts w:hint="eastAsia"/>
              </w:rPr>
              <w:t>生态环境影响分析</w:t>
            </w:r>
          </w:p>
          <w:p>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集中收集后统一拉运到垃圾填埋场进行填埋，防治蚊虫、老鼠滋生。</w:t>
            </w:r>
          </w:p>
          <w:p>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431" w:type="pct"/>
            <w:tcMar>
              <w:left w:w="28" w:type="dxa"/>
              <w:right w:w="28" w:type="dxa"/>
            </w:tcMar>
            <w:vAlign w:val="center"/>
          </w:tcPr>
          <w:p>
            <w:pPr>
              <w:pStyle w:val="26"/>
              <w:rPr>
                <w:rFonts w:ascii="宋体" w:hAnsi="宋体"/>
                <w:bCs/>
              </w:rPr>
            </w:pPr>
            <w:r>
              <w:rPr>
                <w:rFonts w:hint="eastAsia"/>
              </w:rPr>
              <w:t>运营期生态环境影响分析</w:t>
            </w:r>
          </w:p>
        </w:tc>
        <w:tc>
          <w:tcPr>
            <w:tcW w:w="4568" w:type="pct"/>
            <w:vAlign w:val="center"/>
          </w:tcPr>
          <w:p>
            <w:pPr>
              <w:jc w:val="center"/>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431" w:type="pct"/>
            <w:tcMar>
              <w:left w:w="28" w:type="dxa"/>
              <w:right w:w="28" w:type="dxa"/>
            </w:tcMar>
            <w:vAlign w:val="center"/>
          </w:tcPr>
          <w:p>
            <w:pPr>
              <w:spacing w:line="240" w:lineRule="auto"/>
              <w:ind w:firstLine="0" w:firstLineChars="0"/>
              <w:jc w:val="center"/>
            </w:pPr>
            <w:r>
              <w:rPr>
                <w:rFonts w:hint="eastAsia"/>
                <w:sz w:val="21"/>
                <w:szCs w:val="22"/>
              </w:rPr>
              <w:t>选选址环境合理性分析</w:t>
            </w:r>
          </w:p>
        </w:tc>
        <w:tc>
          <w:tcPr>
            <w:tcW w:w="4568" w:type="pct"/>
            <w:vAlign w:val="center"/>
          </w:tcPr>
          <w:p>
            <w:pPr>
              <w:pStyle w:val="15"/>
              <w:ind w:firstLine="482" w:firstLineChars="200"/>
            </w:pPr>
            <w:r>
              <w:rPr>
                <w:rFonts w:hint="eastAsia"/>
              </w:rPr>
              <w:t>1、用地合理性</w:t>
            </w:r>
          </w:p>
          <w:p>
            <w:pPr>
              <w:rPr>
                <w:color w:val="000000"/>
              </w:rPr>
            </w:pPr>
            <w:r>
              <w:rPr>
                <w:rFonts w:hint="eastAsia"/>
              </w:rPr>
              <w:t>项目区位于新疆和静县克尔古提乡西约269°方向直距约19千米处，行政区划隶属</w:t>
            </w:r>
            <w:r>
              <w:rPr>
                <w:rFonts w:hint="eastAsia"/>
                <w:lang w:val="zh-CN"/>
              </w:rPr>
              <w:t>巴音郭楞蒙古自治州和静县管辖</w:t>
            </w:r>
            <w:r>
              <w:rPr>
                <w:rFonts w:hint="eastAsia"/>
              </w:rPr>
              <w:t>。</w:t>
            </w:r>
            <w:r>
              <w:rPr>
                <w:rFonts w:hint="eastAsia"/>
                <w:color w:val="000000"/>
              </w:rPr>
              <w:t>项目不涉及饮用水水源保护区、自然保护区、风景名胜区、地质公园、森林公园及人文古迹等环境敏感点，矿区范围内无村民居住，不涉及拆迁，因此，本项目用地合理。</w:t>
            </w:r>
          </w:p>
          <w:p>
            <w:pPr>
              <w:pStyle w:val="15"/>
              <w:ind w:firstLine="482" w:firstLineChars="200"/>
            </w:pPr>
            <w:r>
              <w:rPr>
                <w:rFonts w:hint="eastAsia"/>
              </w:rPr>
              <w:t>2、临时道路选址合理性分析</w:t>
            </w:r>
          </w:p>
          <w:p>
            <w:pPr>
              <w:rPr>
                <w:color w:val="000000"/>
              </w:rPr>
            </w:pPr>
            <w:r>
              <w:t>在原有道路上扩宽和平整一条矿山道路，用地面积为0.779019公顷。经过平整路面和清理落石后，该道路可作为本项目的临时道路。道路沿线不涉及居民区、河流等环境敏感点，利用此道路车辆可到达本项目探矿点，大大节省了人力和物力。在道路使用过程中，将控制车速并及时洒水降尘，以减少对环境的影响。此外，临时道路不涉及自然保护区、生态红线、国家公园、世界自然遗产地、风景名胜区、森林公园、水资源保护区、地质公园、地质遗迹、国家重点保护历史文物、名胜古迹以及矿产资源规划禁止区等重要地区。因此，该临时道路的选址合理</w:t>
            </w:r>
            <w:r>
              <w:rPr>
                <w:rFonts w:hint="eastAsia"/>
              </w:rPr>
              <w:t>。</w:t>
            </w:r>
          </w:p>
          <w:p>
            <w:pPr>
              <w:pStyle w:val="15"/>
              <w:ind w:firstLine="482" w:firstLineChars="200"/>
            </w:pPr>
            <w:r>
              <w:rPr>
                <w:rFonts w:hint="eastAsia"/>
              </w:rPr>
              <w:t>3、与周边环境相容性分析</w:t>
            </w:r>
          </w:p>
          <w:p>
            <w:pPr>
              <w:keepNext/>
              <w:keepLines/>
              <w:textAlignment w:val="center"/>
              <w:outlineLvl w:val="1"/>
            </w:pPr>
            <w:r>
              <w:rPr>
                <w:rFonts w:hint="eastAsia"/>
              </w:rPr>
              <w:t>根据现场踏勘可知，区域内植被不发育，主要为草地生态系统。裸岩呈大面积分布于采矿区各处，约占探矿区面积的90%，探矿区范围内无珍稀保护植物、未发现珍稀保护动物。区域周围500m范围内无住户，项目周边不涉及重点生态功能区，生态敏感脆弱区，自然保护区，风景名胜区，国家级、省级禁止开发区域及其他应划入生态保护红线范围内的区域，外环境无重大环境制约因素。本项目的建设对外环境无特殊要求，本项目产生的废水、废气、噪声、固体废物等各项污染物通过采取相应措施后均可达标排放，通过项目的合理布局、严格管理、积极推进企业清洁生产及其它有针对性的污染防治措施，可有效避免和减轻项目建设过程对周围环境的影响。因此，本项目选址合理，与周边外环境相容。</w:t>
            </w:r>
          </w:p>
          <w:p>
            <w:r>
              <w:rPr>
                <w:rFonts w:hint="eastAsia"/>
              </w:rPr>
              <w:t>综上所述，本项目选址合理。</w:t>
            </w:r>
          </w:p>
        </w:tc>
      </w:tr>
      <w:bookmarkEnd w:id="32"/>
    </w:tbl>
    <w:p>
      <w:pPr>
        <w:sectPr>
          <w:pgSz w:w="11906" w:h="16838"/>
          <w:pgMar w:top="1440" w:right="1800" w:bottom="1440" w:left="1800" w:header="851" w:footer="992" w:gutter="0"/>
          <w:cols w:space="425" w:num="1"/>
          <w:docGrid w:type="lines" w:linePitch="312" w:charSpace="0"/>
        </w:sectPr>
      </w:pPr>
    </w:p>
    <w:p>
      <w:pPr>
        <w:pStyle w:val="3"/>
      </w:pPr>
      <w:r>
        <w:rPr>
          <w:rFonts w:hint="eastAsia"/>
        </w:rPr>
        <w:t>五、主要生态环境保护措施</w:t>
      </w:r>
    </w:p>
    <w:tbl>
      <w:tblPr>
        <w:tblStyle w:val="19"/>
        <w:tblpPr w:leftFromText="180" w:rightFromText="180" w:vertAnchor="text" w:tblpXSpec="center" w:tblpY="1"/>
        <w:tblOverlap w:val="never"/>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8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 w:type="pct"/>
            <w:tcMar>
              <w:left w:w="28" w:type="dxa"/>
              <w:right w:w="28" w:type="dxa"/>
            </w:tcMar>
            <w:vAlign w:val="center"/>
          </w:tcPr>
          <w:p>
            <w:pPr>
              <w:pStyle w:val="26"/>
            </w:pPr>
            <w:r>
              <w:rPr>
                <w:rFonts w:hint="eastAsia"/>
              </w:rPr>
              <w:t>施工期生态环境保护措施</w:t>
            </w:r>
          </w:p>
        </w:tc>
        <w:tc>
          <w:tcPr>
            <w:tcW w:w="4741" w:type="pct"/>
            <w:vAlign w:val="center"/>
          </w:tcPr>
          <w:p>
            <w:r>
              <w:rPr>
                <w:rFonts w:hint="eastAsia"/>
              </w:rPr>
              <w:t>本项目施工期工程量较小，主要为开采前场地平整、建设加工设施等，施工期环境保护措施情况如下：</w:t>
            </w:r>
          </w:p>
          <w:p>
            <w:pPr>
              <w:rPr>
                <w:rFonts w:ascii="宋体" w:hAnsi="宋体" w:cs="宋体"/>
              </w:rPr>
            </w:pPr>
            <w:r>
              <w:rPr>
                <w:rFonts w:ascii="宋体" w:hAnsi="宋体" w:cs="宋体"/>
              </w:rPr>
              <w:t>在进行槽探、钻探以及营地建设等矿业活动时，采取有效的生态环境保护措施至关重要，以减少对自然环境的负面影响。以下是一些关键的环境保护措施：</w:t>
            </w:r>
          </w:p>
          <w:p>
            <w:pPr>
              <w:rPr>
                <w:rFonts w:ascii="宋体" w:hAnsi="宋体" w:cs="宋体"/>
              </w:rPr>
            </w:pPr>
            <w:r>
              <w:rPr>
                <w:rFonts w:ascii="宋体" w:hAnsi="宋体" w:cs="宋体"/>
              </w:rPr>
              <w:t>槽探的环境保护措施：</w:t>
            </w:r>
          </w:p>
          <w:p>
            <w:pPr>
              <w:rPr>
                <w:rFonts w:ascii="宋体" w:hAnsi="宋体" w:cs="宋体"/>
              </w:rPr>
            </w:pPr>
            <w:r>
              <w:rPr>
                <w:rFonts w:ascii="宋体" w:hAnsi="宋体" w:cs="宋体"/>
              </w:rPr>
              <w:t>规划与避让：在设计槽探布局时，应避开生态敏感区如自然保护区、水源地等，减少对生物多样性和水资源的潜在威胁。最小化地表扰动：尽量减小槽探的宽度和深度，仅在必要时进行开挖，并在工作完成后及时回填与恢复植被。废弃物管理：妥善收集和处置开挖产生的废弃物，避免污染物进入水体和土壤。样品采集规范：按照规范采集样品，减少对岩土结构的破坏，确保采集过程对环境的影响最小。</w:t>
            </w:r>
          </w:p>
          <w:p>
            <w:pPr>
              <w:rPr>
                <w:rFonts w:ascii="宋体" w:hAnsi="宋体" w:cs="宋体"/>
              </w:rPr>
            </w:pPr>
            <w:r>
              <w:rPr>
                <w:rFonts w:ascii="宋体" w:hAnsi="宋体" w:cs="宋体"/>
              </w:rPr>
              <w:t>钻探的环境保护措施：</w:t>
            </w:r>
          </w:p>
          <w:p>
            <w:pPr>
              <w:rPr>
                <w:rFonts w:ascii="宋体" w:hAnsi="宋体" w:cs="宋体"/>
              </w:rPr>
            </w:pPr>
            <w:r>
              <w:rPr>
                <w:rFonts w:ascii="宋体" w:hAnsi="宋体" w:cs="宋体"/>
              </w:rPr>
              <w:t>优选设备和技术：使用低噪音、低振动的钻探设备，减少对周围环境和野生动物的干扰。废水处理：钻探过程中产生的废水需经过处理达到排放标准后才能排放，防止地下水污染。钻屑管理：收集和处理钻探产生的固体废弃物，可考虑将其用于回填或其他再利用途径。严格管理使用的</w:t>
            </w:r>
            <w:r>
              <w:rPr>
                <w:rFonts w:hint="eastAsia" w:ascii="宋体" w:hAnsi="宋体" w:cs="宋体"/>
              </w:rPr>
              <w:t>柴油</w:t>
            </w:r>
            <w:r>
              <w:rPr>
                <w:rFonts w:ascii="宋体" w:hAnsi="宋体" w:cs="宋体"/>
              </w:rPr>
              <w:t>防止泄漏，确保安全储存和处置。生物多样性保护：在操作前进行生态调查，避开关键生态区域，保护野生动植物栖息地。</w:t>
            </w:r>
          </w:p>
          <w:p>
            <w:pPr>
              <w:rPr>
                <w:rFonts w:ascii="宋体" w:hAnsi="宋体" w:cs="宋体"/>
              </w:rPr>
            </w:pPr>
            <w:r>
              <w:rPr>
                <w:rFonts w:ascii="宋体" w:hAnsi="宋体" w:cs="宋体"/>
              </w:rPr>
              <w:t>营地建设的环境保护措施：</w:t>
            </w:r>
          </w:p>
          <w:p>
            <w:pPr>
              <w:rPr>
                <w:rFonts w:ascii="宋体" w:hAnsi="宋体" w:cs="宋体"/>
              </w:rPr>
            </w:pPr>
            <w:r>
              <w:rPr>
                <w:rFonts w:ascii="宋体" w:hAnsi="宋体" w:cs="宋体"/>
              </w:rPr>
              <w:t>选址谨慎：营地应选在对环境影响最小的地点，远离生态脆弱区，减少对自然景观的破坏。临时性设施建设：采用可移动或易拆卸的设施，减少对地表的永久性改变。资源节约：使用节水和节能设备，实施垃圾分类，促进资源循环利用。生态恢复计划：项目结束后，制定并执行生态恢复计划，包括植被恢复和土地整治。环保教育：对营地人员进行环保培训，提高他们的环保意识，确保每个人都遵守环保规定。</w:t>
            </w:r>
          </w:p>
          <w:p>
            <w:r>
              <w:rPr>
                <w:rFonts w:ascii="宋体" w:hAnsi="宋体" w:cs="宋体"/>
              </w:rPr>
              <w:t>综上所述，生态环境保护贯穿于矿业活动的全过程，需要综合考虑规划、施工、运营及后期恢复等各个阶段，通过科学管理和技术应用，实现与自然环境的和谐共存。</w:t>
            </w:r>
          </w:p>
          <w:p>
            <w:pPr>
              <w:pStyle w:val="15"/>
              <w:ind w:firstLine="482" w:firstLineChars="200"/>
            </w:pPr>
            <w:r>
              <w:rPr>
                <w:rFonts w:hint="eastAsia"/>
              </w:rPr>
              <w:t>1、废气防治措施分析</w:t>
            </w:r>
          </w:p>
          <w:p>
            <w:r>
              <w:rPr>
                <w:rFonts w:hint="eastAsia"/>
              </w:rPr>
              <w:t>本工程施工期对大气环境的影响主要表现为扬尘以及运输车辆、柴油发电机及施工机械等产生的燃油烟气。</w:t>
            </w:r>
          </w:p>
          <w:p>
            <w:pPr>
              <w:pStyle w:val="15"/>
              <w:ind w:firstLine="482" w:firstLineChars="200"/>
            </w:pPr>
            <w:r>
              <w:rPr>
                <w:rFonts w:hint="eastAsia"/>
              </w:rPr>
              <w:t>1.1扬尘</w:t>
            </w:r>
          </w:p>
          <w:p>
            <w:r>
              <w:rPr>
                <w:rFonts w:hint="eastAsia"/>
              </w:rPr>
              <w:t>针对本项目产生的扬尘，环评要求如下：</w:t>
            </w:r>
          </w:p>
          <w:p>
            <w:r>
              <w:rPr>
                <w:rFonts w:hint="eastAsia"/>
              </w:rPr>
              <w:t>①钻探、槽探作业面要求采用施工成型板材围挡进行三面围挡并在施工前对施工区域进行洒水降尘，设置环保专员落实各项环保措施；</w:t>
            </w:r>
          </w:p>
          <w:p>
            <w:r>
              <w:rPr>
                <w:rFonts w:hint="eastAsia"/>
              </w:rPr>
              <w:t>②原材料运输、堆放要求遮盖；</w:t>
            </w:r>
          </w:p>
          <w:p>
            <w:r>
              <w:rPr>
                <w:rFonts w:hint="eastAsia"/>
              </w:rPr>
              <w:t>③及时清理场地弃渣料，不能及时清运的要求采取覆盖，洒水抑尘等措施，在工作中建议施工人员</w:t>
            </w:r>
            <w:r>
              <w:t>戴口罩、防尘面罩等劳动防护装备</w:t>
            </w:r>
            <w:r>
              <w:rPr>
                <w:rFonts w:hint="eastAsia"/>
              </w:rPr>
              <w:t>，同时</w:t>
            </w:r>
            <w:r>
              <w:t>避开大风天气作业</w:t>
            </w:r>
            <w:r>
              <w:rPr>
                <w:rFonts w:hint="eastAsia"/>
              </w:rPr>
              <w:t>。</w:t>
            </w:r>
          </w:p>
          <w:p>
            <w:pPr>
              <w:pStyle w:val="15"/>
              <w:ind w:firstLine="482" w:firstLineChars="200"/>
            </w:pPr>
            <w:r>
              <w:rPr>
                <w:rFonts w:hint="eastAsia"/>
              </w:rPr>
              <w:t>1.2燃油废气</w:t>
            </w:r>
          </w:p>
          <w:p>
            <w:r>
              <w:rPr>
                <w:rFonts w:hint="eastAsia"/>
              </w:rPr>
              <w:t>对柴油发电机定期维护保养，提高其燃烧效率，减少尾气排放量，由于燃油废气排放总量较小，且排放点较为分散，属无组织排放。</w:t>
            </w:r>
          </w:p>
          <w:p>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r>
              <w:rPr>
                <w:rFonts w:hint="eastAsia"/>
              </w:rPr>
              <w:t>通过采取上述措施即可减小施工期对区域大气环境的影响，且防治措施经济可行。</w:t>
            </w:r>
          </w:p>
          <w:p>
            <w:pPr>
              <w:pStyle w:val="15"/>
              <w:ind w:firstLine="482" w:firstLineChars="200"/>
            </w:pPr>
            <w:r>
              <w:rPr>
                <w:rFonts w:hint="eastAsia"/>
              </w:rPr>
              <w:t>2、废水防治措施分析</w:t>
            </w:r>
          </w:p>
          <w:p>
            <w:r>
              <w:rPr>
                <w:rFonts w:hint="eastAsia"/>
              </w:rPr>
              <w:t>施工废水主要来自钻探废水和生活废水，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r>
              <w:rPr>
                <w:rFonts w:hint="eastAsia"/>
              </w:rPr>
              <w:t>生活污水进入防渗化粪池（10m</w:t>
            </w:r>
            <w:r>
              <w:rPr>
                <w:rFonts w:hint="eastAsia"/>
                <w:vertAlign w:val="superscript"/>
              </w:rPr>
              <w:t>3</w:t>
            </w:r>
            <w:r>
              <w:rPr>
                <w:rFonts w:hint="eastAsia"/>
              </w:rPr>
              <w:t>）处理后自然蒸发</w:t>
            </w:r>
            <w:r>
              <w:rPr>
                <w:rFonts w:hint="eastAsia" w:ascii="宋体" w:hAnsi="宋体" w:cs="宋体"/>
              </w:rPr>
              <w:t>。</w:t>
            </w:r>
            <w:r>
              <w:rPr>
                <w:rFonts w:hint="eastAsia"/>
              </w:rPr>
              <w:t>化粪池防渗要求：使用混凝土和防腐材料做防渗处理，外观色泽均匀，表面光滑，无裂纹、孔洞，表面加强筋完整，边缘整齐，使用前做荷载试验，检查密封性能和强度。通过上述措施即可减小施工期对水环境的影响，且防治措施经济可行。</w:t>
            </w:r>
          </w:p>
          <w:p>
            <w:pPr>
              <w:pStyle w:val="15"/>
              <w:ind w:firstLine="482" w:firstLineChars="200"/>
            </w:pPr>
            <w:r>
              <w:rPr>
                <w:rFonts w:hint="eastAsia"/>
              </w:rPr>
              <w:t>3、噪声控制措施分析</w:t>
            </w:r>
          </w:p>
          <w:p>
            <w:r>
              <w:rPr>
                <w:rFonts w:hint="eastAsia"/>
              </w:rPr>
              <w:t>根据工程特性及环境特征，环评要求采取的噪声治理措施如下：</w:t>
            </w:r>
          </w:p>
          <w:p>
            <w:r>
              <w:rPr>
                <w:rFonts w:hint="eastAsia"/>
              </w:rPr>
              <w:t>（1）尽量选用技术先进的低噪声设备，夜间、午间禁止施工。</w:t>
            </w:r>
          </w:p>
          <w:p>
            <w:r>
              <w:rPr>
                <w:rFonts w:hint="eastAsia"/>
              </w:rPr>
              <w:t>（2）运输车辆减速、禁止鸣笛等。</w:t>
            </w:r>
          </w:p>
          <w:p>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r>
              <w:rPr>
                <w:rFonts w:hint="eastAsia"/>
              </w:rPr>
              <w:t>经以上措施处理后，施工噪声对周边声环境影响不大，措施可行。</w:t>
            </w:r>
          </w:p>
          <w:p>
            <w:pPr>
              <w:pStyle w:val="15"/>
              <w:ind w:firstLine="482" w:firstLineChars="200"/>
            </w:pPr>
            <w:r>
              <w:rPr>
                <w:rFonts w:hint="eastAsia"/>
              </w:rPr>
              <w:t>4、固体废物处置措施分析</w:t>
            </w:r>
          </w:p>
          <w:p>
            <w:r>
              <w:rPr>
                <w:rFonts w:hint="eastAsia"/>
              </w:rPr>
              <w:t>施工期固体废物主要为土石方、钻探泥浆、化粪池污泥、施工人员生活垃圾以及废机油。</w:t>
            </w:r>
          </w:p>
          <w:p>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矿区的地形地貌，其基础挖填量较小，基本能够做到土石方的挖填平衡，剥离的表土堆放在弃土场，待探矿完成后，剥离的表土全部用于矿区的复垦覆土，不外排；钻探泥浆填入沉淀池内，并固化填埋；生活垃圾</w:t>
            </w:r>
            <w:r>
              <w:rPr>
                <w:rFonts w:hint="eastAsia"/>
              </w:rPr>
              <w:t>集中收集后统一拉运到垃圾填埋场进行填埋</w:t>
            </w:r>
            <w:r>
              <w:t>。</w:t>
            </w:r>
            <w:r>
              <w:rPr>
                <w:rFonts w:hint="eastAsia" w:ascii="宋体" w:hAnsi="宋体" w:cs="宋体"/>
              </w:rPr>
              <w:t>化粪池污泥定期清掏后交由周边农户作为农肥消耗。</w:t>
            </w:r>
          </w:p>
          <w:p>
            <w:pPr>
              <w:rPr>
                <w:color w:val="FF0000"/>
              </w:rPr>
            </w:pPr>
            <w:r>
              <w:rPr>
                <w:rFonts w:hint="eastAsia"/>
                <w:color w:val="000000" w:themeColor="text1"/>
                <w14:textFill>
                  <w14:solidFill>
                    <w14:schemeClr w14:val="tx1"/>
                  </w14:solidFill>
                </w14:textFill>
              </w:rPr>
              <w:t>废机油：</w:t>
            </w:r>
            <w:r>
              <w:rPr>
                <w:color w:val="000000" w:themeColor="text1"/>
                <w14:textFill>
                  <w14:solidFill>
                    <w14:schemeClr w14:val="tx1"/>
                  </w14:solidFill>
                </w14:textFill>
              </w:rPr>
              <w:t>探</w:t>
            </w:r>
            <w:r>
              <w:t>矿区内设置废油桶集中收集，废油桶置于危废暂存间，并做“防风、防雨、防晒、防渗漏”等措施。危废暂存间为</w:t>
            </w:r>
            <w:r>
              <w:rPr>
                <w:rFonts w:hint="eastAsia"/>
              </w:rPr>
              <w:t>彩</w:t>
            </w:r>
            <w:r>
              <w:t>钢结构房屋，采用防腐、防渗钢材焊接而成，四角垫木质基础置于地面上，地板不与地面直接接触，门槛高0.3m，其有效收纳容积</w:t>
            </w:r>
            <w:r>
              <w:rPr>
                <w:rFonts w:hint="eastAsia"/>
              </w:rPr>
              <w:t>，</w:t>
            </w:r>
            <w:r>
              <w:t>满足本项目废油收集暂存最大容器废油桶25L的最大泄漏量；危废暂存间严格按照《危险废物贮存污染控制标准》（GB18597-2023）设置安全照明设施和观察窗口，钢结构房间地面无裂缝，废油用废油桶收集后放置于危废暂存间内，满足《危险废物贮存污染控制标准》（GB18597-2023）设计要求。</w:t>
            </w:r>
            <w:r>
              <w:rPr>
                <w:rFonts w:hint="eastAsia"/>
              </w:rPr>
              <w:t>废油及废油桶交由有资质单位处置。</w:t>
            </w:r>
          </w:p>
          <w:p>
            <w:pPr>
              <w:pStyle w:val="15"/>
              <w:ind w:firstLine="482" w:firstLineChars="200"/>
            </w:pPr>
            <w:r>
              <w:t>5、暂存及转运管理要求</w:t>
            </w:r>
          </w:p>
          <w:p>
            <w:r>
              <w:rPr>
                <w:rFonts w:hint="eastAsia" w:ascii="宋体" w:hAnsi="宋体" w:cs="宋体"/>
              </w:rPr>
              <w:t>①</w:t>
            </w:r>
            <w:r>
              <w:rPr>
                <w:rFonts w:hint="eastAsia"/>
              </w:rPr>
              <w:t>钻探使用的泥浆采用水基非磺化泥浆，从钻孔孔口返回后引至沉淀池，通过沉淀处理后，上清液循环使用，不外排；钻探完工后，将钻探泥浆填入沉淀池内</w:t>
            </w:r>
            <w:r>
              <w:t>并</w:t>
            </w:r>
            <w:r>
              <w:rPr>
                <w:rFonts w:hint="eastAsia"/>
              </w:rPr>
              <w:t>采用水泥</w:t>
            </w:r>
            <w:r>
              <w:t>固化填埋。</w:t>
            </w:r>
          </w:p>
          <w:p>
            <w:r>
              <w:rPr>
                <w:rFonts w:hint="eastAsia" w:ascii="宋体" w:hAnsi="宋体" w:cs="宋体"/>
              </w:rPr>
              <w:t>②</w:t>
            </w:r>
            <w:r>
              <w:t>钻井过程产生的固体废物要进行分类收集，确保固体废物的收集率为100%；严禁将固体废物乱倒乱放。</w:t>
            </w:r>
          </w:p>
          <w:p>
            <w:r>
              <w:rPr>
                <w:rFonts w:hint="eastAsia" w:ascii="宋体" w:hAnsi="宋体" w:cs="宋体"/>
              </w:rPr>
              <w:t>③</w:t>
            </w:r>
            <w:r>
              <w:t>废</w:t>
            </w:r>
            <w:r>
              <w:rPr>
                <w:rFonts w:hint="eastAsia"/>
              </w:rPr>
              <w:t>机</w:t>
            </w:r>
            <w:r>
              <w:t>油属于危险废物，其储存、运输应严格遵守《废矿物油回收利用污染控制技术规范》（HJ607-2011）和《危险废物收集、贮存、运输技术规范》（HJ2025-2012）中的相关规定，建立相应的规章制度和污染防治措施；所有的废油均按规定进行收集，收集容器应完好无损，没有腐蚀、污染、损毁或其他能导致其使用效能减弱的缺陷；废油存放区域设置作业界标志和警示牌；废油运输按照《危险化学品安全管理条例》中有关运输规定进行；</w:t>
            </w:r>
          </w:p>
          <w:p>
            <w:r>
              <w:rPr>
                <w:rFonts w:hint="eastAsia" w:ascii="宋体" w:hAnsi="宋体" w:cs="宋体"/>
              </w:rPr>
              <w:t>④</w:t>
            </w:r>
            <w:r>
              <w:t>废油收集过程产生的废旧容器应按照危险废物进行处置，仍可转作他用的，应经过消除污染的处理。</w:t>
            </w:r>
          </w:p>
          <w:p>
            <w:r>
              <w:rPr>
                <w:rFonts w:hint="eastAsia" w:ascii="宋体" w:hAnsi="宋体" w:cs="宋体"/>
              </w:rPr>
              <w:t>⑤</w:t>
            </w:r>
            <w:r>
              <w:t>废油应在产生源收集，不宜在产生源收集的应设置专用设施集中收集。</w:t>
            </w:r>
          </w:p>
          <w:p>
            <w:r>
              <w:rPr>
                <w:rFonts w:hint="eastAsia" w:ascii="宋体" w:hAnsi="宋体" w:cs="宋体"/>
              </w:rPr>
              <w:t>⑥</w:t>
            </w:r>
            <w:r>
              <w:t>现场</w:t>
            </w:r>
            <w:r>
              <w:rPr>
                <w:rFonts w:hint="eastAsia"/>
              </w:rPr>
              <w:t>沾染</w:t>
            </w:r>
            <w:r>
              <w:t>废矿物油的泥、沙、水全部收集。</w:t>
            </w:r>
          </w:p>
          <w:p>
            <w:r>
              <w:rPr>
                <w:rFonts w:hint="eastAsia" w:ascii="宋体" w:hAnsi="宋体" w:cs="宋体"/>
              </w:rPr>
              <w:t>⑦</w:t>
            </w:r>
            <w:r>
              <w:t>废油的转运要用密闭容器盛装，避免运输过程中造成废油的外溢，污染环境。</w:t>
            </w:r>
          </w:p>
          <w:p>
            <w:pPr>
              <w:pStyle w:val="15"/>
              <w:ind w:firstLine="482" w:firstLineChars="200"/>
            </w:pPr>
            <w:r>
              <w:t>6</w:t>
            </w:r>
            <w:r>
              <w:rPr>
                <w:rFonts w:hint="eastAsia"/>
              </w:rPr>
              <w:t>、生态环境保护与植被恢复措施分析</w:t>
            </w:r>
          </w:p>
          <w:p>
            <w:r>
              <w:rPr>
                <w:rFonts w:hint="eastAsia"/>
              </w:rPr>
              <w:t>本环评要求施工期生态保护与植被恢复措施如下：</w:t>
            </w:r>
          </w:p>
          <w:p>
            <w:pPr>
              <w:pStyle w:val="15"/>
              <w:ind w:firstLine="482" w:firstLineChars="200"/>
            </w:pPr>
            <w:r>
              <w:t>6</w:t>
            </w:r>
            <w:r>
              <w:rPr>
                <w:rFonts w:hint="eastAsia"/>
              </w:rPr>
              <w:t>.1土壤与植被的保护措施</w:t>
            </w:r>
          </w:p>
          <w:p>
            <w:r>
              <w:rPr>
                <w:rFonts w:hint="eastAsia"/>
              </w:rPr>
              <w:t>本项目为地质勘探工程，项目工程建设的生态环境影响主要为勘探过程对生态的影响，在对生态环境各具体要素（如土壤、植被、野生动物等）产生影响的同时，也对工程占地范围内原有的地表景观格局和生态体系完整性产生一定影响。</w:t>
            </w:r>
          </w:p>
          <w:p>
            <w:r>
              <w:rPr>
                <w:rFonts w:hint="eastAsia"/>
              </w:rPr>
              <w:t>本项目区域内植被不发育，植被类型单一，工程建设对区域内植被影响较低。对区域内生态体系稳定性影响的主要途径是地表扰动。对区域景观的影响随着探矿施工，挖毁原地貌等，这种景观格局的变化，使固有的自然生态功能完全丧失。同时，产生了水土流失、植被破坏等问题。</w:t>
            </w:r>
          </w:p>
          <w:p>
            <w:r>
              <w:rPr>
                <w:rFonts w:hint="eastAsia"/>
              </w:rPr>
              <w:t>提出以下土壤及植被污染防治措施：</w:t>
            </w:r>
          </w:p>
          <w:p>
            <w:r>
              <w:rPr>
                <w:rFonts w:hint="eastAsia"/>
              </w:rPr>
              <w:t>（1）探矿施工期间，将探矿活动控制在施工区域内，严禁越界勘探。</w:t>
            </w:r>
          </w:p>
          <w:p>
            <w:r>
              <w:rPr>
                <w:rFonts w:hint="eastAsia"/>
              </w:rPr>
              <w:t>（2）减少探矿施工期间在风力、装卸扰动作用下产生的二次扬尘污染，保护矿区周边生态环境和矿山工作员工的身体健康。</w:t>
            </w:r>
          </w:p>
          <w:p>
            <w:r>
              <w:rPr>
                <w:rFonts w:hint="eastAsia"/>
              </w:rPr>
              <w:t>（3）表层土壤的保护和利用。保护利用好表层的熟化土壤(主要为0～30cm的土层)，在挖掘施工前，首先要把表层的熟化土壤尽可能地集中堆放，施工结束后再进行熟土回填，保护土壤肥力，以利后期植被恢复。</w:t>
            </w:r>
          </w:p>
          <w:p>
            <w:r>
              <w:rPr>
                <w:rFonts w:hint="eastAsia"/>
              </w:rPr>
              <w:t>（4）钻探、槽探挖掘过程产生的土石方应合理组织调配、及时填平压实。工程施工期应首先计划安排好挖方量和填方量，及时进行回填，铺平压实，并喷播草籽、长草护坡，以免发生风蚀、水蚀。</w:t>
            </w:r>
          </w:p>
          <w:p>
            <w:r>
              <w:rPr>
                <w:rFonts w:hint="eastAsia"/>
              </w:rPr>
              <w:t>（5）充分利用原有道路，减少土石方工程量并缩小生态影响范围，减少了对周边土壤和植被的破坏。</w:t>
            </w:r>
          </w:p>
          <w:p>
            <w:r>
              <w:rPr>
                <w:rFonts w:hint="eastAsia"/>
              </w:rPr>
              <w:t>（6）生活营地及其他临时占地施工结束后，应按相关规定恢复植被。</w:t>
            </w:r>
          </w:p>
          <w:p>
            <w:r>
              <w:rPr>
                <w:rFonts w:hint="eastAsia"/>
              </w:rPr>
              <w:t>（7）避开雨季施工，钻探、槽探采取分段施工，提高工程施工效率，缩短施工工期。</w:t>
            </w:r>
          </w:p>
          <w:p>
            <w:r>
              <w:rPr>
                <w:rFonts w:hint="eastAsia"/>
              </w:rPr>
              <w:t>（8）</w:t>
            </w:r>
            <w:r>
              <w:t>在施工前划定保护区，避免对重要植被区域的破坏。尽量减少施工过程中对地表的扰动，采用低影响施工技术。制定详细的植被恢复计划，选择适应当地环境的植物种类进行种植。定期监测植被恢复情况，及时调整恢复措施。</w:t>
            </w:r>
          </w:p>
          <w:p>
            <w:r>
              <w:rPr>
                <w:rFonts w:hint="eastAsia"/>
              </w:rPr>
              <w:t>（9）施工中应严格执行HSE（健康、安全、环境）管理，加强动土作业管理及巡查，防止环境风险事故影响当地生态环境在项目启动阶段，应进行全面的环境基线研究，识别项目区域内的生态环境特征，包括植被类型、野生动植物种群、水文条件等。同时，开展环境和社会影响评估（ESIA），预测探矿活动可能带来的各种环境风险和影响，并制定相应的缓解与补偿措施。优先选用对环境破坏小的技术和方法进行勘探，比如非破坏性地球物理勘探技术，减少对地表的破坏和生态干扰。制定严格的水资源保护计划，确保钻探等活动不会污染地下水或地表水。同时，建立废物分类收集、运输和处置机制，特别是对于可能含有有害物质的废弃物，必须按照环保标准安全处置。定期对员工进行HSE培训，提升其环境保护意识和操作技能。同时，与当地社区建立沟通机制，听取他们的意见和关切，共同制定保护措施，确保项目的社会接受度。</w:t>
            </w:r>
          </w:p>
          <w:p>
            <w:pPr>
              <w:ind w:firstLine="482"/>
            </w:pPr>
            <w:r>
              <w:rPr>
                <w:rStyle w:val="33"/>
              </w:rPr>
              <w:t>6.2</w:t>
            </w:r>
            <w:r>
              <w:rPr>
                <w:rFonts w:hint="eastAsia"/>
                <w:b/>
                <w:bCs/>
              </w:rPr>
              <w:t>水土流失防治措施</w:t>
            </w:r>
          </w:p>
          <w:p>
            <w:r>
              <w:rPr>
                <w:rFonts w:hint="eastAsia"/>
              </w:rPr>
              <w:t>本项目探矿施工过程中土方量为2</w:t>
            </w:r>
            <w:r>
              <w:t>062.25</w:t>
            </w:r>
            <w:r>
              <w:rPr>
                <w:rFonts w:hint="eastAsia"/>
              </w:rPr>
              <w:t>m</w:t>
            </w:r>
            <w:r>
              <w:rPr>
                <w:rFonts w:hint="eastAsia"/>
                <w:vertAlign w:val="superscript"/>
              </w:rPr>
              <w:t>3</w:t>
            </w:r>
            <w:r>
              <w:rPr>
                <w:rFonts w:hint="eastAsia"/>
              </w:rPr>
              <w:t>，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r>
              <w:rPr>
                <w:rFonts w:hint="eastAsia"/>
              </w:rPr>
              <w:t>（1）对探矿施工过程中，必须做好水土流失的预防工作，认真贯彻“谁造成水土流失，谁投资治理，谁造成新的危害，谁负责赔偿”和“治理与生产建设相结合”的原则。</w:t>
            </w:r>
          </w:p>
          <w:p>
            <w:r>
              <w:rPr>
                <w:rFonts w:hint="eastAsia"/>
              </w:rPr>
              <w:t>（2）加强水土保护法的宣传，有关部门应积极主动，加强水土保持执法管理，将其纳入依法办事的轨道上来，对施工人员进行培训和教育，自觉保持水土，宣传保护生态环境的重要性。</w:t>
            </w:r>
          </w:p>
          <w:p>
            <w:r>
              <w:rPr>
                <w:rFonts w:hint="eastAsia"/>
              </w:rPr>
              <w:t>（3）探矿施工时应充分考虑施工计划的合理性，合理安排工期和工程顺序，减少土壤损失和地表破坏面积。</w:t>
            </w:r>
          </w:p>
          <w:p>
            <w:r>
              <w:rPr>
                <w:rFonts w:hint="eastAsia"/>
              </w:rPr>
              <w:t>（4）探矿施工期间应划定施工活动范围，开展钻探、槽探营地建设过程中严格控制和管理施工活动范围，不得离开施工区域，由专人负责，以防破坏土壤和植被，引发土壤流失。</w:t>
            </w:r>
          </w:p>
          <w:p>
            <w:r>
              <w:rPr>
                <w:rFonts w:hint="eastAsia"/>
              </w:rPr>
              <w:t>（5）严禁在大风天气施工，并对相关工作人员进行宣传教育。</w:t>
            </w:r>
          </w:p>
          <w:p>
            <w:r>
              <w:rPr>
                <w:rFonts w:hint="eastAsia"/>
              </w:rPr>
              <w:t>（6）减少非生产生活车辆、机械进入开采区，施工中严格按照规划、设计施工占地要求，尽量减少地表形态破坏。</w:t>
            </w:r>
          </w:p>
          <w:p>
            <w:r>
              <w:rPr>
                <w:rFonts w:hint="eastAsia"/>
              </w:rPr>
              <w:t>（7）减少非生产生活车辆、机械进入开采区，施工中严格按照规划、设计施工占地要求，尽量减少地表形态破坏。</w:t>
            </w:r>
          </w:p>
          <w:p>
            <w:r>
              <w:rPr>
                <w:rFonts w:hint="eastAsia"/>
              </w:rPr>
              <w:t>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ind w:firstLine="482"/>
              <w:rPr>
                <w:b/>
                <w:bCs/>
              </w:rPr>
            </w:pPr>
            <w:r>
              <w:rPr>
                <w:b/>
                <w:bCs/>
              </w:rPr>
              <w:t>6</w:t>
            </w:r>
            <w:r>
              <w:rPr>
                <w:rFonts w:hint="eastAsia"/>
                <w:b/>
                <w:bCs/>
              </w:rPr>
              <w:t>.</w:t>
            </w:r>
            <w:r>
              <w:rPr>
                <w:b/>
                <w:bCs/>
              </w:rPr>
              <w:t>3</w:t>
            </w:r>
            <w:r>
              <w:rPr>
                <w:rFonts w:hint="eastAsia"/>
                <w:b/>
                <w:bCs/>
              </w:rPr>
              <w:t>野生动物保护措施</w:t>
            </w:r>
          </w:p>
          <w:p>
            <w:r>
              <w:t>为了有效保护矿区域内的野生动物资源，可以采取以下措施：</w:t>
            </w:r>
          </w:p>
          <w:p>
            <w:r>
              <w:rPr>
                <w:rFonts w:hint="eastAsia"/>
              </w:rPr>
              <w:t>（</w:t>
            </w:r>
            <w:r>
              <w:t>1</w:t>
            </w:r>
            <w:r>
              <w:rPr>
                <w:rFonts w:hint="eastAsia"/>
              </w:rPr>
              <w:t>）加强野生动物栖息地维护。</w:t>
            </w:r>
          </w:p>
          <w:p>
            <w:r>
              <w:rPr>
                <w:rFonts w:hint="eastAsia"/>
              </w:rPr>
              <w:t>（</w:t>
            </w:r>
            <w:r>
              <w:t>2</w:t>
            </w:r>
            <w:r>
              <w:rPr>
                <w:rFonts w:hint="eastAsia"/>
              </w:rPr>
              <w:t>）明确禁止食用地方重点保护野生动物，以及以食用为目的进行猎捕、交易、运输和非法购买等行为。在野生动物栖息地内从事开挖取土、阻断水源等破坏野生动物栖息地行为的，由野生动物保护主管部门责令限期改正或责令采取其他补救措施。</w:t>
            </w:r>
          </w:p>
          <w:p>
            <w:r>
              <w:rPr>
                <w:rFonts w:hint="eastAsia"/>
              </w:rPr>
              <w:t>（</w:t>
            </w:r>
            <w:r>
              <w:t>3</w:t>
            </w:r>
            <w:r>
              <w:rPr>
                <w:rFonts w:hint="eastAsia"/>
              </w:rPr>
              <w:t>）对于建设项目可能影响栖息地的，要求予以避让或采取措施消除、减少不利影响，并明确禁止破坏栖息地环境以及毁损设施设备的有关行为。</w:t>
            </w:r>
          </w:p>
          <w:p>
            <w:pPr>
              <w:ind w:firstLine="482"/>
              <w:rPr>
                <w:bCs/>
              </w:rPr>
            </w:pPr>
            <w:r>
              <w:rPr>
                <w:b/>
              </w:rPr>
              <w:t>6</w:t>
            </w:r>
            <w:r>
              <w:rPr>
                <w:rFonts w:hint="eastAsia"/>
                <w:b/>
              </w:rPr>
              <w:t>.4勘探结束后的生态恢复措施</w:t>
            </w:r>
          </w:p>
          <w:p>
            <w:r>
              <w:rPr>
                <w:rFonts w:hint="eastAsia"/>
              </w:rPr>
              <w:t>探矿结束后的环境恢复和治理措施如下：</w:t>
            </w:r>
          </w:p>
          <w:p>
            <w:r>
              <w:rPr>
                <w:rFonts w:hint="eastAsia"/>
              </w:rPr>
              <w:t>（1）</w:t>
            </w:r>
            <w:r>
              <w:rPr>
                <w:rFonts w:ascii="宋体" w:hAnsi="宋体" w:cs="宋体"/>
              </w:rPr>
              <w:t>完井后须对临时占地范围进行平整，工程量即为项目所有临时占地，完井后施工设备及时撤离，固体废物全部妥善处置，现场禁止遗留，占地应清理平整，尽量利用临时道路施工时产生的表层弃土对临时占地进行覆盖，然后开展植被恢复工作。恢复植被物种选择以工程占地周边植物物种为主，不得随意引入外来植物物种</w:t>
            </w:r>
            <w:r>
              <w:rPr>
                <w:rFonts w:hint="eastAsia"/>
              </w:rPr>
              <w:t>。</w:t>
            </w:r>
          </w:p>
          <w:p>
            <w:r>
              <w:rPr>
                <w:rFonts w:hint="eastAsia"/>
              </w:rPr>
              <w:t>（2）对区内各勘查施工器材统一收集、处理、不得遗留在区内。</w:t>
            </w:r>
          </w:p>
          <w:p>
            <w:r>
              <w:rPr>
                <w:rFonts w:hint="eastAsia"/>
              </w:rPr>
              <w:t>（3）巡视调查整个探矿区域，查看区域内施工迹地的生态恢复情况，发现问题及时采取相应的环境保护措施进行处理，不遗留问题。</w:t>
            </w:r>
          </w:p>
          <w:p>
            <w:r>
              <w:rPr>
                <w:rFonts w:hint="eastAsia"/>
              </w:rPr>
              <w:t>（4）据环评要求，将人为活动限制在最小范围内，不因地质工作深化而显著增加对区域生态环境的影响范围和程度。</w:t>
            </w:r>
          </w:p>
          <w:p>
            <w:r>
              <w:rPr>
                <w:rFonts w:hint="eastAsia"/>
              </w:rPr>
              <w:t>（5）</w:t>
            </w:r>
            <w:r>
              <w:rPr>
                <w:rFonts w:ascii="宋体" w:hAnsi="宋体" w:cs="宋体"/>
              </w:rPr>
              <w:t>勘探期结束后，应立即停止探矿采样活动，严禁“以探代采”</w:t>
            </w:r>
            <w:r>
              <w:rPr>
                <w:rFonts w:hint="eastAsia" w:ascii="宋体" w:hAnsi="宋体" w:cs="宋体"/>
              </w:rPr>
              <w:t>。</w:t>
            </w:r>
          </w:p>
          <w:p>
            <w:pPr>
              <w:rPr>
                <w:color w:val="000000"/>
              </w:rPr>
            </w:pPr>
            <w:r>
              <w:rPr>
                <w:rFonts w:hint="eastAsia"/>
              </w:rPr>
              <w:t>（</w:t>
            </w:r>
            <w:r>
              <w:t>6</w:t>
            </w:r>
            <w:r>
              <w:rPr>
                <w:rFonts w:hint="eastAsia"/>
              </w:rPr>
              <w:t>）</w:t>
            </w:r>
            <w:r>
              <w:rPr>
                <w:rFonts w:hint="eastAsia"/>
                <w:color w:val="000000"/>
              </w:rPr>
              <w:t>勘探结束后，清理生活营地所有建筑设施，清除生活区所有垃圾，建筑设施可重复利用的重复利用，不可重复利用的与建筑垃圾、生活垃圾一起通过封闭篷车运至垃圾转运站，交由环卫部门统一处置。</w:t>
            </w:r>
          </w:p>
          <w:p>
            <w:r>
              <w:rPr>
                <w:rFonts w:hint="eastAsia" w:ascii="TimesNewRomanPSMT" w:hAnsi="TimesNewRomanPSMT"/>
                <w:color w:val="000000"/>
              </w:rPr>
              <w:t>（</w:t>
            </w:r>
            <w:r>
              <w:rPr>
                <w:rFonts w:ascii="TimesNewRomanPSMT" w:hAnsi="TimesNewRomanPSMT"/>
                <w:color w:val="000000"/>
              </w:rPr>
              <w:t>7</w:t>
            </w:r>
            <w:r>
              <w:rPr>
                <w:rFonts w:hint="eastAsia" w:ascii="TimesNewRomanPSMT" w:hAnsi="TimesNewRomanPSMT"/>
                <w:color w:val="000000"/>
              </w:rPr>
              <w:t>）</w:t>
            </w:r>
            <w:r>
              <w:rPr>
                <w:rFonts w:hint="eastAsia"/>
                <w:color w:val="000000"/>
              </w:rPr>
              <w:t>对原工作区内的生活营地、临时道路、探井、槽探作业区进行生态恢复，主要包括土地平整、</w:t>
            </w:r>
            <w:r>
              <w:t>选择适应当地气候和土壤条件的本土植物，如耐旱、耐贫瘠的草本植物和灌木。</w:t>
            </w:r>
          </w:p>
          <w:p>
            <w:r>
              <w:rPr>
                <w:rFonts w:hint="eastAsia"/>
              </w:rPr>
              <w:t>（</w:t>
            </w:r>
            <w:r>
              <w:t>8</w:t>
            </w:r>
            <w:r>
              <w:rPr>
                <w:rFonts w:hint="eastAsia"/>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2"/>
              <w:rPr>
                <w:b/>
              </w:rPr>
            </w:pPr>
            <w:r>
              <w:rPr>
                <w:rFonts w:hint="eastAsia"/>
                <w:b/>
              </w:rPr>
              <w:t>6</w:t>
            </w:r>
            <w:r>
              <w:rPr>
                <w:b/>
              </w:rPr>
              <w:t>.5</w:t>
            </w:r>
            <w:r>
              <w:rPr>
                <w:rFonts w:hint="eastAsia"/>
                <w:b/>
              </w:rPr>
              <w:t>建设单位和第三方的环境保护责任</w:t>
            </w:r>
          </w:p>
          <w:p>
            <w:pPr>
              <w:pStyle w:val="7"/>
              <w:ind w:firstLine="480"/>
              <w:jc w:val="both"/>
            </w:pPr>
            <w:r>
              <w:rPr>
                <w:rFonts w:hint="eastAsia"/>
              </w:rPr>
              <w:t>在探矿项目中，当施工具体由委托的第三方进行时，建设单位和第三方的环境保护责任需要明确划分，以确保项目在符合环保要求的前提下进行。以下是对双方环境保护责任的详细阐述：</w:t>
            </w:r>
          </w:p>
          <w:p>
            <w:pPr>
              <w:pStyle w:val="7"/>
              <w:ind w:left="240" w:leftChars="100" w:firstLine="240" w:firstLineChars="100"/>
            </w:pPr>
            <w:r>
              <w:rPr>
                <w:rFonts w:hint="eastAsia"/>
              </w:rPr>
              <w:t>建设单位的环境保护责任</w:t>
            </w:r>
          </w:p>
          <w:p>
            <w:pPr>
              <w:pStyle w:val="7"/>
              <w:ind w:left="240" w:leftChars="100" w:firstLine="240" w:firstLineChars="100"/>
            </w:pPr>
            <w:r>
              <w:rPr>
                <w:rFonts w:hint="eastAsia"/>
              </w:rPr>
              <w:t>1、项目策划与可行性研究</w:t>
            </w:r>
          </w:p>
          <w:p>
            <w:pPr>
              <w:pStyle w:val="7"/>
              <w:ind w:firstLineChars="0"/>
              <w:jc w:val="both"/>
            </w:pPr>
            <w:r>
              <w:rPr>
                <w:rFonts w:hint="eastAsia"/>
              </w:rPr>
              <w:t>建设单位在项目初期应充分考虑环境保护因素，进行详尽的项目策划和可行性研究，确保项目符合国家和地方的环境保护法律法规，评估项目可能对环境造成的影响，并制定相应的预防和减轻措施。</w:t>
            </w:r>
          </w:p>
          <w:p>
            <w:pPr>
              <w:pStyle w:val="7"/>
              <w:ind w:left="240" w:leftChars="100" w:firstLine="240" w:firstLineChars="100"/>
            </w:pPr>
            <w:r>
              <w:rPr>
                <w:rFonts w:hint="eastAsia"/>
              </w:rPr>
              <w:t>2、选择合格的第三方</w:t>
            </w:r>
          </w:p>
          <w:p>
            <w:pPr>
              <w:pStyle w:val="7"/>
              <w:ind w:firstLineChars="0"/>
              <w:jc w:val="both"/>
            </w:pPr>
            <w:r>
              <w:rPr>
                <w:rFonts w:hint="eastAsia"/>
              </w:rPr>
              <w:t>建设单位应选择具备相应资质、技术实力强、环保意识高的第三方进行施工，在合同中明确第三方的环境保护责任，包括施工过程中的环保要求、污染防治措施等。建设单位应对第三方的施工活动进行定期或不定期的监督与检杏确保其按昭合同和环保要求进行施工。</w:t>
            </w:r>
          </w:p>
          <w:p>
            <w:pPr>
              <w:pStyle w:val="7"/>
              <w:ind w:firstLine="480"/>
            </w:pPr>
            <w:r>
              <w:rPr>
                <w:rFonts w:hint="eastAsia"/>
              </w:rPr>
              <w:t>第三方的环境保护责任</w:t>
            </w:r>
          </w:p>
          <w:p>
            <w:pPr>
              <w:pStyle w:val="7"/>
              <w:ind w:firstLine="480"/>
            </w:pPr>
            <w:r>
              <w:rPr>
                <w:rFonts w:hint="eastAsia"/>
              </w:rPr>
              <w:t>1、遵守法律法规</w:t>
            </w:r>
          </w:p>
          <w:p>
            <w:pPr>
              <w:pStyle w:val="7"/>
              <w:ind w:firstLine="480"/>
              <w:jc w:val="both"/>
            </w:pPr>
            <w:r>
              <w:rPr>
                <w:rFonts w:hint="eastAsia"/>
              </w:rPr>
              <w:t>第三方应严格遵守国家和地方的环境保护法律法规，以及建设单位在合同中提出的具体环保要求。</w:t>
            </w:r>
          </w:p>
          <w:p>
            <w:pPr>
              <w:pStyle w:val="7"/>
              <w:ind w:firstLine="480"/>
            </w:pPr>
            <w:r>
              <w:rPr>
                <w:rFonts w:hint="eastAsia"/>
              </w:rPr>
              <w:t>2、施工过程中的环保措施</w:t>
            </w:r>
          </w:p>
          <w:p>
            <w:pPr>
              <w:pStyle w:val="7"/>
              <w:ind w:firstLine="480"/>
              <w:jc w:val="both"/>
            </w:pPr>
            <w:r>
              <w:rPr>
                <w:rFonts w:hint="eastAsia"/>
              </w:rPr>
              <w:t>制定详细的施工环保方案，明确施工过程中的污染防治措施和生态保护措施。采取有效措施减少施工噪声、粉尘、废水、废气等污染物的排放，确保施工活动不对周边环境造成不良影响。</w:t>
            </w:r>
          </w:p>
          <w:p>
            <w:pPr>
              <w:pStyle w:val="7"/>
              <w:numPr>
                <w:ilvl w:val="0"/>
                <w:numId w:val="3"/>
              </w:numPr>
              <w:spacing w:line="240" w:lineRule="auto"/>
              <w:ind w:firstLine="480"/>
              <w:jc w:val="both"/>
            </w:pPr>
            <w:r>
              <w:rPr>
                <w:rFonts w:hint="eastAsia"/>
              </w:rPr>
              <w:t>废弃物处理</w:t>
            </w:r>
          </w:p>
          <w:p>
            <w:r>
              <w:rPr>
                <w:rFonts w:hint="eastAsia"/>
              </w:rPr>
              <w:t>对施工过程中产生的废弃物进行分类收集、储存和处置，确保废弃物得到妥善处理不造成环境污染，对施工活动造成的生态破坏进行及时修复，恢复生态环境原貌或达到生态功能等效替代。</w:t>
            </w:r>
          </w:p>
          <w:p>
            <w:pPr>
              <w:rPr>
                <w:sz w:val="21"/>
              </w:rPr>
            </w:pPr>
            <w:r>
              <w:rPr>
                <w:rFonts w:hint="eastAsia"/>
              </w:rPr>
              <w:t>经采取以上措施，项目施工期对生态环境的影响可以降至最低。</w:t>
            </w:r>
          </w:p>
          <w:p>
            <w:pPr>
              <w:pStyle w:val="15"/>
              <w:ind w:firstLine="482" w:firstLineChars="200"/>
            </w:pPr>
            <w:r>
              <w:t>7</w:t>
            </w:r>
            <w:r>
              <w:rPr>
                <w:rFonts w:hint="eastAsia"/>
              </w:rPr>
              <w:t>、环境风险评价</w:t>
            </w:r>
          </w:p>
          <w:p>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
              <w:rPr>
                <w:rFonts w:hint="eastAsia"/>
              </w:rPr>
              <w:t>通过对项目在生产过程中使用的物质、各工艺系统的危险性进行识别，分析周边环境的敏感性，对项目的风险潜势进行初判，确定评价等级。</w:t>
            </w:r>
          </w:p>
          <w:p>
            <w:pPr>
              <w:pStyle w:val="15"/>
              <w:ind w:firstLine="482" w:firstLineChars="200"/>
            </w:pPr>
            <w:r>
              <w:t>7</w:t>
            </w:r>
            <w:r>
              <w:rPr>
                <w:rFonts w:hint="eastAsia"/>
              </w:rPr>
              <w:t>.1</w:t>
            </w:r>
            <w:r>
              <w:t>评价依据</w:t>
            </w:r>
          </w:p>
          <w:p>
            <w:r>
              <w:t>（1）风险调查</w:t>
            </w:r>
          </w:p>
          <w:p>
            <w:r>
              <w:rPr>
                <w:rFonts w:hint="eastAsia"/>
                <w:color w:val="000000"/>
              </w:rPr>
              <w:t>本项目不设置柴油储存场所，所有机械用柴油均随买随用，因此柴油不在厂区内长期储存。然而，在机械设备加油时会有短暂的存储和使用过程，存在一定的泄漏和火灾风险。日常维修产生的废机油暂存于危险废物暂存间，并最终交由有危废处置资质的单位处理。因此，本项目的主要风险物质为柴油和废机油。</w:t>
            </w:r>
          </w:p>
          <w:p>
            <w:r>
              <w:rPr>
                <w:rFonts w:hint="eastAsia"/>
              </w:rPr>
              <w:t>（2）风险潜势初判</w:t>
            </w:r>
          </w:p>
          <w:p>
            <w:r>
              <w:t>根据《建设项目环境风险评价技术导则》（HJ169-2018），当存在多中危险物质时，按下式计算物质总量与临界量比值。</w:t>
            </w:r>
          </w:p>
          <w:p>
            <w:pPr>
              <w:ind w:firstLine="0" w:firstLineChars="0"/>
              <w:jc w:val="cente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16"/>
                          <a:stretch>
                            <a:fillRect/>
                          </a:stretch>
                        </pic:blipFill>
                        <pic:spPr>
                          <a:xfrm>
                            <a:off x="0" y="0"/>
                            <a:ext cx="1785620" cy="539115"/>
                          </a:xfrm>
                          <a:prstGeom prst="rect">
                            <a:avLst/>
                          </a:prstGeom>
                          <a:noFill/>
                          <a:ln>
                            <a:noFill/>
                          </a:ln>
                        </pic:spPr>
                      </pic:pic>
                    </a:graphicData>
                  </a:graphic>
                </wp:inline>
              </w:drawing>
            </w:r>
          </w:p>
          <w:p>
            <w:r>
              <w:t>式中：q</w:t>
            </w:r>
            <w:r>
              <w:rPr>
                <w:vertAlign w:val="subscript"/>
              </w:rPr>
              <w:t>1</w:t>
            </w:r>
            <w:r>
              <w:t>，q</w:t>
            </w:r>
            <w:r>
              <w:rPr>
                <w:vertAlign w:val="subscript"/>
              </w:rPr>
              <w:t>2</w:t>
            </w:r>
            <w:r>
              <w:t>…..q</w:t>
            </w:r>
            <w:r>
              <w:rPr>
                <w:vertAlign w:val="subscript"/>
              </w:rPr>
              <w:t>n</w:t>
            </w:r>
            <w:r>
              <w:t>——每种危险物质的最大存在总量，t；</w:t>
            </w:r>
          </w:p>
          <w:p>
            <w:r>
              <w:t>Q</w:t>
            </w:r>
            <w:r>
              <w:rPr>
                <w:vertAlign w:val="subscript"/>
              </w:rPr>
              <w:t>1</w:t>
            </w:r>
            <w:r>
              <w:t>，Q</w:t>
            </w:r>
            <w:r>
              <w:rPr>
                <w:vertAlign w:val="subscript"/>
              </w:rPr>
              <w:t>2</w:t>
            </w:r>
            <w:r>
              <w:t>，…..Q</w:t>
            </w:r>
            <w:r>
              <w:rPr>
                <w:vertAlign w:val="subscript"/>
              </w:rPr>
              <w:t>n</w:t>
            </w:r>
            <w:r>
              <w:t>——每种危险物质的临界量，t；</w:t>
            </w:r>
          </w:p>
          <w:p>
            <w:r>
              <w:t>当Q&lt;1时，该项目环境风险潜势为</w:t>
            </w:r>
            <w:r>
              <w:fldChar w:fldCharType="begin"/>
            </w:r>
            <w:r>
              <w:instrText xml:space="preserve">= 1 \* ROMAN</w:instrText>
            </w:r>
            <w:r>
              <w:fldChar w:fldCharType="separate"/>
            </w:r>
            <w:r>
              <w:t>I</w:t>
            </w:r>
            <w:r>
              <w:fldChar w:fldCharType="end"/>
            </w:r>
            <w:r>
              <w:t>。</w:t>
            </w:r>
          </w:p>
          <w:p>
            <w:r>
              <w:t>当Q≥1时，将Q值划分为：（1）1≤Q＜10；（2）10≤Q＜100；（3）Q≥100。</w:t>
            </w:r>
          </w:p>
          <w:p>
            <w:r>
              <w:t>通过计算，本项目Q&lt;1，所以本项目环境风险潜势为</w:t>
            </w:r>
            <w:r>
              <w:fldChar w:fldCharType="begin"/>
            </w:r>
            <w:r>
              <w:instrText xml:space="preserve">= 1 \* ROMAN</w:instrText>
            </w:r>
            <w:r>
              <w:fldChar w:fldCharType="separate"/>
            </w:r>
            <w:r>
              <w:t>I</w:t>
            </w:r>
            <w:r>
              <w:fldChar w:fldCharType="end"/>
            </w:r>
            <w:r>
              <w:t>。</w:t>
            </w:r>
          </w:p>
          <w:p>
            <w:r>
              <w:t>（3）评价等级</w:t>
            </w:r>
          </w:p>
          <w:p>
            <w:r>
              <w:t>环境风险是指突发性事故对环境（或健康）的危害程度。建设项目环境风险评价，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r>
              <w:t>本项目为矿产资源勘探，根据《建设项目环境风险评价技术导则》（HJ169-2018）附录B中推荐物质危险性识别可知，项目风险物质为废机油</w:t>
            </w:r>
            <w:r>
              <w:rPr>
                <w:rFonts w:hint="eastAsia"/>
              </w:rPr>
              <w:t>和柴油</w:t>
            </w:r>
            <w:r>
              <w:t>。</w:t>
            </w:r>
            <w:r>
              <w:rPr>
                <w:rFonts w:hint="eastAsia"/>
              </w:rPr>
              <w:t>风险源情况详见下表5-1。</w:t>
            </w:r>
          </w:p>
          <w:p>
            <w:pPr>
              <w:pStyle w:val="28"/>
              <w:spacing w:before="156"/>
            </w:pPr>
            <w:r>
              <w:t>表</w:t>
            </w:r>
            <w:r>
              <w:rPr>
                <w:rFonts w:hint="eastAsia"/>
              </w:rPr>
              <w:t>5-1</w:t>
            </w:r>
            <w:r>
              <w:t xml:space="preserve">  </w:t>
            </w:r>
            <w:r>
              <w:rPr>
                <w:bCs/>
                <w:szCs w:val="21"/>
              </w:rPr>
              <w:t>环境风险物质数量、临界量及其比值（Q）</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5"/>
              <w:gridCol w:w="1832"/>
              <w:gridCol w:w="1328"/>
              <w:gridCol w:w="1464"/>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 w:hRule="atLeast"/>
                <w:jc w:val="center"/>
              </w:trPr>
              <w:tc>
                <w:tcPr>
                  <w:tcW w:w="1133" w:type="dxa"/>
                  <w:shd w:val="clear" w:color="auto" w:fill="auto"/>
                  <w:vAlign w:val="center"/>
                </w:tcPr>
                <w:p>
                  <w:pPr>
                    <w:pStyle w:val="26"/>
                  </w:pPr>
                  <w:r>
                    <w:rPr>
                      <w:rFonts w:hint="eastAsia"/>
                    </w:rPr>
                    <w:t>序号</w:t>
                  </w:r>
                </w:p>
              </w:tc>
              <w:tc>
                <w:tcPr>
                  <w:tcW w:w="1797" w:type="dxa"/>
                  <w:shd w:val="clear" w:color="auto" w:fill="auto"/>
                  <w:vAlign w:val="center"/>
                </w:tcPr>
                <w:p>
                  <w:pPr>
                    <w:pStyle w:val="26"/>
                    <w:rPr>
                      <w:vertAlign w:val="superscript"/>
                    </w:rPr>
                  </w:pPr>
                  <w:r>
                    <w:t>环境风险物质</w:t>
                  </w:r>
                </w:p>
              </w:tc>
              <w:tc>
                <w:tcPr>
                  <w:tcW w:w="1303" w:type="dxa"/>
                  <w:shd w:val="clear" w:color="auto" w:fill="auto"/>
                  <w:vAlign w:val="center"/>
                </w:tcPr>
                <w:p>
                  <w:pPr>
                    <w:pStyle w:val="26"/>
                  </w:pPr>
                  <w:r>
                    <w:t>储存量（q）</w:t>
                  </w:r>
                </w:p>
              </w:tc>
              <w:tc>
                <w:tcPr>
                  <w:tcW w:w="1436" w:type="dxa"/>
                  <w:shd w:val="clear" w:color="auto" w:fill="auto"/>
                  <w:vAlign w:val="center"/>
                </w:tcPr>
                <w:p>
                  <w:pPr>
                    <w:pStyle w:val="26"/>
                  </w:pPr>
                  <w:r>
                    <w:t>临界量（Q）</w:t>
                  </w:r>
                </w:p>
              </w:tc>
              <w:tc>
                <w:tcPr>
                  <w:tcW w:w="1942" w:type="dxa"/>
                  <w:shd w:val="clear" w:color="auto" w:fill="auto"/>
                  <w:vAlign w:val="center"/>
                </w:tcPr>
                <w:p>
                  <w:pPr>
                    <w:pStyle w:val="26"/>
                  </w:pPr>
                  <w:r>
                    <w:t>q比值（Q）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33" w:type="dxa"/>
                  <w:shd w:val="clear" w:color="auto" w:fill="auto"/>
                  <w:vAlign w:val="center"/>
                </w:tcPr>
                <w:p>
                  <w:pPr>
                    <w:pStyle w:val="26"/>
                  </w:pPr>
                  <w:r>
                    <w:rPr>
                      <w:rFonts w:hint="eastAsia"/>
                    </w:rPr>
                    <w:t>1</w:t>
                  </w:r>
                </w:p>
              </w:tc>
              <w:tc>
                <w:tcPr>
                  <w:tcW w:w="1797" w:type="dxa"/>
                  <w:shd w:val="clear" w:color="auto" w:fill="auto"/>
                  <w:vAlign w:val="center"/>
                </w:tcPr>
                <w:p>
                  <w:pPr>
                    <w:pStyle w:val="26"/>
                  </w:pPr>
                  <w:r>
                    <w:t>废机油</w:t>
                  </w:r>
                </w:p>
              </w:tc>
              <w:tc>
                <w:tcPr>
                  <w:tcW w:w="1303" w:type="dxa"/>
                  <w:shd w:val="clear" w:color="auto" w:fill="auto"/>
                  <w:vAlign w:val="center"/>
                </w:tcPr>
                <w:p>
                  <w:pPr>
                    <w:pStyle w:val="26"/>
                  </w:pPr>
                  <w:r>
                    <w:t>0.01t</w:t>
                  </w:r>
                </w:p>
              </w:tc>
              <w:tc>
                <w:tcPr>
                  <w:tcW w:w="1436" w:type="dxa"/>
                  <w:shd w:val="clear" w:color="auto" w:fill="auto"/>
                  <w:vAlign w:val="center"/>
                </w:tcPr>
                <w:p>
                  <w:pPr>
                    <w:pStyle w:val="26"/>
                  </w:pPr>
                  <w:r>
                    <w:t>2500t</w:t>
                  </w:r>
                </w:p>
              </w:tc>
              <w:tc>
                <w:tcPr>
                  <w:tcW w:w="1942" w:type="dxa"/>
                  <w:shd w:val="clear" w:color="auto" w:fill="auto"/>
                  <w:vAlign w:val="center"/>
                </w:tcPr>
                <w:p>
                  <w:pPr>
                    <w:pStyle w:val="26"/>
                    <w:rPr>
                      <w:vertAlign w:val="superscript"/>
                    </w:rPr>
                  </w:pPr>
                  <w:r>
                    <w:t>0.000004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133" w:type="dxa"/>
                  <w:shd w:val="clear" w:color="auto" w:fill="auto"/>
                  <w:vAlign w:val="center"/>
                </w:tcPr>
                <w:p>
                  <w:pPr>
                    <w:pStyle w:val="26"/>
                  </w:pPr>
                  <w:r>
                    <w:rPr>
                      <w:rFonts w:hint="eastAsia"/>
                    </w:rPr>
                    <w:t>2</w:t>
                  </w:r>
                </w:p>
              </w:tc>
              <w:tc>
                <w:tcPr>
                  <w:tcW w:w="1797" w:type="dxa"/>
                  <w:shd w:val="clear" w:color="auto" w:fill="auto"/>
                  <w:vAlign w:val="center"/>
                </w:tcPr>
                <w:p>
                  <w:pPr>
                    <w:pStyle w:val="26"/>
                  </w:pPr>
                  <w:r>
                    <w:rPr>
                      <w:rFonts w:hint="eastAsia"/>
                    </w:rPr>
                    <w:t>柴油</w:t>
                  </w:r>
                </w:p>
              </w:tc>
              <w:tc>
                <w:tcPr>
                  <w:tcW w:w="1303" w:type="dxa"/>
                  <w:shd w:val="clear" w:color="auto" w:fill="auto"/>
                  <w:vAlign w:val="center"/>
                </w:tcPr>
                <w:p>
                  <w:pPr>
                    <w:pStyle w:val="26"/>
                  </w:pPr>
                  <w:r>
                    <w:rPr>
                      <w:rFonts w:hint="eastAsia"/>
                    </w:rPr>
                    <w:t>/</w:t>
                  </w:r>
                </w:p>
              </w:tc>
              <w:tc>
                <w:tcPr>
                  <w:tcW w:w="1436" w:type="dxa"/>
                  <w:shd w:val="clear" w:color="auto" w:fill="auto"/>
                  <w:vAlign w:val="center"/>
                </w:tcPr>
                <w:p>
                  <w:pPr>
                    <w:pStyle w:val="26"/>
                  </w:pPr>
                  <w:r>
                    <w:rPr>
                      <w:rFonts w:hint="eastAsia"/>
                    </w:rPr>
                    <w:t>2</w:t>
                  </w:r>
                  <w:r>
                    <w:t>500t</w:t>
                  </w:r>
                </w:p>
              </w:tc>
              <w:tc>
                <w:tcPr>
                  <w:tcW w:w="1942" w:type="dxa"/>
                  <w:shd w:val="clear" w:color="auto" w:fill="auto"/>
                  <w:vAlign w:val="center"/>
                </w:tcPr>
                <w:p>
                  <w:pPr>
                    <w:pStyle w:val="26"/>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5669" w:type="dxa"/>
                  <w:gridSpan w:val="4"/>
                  <w:shd w:val="clear" w:color="auto" w:fill="auto"/>
                  <w:vAlign w:val="center"/>
                </w:tcPr>
                <w:p>
                  <w:pPr>
                    <w:pStyle w:val="26"/>
                  </w:pPr>
                  <w:r>
                    <w:t>合计</w:t>
                  </w:r>
                </w:p>
              </w:tc>
              <w:tc>
                <w:tcPr>
                  <w:tcW w:w="1942" w:type="dxa"/>
                  <w:shd w:val="clear" w:color="auto" w:fill="auto"/>
                  <w:vAlign w:val="center"/>
                </w:tcPr>
                <w:p>
                  <w:pPr>
                    <w:pStyle w:val="26"/>
                  </w:pPr>
                  <w:r>
                    <w:t>0.000004</w:t>
                  </w:r>
                </w:p>
              </w:tc>
            </w:tr>
          </w:tbl>
          <w:p>
            <w:r>
              <w:t>根据危险物质数量与临界量比值，确定Q=0.000004&lt;1。当Q&lt;1时，该项目风险期潜势为I，风险期潜势为I时，环境风险评价工作等级为简单分析。</w:t>
            </w:r>
          </w:p>
          <w:p>
            <w:r>
              <w:t>综上，本项目风险判定为简单评价。分析内容表见下表5-2。</w:t>
            </w:r>
          </w:p>
          <w:p>
            <w:pPr>
              <w:pStyle w:val="28"/>
              <w:spacing w:before="156"/>
            </w:pPr>
            <w:r>
              <w:t>表</w:t>
            </w:r>
            <w:r>
              <w:rPr>
                <w:rFonts w:hint="eastAsia"/>
              </w:rPr>
              <w:t>5-2</w:t>
            </w:r>
            <w:r>
              <w:t xml:space="preserve">  </w:t>
            </w:r>
            <w:r>
              <w:rPr>
                <w:rFonts w:hint="eastAsia"/>
              </w:rPr>
              <w:t xml:space="preserve"> 建设项目环境风险简单分析内容表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18"/>
              <w:gridCol w:w="5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vertAlign w:val="superscript"/>
                    </w:rPr>
                  </w:pPr>
                  <w:r>
                    <w:rPr>
                      <w:szCs w:val="21"/>
                    </w:rPr>
                    <w:t>建设项目名称</w:t>
                  </w:r>
                </w:p>
              </w:tc>
              <w:tc>
                <w:tcPr>
                  <w:tcW w:w="3505" w:type="pct"/>
                  <w:shd w:val="clear" w:color="auto" w:fill="auto"/>
                  <w:vAlign w:val="center"/>
                </w:tcPr>
                <w:p>
                  <w:pPr>
                    <w:pStyle w:val="26"/>
                    <w:rPr>
                      <w:szCs w:val="21"/>
                    </w:rPr>
                  </w:pPr>
                  <w:r>
                    <w:rPr>
                      <w:rFonts w:hint="eastAsia"/>
                    </w:rPr>
                    <w:t>新疆和静县呼噜哈其沟铜矿勘探项目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建设地点</w:t>
                  </w:r>
                </w:p>
              </w:tc>
              <w:tc>
                <w:tcPr>
                  <w:tcW w:w="3505" w:type="pct"/>
                  <w:shd w:val="clear" w:color="auto" w:fill="auto"/>
                  <w:vAlign w:val="center"/>
                </w:tcPr>
                <w:p>
                  <w:pPr>
                    <w:pStyle w:val="26"/>
                    <w:rPr>
                      <w:szCs w:val="21"/>
                      <w:vertAlign w:val="superscript"/>
                    </w:rPr>
                  </w:pPr>
                  <w:r>
                    <w:rPr>
                      <w:rFonts w:hint="eastAsia"/>
                      <w:szCs w:val="21"/>
                    </w:rPr>
                    <w:t>新疆和静县克尔古提乡西约269°方向直距约19千米处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地理坐标</w:t>
                  </w:r>
                </w:p>
              </w:tc>
              <w:tc>
                <w:tcPr>
                  <w:tcW w:w="3505" w:type="pct"/>
                  <w:shd w:val="clear" w:color="auto" w:fill="auto"/>
                  <w:vAlign w:val="center"/>
                </w:tcPr>
                <w:p>
                  <w:pPr>
                    <w:pStyle w:val="26"/>
                    <w:jc w:val="both"/>
                    <w:rPr>
                      <w:szCs w:val="21"/>
                    </w:rPr>
                  </w:pPr>
                  <w:r>
                    <w:rPr>
                      <w:rFonts w:hint="eastAsia"/>
                    </w:rPr>
                    <w:t>勘查范围中心点</w:t>
                  </w:r>
                  <w:r>
                    <w:t>坐标：86°38'7.831"E，42°29'20.940"N；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主要危险物质及分布</w:t>
                  </w:r>
                </w:p>
              </w:tc>
              <w:tc>
                <w:tcPr>
                  <w:tcW w:w="3505" w:type="pct"/>
                  <w:shd w:val="clear" w:color="auto" w:fill="auto"/>
                  <w:vAlign w:val="center"/>
                </w:tcPr>
                <w:p>
                  <w:pPr>
                    <w:pStyle w:val="26"/>
                    <w:rPr>
                      <w:szCs w:val="21"/>
                    </w:rPr>
                  </w:pPr>
                  <w:r>
                    <w:rPr>
                      <w:rFonts w:hint="eastAsia"/>
                      <w:color w:val="000000"/>
                      <w:szCs w:val="21"/>
                    </w:rPr>
                    <w:t>本项目主要危险物质为废矿物油储存在危险废物暂存间内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环境影响途径及危害后果（大气、地表水、地下水）</w:t>
                  </w:r>
                </w:p>
              </w:tc>
              <w:tc>
                <w:tcPr>
                  <w:tcW w:w="3505" w:type="pct"/>
                  <w:shd w:val="clear" w:color="auto" w:fill="auto"/>
                  <w:vAlign w:val="center"/>
                </w:tcPr>
                <w:p>
                  <w:pPr>
                    <w:pStyle w:val="26"/>
                    <w:rPr>
                      <w:szCs w:val="21"/>
                    </w:rPr>
                  </w:pPr>
                  <w:r>
                    <w:rPr>
                      <w:szCs w:val="21"/>
                    </w:rPr>
                    <w:t>柴油存在泄漏风险污染区域地下水；柴油存在火灾爆炸风险可能产生次生/伴生污染物污染大气环境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风险防范措施要求</w:t>
                  </w:r>
                </w:p>
              </w:tc>
              <w:tc>
                <w:tcPr>
                  <w:tcW w:w="3505" w:type="pct"/>
                  <w:shd w:val="clear" w:color="auto" w:fill="auto"/>
                  <w:vAlign w:val="center"/>
                </w:tcPr>
                <w:p>
                  <w:pPr>
                    <w:pStyle w:val="26"/>
                    <w:rPr>
                      <w:szCs w:val="21"/>
                    </w:rPr>
                  </w:pPr>
                  <w:r>
                    <w:rPr>
                      <w:szCs w:val="21"/>
                    </w:rPr>
                    <w:t>加强柴油机械设备的管理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1494" w:type="pct"/>
                  <w:shd w:val="clear" w:color="auto" w:fill="auto"/>
                  <w:vAlign w:val="center"/>
                </w:tcPr>
                <w:p>
                  <w:pPr>
                    <w:pStyle w:val="26"/>
                    <w:rPr>
                      <w:szCs w:val="21"/>
                    </w:rPr>
                  </w:pPr>
                  <w:r>
                    <w:rPr>
                      <w:szCs w:val="21"/>
                    </w:rPr>
                    <w:t>填表说明（列出项目相关信息及评价说明）：</w:t>
                  </w:r>
                </w:p>
              </w:tc>
              <w:tc>
                <w:tcPr>
                  <w:tcW w:w="3505" w:type="pct"/>
                  <w:shd w:val="clear" w:color="auto" w:fill="auto"/>
                  <w:vAlign w:val="center"/>
                </w:tcPr>
                <w:p>
                  <w:pPr>
                    <w:pStyle w:val="26"/>
                    <w:rPr>
                      <w:szCs w:val="21"/>
                    </w:rPr>
                  </w:pPr>
                  <w:r>
                    <w:rPr>
                      <w:szCs w:val="21"/>
                    </w:rPr>
                    <w:t>不存在重大危险源，项目环境风险可以接受</w:t>
                  </w:r>
                </w:p>
              </w:tc>
            </w:tr>
          </w:tbl>
          <w:p>
            <w:pPr>
              <w:pStyle w:val="15"/>
              <w:ind w:firstLine="482" w:firstLineChars="200"/>
            </w:pPr>
            <w:bookmarkStart w:id="33" w:name="_Toc30952"/>
            <w:bookmarkStart w:id="34" w:name="_Toc2247557"/>
            <w:r>
              <w:t>7</w:t>
            </w:r>
            <w:r>
              <w:rPr>
                <w:rFonts w:hint="eastAsia"/>
              </w:rPr>
              <w:t>.2环境敏感目标概况</w:t>
            </w:r>
            <w:bookmarkEnd w:id="33"/>
            <w:bookmarkEnd w:id="34"/>
          </w:p>
          <w:p>
            <w:bookmarkStart w:id="35" w:name="_Toc2247558"/>
            <w:bookmarkStart w:id="36" w:name="_Toc420"/>
            <w:r>
              <w:rPr>
                <w:rFonts w:hint="eastAsia"/>
              </w:rPr>
              <w:t>（</w:t>
            </w:r>
            <w:r>
              <w:t>1</w:t>
            </w:r>
            <w:r>
              <w:rPr>
                <w:rFonts w:hint="eastAsia"/>
              </w:rPr>
              <w:t>）大气环境敏感目标调查</w:t>
            </w:r>
            <w:bookmarkEnd w:id="35"/>
            <w:bookmarkEnd w:id="36"/>
          </w:p>
          <w:p>
            <w:bookmarkStart w:id="37" w:name="_Toc2247559"/>
            <w:bookmarkStart w:id="38" w:name="_Toc24251"/>
            <w:r>
              <w:rPr>
                <w:rFonts w:hint="eastAsia"/>
              </w:rPr>
              <w:t>本项目柴油分期从和静县城购买，本项目不设置柴油储存区，柴油通过汽运至探矿区内。</w:t>
            </w:r>
          </w:p>
          <w:p>
            <w:r>
              <w:rPr>
                <w:rFonts w:hint="eastAsia"/>
              </w:rPr>
              <w:t>（2）地表水环境敏感目标调查</w:t>
            </w:r>
            <w:bookmarkEnd w:id="37"/>
            <w:bookmarkEnd w:id="38"/>
          </w:p>
          <w:p>
            <w:r>
              <w:rPr>
                <w:rFonts w:hint="eastAsia"/>
              </w:rPr>
              <w:t>项目产生的生产废水沉淀后循环使用，</w:t>
            </w:r>
            <w:r>
              <w:t>用于</w:t>
            </w:r>
            <w:r>
              <w:rPr>
                <w:rFonts w:hint="eastAsia"/>
              </w:rPr>
              <w:t>洒水抑尘和绿化</w:t>
            </w:r>
            <w:r>
              <w:t>，不外排。</w:t>
            </w:r>
            <w:r>
              <w:rPr>
                <w:rFonts w:hint="eastAsia"/>
              </w:rPr>
              <w:t>生活污水进入防渗化粪池（10m</w:t>
            </w:r>
            <w:r>
              <w:rPr>
                <w:rFonts w:hint="eastAsia"/>
                <w:vertAlign w:val="superscript"/>
              </w:rPr>
              <w:t>3</w:t>
            </w:r>
            <w:r>
              <w:rPr>
                <w:rFonts w:hint="eastAsia"/>
              </w:rPr>
              <w:t>）处理后自然蒸发。项目废水不会对地表水体产生影响。因此，项目不设地表水环境敏感目标。</w:t>
            </w:r>
          </w:p>
          <w:p>
            <w:bookmarkStart w:id="39" w:name="_Toc25863"/>
            <w:bookmarkStart w:id="40" w:name="_Toc2247560"/>
            <w:r>
              <w:rPr>
                <w:rFonts w:hint="eastAsia"/>
              </w:rPr>
              <w:t>（3）地下水环境敏感目标调查</w:t>
            </w:r>
            <w:bookmarkEnd w:id="39"/>
            <w:bookmarkEnd w:id="40"/>
          </w:p>
          <w:p>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5"/>
              <w:ind w:firstLine="482" w:firstLineChars="200"/>
            </w:pPr>
            <w:bookmarkStart w:id="41" w:name="_Toc12060"/>
            <w:bookmarkStart w:id="42" w:name="_Toc2247561"/>
            <w:r>
              <w:t>7</w:t>
            </w:r>
            <w:r>
              <w:rPr>
                <w:rFonts w:hint="eastAsia"/>
              </w:rPr>
              <w:t>.3环境风险识别</w:t>
            </w:r>
            <w:bookmarkEnd w:id="41"/>
            <w:bookmarkEnd w:id="42"/>
          </w:p>
          <w:p>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涉及的原辅材料、中间产品以及生产过程中排放的</w:t>
            </w:r>
            <w:r>
              <w:rPr>
                <w:rFonts w:hint="eastAsia"/>
              </w:rPr>
              <w:t>“</w:t>
            </w:r>
            <w:r>
              <w:t>三废</w:t>
            </w:r>
            <w:r>
              <w:rPr>
                <w:rFonts w:hint="eastAsia"/>
              </w:rPr>
              <w:t>”</w:t>
            </w:r>
            <w:r>
              <w:t>污染物等。</w:t>
            </w:r>
          </w:p>
          <w:p>
            <w:bookmarkStart w:id="43" w:name="_Toc2247562"/>
            <w:r>
              <w:rPr>
                <w:rFonts w:hint="eastAsia"/>
              </w:rPr>
              <w:t>（1）风险物质识别</w:t>
            </w:r>
            <w:bookmarkEnd w:id="43"/>
          </w:p>
          <w:p>
            <w:r>
              <w:rPr>
                <w:rFonts w:hint="eastAsia"/>
              </w:rPr>
              <w:t>根据对项目的原辅材料、中间产物和产品等进行分析，项目涉及的风险物质主要为废机油。</w:t>
            </w:r>
          </w:p>
          <w:p>
            <w:r>
              <w:rPr>
                <w:rFonts w:hint="eastAsia"/>
              </w:rPr>
              <w:t>废机油</w:t>
            </w:r>
            <w:r>
              <w:t>物化特性见表</w:t>
            </w:r>
            <w:r>
              <w:rPr>
                <w:rFonts w:hint="eastAsia"/>
              </w:rPr>
              <w:t>5-</w:t>
            </w:r>
            <w:r>
              <w:t>3所示。</w:t>
            </w:r>
          </w:p>
          <w:p>
            <w:pPr>
              <w:pStyle w:val="28"/>
              <w:spacing w:before="156"/>
            </w:pPr>
            <w:bookmarkStart w:id="44" w:name="_Toc2247563"/>
            <w:r>
              <w:t>表</w:t>
            </w:r>
            <w:r>
              <w:rPr>
                <w:rFonts w:hint="eastAsia"/>
              </w:rPr>
              <w:t>5-</w:t>
            </w:r>
            <w:r>
              <w:t xml:space="preserve">3  </w:t>
            </w:r>
            <w:r>
              <w:rPr>
                <w:rFonts w:hint="eastAsia"/>
              </w:rPr>
              <w:t>废机油</w:t>
            </w:r>
            <w:r>
              <w:t>物理化学特性表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97"/>
              <w:gridCol w:w="975"/>
              <w:gridCol w:w="1128"/>
              <w:gridCol w:w="155"/>
              <w:gridCol w:w="579"/>
              <w:gridCol w:w="1719"/>
              <w:gridCol w:w="53"/>
              <w:gridCol w:w="82"/>
              <w:gridCol w:w="1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restart"/>
                  <w:vAlign w:val="center"/>
                </w:tcPr>
                <w:p>
                  <w:pPr>
                    <w:pStyle w:val="18"/>
                    <w:spacing w:after="0" w:line="240" w:lineRule="auto"/>
                    <w:ind w:firstLine="0" w:firstLineChars="0"/>
                    <w:jc w:val="center"/>
                    <w:rPr>
                      <w:szCs w:val="21"/>
                    </w:rPr>
                  </w:pPr>
                  <w:r>
                    <w:rPr>
                      <w:szCs w:val="21"/>
                    </w:rPr>
                    <w:t>标识</w:t>
                  </w:r>
                </w:p>
              </w:tc>
              <w:tc>
                <w:tcPr>
                  <w:tcW w:w="578" w:type="pct"/>
                  <w:vAlign w:val="center"/>
                </w:tcPr>
                <w:p>
                  <w:pPr>
                    <w:pStyle w:val="18"/>
                    <w:spacing w:after="0" w:line="240" w:lineRule="auto"/>
                    <w:ind w:firstLine="0" w:firstLineChars="0"/>
                    <w:jc w:val="left"/>
                    <w:rPr>
                      <w:szCs w:val="21"/>
                    </w:rPr>
                  </w:pPr>
                  <w:r>
                    <w:rPr>
                      <w:szCs w:val="21"/>
                    </w:rPr>
                    <w:t>中文名</w:t>
                  </w:r>
                </w:p>
              </w:tc>
              <w:tc>
                <w:tcPr>
                  <w:tcW w:w="1455" w:type="pct"/>
                  <w:gridSpan w:val="3"/>
                  <w:vAlign w:val="center"/>
                </w:tcPr>
                <w:p>
                  <w:pPr>
                    <w:pStyle w:val="18"/>
                    <w:spacing w:after="0" w:line="240" w:lineRule="auto"/>
                    <w:ind w:firstLine="0" w:firstLineChars="0"/>
                    <w:jc w:val="center"/>
                    <w:rPr>
                      <w:szCs w:val="21"/>
                    </w:rPr>
                  </w:pPr>
                  <w:r>
                    <w:rPr>
                      <w:szCs w:val="21"/>
                    </w:rPr>
                    <w:t>废机油</w:t>
                  </w:r>
                </w:p>
              </w:tc>
              <w:tc>
                <w:tcPr>
                  <w:tcW w:w="1568" w:type="pct"/>
                  <w:gridSpan w:val="4"/>
                  <w:vAlign w:val="center"/>
                </w:tcPr>
                <w:p>
                  <w:pPr>
                    <w:pStyle w:val="18"/>
                    <w:spacing w:after="0" w:line="240" w:lineRule="auto"/>
                    <w:ind w:firstLine="0" w:firstLineChars="0"/>
                    <w:jc w:val="center"/>
                    <w:rPr>
                      <w:szCs w:val="21"/>
                    </w:rPr>
                  </w:pPr>
                  <w:r>
                    <w:rPr>
                      <w:szCs w:val="21"/>
                    </w:rPr>
                    <w:t>危险货物编号</w:t>
                  </w:r>
                </w:p>
              </w:tc>
              <w:tc>
                <w:tcPr>
                  <w:tcW w:w="1067" w:type="pct"/>
                  <w:vAlign w:val="center"/>
                </w:tcPr>
                <w:p>
                  <w:pPr>
                    <w:pStyle w:val="18"/>
                    <w:spacing w:after="0" w:line="240" w:lineRule="auto"/>
                    <w:ind w:firstLine="0" w:firstLineChars="0"/>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8"/>
                    <w:spacing w:after="0" w:line="240" w:lineRule="auto"/>
                    <w:ind w:firstLine="0" w:firstLineChars="0"/>
                    <w:jc w:val="center"/>
                    <w:rPr>
                      <w:szCs w:val="21"/>
                    </w:rPr>
                  </w:pPr>
                </w:p>
              </w:tc>
              <w:tc>
                <w:tcPr>
                  <w:tcW w:w="578" w:type="pct"/>
                  <w:vAlign w:val="center"/>
                </w:tcPr>
                <w:p>
                  <w:pPr>
                    <w:pStyle w:val="18"/>
                    <w:spacing w:after="0" w:line="240" w:lineRule="auto"/>
                    <w:ind w:firstLine="0" w:firstLineChars="0"/>
                    <w:jc w:val="left"/>
                    <w:rPr>
                      <w:szCs w:val="21"/>
                    </w:rPr>
                  </w:pPr>
                  <w:r>
                    <w:rPr>
                      <w:szCs w:val="21"/>
                    </w:rPr>
                    <w:t>英文名</w:t>
                  </w:r>
                </w:p>
              </w:tc>
              <w:tc>
                <w:tcPr>
                  <w:tcW w:w="1455" w:type="pct"/>
                  <w:gridSpan w:val="3"/>
                  <w:vAlign w:val="center"/>
                </w:tcPr>
                <w:p>
                  <w:pPr>
                    <w:pStyle w:val="18"/>
                    <w:spacing w:after="0" w:line="240" w:lineRule="auto"/>
                    <w:ind w:firstLine="0" w:firstLineChars="0"/>
                    <w:jc w:val="center"/>
                    <w:rPr>
                      <w:szCs w:val="21"/>
                    </w:rPr>
                  </w:pPr>
                  <w:r>
                    <w:rPr>
                      <w:szCs w:val="21"/>
                    </w:rPr>
                    <w:t>Lubricatingoil；Lubeoil</w:t>
                  </w:r>
                </w:p>
              </w:tc>
              <w:tc>
                <w:tcPr>
                  <w:tcW w:w="1568" w:type="pct"/>
                  <w:gridSpan w:val="4"/>
                  <w:vAlign w:val="center"/>
                </w:tcPr>
                <w:p>
                  <w:pPr>
                    <w:pStyle w:val="18"/>
                    <w:spacing w:after="0" w:line="240" w:lineRule="auto"/>
                    <w:ind w:firstLine="0" w:firstLineChars="0"/>
                    <w:jc w:val="center"/>
                    <w:rPr>
                      <w:szCs w:val="21"/>
                    </w:rPr>
                  </w:pPr>
                  <w:r>
                    <w:rPr>
                      <w:szCs w:val="21"/>
                    </w:rPr>
                    <w:t>CAS编号</w:t>
                  </w:r>
                </w:p>
              </w:tc>
              <w:tc>
                <w:tcPr>
                  <w:tcW w:w="1067" w:type="pct"/>
                  <w:vAlign w:val="center"/>
                </w:tcPr>
                <w:p>
                  <w:pPr>
                    <w:pStyle w:val="18"/>
                    <w:spacing w:after="0" w:line="240" w:lineRule="auto"/>
                    <w:ind w:firstLine="0" w:firstLineChars="0"/>
                    <w:jc w:val="center"/>
                    <w:rPr>
                      <w:szCs w:val="21"/>
                    </w:rPr>
                  </w:pPr>
                  <w:r>
                    <w:rPr>
                      <w:szCs w:val="21"/>
                    </w:rPr>
                    <w:t>106-50-3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restart"/>
                  <w:vAlign w:val="center"/>
                </w:tcPr>
                <w:p>
                  <w:pPr>
                    <w:pStyle w:val="18"/>
                    <w:spacing w:after="0" w:line="240" w:lineRule="auto"/>
                    <w:ind w:firstLine="0" w:firstLineChars="0"/>
                    <w:jc w:val="center"/>
                    <w:rPr>
                      <w:szCs w:val="21"/>
                    </w:rPr>
                  </w:pPr>
                  <w:r>
                    <w:rPr>
                      <w:szCs w:val="21"/>
                    </w:rPr>
                    <w:t>理化性质</w:t>
                  </w:r>
                </w:p>
              </w:tc>
              <w:tc>
                <w:tcPr>
                  <w:tcW w:w="578" w:type="pct"/>
                  <w:vAlign w:val="center"/>
                </w:tcPr>
                <w:p>
                  <w:pPr>
                    <w:pStyle w:val="18"/>
                    <w:spacing w:after="0" w:line="240" w:lineRule="auto"/>
                    <w:ind w:firstLine="0" w:firstLineChars="0"/>
                    <w:jc w:val="left"/>
                    <w:rPr>
                      <w:szCs w:val="21"/>
                    </w:rPr>
                  </w:pPr>
                  <w:r>
                    <w:rPr>
                      <w:szCs w:val="21"/>
                    </w:rPr>
                    <w:t>性状</w:t>
                  </w:r>
                </w:p>
              </w:tc>
              <w:tc>
                <w:tcPr>
                  <w:tcW w:w="4090" w:type="pct"/>
                  <w:gridSpan w:val="8"/>
                  <w:vAlign w:val="center"/>
                </w:tcPr>
                <w:p>
                  <w:pPr>
                    <w:pStyle w:val="18"/>
                    <w:spacing w:after="0" w:line="240" w:lineRule="auto"/>
                    <w:ind w:firstLine="0" w:firstLineChars="0"/>
                    <w:jc w:val="center"/>
                    <w:rPr>
                      <w:szCs w:val="21"/>
                    </w:rPr>
                  </w:pPr>
                  <w:r>
                    <w:rPr>
                      <w:szCs w:val="21"/>
                    </w:rPr>
                    <w:t>有机酸、胶质和沥青状等物质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8"/>
                    <w:spacing w:after="0" w:line="240" w:lineRule="auto"/>
                    <w:ind w:firstLine="0" w:firstLineChars="0"/>
                    <w:jc w:val="center"/>
                    <w:rPr>
                      <w:szCs w:val="21"/>
                    </w:rPr>
                  </w:pPr>
                </w:p>
              </w:tc>
              <w:tc>
                <w:tcPr>
                  <w:tcW w:w="578" w:type="pct"/>
                  <w:vAlign w:val="center"/>
                </w:tcPr>
                <w:p>
                  <w:pPr>
                    <w:pStyle w:val="18"/>
                    <w:spacing w:after="0" w:line="240" w:lineRule="auto"/>
                    <w:ind w:firstLine="0" w:firstLineChars="0"/>
                    <w:jc w:val="left"/>
                    <w:rPr>
                      <w:szCs w:val="21"/>
                    </w:rPr>
                  </w:pPr>
                  <w:r>
                    <w:rPr>
                      <w:szCs w:val="21"/>
                    </w:rPr>
                    <w:t>溶解性</w:t>
                  </w:r>
                </w:p>
              </w:tc>
              <w:tc>
                <w:tcPr>
                  <w:tcW w:w="1355" w:type="pct"/>
                  <w:gridSpan w:val="2"/>
                  <w:vAlign w:val="center"/>
                </w:tcPr>
                <w:p>
                  <w:pPr>
                    <w:pStyle w:val="18"/>
                    <w:spacing w:after="0" w:line="240" w:lineRule="auto"/>
                    <w:ind w:firstLine="0" w:firstLineChars="0"/>
                    <w:jc w:val="center"/>
                    <w:rPr>
                      <w:szCs w:val="21"/>
                    </w:rPr>
                  </w:pPr>
                  <w:r>
                    <w:rPr>
                      <w:szCs w:val="21"/>
                    </w:rPr>
                    <w:t>不溶于水</w:t>
                  </w:r>
                </w:p>
              </w:tc>
              <w:tc>
                <w:tcPr>
                  <w:tcW w:w="1581" w:type="pct"/>
                  <w:gridSpan w:val="3"/>
                  <w:vAlign w:val="center"/>
                </w:tcPr>
                <w:p>
                  <w:pPr>
                    <w:pStyle w:val="18"/>
                    <w:spacing w:after="0" w:line="240" w:lineRule="auto"/>
                    <w:ind w:firstLine="0" w:firstLineChars="0"/>
                    <w:jc w:val="center"/>
                    <w:rPr>
                      <w:szCs w:val="21"/>
                    </w:rPr>
                  </w:pPr>
                  <w:r>
                    <w:rPr>
                      <w:szCs w:val="21"/>
                    </w:rPr>
                    <w:t>相对密度（水=1）</w:t>
                  </w:r>
                </w:p>
              </w:tc>
              <w:tc>
                <w:tcPr>
                  <w:tcW w:w="1154" w:type="pct"/>
                  <w:gridSpan w:val="3"/>
                  <w:vAlign w:val="center"/>
                </w:tcPr>
                <w:p>
                  <w:pPr>
                    <w:pStyle w:val="18"/>
                    <w:tabs>
                      <w:tab w:val="left" w:pos="0"/>
                    </w:tabs>
                    <w:spacing w:after="0" w:line="240" w:lineRule="auto"/>
                    <w:ind w:firstLine="0" w:firstLineChars="0"/>
                    <w:jc w:val="center"/>
                    <w:rPr>
                      <w:szCs w:val="21"/>
                    </w:rPr>
                  </w:pPr>
                  <w:r>
                    <w:rPr>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3" w:type="pct"/>
                  <w:vMerge w:val="continue"/>
                  <w:vAlign w:val="center"/>
                </w:tcPr>
                <w:p>
                  <w:pPr>
                    <w:pStyle w:val="18"/>
                    <w:spacing w:after="0" w:line="240" w:lineRule="auto"/>
                    <w:ind w:firstLine="0" w:firstLineChars="0"/>
                    <w:jc w:val="center"/>
                    <w:rPr>
                      <w:szCs w:val="21"/>
                    </w:rPr>
                  </w:pPr>
                </w:p>
              </w:tc>
              <w:tc>
                <w:tcPr>
                  <w:tcW w:w="4667" w:type="pct"/>
                  <w:gridSpan w:val="9"/>
                  <w:vAlign w:val="center"/>
                </w:tcPr>
                <w:p>
                  <w:pPr>
                    <w:pStyle w:val="18"/>
                    <w:spacing w:after="0" w:line="240" w:lineRule="auto"/>
                    <w:ind w:firstLine="0" w:firstLineChars="0"/>
                    <w:jc w:val="left"/>
                    <w:rPr>
                      <w:szCs w:val="21"/>
                    </w:rPr>
                  </w:pPr>
                  <w:r>
                    <w:rPr>
                      <w:szCs w:val="21"/>
                    </w:rPr>
                    <w:t>主要是含碳原子数比较少的烃类物质，多数是不饱和烃。其主要成分是链长不等的碳氢化合物，性能稳定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restart"/>
                  <w:vAlign w:val="center"/>
                </w:tcPr>
                <w:p>
                  <w:pPr>
                    <w:pStyle w:val="18"/>
                    <w:spacing w:after="0" w:line="240" w:lineRule="auto"/>
                    <w:ind w:firstLine="0" w:firstLineChars="0"/>
                    <w:jc w:val="center"/>
                    <w:rPr>
                      <w:szCs w:val="21"/>
                    </w:rPr>
                  </w:pPr>
                  <w:r>
                    <w:rPr>
                      <w:szCs w:val="21"/>
                    </w:rPr>
                    <w:t>燃烧爆炸危险性</w:t>
                  </w:r>
                </w:p>
              </w:tc>
              <w:tc>
                <w:tcPr>
                  <w:tcW w:w="1206" w:type="pct"/>
                  <w:gridSpan w:val="2"/>
                  <w:vAlign w:val="center"/>
                </w:tcPr>
                <w:p>
                  <w:pPr>
                    <w:pStyle w:val="18"/>
                    <w:spacing w:after="0" w:line="240" w:lineRule="auto"/>
                    <w:ind w:firstLine="0" w:firstLineChars="0"/>
                    <w:jc w:val="left"/>
                    <w:rPr>
                      <w:szCs w:val="21"/>
                    </w:rPr>
                  </w:pPr>
                  <w:r>
                    <w:rPr>
                      <w:szCs w:val="21"/>
                    </w:rPr>
                    <w:t>燃烧性</w:t>
                  </w:r>
                </w:p>
              </w:tc>
              <w:tc>
                <w:tcPr>
                  <w:tcW w:w="1200" w:type="pct"/>
                  <w:gridSpan w:val="3"/>
                  <w:vAlign w:val="center"/>
                </w:tcPr>
                <w:p>
                  <w:pPr>
                    <w:pStyle w:val="18"/>
                    <w:spacing w:after="0" w:line="240" w:lineRule="auto"/>
                    <w:ind w:firstLine="0" w:firstLineChars="0"/>
                    <w:jc w:val="center"/>
                    <w:rPr>
                      <w:szCs w:val="21"/>
                    </w:rPr>
                  </w:pPr>
                  <w:r>
                    <w:rPr>
                      <w:szCs w:val="21"/>
                    </w:rPr>
                    <w:t>可燃</w:t>
                  </w:r>
                </w:p>
              </w:tc>
              <w:tc>
                <w:tcPr>
                  <w:tcW w:w="1142" w:type="pct"/>
                  <w:gridSpan w:val="2"/>
                  <w:vAlign w:val="center"/>
                </w:tcPr>
                <w:p>
                  <w:pPr>
                    <w:pStyle w:val="18"/>
                    <w:spacing w:after="0" w:line="240" w:lineRule="auto"/>
                    <w:ind w:firstLine="0" w:firstLineChars="0"/>
                    <w:jc w:val="center"/>
                    <w:rPr>
                      <w:szCs w:val="21"/>
                    </w:rPr>
                  </w:pPr>
                  <w:r>
                    <w:rPr>
                      <w:szCs w:val="21"/>
                    </w:rPr>
                    <w:t>闲点（℃）</w:t>
                  </w:r>
                </w:p>
              </w:tc>
              <w:tc>
                <w:tcPr>
                  <w:tcW w:w="1120" w:type="pct"/>
                  <w:gridSpan w:val="2"/>
                  <w:vAlign w:val="center"/>
                </w:tcPr>
                <w:p>
                  <w:pPr>
                    <w:pStyle w:val="18"/>
                    <w:spacing w:after="0" w:line="240" w:lineRule="auto"/>
                    <w:ind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8"/>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8"/>
                    <w:spacing w:after="0" w:line="240" w:lineRule="auto"/>
                    <w:ind w:firstLine="0" w:firstLineChars="0"/>
                    <w:jc w:val="left"/>
                    <w:rPr>
                      <w:szCs w:val="21"/>
                    </w:rPr>
                  </w:pPr>
                  <w:r>
                    <w:rPr>
                      <w:szCs w:val="21"/>
                    </w:rPr>
                    <w:t>爆炸极限（%）</w:t>
                  </w:r>
                </w:p>
              </w:tc>
              <w:tc>
                <w:tcPr>
                  <w:tcW w:w="1200" w:type="pct"/>
                  <w:gridSpan w:val="3"/>
                  <w:vAlign w:val="center"/>
                </w:tcPr>
                <w:p>
                  <w:pPr>
                    <w:pStyle w:val="18"/>
                    <w:spacing w:after="0" w:line="240" w:lineRule="auto"/>
                    <w:ind w:firstLine="0" w:firstLineChars="0"/>
                    <w:jc w:val="center"/>
                    <w:rPr>
                      <w:szCs w:val="21"/>
                    </w:rPr>
                  </w:pPr>
                  <w:r>
                    <w:rPr>
                      <w:szCs w:val="21"/>
                    </w:rPr>
                    <w:t>无资料</w:t>
                  </w:r>
                </w:p>
              </w:tc>
              <w:tc>
                <w:tcPr>
                  <w:tcW w:w="1142" w:type="pct"/>
                  <w:gridSpan w:val="2"/>
                  <w:vAlign w:val="center"/>
                </w:tcPr>
                <w:p>
                  <w:pPr>
                    <w:pStyle w:val="18"/>
                    <w:spacing w:after="0" w:line="240" w:lineRule="auto"/>
                    <w:ind w:firstLine="0" w:firstLineChars="0"/>
                    <w:jc w:val="center"/>
                    <w:rPr>
                      <w:szCs w:val="21"/>
                    </w:rPr>
                  </w:pPr>
                  <w:r>
                    <w:rPr>
                      <w:szCs w:val="21"/>
                    </w:rPr>
                    <w:t>最小点火能（MJ）</w:t>
                  </w:r>
                </w:p>
              </w:tc>
              <w:tc>
                <w:tcPr>
                  <w:tcW w:w="1120" w:type="pct"/>
                  <w:gridSpan w:val="2"/>
                  <w:vAlign w:val="center"/>
                </w:tcPr>
                <w:p>
                  <w:pPr>
                    <w:pStyle w:val="18"/>
                    <w:spacing w:after="0" w:line="240" w:lineRule="auto"/>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8"/>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1206" w:type="pct"/>
                  <w:gridSpan w:val="2"/>
                  <w:vAlign w:val="center"/>
                </w:tcPr>
                <w:p>
                  <w:pPr>
                    <w:pStyle w:val="18"/>
                    <w:spacing w:after="0" w:line="240" w:lineRule="auto"/>
                    <w:ind w:firstLine="0" w:firstLineChars="0"/>
                    <w:jc w:val="left"/>
                    <w:rPr>
                      <w:szCs w:val="21"/>
                    </w:rPr>
                  </w:pPr>
                  <w:r>
                    <w:rPr>
                      <w:szCs w:val="21"/>
                    </w:rPr>
                    <w:t>危险特性</w:t>
                  </w:r>
                </w:p>
              </w:tc>
              <w:tc>
                <w:tcPr>
                  <w:tcW w:w="3462" w:type="pct"/>
                  <w:gridSpan w:val="7"/>
                  <w:vAlign w:val="center"/>
                </w:tcPr>
                <w:p>
                  <w:pPr>
                    <w:pStyle w:val="18"/>
                    <w:spacing w:after="0" w:line="240" w:lineRule="auto"/>
                    <w:ind w:firstLine="0" w:firstLineChars="0"/>
                    <w:jc w:val="center"/>
                    <w:rPr>
                      <w:szCs w:val="21"/>
                    </w:rPr>
                  </w:pPr>
                  <w:r>
                    <w:rPr>
                      <w:szCs w:val="21"/>
                    </w:rPr>
                    <w:t>遇明火、高热可燃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Merge w:val="continue"/>
                  <w:vAlign w:val="center"/>
                </w:tcPr>
                <w:p>
                  <w:pPr>
                    <w:pStyle w:val="18"/>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8"/>
                    <w:spacing w:after="0" w:line="240" w:lineRule="auto"/>
                    <w:ind w:firstLine="0" w:firstLineChars="0"/>
                    <w:jc w:val="center"/>
                    <w:rPr>
                      <w:szCs w:val="21"/>
                    </w:rPr>
                  </w:pPr>
                  <w:r>
                    <w:rPr>
                      <w:szCs w:val="21"/>
                    </w:rPr>
                    <w:t>灭火方法</w:t>
                  </w:r>
                </w:p>
              </w:tc>
              <w:tc>
                <w:tcPr>
                  <w:tcW w:w="4090" w:type="pct"/>
                  <w:gridSpan w:val="8"/>
                  <w:vAlign w:val="center"/>
                </w:tcPr>
                <w:p>
                  <w:pPr>
                    <w:pStyle w:val="18"/>
                    <w:spacing w:after="0" w:line="240" w:lineRule="auto"/>
                    <w:ind w:firstLine="0" w:firstLineChars="0"/>
                    <w:jc w:val="left"/>
                    <w:rPr>
                      <w:szCs w:val="21"/>
                    </w:rPr>
                  </w:pPr>
                  <w:r>
                    <w:rPr>
                      <w:szCs w:val="21"/>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18"/>
                    <w:spacing w:after="0" w:line="240" w:lineRule="auto"/>
                    <w:ind w:firstLine="0" w:firstLineChars="0"/>
                    <w:jc w:val="left"/>
                    <w:rPr>
                      <w:szCs w:val="21"/>
                    </w:rPr>
                  </w:pPr>
                  <w:r>
                    <w:rPr>
                      <w:szCs w:val="21"/>
                    </w:rPr>
                    <w:t>灭火剂</w:t>
                  </w:r>
                  <w:r>
                    <w:rPr>
                      <w:rFonts w:hint="eastAsia"/>
                      <w:szCs w:val="21"/>
                    </w:rPr>
                    <w:t>：</w:t>
                  </w:r>
                  <w:r>
                    <w:rPr>
                      <w:szCs w:val="21"/>
                    </w:rPr>
                    <w:t>雾状水、泡沫、干粉、二氧化碳、砂土。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 w:type="pct"/>
                  <w:vMerge w:val="continue"/>
                  <w:vAlign w:val="center"/>
                </w:tcPr>
                <w:p>
                  <w:pPr>
                    <w:pStyle w:val="18"/>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8"/>
                    <w:spacing w:after="0" w:line="240" w:lineRule="auto"/>
                    <w:ind w:firstLine="0" w:firstLineChars="0"/>
                    <w:jc w:val="center"/>
                    <w:rPr>
                      <w:szCs w:val="21"/>
                    </w:rPr>
                  </w:pPr>
                  <w:r>
                    <w:rPr>
                      <w:szCs w:val="21"/>
                    </w:rPr>
                    <w:t>燃烧产物</w:t>
                  </w:r>
                </w:p>
              </w:tc>
              <w:tc>
                <w:tcPr>
                  <w:tcW w:w="1828" w:type="pct"/>
                  <w:gridSpan w:val="4"/>
                  <w:vAlign w:val="center"/>
                </w:tcPr>
                <w:p>
                  <w:pPr>
                    <w:pStyle w:val="18"/>
                    <w:spacing w:after="0" w:line="240" w:lineRule="auto"/>
                    <w:ind w:firstLine="0" w:firstLineChars="0"/>
                    <w:rPr>
                      <w:szCs w:val="21"/>
                    </w:rPr>
                  </w:pPr>
                  <w:r>
                    <w:rPr>
                      <w:szCs w:val="21"/>
                    </w:rPr>
                    <w:t>一氧化碳、二氧化碳</w:t>
                  </w:r>
                </w:p>
              </w:tc>
              <w:tc>
                <w:tcPr>
                  <w:tcW w:w="1108" w:type="pct"/>
                  <w:vAlign w:val="center"/>
                </w:tcPr>
                <w:p>
                  <w:pPr>
                    <w:pStyle w:val="18"/>
                    <w:spacing w:after="0" w:line="240" w:lineRule="auto"/>
                    <w:ind w:firstLine="0" w:firstLineChars="0"/>
                    <w:rPr>
                      <w:szCs w:val="21"/>
                    </w:rPr>
                  </w:pPr>
                  <w:r>
                    <w:rPr>
                      <w:szCs w:val="21"/>
                    </w:rPr>
                    <w:t>聚合危害</w:t>
                  </w:r>
                </w:p>
              </w:tc>
              <w:tc>
                <w:tcPr>
                  <w:tcW w:w="1154" w:type="pct"/>
                  <w:gridSpan w:val="3"/>
                  <w:vAlign w:val="center"/>
                </w:tcPr>
                <w:p>
                  <w:pPr>
                    <w:pStyle w:val="18"/>
                    <w:spacing w:after="0" w:line="240" w:lineRule="auto"/>
                    <w:ind w:firstLine="0" w:firstLineChars="0"/>
                    <w:rPr>
                      <w:szCs w:val="21"/>
                    </w:rPr>
                  </w:pPr>
                  <w:r>
                    <w:rPr>
                      <w:szCs w:val="21"/>
                    </w:rPr>
                    <w:t>不聚合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3" w:type="pct"/>
                  <w:vMerge w:val="restart"/>
                  <w:vAlign w:val="center"/>
                </w:tcPr>
                <w:p>
                  <w:pPr>
                    <w:pStyle w:val="18"/>
                    <w:spacing w:after="0" w:line="240" w:lineRule="auto"/>
                    <w:ind w:firstLine="0" w:firstLineChars="0"/>
                    <w:jc w:val="center"/>
                    <w:rPr>
                      <w:szCs w:val="21"/>
                    </w:rPr>
                  </w:pPr>
                  <w:r>
                    <w:rPr>
                      <w:szCs w:val="21"/>
                    </w:rPr>
                    <w:t>健康危害</w:t>
                  </w:r>
                </w:p>
              </w:tc>
              <w:tc>
                <w:tcPr>
                  <w:tcW w:w="578" w:type="pct"/>
                  <w:vAlign w:val="center"/>
                </w:tcPr>
                <w:p>
                  <w:pPr>
                    <w:pStyle w:val="18"/>
                    <w:spacing w:after="0" w:line="240" w:lineRule="auto"/>
                    <w:ind w:firstLine="0" w:firstLineChars="0"/>
                    <w:jc w:val="center"/>
                    <w:rPr>
                      <w:szCs w:val="21"/>
                    </w:rPr>
                  </w:pPr>
                  <w:r>
                    <w:rPr>
                      <w:szCs w:val="21"/>
                    </w:rPr>
                    <w:t>危险特性</w:t>
                  </w:r>
                </w:p>
              </w:tc>
              <w:tc>
                <w:tcPr>
                  <w:tcW w:w="4090" w:type="pct"/>
                  <w:gridSpan w:val="8"/>
                  <w:vAlign w:val="center"/>
                </w:tcPr>
                <w:p>
                  <w:pPr>
                    <w:pStyle w:val="18"/>
                    <w:spacing w:after="0" w:line="240" w:lineRule="auto"/>
                    <w:ind w:firstLine="0" w:firstLineChars="0"/>
                    <w:rPr>
                      <w:szCs w:val="21"/>
                    </w:rPr>
                  </w:pPr>
                  <w:r>
                    <w:rPr>
                      <w:rFonts w:hint="eastAsia" w:ascii="宋体" w:hAnsi="宋体" w:cs="宋体"/>
                      <w:szCs w:val="21"/>
                    </w:rPr>
                    <w:t>①</w:t>
                  </w:r>
                  <w:r>
                    <w:rPr>
                      <w:szCs w:val="21"/>
                    </w:rPr>
                    <w:t>可通过呼吸道和皮肤进入肌体，导致中毒及其他并发症</w:t>
                  </w:r>
                  <w:r>
                    <w:rPr>
                      <w:rFonts w:hint="eastAsia" w:ascii="宋体" w:hAnsi="宋体" w:cs="宋体"/>
                      <w:szCs w:val="21"/>
                    </w:rPr>
                    <w:t>②</w:t>
                  </w:r>
                  <w:r>
                    <w:rPr>
                      <w:szCs w:val="21"/>
                    </w:rPr>
                    <w:t>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33" w:type="pct"/>
                  <w:vMerge w:val="continue"/>
                  <w:vAlign w:val="center"/>
                </w:tcPr>
                <w:p>
                  <w:pPr>
                    <w:pStyle w:val="18"/>
                    <w:numPr>
                      <w:ilvl w:val="0"/>
                      <w:numId w:val="4"/>
                    </w:numPr>
                    <w:kinsoku w:val="0"/>
                    <w:autoSpaceDE w:val="0"/>
                    <w:autoSpaceDN w:val="0"/>
                    <w:adjustRightInd w:val="0"/>
                    <w:snapToGrid w:val="0"/>
                    <w:spacing w:after="0" w:line="240" w:lineRule="auto"/>
                    <w:ind w:firstLine="420"/>
                    <w:jc w:val="left"/>
                    <w:textAlignment w:val="baseline"/>
                    <w:rPr>
                      <w:szCs w:val="21"/>
                    </w:rPr>
                  </w:pPr>
                </w:p>
              </w:tc>
              <w:tc>
                <w:tcPr>
                  <w:tcW w:w="578" w:type="pct"/>
                  <w:vAlign w:val="center"/>
                </w:tcPr>
                <w:p>
                  <w:pPr>
                    <w:pStyle w:val="18"/>
                    <w:spacing w:after="0" w:line="240" w:lineRule="auto"/>
                    <w:ind w:firstLine="0" w:firstLineChars="0"/>
                    <w:jc w:val="center"/>
                    <w:rPr>
                      <w:szCs w:val="21"/>
                    </w:rPr>
                  </w:pPr>
                  <w:r>
                    <w:rPr>
                      <w:szCs w:val="21"/>
                    </w:rPr>
                    <w:t>健康危害</w:t>
                  </w:r>
                </w:p>
              </w:tc>
              <w:tc>
                <w:tcPr>
                  <w:tcW w:w="4090" w:type="pct"/>
                  <w:gridSpan w:val="8"/>
                  <w:vAlign w:val="center"/>
                </w:tcPr>
                <w:p>
                  <w:pPr>
                    <w:pStyle w:val="18"/>
                    <w:spacing w:after="0" w:line="240" w:lineRule="auto"/>
                    <w:ind w:firstLine="0" w:firstLineChars="0"/>
                    <w:rPr>
                      <w:szCs w:val="21"/>
                    </w:rPr>
                  </w:pPr>
                  <w:r>
                    <w:rPr>
                      <w:rFonts w:hint="eastAsia" w:ascii="宋体" w:hAnsi="宋体" w:cs="宋体"/>
                      <w:szCs w:val="21"/>
                    </w:rPr>
                    <w:t>①</w:t>
                  </w:r>
                  <w:r>
                    <w:rPr>
                      <w:szCs w:val="21"/>
                    </w:rPr>
                    <w:t>高浓度吸入废矿物油蒸气引起急性中毒，表现为中毒性脑病，出现精神症状、意识障碍。极高浓度吸入引起意识突然丧失、反射性呼吸停止。误将废矿物油吸入呼吸道可引起吸入性肺炎。</w:t>
                  </w:r>
                  <w:r>
                    <w:rPr>
                      <w:rFonts w:hint="eastAsia" w:ascii="宋体" w:hAnsi="宋体" w:cs="宋体"/>
                      <w:szCs w:val="21"/>
                    </w:rPr>
                    <w:t>②</w:t>
                  </w:r>
                  <w:r>
                    <w:rPr>
                      <w:szCs w:val="21"/>
                    </w:rPr>
                    <w:t>皮肤较长时间接触引起灼伤，个别发生急性皮炎。</w:t>
                  </w:r>
                  <w:r>
                    <w:rPr>
                      <w:rFonts w:hint="eastAsia" w:ascii="宋体" w:hAnsi="宋体" w:cs="宋体"/>
                      <w:szCs w:val="21"/>
                    </w:rPr>
                    <w:t>③</w:t>
                  </w:r>
                  <w:r>
                    <w:rPr>
                      <w:szCs w:val="21"/>
                    </w:rPr>
                    <w:t>慢性中毒可引起周围神经病、中毒性脑病、肾脏损害。可致皮肤损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8"/>
                    <w:spacing w:after="0" w:line="240" w:lineRule="auto"/>
                    <w:ind w:firstLine="0" w:firstLineChars="0"/>
                    <w:jc w:val="center"/>
                    <w:rPr>
                      <w:szCs w:val="21"/>
                    </w:rPr>
                  </w:pPr>
                  <w:r>
                    <w:rPr>
                      <w:szCs w:val="21"/>
                    </w:rPr>
                    <w:t>对周围环境影响</w:t>
                  </w:r>
                </w:p>
              </w:tc>
              <w:tc>
                <w:tcPr>
                  <w:tcW w:w="4667" w:type="pct"/>
                  <w:gridSpan w:val="9"/>
                  <w:vAlign w:val="center"/>
                </w:tcPr>
                <w:p>
                  <w:pPr>
                    <w:pStyle w:val="18"/>
                    <w:spacing w:after="0" w:line="240" w:lineRule="auto"/>
                    <w:ind w:firstLine="0" w:firstLineChars="0"/>
                    <w:rPr>
                      <w:szCs w:val="21"/>
                    </w:rPr>
                  </w:pPr>
                  <w:r>
                    <w:rPr>
                      <w:szCs w:val="21"/>
                    </w:rPr>
                    <w:t>在很低的浓度下就能对水生生物造成危害；在土壤中具有极强的迁移性；具确一定的生物富集性；在低浓度时能生物降解；在高浓度时，可使微生物中毒，不易生物降解。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33" w:type="pct"/>
                  <w:vAlign w:val="center"/>
                </w:tcPr>
                <w:p>
                  <w:pPr>
                    <w:pStyle w:val="18"/>
                    <w:spacing w:after="0" w:line="240" w:lineRule="auto"/>
                    <w:ind w:firstLine="0" w:firstLineChars="0"/>
                    <w:jc w:val="center"/>
                    <w:rPr>
                      <w:szCs w:val="21"/>
                    </w:rPr>
                  </w:pPr>
                  <w:r>
                    <w:rPr>
                      <w:szCs w:val="21"/>
                    </w:rPr>
                    <w:t>急救</w:t>
                  </w:r>
                </w:p>
              </w:tc>
              <w:tc>
                <w:tcPr>
                  <w:tcW w:w="4667" w:type="pct"/>
                  <w:gridSpan w:val="9"/>
                  <w:vAlign w:val="center"/>
                </w:tcPr>
                <w:p>
                  <w:pPr>
                    <w:pStyle w:val="18"/>
                    <w:spacing w:after="0" w:line="240" w:lineRule="auto"/>
                    <w:ind w:firstLine="0" w:firstLineChars="0"/>
                    <w:rPr>
                      <w:szCs w:val="21"/>
                    </w:rPr>
                  </w:pPr>
                  <w:r>
                    <w:rPr>
                      <w:szCs w:val="21"/>
                    </w:rPr>
                    <w:t>皮肤接触：立即脱去被污染的衣着，用大量清水冲洗；眼睛接触</w:t>
                  </w:r>
                  <w:r>
                    <w:rPr>
                      <w:rFonts w:hint="eastAsia"/>
                      <w:szCs w:val="21"/>
                    </w:rPr>
                    <w:t>：</w:t>
                  </w:r>
                  <w:r>
                    <w:rPr>
                      <w:szCs w:val="21"/>
                    </w:rPr>
                    <w:t>立即提起眼睑，用大量流动清水或生理盐水冲洗，就医：吸入；迅速脱离现场至空气新鲜处，保持呼吸道通畅，如呼吸困难，给输氧</w:t>
                  </w:r>
                  <w:r>
                    <w:rPr>
                      <w:rFonts w:hint="eastAsia"/>
                      <w:szCs w:val="21"/>
                    </w:rPr>
                    <w:t>；</w:t>
                  </w:r>
                  <w:r>
                    <w:rPr>
                      <w:szCs w:val="21"/>
                    </w:rPr>
                    <w:t>如呼吸停止，立即进行人工呼吸，就医；食入</w:t>
                  </w:r>
                  <w:r>
                    <w:rPr>
                      <w:rFonts w:hint="eastAsia"/>
                      <w:szCs w:val="21"/>
                    </w:rPr>
                    <w:t>：</w:t>
                  </w:r>
                  <w:r>
                    <w:rPr>
                      <w:szCs w:val="21"/>
                    </w:rPr>
                    <w:t>饮足量温水，催吐，就医。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8"/>
                    <w:spacing w:after="0" w:line="240" w:lineRule="auto"/>
                    <w:ind w:firstLine="0" w:firstLineChars="0"/>
                    <w:jc w:val="center"/>
                    <w:rPr>
                      <w:szCs w:val="21"/>
                    </w:rPr>
                  </w:pPr>
                  <w:r>
                    <w:rPr>
                      <w:szCs w:val="21"/>
                    </w:rPr>
                    <w:t>防护</w:t>
                  </w:r>
                </w:p>
              </w:tc>
              <w:tc>
                <w:tcPr>
                  <w:tcW w:w="4667" w:type="pct"/>
                  <w:gridSpan w:val="9"/>
                  <w:vAlign w:val="center"/>
                </w:tcPr>
                <w:p>
                  <w:pPr>
                    <w:pStyle w:val="18"/>
                    <w:spacing w:after="0" w:line="240" w:lineRule="auto"/>
                    <w:ind w:firstLine="0" w:firstLineChars="0"/>
                    <w:rPr>
                      <w:szCs w:val="21"/>
                    </w:rPr>
                  </w:pPr>
                  <w:r>
                    <w:rPr>
                      <w:szCs w:val="21"/>
                    </w:rPr>
                    <w:t>工程控制：密闭操作，注意通风；呼吸系统防护：空气中浓度超标时，建议佩戴自吸过滤式防毒面具(半面罩)。紧急事态抢救或撤离时，应该佩戴空气呼吸器。眼睛防护:戴化学安全防护眼镜。身体防护</w:t>
                  </w:r>
                  <w:r>
                    <w:rPr>
                      <w:rFonts w:hint="eastAsia"/>
                      <w:szCs w:val="21"/>
                    </w:rPr>
                    <w:t>：</w:t>
                  </w:r>
                  <w:r>
                    <w:rPr>
                      <w:szCs w:val="21"/>
                    </w:rPr>
                    <w:t>穿防毒物渗透工作服；手防护：戴橡胶耐油手套；其他：工作现场严禁吸烟。避免长期反复接触。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333" w:type="pct"/>
                  <w:vAlign w:val="center"/>
                </w:tcPr>
                <w:p>
                  <w:pPr>
                    <w:pStyle w:val="18"/>
                    <w:spacing w:after="0" w:line="240" w:lineRule="auto"/>
                    <w:ind w:firstLine="0" w:firstLineChars="0"/>
                    <w:jc w:val="center"/>
                    <w:rPr>
                      <w:szCs w:val="21"/>
                    </w:rPr>
                  </w:pPr>
                  <w:r>
                    <w:rPr>
                      <w:szCs w:val="21"/>
                    </w:rPr>
                    <w:t>泄漏处理</w:t>
                  </w:r>
                </w:p>
              </w:tc>
              <w:tc>
                <w:tcPr>
                  <w:tcW w:w="4667" w:type="pct"/>
                  <w:gridSpan w:val="9"/>
                  <w:vAlign w:val="center"/>
                </w:tcPr>
                <w:p>
                  <w:pPr>
                    <w:pStyle w:val="18"/>
                    <w:spacing w:after="0" w:line="240" w:lineRule="auto"/>
                    <w:ind w:firstLine="0" w:firstLineChars="0"/>
                    <w:rPr>
                      <w:szCs w:val="21"/>
                    </w:rPr>
                  </w:pPr>
                  <w:r>
                    <w:rPr>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333" w:type="pct"/>
                  <w:vAlign w:val="center"/>
                </w:tcPr>
                <w:p>
                  <w:pPr>
                    <w:pStyle w:val="18"/>
                    <w:spacing w:after="0" w:line="240" w:lineRule="auto"/>
                    <w:ind w:firstLine="0" w:firstLineChars="0"/>
                    <w:jc w:val="center"/>
                    <w:rPr>
                      <w:szCs w:val="21"/>
                    </w:rPr>
                  </w:pPr>
                  <w:r>
                    <w:rPr>
                      <w:szCs w:val="21"/>
                    </w:rPr>
                    <w:t>储运</w:t>
                  </w:r>
                </w:p>
              </w:tc>
              <w:tc>
                <w:tcPr>
                  <w:tcW w:w="4667" w:type="pct"/>
                  <w:gridSpan w:val="9"/>
                  <w:vAlign w:val="center"/>
                </w:tcPr>
                <w:p>
                  <w:pPr>
                    <w:pStyle w:val="18"/>
                    <w:spacing w:after="0" w:line="240" w:lineRule="auto"/>
                    <w:ind w:firstLine="0" w:firstLineChars="0"/>
                    <w:rPr>
                      <w:szCs w:val="21"/>
                    </w:rPr>
                  </w:pPr>
                  <w:r>
                    <w:rPr>
                      <w:szCs w:val="21"/>
                    </w:rPr>
                    <w:t>储存于阴凉、通风的库房。远离火种、热源。应与氧化剂分开存放，切忌混储。配备相应品种和数量的消防器材。储区应备有泄漏应急处理设备和合适的收容材料。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r>
              <w:rPr>
                <w:rFonts w:hint="eastAsia"/>
              </w:rPr>
              <w:t>（2）</w:t>
            </w:r>
            <w:r>
              <w:t>生产</w:t>
            </w:r>
            <w:r>
              <w:rPr>
                <w:rFonts w:hint="eastAsia"/>
              </w:rPr>
              <w:t>系统危险性识别</w:t>
            </w:r>
            <w:bookmarkEnd w:id="44"/>
          </w:p>
          <w:p>
            <w:r>
              <w:rPr>
                <w:rFonts w:hint="eastAsia"/>
              </w:rPr>
              <w:t>项目生产系统危险因素见表5-</w:t>
            </w:r>
            <w:r>
              <w:t>4</w:t>
            </w:r>
            <w:r>
              <w:rPr>
                <w:rFonts w:hint="eastAsia"/>
              </w:rPr>
              <w:t>。</w:t>
            </w:r>
          </w:p>
          <w:p>
            <w:pPr>
              <w:pStyle w:val="28"/>
              <w:spacing w:before="156"/>
            </w:pPr>
            <w:r>
              <w:t>表</w:t>
            </w:r>
            <w:r>
              <w:rPr>
                <w:rFonts w:hint="eastAsia"/>
              </w:rPr>
              <w:t>5-</w:t>
            </w:r>
            <w:r>
              <w:t>4  项目生产过程危害因素分析汇总一览表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1165"/>
              <w:gridCol w:w="1164"/>
              <w:gridCol w:w="1606"/>
              <w:gridCol w:w="3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89" w:type="pct"/>
                  <w:vAlign w:val="center"/>
                </w:tcPr>
                <w:p>
                  <w:pPr>
                    <w:pStyle w:val="29"/>
                  </w:pPr>
                  <w:r>
                    <w:t>序号</w:t>
                  </w:r>
                </w:p>
              </w:tc>
              <w:tc>
                <w:tcPr>
                  <w:tcW w:w="751" w:type="pct"/>
                  <w:vAlign w:val="center"/>
                </w:tcPr>
                <w:p>
                  <w:pPr>
                    <w:pStyle w:val="29"/>
                  </w:pPr>
                  <w:r>
                    <w:t>作业特点</w:t>
                  </w:r>
                </w:p>
              </w:tc>
              <w:tc>
                <w:tcPr>
                  <w:tcW w:w="750" w:type="pct"/>
                  <w:vAlign w:val="center"/>
                </w:tcPr>
                <w:p>
                  <w:pPr>
                    <w:pStyle w:val="29"/>
                  </w:pPr>
                  <w:r>
                    <w:t>物料名称</w:t>
                  </w:r>
                </w:p>
              </w:tc>
              <w:tc>
                <w:tcPr>
                  <w:tcW w:w="1035" w:type="pct"/>
                  <w:vAlign w:val="center"/>
                </w:tcPr>
                <w:p>
                  <w:pPr>
                    <w:pStyle w:val="29"/>
                  </w:pPr>
                  <w:r>
                    <w:t>危险因素</w:t>
                  </w:r>
                </w:p>
              </w:tc>
              <w:tc>
                <w:tcPr>
                  <w:tcW w:w="1975" w:type="pct"/>
                  <w:vAlign w:val="center"/>
                </w:tcPr>
                <w:p>
                  <w:pPr>
                    <w:pStyle w:val="29"/>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Align w:val="center"/>
                </w:tcPr>
                <w:p>
                  <w:pPr>
                    <w:pStyle w:val="29"/>
                  </w:pPr>
                  <w:r>
                    <w:t>1</w:t>
                  </w:r>
                </w:p>
              </w:tc>
              <w:tc>
                <w:tcPr>
                  <w:tcW w:w="751" w:type="pct"/>
                  <w:vAlign w:val="center"/>
                </w:tcPr>
                <w:p>
                  <w:pPr>
                    <w:pStyle w:val="29"/>
                  </w:pPr>
                  <w:r>
                    <w:t>泄漏</w:t>
                  </w:r>
                </w:p>
              </w:tc>
              <w:tc>
                <w:tcPr>
                  <w:tcW w:w="750" w:type="pct"/>
                  <w:vAlign w:val="center"/>
                </w:tcPr>
                <w:p>
                  <w:pPr>
                    <w:pStyle w:val="29"/>
                  </w:pPr>
                  <w:r>
                    <w:rPr>
                      <w:rFonts w:hint="eastAsia"/>
                    </w:rPr>
                    <w:t>废机油</w:t>
                  </w:r>
                </w:p>
              </w:tc>
              <w:tc>
                <w:tcPr>
                  <w:tcW w:w="1035" w:type="pct"/>
                  <w:vAlign w:val="center"/>
                </w:tcPr>
                <w:p>
                  <w:pPr>
                    <w:pStyle w:val="29"/>
                  </w:pPr>
                  <w:r>
                    <w:t>火灾、爆炸、泄漏</w:t>
                  </w:r>
                </w:p>
              </w:tc>
              <w:tc>
                <w:tcPr>
                  <w:tcW w:w="1975" w:type="pct"/>
                  <w:vAlign w:val="center"/>
                </w:tcPr>
                <w:p>
                  <w:pPr>
                    <w:pStyle w:val="29"/>
                  </w:pPr>
                  <w:r>
                    <w:t>泄漏、火灾、污染土壤</w:t>
                  </w:r>
                  <w:r>
                    <w:rPr>
                      <w:rFonts w:hint="eastAsia"/>
                    </w:rPr>
                    <w:t>、地下水</w:t>
                  </w:r>
                  <w:r>
                    <w:t>或大气</w:t>
                  </w:r>
                </w:p>
              </w:tc>
            </w:tr>
          </w:tbl>
          <w:p>
            <w:bookmarkStart w:id="45" w:name="_Toc22748"/>
            <w:bookmarkStart w:id="46" w:name="_Toc2247564"/>
            <w:r>
              <w:rPr>
                <w:rFonts w:hint="eastAsia"/>
              </w:rPr>
              <w:t>（3）环境风险类型及危害分析</w:t>
            </w:r>
            <w:bookmarkEnd w:id="45"/>
            <w:bookmarkEnd w:id="46"/>
          </w:p>
          <w:p>
            <w:r>
              <w:rPr>
                <w:rFonts w:hint="eastAsia"/>
              </w:rPr>
              <w:t>根据对项目的物质和生产系统危险性的识别，项目可能发生的突发环境风险事件类型及危害分析见表5-</w:t>
            </w:r>
            <w:r>
              <w:t>5</w:t>
            </w:r>
            <w:r>
              <w:rPr>
                <w:rFonts w:hint="eastAsia"/>
              </w:rPr>
              <w:t>：</w:t>
            </w:r>
          </w:p>
          <w:p>
            <w:pPr>
              <w:pStyle w:val="28"/>
              <w:spacing w:before="156"/>
            </w:pPr>
            <w:r>
              <w:t>表</w:t>
            </w:r>
            <w:r>
              <w:rPr>
                <w:rFonts w:hint="eastAsia"/>
              </w:rPr>
              <w:t>5-</w:t>
            </w:r>
            <w:r>
              <w:t>5  项目</w:t>
            </w:r>
            <w:r>
              <w:rPr>
                <w:rFonts w:hint="eastAsia"/>
              </w:rPr>
              <w:t>环境风险类型及危害分析</w:t>
            </w:r>
            <w:r>
              <w:t>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2"/>
              <w:gridCol w:w="1122"/>
              <w:gridCol w:w="1122"/>
              <w:gridCol w:w="1122"/>
              <w:gridCol w:w="3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9"/>
                  </w:pPr>
                  <w:r>
                    <w:t>风险单元</w:t>
                  </w:r>
                </w:p>
              </w:tc>
              <w:tc>
                <w:tcPr>
                  <w:tcW w:w="723" w:type="pct"/>
                  <w:vAlign w:val="center"/>
                </w:tcPr>
                <w:p>
                  <w:pPr>
                    <w:pStyle w:val="29"/>
                  </w:pPr>
                  <w:r>
                    <w:t>危险设备</w:t>
                  </w:r>
                </w:p>
              </w:tc>
              <w:tc>
                <w:tcPr>
                  <w:tcW w:w="723" w:type="pct"/>
                  <w:vAlign w:val="center"/>
                </w:tcPr>
                <w:p>
                  <w:pPr>
                    <w:pStyle w:val="29"/>
                  </w:pPr>
                  <w:r>
                    <w:t>事故种类</w:t>
                  </w:r>
                </w:p>
              </w:tc>
              <w:tc>
                <w:tcPr>
                  <w:tcW w:w="723" w:type="pct"/>
                  <w:vAlign w:val="center"/>
                </w:tcPr>
                <w:p>
                  <w:pPr>
                    <w:pStyle w:val="29"/>
                  </w:pPr>
                  <w:r>
                    <w:t>产生原因</w:t>
                  </w:r>
                </w:p>
              </w:tc>
              <w:tc>
                <w:tcPr>
                  <w:tcW w:w="2107" w:type="pct"/>
                  <w:vAlign w:val="center"/>
                </w:tcPr>
                <w:p>
                  <w:pPr>
                    <w:pStyle w:val="29"/>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Align w:val="center"/>
                </w:tcPr>
                <w:p>
                  <w:pPr>
                    <w:pStyle w:val="29"/>
                  </w:pPr>
                  <w:r>
                    <w:rPr>
                      <w:rFonts w:hint="eastAsia"/>
                    </w:rPr>
                    <w:t>危险废物暂存间</w:t>
                  </w:r>
                </w:p>
              </w:tc>
              <w:tc>
                <w:tcPr>
                  <w:tcW w:w="723" w:type="pct"/>
                  <w:vAlign w:val="center"/>
                </w:tcPr>
                <w:p>
                  <w:pPr>
                    <w:pStyle w:val="29"/>
                  </w:pPr>
                  <w:r>
                    <w:rPr>
                      <w:rFonts w:hint="eastAsia"/>
                    </w:rPr>
                    <w:t>废机油</w:t>
                  </w:r>
                </w:p>
              </w:tc>
              <w:tc>
                <w:tcPr>
                  <w:tcW w:w="723" w:type="pct"/>
                  <w:vAlign w:val="center"/>
                </w:tcPr>
                <w:p>
                  <w:pPr>
                    <w:pStyle w:val="29"/>
                  </w:pPr>
                  <w:r>
                    <w:rPr>
                      <w:rFonts w:hint="eastAsia"/>
                    </w:rPr>
                    <w:t>泄露</w:t>
                  </w:r>
                </w:p>
              </w:tc>
              <w:tc>
                <w:tcPr>
                  <w:tcW w:w="723" w:type="pct"/>
                  <w:vAlign w:val="center"/>
                </w:tcPr>
                <w:p>
                  <w:pPr>
                    <w:pStyle w:val="29"/>
                  </w:pPr>
                  <w:r>
                    <w:rPr>
                      <w:rFonts w:hint="eastAsia"/>
                    </w:rPr>
                    <w:t>容器破损</w:t>
                  </w:r>
                </w:p>
              </w:tc>
              <w:tc>
                <w:tcPr>
                  <w:tcW w:w="2107" w:type="pct"/>
                  <w:vAlign w:val="center"/>
                </w:tcPr>
                <w:p>
                  <w:pPr>
                    <w:pStyle w:val="29"/>
                  </w:pPr>
                  <w:r>
                    <w:rPr>
                      <w:rFonts w:hint="eastAsia"/>
                    </w:rPr>
                    <w:t>泄漏的废油渗入地下，对土壤、地下水环境产生影响</w:t>
                  </w:r>
                </w:p>
              </w:tc>
            </w:tr>
          </w:tbl>
          <w:p>
            <w:pPr>
              <w:pStyle w:val="15"/>
              <w:ind w:firstLine="482" w:firstLineChars="200"/>
            </w:pPr>
            <w:bookmarkStart w:id="47" w:name="_Toc9935"/>
            <w:bookmarkStart w:id="48" w:name="_Toc2247565"/>
            <w:r>
              <w:t>7</w:t>
            </w:r>
            <w:r>
              <w:rPr>
                <w:rFonts w:hint="eastAsia"/>
              </w:rPr>
              <w:t>.4环境风险分析</w:t>
            </w:r>
            <w:bookmarkEnd w:id="47"/>
            <w:bookmarkEnd w:id="48"/>
          </w:p>
          <w:p>
            <w:r>
              <w:rPr>
                <w:rFonts w:hint="eastAsia"/>
              </w:rPr>
              <w:t>（1）泄漏事故对外环境的影响分析</w:t>
            </w:r>
          </w:p>
          <w:p>
            <w:r>
              <w:rPr>
                <w:rFonts w:hint="eastAsia"/>
              </w:rPr>
              <w:t>A、环境空气</w:t>
            </w:r>
          </w:p>
          <w:p>
            <w:r>
              <w:rPr>
                <w:rFonts w:hint="eastAsia"/>
              </w:rPr>
              <w:t>项目危险废物暂存间废机油泄漏后，会挥发油气，污染空气；遇到明火可能引起火灾，燃烧产物主要为CO</w:t>
            </w:r>
            <w:r>
              <w:rPr>
                <w:rFonts w:hint="eastAsia"/>
                <w:vertAlign w:val="subscript"/>
              </w:rPr>
              <w:t>2</w:t>
            </w:r>
            <w:r>
              <w:rPr>
                <w:rFonts w:hint="eastAsia"/>
              </w:rPr>
              <w:t>和</w:t>
            </w:r>
            <w:r>
              <w:rPr>
                <w:rFonts w:ascii="Helvetica" w:hAnsi="Helvetica"/>
                <w:color w:val="111111"/>
                <w:shd w:val="clear" w:color="auto" w:fill="FFFFFF"/>
              </w:rPr>
              <w:t>水蒸气</w:t>
            </w:r>
            <w:r>
              <w:rPr>
                <w:rFonts w:hint="eastAsia"/>
              </w:rPr>
              <w:t>，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r>
              <w:rPr>
                <w:rFonts w:hint="eastAsia"/>
              </w:rPr>
              <w:t>危险废物及时收集，危险废物暂存间做好防渗措施，由专人负责管理日常检查管理，危险物质发生泄露的可能性较小。</w:t>
            </w:r>
          </w:p>
          <w:p>
            <w:r>
              <w:rPr>
                <w:rFonts w:hint="eastAsia"/>
              </w:rPr>
              <w:t>B、地表水</w:t>
            </w:r>
          </w:p>
          <w:p>
            <w:r>
              <w:rPr>
                <w:rFonts w:hint="eastAsia"/>
              </w:rPr>
              <w:t>泄漏的废机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的烃类、芳烃类、醇酮类以及卤代烃类有机物，一旦进入水环境，由于可生化性较差，造成被污染水体长时间得不到净化，完全恢复则需十几年，甚至几十年的时间。</w:t>
            </w:r>
          </w:p>
          <w:p>
            <w:r>
              <w:rPr>
                <w:rFonts w:ascii="宋体" w:hAnsi="宋体" w:cs="宋体"/>
              </w:rPr>
              <w:t>设备发电所需柴油，现买现用，不存储柴油</w:t>
            </w:r>
            <w:r>
              <w:rPr>
                <w:rFonts w:hint="eastAsia"/>
              </w:rPr>
              <w:t>，区域内无地表水系，油品泄露不会对河流水质产生影响。因此，项目柴油油箱的运输不会对地表水环境产生影响。</w:t>
            </w:r>
          </w:p>
          <w:p>
            <w:r>
              <w:rPr>
                <w:rFonts w:hint="eastAsia"/>
              </w:rPr>
              <w:t>C、地下水和土壤</w:t>
            </w:r>
          </w:p>
          <w:p>
            <w:r>
              <w:rPr>
                <w:rFonts w:hint="eastAsia"/>
              </w:rPr>
              <w:t>废机油流入土壤孔隙，可降低土壤的通透性，抑制土壤中酶活性，使土壤生物减少。油品洒落地区形成土壤的局部污染，一般而言，油品集中于土壤表层0~20cm范围内，这便使得根系分布于此深度的植物不能生长。因此需要加强生产管理和监督，采取有效的防范措施，防止和减轻废机油泄漏造成的污染。</w:t>
            </w:r>
          </w:p>
          <w:p>
            <w:r>
              <w:rPr>
                <w:rFonts w:hint="eastAsia"/>
              </w:rPr>
              <w:t>综上所述，</w:t>
            </w:r>
            <w:r>
              <w:rPr>
                <w:rFonts w:ascii="宋体" w:hAnsi="宋体" w:cs="宋体"/>
              </w:rPr>
              <w:t>设备发电所需柴油，现买现用，不存储柴油</w:t>
            </w:r>
            <w:r>
              <w:rPr>
                <w:rFonts w:hint="eastAsia"/>
              </w:rPr>
              <w:t>，废机油产生量较少，因此对大气、地表水、地下水环境影响较小。</w:t>
            </w:r>
          </w:p>
          <w:p>
            <w:r>
              <w:rPr>
                <w:rFonts w:hint="eastAsia"/>
              </w:rPr>
              <w:t>（2）火灾爆炸对环境危害性分析</w:t>
            </w:r>
          </w:p>
          <w:p>
            <w:r>
              <w:rPr>
                <w:rFonts w:hint="eastAsia"/>
              </w:rPr>
              <w:t>危废暂存间若要发生火灾及爆炸，必须具备下列条件：</w:t>
            </w:r>
          </w:p>
          <w:p>
            <w:r>
              <w:rPr>
                <w:rFonts w:hint="eastAsia"/>
              </w:rPr>
              <w:t>a、油类泄漏或油气蒸发；</w:t>
            </w:r>
          </w:p>
          <w:p>
            <w:r>
              <w:rPr>
                <w:rFonts w:hint="eastAsia"/>
              </w:rPr>
              <w:t>b、有足够的空气助燃；</w:t>
            </w:r>
          </w:p>
          <w:p>
            <w:r>
              <w:rPr>
                <w:rFonts w:hint="eastAsia"/>
              </w:rPr>
              <w:t>c、油气必须与空气</w:t>
            </w:r>
            <w:r>
              <w:rPr>
                <w:rFonts w:ascii="Helvetica" w:hAnsi="Helvetica"/>
                <w:color w:val="111111"/>
                <w:shd w:val="clear" w:color="auto" w:fill="FFFFFF"/>
              </w:rPr>
              <w:t>混合</w:t>
            </w:r>
            <w:r>
              <w:rPr>
                <w:rFonts w:hint="eastAsia"/>
              </w:rPr>
              <w:t>，并达到一定的浓度；</w:t>
            </w:r>
          </w:p>
          <w:p>
            <w:r>
              <w:rPr>
                <w:rFonts w:hint="eastAsia"/>
              </w:rPr>
              <w:t>d、现场有明火。</w:t>
            </w:r>
          </w:p>
          <w:p>
            <w:r>
              <w:rPr>
                <w:rFonts w:hint="eastAsia"/>
              </w:rPr>
              <w:t>只有以上四个条件同时具备时，才可能发生火灾和爆炸。会造成人员伤亡和财产损失，并且还会造成生态环境的破坏。</w:t>
            </w:r>
          </w:p>
          <w:p>
            <w:r>
              <w:rPr>
                <w:rFonts w:hint="eastAsia"/>
              </w:rPr>
              <w:t>经现场踏勘，</w:t>
            </w:r>
            <w:r>
              <w:rPr>
                <w:rFonts w:ascii="宋体" w:hAnsi="宋体" w:cs="宋体"/>
              </w:rPr>
              <w:t>设备发电所需柴油，现买现用，不存储柴油</w:t>
            </w:r>
            <w:r>
              <w:rPr>
                <w:rFonts w:hint="eastAsia"/>
              </w:rPr>
              <w:t>，危险废物贮存量较小，因此对其产生影响较小。</w:t>
            </w:r>
          </w:p>
          <w:p>
            <w:pPr>
              <w:pStyle w:val="15"/>
              <w:ind w:firstLine="482" w:firstLineChars="200"/>
            </w:pPr>
            <w:r>
              <w:t>7</w:t>
            </w:r>
            <w:r>
              <w:rPr>
                <w:rFonts w:hint="eastAsia"/>
              </w:rPr>
              <w:t>.5风险防范措施</w:t>
            </w:r>
          </w:p>
          <w:p>
            <w:r>
              <w:rPr>
                <w:rFonts w:hint="eastAsia"/>
              </w:rPr>
              <w:t>（1）临时堆存弃土溃坝风险防范措施</w:t>
            </w:r>
          </w:p>
          <w:p>
            <w:r>
              <w:rPr>
                <w:rFonts w:hint="eastAsia"/>
              </w:rPr>
              <w:t>1）建设单位应减少表土和废石临时堆存时间，及时进行复垦；</w:t>
            </w:r>
          </w:p>
          <w:p>
            <w:r>
              <w:rPr>
                <w:rFonts w:hint="eastAsia"/>
              </w:rPr>
              <w:t>2）建设单位在临时弃土堆存时应采用彩条布进行覆盖，避免强暴雨季节雨水冲刷。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w:t>
            </w:r>
          </w:p>
          <w:p>
            <w:r>
              <w:t>3</w:t>
            </w:r>
            <w:r>
              <w:rPr>
                <w:rFonts w:hint="eastAsia"/>
              </w:rPr>
              <w:t>）对工作人员进行火灾事态时的报警和消防培训，平时加强消防知识的宣传和教育。</w:t>
            </w:r>
          </w:p>
          <w:p>
            <w:r>
              <w:rPr>
                <w:rFonts w:hint="eastAsia"/>
              </w:rPr>
              <w:t>4）危废暂存间应配置足够量的泡沫、干粉灭火器等消防器材。灭火器应本着分散与集中相结合的原则进行布点。管理人员应懂得防火常识、灭火知识，并能够熟练掌握灭火器。灭火器要经常检查。</w:t>
            </w:r>
          </w:p>
          <w:p>
            <w:r>
              <w:rPr>
                <w:rFonts w:hint="eastAsia"/>
              </w:rPr>
              <w:t>（</w:t>
            </w:r>
            <w:r>
              <w:t>3</w:t>
            </w:r>
            <w:r>
              <w:rPr>
                <w:rFonts w:hint="eastAsia"/>
              </w:rPr>
              <w:t>）防泄漏措施</w:t>
            </w:r>
          </w:p>
          <w:p>
            <w:r>
              <w:rPr>
                <w:rFonts w:hint="eastAsia"/>
              </w:rPr>
              <w:t>1）危废暂存间应严格落实本次评价提出的防渗措施，加强重点防渗措施。</w:t>
            </w:r>
          </w:p>
          <w:p>
            <w:r>
              <w:rPr>
                <w:rFonts w:hint="eastAsia"/>
              </w:rPr>
              <w:t>2）废机油存储容器密封性应良好，放置时须防破碎，在不影响生产的情况下，尽可能减少机油润滑油的储存量；机油润滑油入库后应采取适当的养护措施，在储存期内应定期检查，发现其品质变化、包装破碎、泄漏等情况，应及时清理处置。</w:t>
            </w:r>
          </w:p>
          <w:p>
            <w:r>
              <w:rPr>
                <w:rFonts w:hint="eastAsia"/>
              </w:rPr>
              <w:t>3）搬运、装卸废机油时应按照有关规定进行，做到轻装、轻卸。严禁摔、碰、撞、击、拖拉、倾斜和滚动。</w:t>
            </w:r>
          </w:p>
          <w:p>
            <w:r>
              <w:rPr>
                <w:rFonts w:hint="eastAsia"/>
              </w:rPr>
              <w:t>4）在柴油发电机停放位置及维修区域下方放置防漏托盘或油盘。这些托盘应该有足够的容积来收集可能泄漏的油液；将停放和维修区域的地表进行硬化处理，如铺设混凝土或者沥青，并在下面设置防水层以防止油液渗透到土壤中，在停放和维修区域周围设置围堰或挡油坝，用于拦截任何溢出的油液，避免其扩散到更广阔的环境中。</w:t>
            </w:r>
          </w:p>
          <w:p>
            <w:r>
              <w:rPr>
                <w:rFonts w:hint="eastAsia"/>
              </w:rPr>
              <w:t>5）定期对设备进行检查，确保没有泄漏迹象。同时也要经常检查防漏设施的有效性，并及时更换磨损的部件。对员工进行环境保护意识的培训，教育他们如何正确操作设备，以及在发生泄漏时应采取的紧急措施。</w:t>
            </w:r>
          </w:p>
          <w:p>
            <w:r>
              <w:rPr>
                <w:rFonts w:hint="eastAsia"/>
              </w:rPr>
              <w:t>（4）柴油质量控制要求</w:t>
            </w:r>
          </w:p>
          <w:p>
            <w:r>
              <w:t>1</w:t>
            </w:r>
            <w:r>
              <w:rPr>
                <w:rFonts w:hint="eastAsia"/>
              </w:rPr>
              <w:t>）</w:t>
            </w:r>
            <w:r>
              <w:t>确保柴油符合国家相关标准，如GB19147《车用柴油》标准。定期检测柴油的各项指标，如硫含量、密度、闪点、黏度、冷滤点等。</w:t>
            </w:r>
          </w:p>
          <w:p>
            <w:r>
              <w:t>2</w:t>
            </w:r>
            <w:r>
              <w:rPr>
                <w:rFonts w:hint="eastAsia"/>
              </w:rPr>
              <w:t>）</w:t>
            </w:r>
            <w:r>
              <w:t>选择有资质的供应商，确保其提供的柴油质量可靠。定期对供应商进行评估，确保其持续符合质量要求。</w:t>
            </w:r>
          </w:p>
          <w:p>
            <w:r>
              <w:t>3</w:t>
            </w:r>
            <w:r>
              <w:rPr>
                <w:rFonts w:hint="eastAsia"/>
              </w:rPr>
              <w:t>）</w:t>
            </w:r>
            <w:r>
              <w:t>在运输过程中，确保柴油不受污染，使用专用油罐车运输。虽然项目不设置专门的柴油储存场所，但在加油过程中应确保油箱清洁，避免杂质进入。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258" w:type="pct"/>
            <w:tcMar>
              <w:left w:w="28" w:type="dxa"/>
              <w:right w:w="28" w:type="dxa"/>
            </w:tcMar>
            <w:vAlign w:val="center"/>
          </w:tcPr>
          <w:p>
            <w:pPr>
              <w:ind w:firstLine="0" w:firstLineChars="0"/>
              <w:jc w:val="center"/>
              <w:rPr>
                <w:rFonts w:ascii="宋体" w:hAnsi="宋体"/>
                <w:bCs/>
              </w:rPr>
            </w:pPr>
            <w:r>
              <w:rPr>
                <w:rFonts w:hint="eastAsia"/>
              </w:rPr>
              <w:t>运营期生态环境保护措施</w:t>
            </w:r>
          </w:p>
        </w:tc>
        <w:tc>
          <w:tcPr>
            <w:tcW w:w="4741" w:type="pct"/>
            <w:vAlign w:val="center"/>
          </w:tcPr>
          <w:p>
            <w:pPr>
              <w:ind w:firstLine="0" w:firstLineChars="0"/>
              <w:jc w:val="center"/>
            </w:pPr>
            <w:r>
              <w:rPr>
                <w:rFonts w:hint="eastAsia"/>
              </w:rPr>
              <w:t>本项目仅涉及勘探施工，不涉及采矿，所以没有运营期。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58" w:type="pct"/>
            <w:tcMar>
              <w:left w:w="28" w:type="dxa"/>
              <w:right w:w="28" w:type="dxa"/>
            </w:tcMar>
            <w:vAlign w:val="center"/>
          </w:tcPr>
          <w:p>
            <w:pPr>
              <w:pStyle w:val="26"/>
            </w:pPr>
            <w:r>
              <w:rPr>
                <w:rFonts w:hint="eastAsia"/>
              </w:rPr>
              <w:t>其他</w:t>
            </w:r>
          </w:p>
        </w:tc>
        <w:tc>
          <w:tcPr>
            <w:tcW w:w="4741" w:type="pct"/>
            <w:vAlign w:val="center"/>
          </w:tcPr>
          <w:p>
            <w:pPr>
              <w:pStyle w:val="15"/>
              <w:ind w:firstLine="482" w:firstLineChars="200"/>
            </w:pPr>
            <w:r>
              <w:rPr>
                <w:rFonts w:hint="eastAsia"/>
              </w:rPr>
              <w:t>7</w:t>
            </w:r>
            <w:r>
              <w:t>.</w:t>
            </w:r>
            <w:r>
              <w:rPr>
                <w:rFonts w:hint="eastAsia"/>
              </w:rPr>
              <w:t>7</w:t>
            </w:r>
            <w:r>
              <w:t>环境管理建议</w:t>
            </w:r>
          </w:p>
          <w:p>
            <w:r>
              <w:rPr>
                <w:rFonts w:hint="eastAsia"/>
              </w:rPr>
              <w:t>（1）施工期环境保护管理计划</w:t>
            </w:r>
          </w:p>
          <w:p>
            <w:r>
              <w:t>施工期环保管理的中心工作是：在抓好工程施工建设的同时，防止和控制施工活动对环境可能造成的污染或破坏，具体内容是：</w:t>
            </w:r>
          </w:p>
          <w:p>
            <w:r>
              <w:rPr>
                <w:rFonts w:hint="eastAsia"/>
              </w:rPr>
              <w:t>1）严格落实施工期生态保护措施，制定切实可行的恢复植被计划，控制施工占地面积、规定行车路线、限制人为活动范围。</w:t>
            </w:r>
          </w:p>
          <w:p>
            <w:r>
              <w:rPr>
                <w:rFonts w:hint="eastAsia"/>
              </w:rPr>
              <w:t>2）</w:t>
            </w:r>
            <w:r>
              <w:t>制定工程建设过程中的污染防治措施、环保管理措施和实施办法，负责施工过程中的环保工作，督促和检查施工过程中环保措施的执行情况，发现问题，及时解决。</w:t>
            </w:r>
          </w:p>
          <w:p>
            <w:r>
              <w:rPr>
                <w:rFonts w:hint="eastAsia"/>
              </w:rPr>
              <w:t>3）</w:t>
            </w:r>
            <w:r>
              <w:t>负责对施工过程中的污染源管理，合理安排施工机械的运行及施工作业时间，最大限度地减少施工作业产生的噪声、扬尘对环境的影响。</w:t>
            </w:r>
          </w:p>
          <w:p>
            <w:r>
              <w:rPr>
                <w:rFonts w:hint="eastAsia"/>
              </w:rPr>
              <w:t>4）</w:t>
            </w:r>
            <w:r>
              <w:t>对施工过程中产生的废料、生活垃圾及生活污水等进行集中统一处置，防止对环境造成不利影响。</w:t>
            </w:r>
          </w:p>
          <w:p>
            <w:r>
              <w:rPr>
                <w:rFonts w:hint="eastAsia"/>
              </w:rPr>
              <w:t>5）</w:t>
            </w:r>
            <w:r>
              <w:t>参与施工作业管理及计划安排，防止施工造成长时间的交通中断、交通堵塞，以及公共服务设施如水、电、气、通讯等的中断。</w:t>
            </w:r>
          </w:p>
          <w:p>
            <w:r>
              <w:rPr>
                <w:rFonts w:hint="eastAsia"/>
              </w:rPr>
              <w:t>6）</w:t>
            </w:r>
            <w:r>
              <w:t>参与施工运输作业的管理，防止运输过程中弃土沿途洒落，影响城市环境卫生及产生二次扬尘。</w:t>
            </w:r>
          </w:p>
          <w:p>
            <w:r>
              <w:rPr>
                <w:rFonts w:hint="eastAsia"/>
              </w:rPr>
              <w:t>7）施工过程产生的危险废物集中收集后暂存于危险废物暂存间，由专人负责管理。</w:t>
            </w:r>
          </w:p>
          <w:p>
            <w:r>
              <w:rPr>
                <w:rFonts w:hint="eastAsia"/>
              </w:rPr>
              <w:t>（2）环境管理任务</w:t>
            </w:r>
          </w:p>
          <w:p>
            <w:r>
              <w:rPr>
                <w:rFonts w:hint="eastAsia"/>
              </w:rPr>
              <w:t>1）</w:t>
            </w:r>
            <w:r>
              <w:t>施工筹建期</w:t>
            </w:r>
          </w:p>
          <w:p>
            <w:r>
              <w:rPr>
                <w:rFonts w:hint="eastAsia" w:ascii="宋体" w:hAnsi="宋体" w:cs="宋体"/>
              </w:rPr>
              <w:t>①</w:t>
            </w:r>
            <w:r>
              <w:t>审核工程环境影响评价成果，保证环境影响报告中有关环境保护的措施列入工程最终设计文件。</w:t>
            </w:r>
          </w:p>
          <w:p>
            <w:r>
              <w:rPr>
                <w:rFonts w:hint="eastAsia" w:ascii="宋体" w:hAnsi="宋体" w:cs="宋体"/>
              </w:rPr>
              <w:t>②</w:t>
            </w:r>
            <w:r>
              <w:t>根据环境影响报告和环境保护设计报告，负责工程招投标文件及合同文件中相关环境保护条款的编制。</w:t>
            </w:r>
          </w:p>
          <w:p>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r>
              <w:rPr>
                <w:rFonts w:hint="eastAsia"/>
              </w:rPr>
              <w:t>2）施工工区环境管理</w:t>
            </w:r>
          </w:p>
          <w:p>
            <w:r>
              <w:rPr>
                <w:rFonts w:hint="eastAsia" w:ascii="宋体" w:hAnsi="宋体" w:cs="宋体"/>
              </w:rPr>
              <w:t>①</w:t>
            </w:r>
            <w:r>
              <w:t>贯彻执行国家有关环境保护方针、政策及法规条例，制订工程环境保护管理具体规定与管理办法。</w:t>
            </w:r>
          </w:p>
          <w:p>
            <w:r>
              <w:rPr>
                <w:rFonts w:hint="eastAsia" w:ascii="宋体" w:hAnsi="宋体" w:cs="宋体"/>
              </w:rPr>
              <w:t>②</w:t>
            </w:r>
            <w:r>
              <w:t>按照国家有关环境保护法规和工程的环境保护规定，统一管理施工工区环境保护工作。</w:t>
            </w:r>
          </w:p>
          <w:p>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编制环境管理工作计划，整编监测资料，建立工程的生态与环境信息库，编制工程年度环境质量报告，并报上级主管部门和地方环保部门。</w:t>
            </w:r>
          </w:p>
          <w:p>
            <w:r>
              <w:fldChar w:fldCharType="begin"/>
            </w:r>
            <w:r>
              <w:instrText xml:space="preserve"> = 4 \* GB3 \* MERGEFORMAT </w:instrText>
            </w:r>
            <w:r>
              <w:fldChar w:fldCharType="separate"/>
            </w:r>
            <w:r>
              <w:rPr>
                <w:rFonts w:hint="eastAsia" w:ascii="宋体" w:hAnsi="宋体" w:cs="宋体"/>
              </w:rPr>
              <w:t>④</w:t>
            </w:r>
            <w:r>
              <w:fldChar w:fldCharType="end"/>
            </w:r>
            <w:r>
              <w:t>加强环境监测管理，制订环境监测计划，委托有相应资质等级的环境、卫生监测等专业部门开展环境监测工作。</w:t>
            </w:r>
          </w:p>
          <w:p>
            <w:r>
              <w:fldChar w:fldCharType="begin"/>
            </w:r>
            <w:r>
              <w:instrText xml:space="preserve"> = 5 \* GB3 \* MERGEFORMAT </w:instrText>
            </w:r>
            <w:r>
              <w:fldChar w:fldCharType="separate"/>
            </w:r>
            <w:r>
              <w:rPr>
                <w:rFonts w:hint="eastAsia" w:ascii="宋体" w:hAnsi="宋体" w:cs="宋体"/>
              </w:rPr>
              <w:t>⑤</w:t>
            </w:r>
            <w:r>
              <w:fldChar w:fldCharType="end"/>
            </w:r>
            <w:r>
              <w:t>会同地方环保检查、监督工程承包商执行环境保护条款的情况。</w:t>
            </w:r>
          </w:p>
          <w:p>
            <w:r>
              <w:fldChar w:fldCharType="begin"/>
            </w:r>
            <w:r>
              <w:instrText xml:space="preserve"> = 6 \* GB3 \* MERGEFORMAT </w:instrText>
            </w:r>
            <w:r>
              <w:fldChar w:fldCharType="separate"/>
            </w:r>
            <w:r>
              <w:rPr>
                <w:rFonts w:hint="eastAsia" w:ascii="宋体" w:hAnsi="宋体" w:cs="宋体"/>
              </w:rPr>
              <w:t>⑥</w:t>
            </w:r>
            <w:r>
              <w:fldChar w:fldCharType="end"/>
            </w:r>
            <w:r>
              <w:t>负责协调处理工程引起的环境纠纷和环境污染事故。</w:t>
            </w:r>
          </w:p>
          <w:p>
            <w:r>
              <w:fldChar w:fldCharType="begin"/>
            </w:r>
            <w:r>
              <w:instrText xml:space="preserve"> = 7 \* GB3 \* MERGEFORMAT </w:instrText>
            </w:r>
            <w:r>
              <w:fldChar w:fldCharType="separate"/>
            </w:r>
            <w:r>
              <w:rPr>
                <w:rFonts w:hint="eastAsia" w:ascii="宋体" w:hAnsi="宋体" w:cs="宋体"/>
              </w:rPr>
              <w:t>⑦</w:t>
            </w:r>
            <w:r>
              <w:fldChar w:fldCharType="end"/>
            </w:r>
            <w:r>
              <w:t>加强环境保护的宣传教育，负责组织实施环境管理培训工作，提高工程环境管理人员的技术水平。</w:t>
            </w:r>
          </w:p>
          <w:p>
            <w:pPr>
              <w:pStyle w:val="7"/>
              <w:ind w:firstLine="480"/>
            </w:pPr>
            <w:r>
              <w:rPr>
                <w:rFonts w:hint="eastAsia"/>
              </w:rPr>
              <w:t>（3）</w:t>
            </w:r>
            <w:r>
              <w:t>加强生态保护红线管理与环境监管的综合措施</w:t>
            </w:r>
          </w:p>
          <w:p>
            <w:pPr>
              <w:pStyle w:val="7"/>
              <w:ind w:firstLine="480"/>
              <w:rPr>
                <w:sz w:val="21"/>
              </w:rPr>
            </w:pPr>
            <w:r>
              <w:rPr>
                <w:rFonts w:hint="eastAsia"/>
              </w:rPr>
              <w:t>针对周边为生态保护红线且无明显肉眼可见边界的情况，为避免误入其中并加强环境管理，提出以下环境管理要求：</w:t>
            </w:r>
          </w:p>
          <w:p>
            <w:pPr>
              <w:pStyle w:val="7"/>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明确标识与警示</w:t>
            </w:r>
          </w:p>
          <w:p>
            <w:pPr>
              <w:pStyle w:val="7"/>
              <w:ind w:firstLine="480"/>
            </w:pPr>
            <w:r>
              <w:rPr>
                <w:rFonts w:hint="eastAsia"/>
              </w:rPr>
              <w:t>在生态保护红线的边界区域设置明显的标识牌和警示标志，如界桩、警示牌、围栏等以提醒公众注意并避免进入。利用现代科技手段，如</w:t>
            </w:r>
            <w:r>
              <w:t>GPS</w:t>
            </w:r>
            <w:r>
              <w:rPr>
                <w:rFonts w:hint="eastAsia"/>
              </w:rPr>
              <w:t>定位、无人机巡查等，对生态保护红线进行精确划定和实时监控，确保边界的准确性和清晰度。</w:t>
            </w:r>
          </w:p>
          <w:p>
            <w:pPr>
              <w:pStyle w:val="7"/>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完善法律法规与监管机制</w:t>
            </w:r>
          </w:p>
          <w:p>
            <w:pPr>
              <w:pStyle w:val="7"/>
              <w:ind w:firstLine="480"/>
            </w:pPr>
            <w:r>
              <w:rPr>
                <w:rFonts w:hint="eastAsia"/>
              </w:rPr>
              <w:t>建立健全生态保护红线的法律法规体系明确生态保护红线的划定标准、管理要求和法律责任，加强执法力度，对违法进入生态保护红线的行为进行严厉查处，确保法律法规的严肃性和权威性。</w:t>
            </w:r>
          </w:p>
          <w:p>
            <w:pPr>
              <w:pStyle w:val="7"/>
              <w:ind w:firstLine="48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促进生态修复与保护</w:t>
            </w:r>
          </w:p>
          <w:p>
            <w:pPr>
              <w:rPr>
                <w:rFonts w:ascii="宋体" w:hAnsi="宋体" w:cs="宋体"/>
                <w:spacing w:val="-12"/>
              </w:rPr>
            </w:pPr>
            <w:r>
              <w:rPr>
                <w:rFonts w:hint="eastAsia"/>
              </w:rPr>
              <w:t>对已经受损的生态环境进行修复和治理，恢复其生态功能，加强生态保护红线内的生物多样性保护维护生态系统的稳定性和完整性</w:t>
            </w:r>
            <w:r>
              <w:t>。</w:t>
            </w:r>
          </w:p>
          <w:p>
            <w:r>
              <w:rPr>
                <w:rFonts w:hint="eastAsia"/>
              </w:rPr>
              <w:t>（4）勘探期结束后环境管理</w:t>
            </w:r>
          </w:p>
          <w:p>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t>6。</w:t>
            </w:r>
          </w:p>
          <w:p>
            <w:pPr>
              <w:pStyle w:val="28"/>
              <w:spacing w:before="156"/>
            </w:pPr>
            <w:r>
              <w:rPr>
                <w:rFonts w:hint="eastAsia"/>
              </w:rPr>
              <w:t>表5-</w:t>
            </w:r>
            <w:r>
              <w:t xml:space="preserve">6  </w:t>
            </w:r>
            <w:r>
              <w:rPr>
                <w:rFonts w:hint="eastAsia"/>
              </w:rPr>
              <w:t>勘探期结束后环境管理要求</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pct"/>
                  <w:tcBorders>
                    <w:tl2br w:val="nil"/>
                    <w:tr2bl w:val="nil"/>
                  </w:tcBorders>
                  <w:shd w:val="clear" w:color="auto" w:fill="auto"/>
                  <w:vAlign w:val="center"/>
                </w:tcPr>
                <w:p>
                  <w:pPr>
                    <w:pStyle w:val="29"/>
                  </w:pPr>
                  <w:r>
                    <w:t>环境影响</w:t>
                  </w:r>
                </w:p>
              </w:tc>
              <w:tc>
                <w:tcPr>
                  <w:tcW w:w="3367" w:type="pct"/>
                  <w:tcBorders>
                    <w:tl2br w:val="nil"/>
                    <w:tr2bl w:val="nil"/>
                  </w:tcBorders>
                  <w:shd w:val="clear" w:color="auto" w:fill="auto"/>
                  <w:vAlign w:val="center"/>
                </w:tcPr>
                <w:p>
                  <w:pPr>
                    <w:pStyle w:val="29"/>
                  </w:pPr>
                  <w:r>
                    <w:t>环境管理具体要求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9"/>
                  </w:pPr>
                  <w:r>
                    <w:rPr>
                      <w:rFonts w:hint="eastAsia"/>
                    </w:rPr>
                    <w:t>废水、废气、噪声、固废</w:t>
                  </w:r>
                </w:p>
              </w:tc>
              <w:tc>
                <w:tcPr>
                  <w:tcW w:w="3367" w:type="pct"/>
                  <w:tcBorders>
                    <w:tl2br w:val="nil"/>
                    <w:tr2bl w:val="nil"/>
                  </w:tcBorders>
                  <w:shd w:val="clear" w:color="auto" w:fill="auto"/>
                  <w:vAlign w:val="center"/>
                </w:tcPr>
                <w:p>
                  <w:pPr>
                    <w:pStyle w:val="29"/>
                    <w:jc w:val="both"/>
                  </w:pPr>
                  <w:r>
                    <w:rPr>
                      <w:rFonts w:hint="eastAsia"/>
                    </w:rPr>
                    <w:t>1</w:t>
                  </w:r>
                  <w:r>
                    <w:t>）</w:t>
                  </w:r>
                  <w:r>
                    <w:rPr>
                      <w:rFonts w:hint="eastAsia"/>
                    </w:rPr>
                    <w:t>对钻孔的封堵情况进行监督管理；</w:t>
                  </w:r>
                </w:p>
                <w:p>
                  <w:pPr>
                    <w:pStyle w:val="29"/>
                    <w:jc w:val="both"/>
                  </w:pPr>
                  <w:r>
                    <w:rPr>
                      <w:rFonts w:hint="eastAsia"/>
                    </w:rPr>
                    <w:t>2</w:t>
                  </w:r>
                  <w:r>
                    <w:t>）</w:t>
                  </w:r>
                  <w:r>
                    <w:rPr>
                      <w:rFonts w:hint="eastAsia"/>
                    </w:rPr>
                    <w:t>对场内临时工程的拆除及清理情况进行监督管理；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pct"/>
                  <w:tcBorders>
                    <w:tl2br w:val="nil"/>
                    <w:tr2bl w:val="nil"/>
                  </w:tcBorders>
                  <w:shd w:val="clear" w:color="auto" w:fill="auto"/>
                  <w:vAlign w:val="center"/>
                </w:tcPr>
                <w:p>
                  <w:pPr>
                    <w:pStyle w:val="29"/>
                  </w:pPr>
                  <w:r>
                    <w:rPr>
                      <w:rFonts w:hint="eastAsia"/>
                    </w:rPr>
                    <w:t>生态环境影响</w:t>
                  </w:r>
                </w:p>
              </w:tc>
              <w:tc>
                <w:tcPr>
                  <w:tcW w:w="3367" w:type="pct"/>
                  <w:tcBorders>
                    <w:tl2br w:val="nil"/>
                    <w:tr2bl w:val="nil"/>
                  </w:tcBorders>
                  <w:shd w:val="clear" w:color="auto" w:fill="auto"/>
                  <w:vAlign w:val="center"/>
                </w:tcPr>
                <w:p>
                  <w:pPr>
                    <w:pStyle w:val="29"/>
                    <w:jc w:val="both"/>
                  </w:pPr>
                  <w:r>
                    <w:rPr>
                      <w:rFonts w:hint="eastAsia"/>
                    </w:rPr>
                    <w:t>1）对场地生态恢复措施落实情况进行监督管理；</w:t>
                  </w:r>
                </w:p>
                <w:p>
                  <w:pPr>
                    <w:pStyle w:val="29"/>
                    <w:jc w:val="both"/>
                  </w:pPr>
                  <w:r>
                    <w:rPr>
                      <w:rFonts w:hint="eastAsia"/>
                    </w:rPr>
                    <w:t>2</w:t>
                  </w:r>
                  <w:r>
                    <w:t>）</w:t>
                  </w:r>
                  <w:r>
                    <w:rPr>
                      <w:rFonts w:hint="eastAsia"/>
                    </w:rPr>
                    <w:t>在勘探期满前的1~2年内落实建闭坑计划的编制情况；</w:t>
                  </w:r>
                </w:p>
                <w:p>
                  <w:pPr>
                    <w:pStyle w:val="29"/>
                    <w:jc w:val="both"/>
                  </w:pPr>
                  <w:r>
                    <w:rPr>
                      <w:rFonts w:hint="eastAsia"/>
                    </w:rPr>
                    <w:t>3）严格按照土地复垦要求，对探矿区复垦情况进行监督管理；</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258" w:type="pct"/>
            <w:tcMar>
              <w:left w:w="28" w:type="dxa"/>
              <w:right w:w="28" w:type="dxa"/>
            </w:tcMar>
            <w:vAlign w:val="center"/>
          </w:tcPr>
          <w:p>
            <w:pPr>
              <w:pStyle w:val="26"/>
            </w:pPr>
            <w:r>
              <w:rPr>
                <w:rFonts w:hint="eastAsia"/>
              </w:rPr>
              <w:t>环保</w:t>
            </w:r>
          </w:p>
          <w:p>
            <w:pPr>
              <w:pStyle w:val="26"/>
            </w:pPr>
            <w:r>
              <w:rPr>
                <w:rFonts w:hint="eastAsia"/>
              </w:rPr>
              <w:t>投资</w:t>
            </w:r>
          </w:p>
        </w:tc>
        <w:tc>
          <w:tcPr>
            <w:tcW w:w="4741" w:type="pct"/>
            <w:vAlign w:val="center"/>
          </w:tcPr>
          <w:p>
            <w:pPr>
              <w:rPr>
                <w:b/>
                <w:bCs/>
                <w:szCs w:val="32"/>
              </w:rPr>
            </w:pPr>
            <w:r>
              <w:t>项目环境保护投资总计</w:t>
            </w:r>
            <w:r>
              <w:rPr>
                <w:rFonts w:hint="eastAsia"/>
              </w:rPr>
              <w:t>53</w:t>
            </w:r>
            <w:r>
              <w:t>万元，占总投资669.22万元的</w:t>
            </w:r>
            <w:r>
              <w:rPr>
                <w:rFonts w:hint="eastAsia"/>
              </w:rPr>
              <w:t>7.92</w:t>
            </w:r>
            <w:r>
              <w:t>%，项目环保措施及投资见</w:t>
            </w:r>
            <w:r>
              <w:rPr>
                <w:rFonts w:hint="eastAsia"/>
              </w:rPr>
              <w:t>下表。</w:t>
            </w:r>
          </w:p>
          <w:p>
            <w:pPr>
              <w:pStyle w:val="28"/>
              <w:spacing w:before="156"/>
            </w:pPr>
            <w:r>
              <w:t>表</w:t>
            </w:r>
            <w:r>
              <w:rPr>
                <w:rFonts w:hint="eastAsia"/>
              </w:rPr>
              <w:t>5-</w:t>
            </w:r>
            <w:r>
              <w:t>7  环保</w:t>
            </w:r>
            <w:r>
              <w:rPr>
                <w:rFonts w:hint="eastAsia"/>
              </w:rPr>
              <w:t>措施及</w:t>
            </w:r>
            <w:r>
              <w:t>投资估算一览表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498"/>
              <w:gridCol w:w="895"/>
              <w:gridCol w:w="5210"/>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3" w:hRule="atLeast"/>
                <w:tblHeader/>
                <w:jc w:val="center"/>
              </w:trPr>
              <w:tc>
                <w:tcPr>
                  <w:tcW w:w="898" w:type="pct"/>
                  <w:gridSpan w:val="2"/>
                  <w:tcMar>
                    <w:top w:w="57" w:type="dxa"/>
                    <w:bottom w:w="57" w:type="dxa"/>
                  </w:tcMar>
                  <w:vAlign w:val="center"/>
                </w:tcPr>
                <w:p>
                  <w:pPr>
                    <w:pStyle w:val="26"/>
                  </w:pPr>
                  <w:r>
                    <w:t>项目</w:t>
                  </w:r>
                </w:p>
              </w:tc>
              <w:tc>
                <w:tcPr>
                  <w:tcW w:w="3359" w:type="pct"/>
                  <w:tcMar>
                    <w:top w:w="57" w:type="dxa"/>
                    <w:bottom w:w="57" w:type="dxa"/>
                  </w:tcMar>
                  <w:vAlign w:val="center"/>
                </w:tcPr>
                <w:p>
                  <w:pPr>
                    <w:pStyle w:val="26"/>
                  </w:pPr>
                  <w:r>
                    <w:t>环保措施</w:t>
                  </w:r>
                </w:p>
              </w:tc>
              <w:tc>
                <w:tcPr>
                  <w:tcW w:w="743" w:type="pct"/>
                  <w:tcMar>
                    <w:top w:w="57" w:type="dxa"/>
                    <w:bottom w:w="57" w:type="dxa"/>
                  </w:tcMar>
                  <w:vAlign w:val="center"/>
                </w:tcPr>
                <w:p>
                  <w:pPr>
                    <w:pStyle w:val="26"/>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restart"/>
                  <w:tcMar>
                    <w:top w:w="57" w:type="dxa"/>
                    <w:bottom w:w="57" w:type="dxa"/>
                  </w:tcMar>
                  <w:vAlign w:val="center"/>
                </w:tcPr>
                <w:p>
                  <w:pPr>
                    <w:pStyle w:val="26"/>
                  </w:pPr>
                  <w:r>
                    <w:t>废气</w:t>
                  </w:r>
                </w:p>
              </w:tc>
              <w:tc>
                <w:tcPr>
                  <w:tcW w:w="577" w:type="pct"/>
                  <w:vAlign w:val="center"/>
                </w:tcPr>
                <w:p>
                  <w:pPr>
                    <w:pStyle w:val="26"/>
                  </w:pPr>
                  <w:r>
                    <w:rPr>
                      <w:rFonts w:hint="eastAsia"/>
                    </w:rPr>
                    <w:t>扬尘</w:t>
                  </w:r>
                </w:p>
              </w:tc>
              <w:tc>
                <w:tcPr>
                  <w:tcW w:w="3359" w:type="pct"/>
                  <w:tcMar>
                    <w:top w:w="57" w:type="dxa"/>
                    <w:bottom w:w="57" w:type="dxa"/>
                  </w:tcMar>
                  <w:vAlign w:val="center"/>
                </w:tcPr>
                <w:p>
                  <w:pPr>
                    <w:pStyle w:val="26"/>
                  </w:pPr>
                  <w:r>
                    <w:t>对</w:t>
                  </w:r>
                  <w:r>
                    <w:rPr>
                      <w:rFonts w:hint="eastAsia"/>
                    </w:rPr>
                    <w:t>弃渣堆</w:t>
                  </w:r>
                  <w:r>
                    <w:t>表面</w:t>
                  </w:r>
                  <w:r>
                    <w:rPr>
                      <w:rFonts w:hint="eastAsia"/>
                    </w:rPr>
                    <w:t>压实</w:t>
                  </w:r>
                  <w:r>
                    <w:t>、覆盖</w:t>
                  </w:r>
                  <w:r>
                    <w:rPr>
                      <w:rFonts w:hint="eastAsia"/>
                    </w:rPr>
                    <w:t>、洒水降尘；矿区道路洒水降尘；钻探、槽探作业区设置围挡，洒水降尘</w:t>
                  </w:r>
                </w:p>
              </w:tc>
              <w:tc>
                <w:tcPr>
                  <w:tcW w:w="743" w:type="pct"/>
                  <w:tcMar>
                    <w:top w:w="57" w:type="dxa"/>
                    <w:bottom w:w="57" w:type="dxa"/>
                  </w:tcMar>
                  <w:vAlign w:val="center"/>
                </w:tcPr>
                <w:p>
                  <w:pPr>
                    <w:pStyle w:val="26"/>
                  </w:pP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81"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燃油废气</w:t>
                  </w:r>
                </w:p>
              </w:tc>
              <w:tc>
                <w:tcPr>
                  <w:tcW w:w="3359" w:type="pct"/>
                  <w:tcMar>
                    <w:top w:w="57" w:type="dxa"/>
                    <w:bottom w:w="57" w:type="dxa"/>
                  </w:tcMar>
                  <w:vAlign w:val="center"/>
                </w:tcPr>
                <w:p>
                  <w:pPr>
                    <w:pStyle w:val="26"/>
                  </w:pPr>
                  <w:r>
                    <w:rPr>
                      <w:rFonts w:hint="eastAsia"/>
                    </w:rPr>
                    <w:t>对柴油发电机定期维护保养，提高其燃烧效率，减少尾气排放量</w:t>
                  </w:r>
                </w:p>
              </w:tc>
              <w:tc>
                <w:tcPr>
                  <w:tcW w:w="743" w:type="pct"/>
                  <w:tcMar>
                    <w:top w:w="57" w:type="dxa"/>
                    <w:bottom w:w="57" w:type="dxa"/>
                  </w:tcMar>
                  <w:vAlign w:val="center"/>
                </w:tcPr>
                <w:p>
                  <w:pPr>
                    <w:pStyle w:val="26"/>
                  </w:pP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 w:hRule="atLeast"/>
                <w:jc w:val="center"/>
              </w:trPr>
              <w:tc>
                <w:tcPr>
                  <w:tcW w:w="321" w:type="pct"/>
                  <w:vMerge w:val="restart"/>
                  <w:tcMar>
                    <w:top w:w="57" w:type="dxa"/>
                    <w:bottom w:w="57" w:type="dxa"/>
                  </w:tcMar>
                  <w:vAlign w:val="center"/>
                </w:tcPr>
                <w:p>
                  <w:pPr>
                    <w:pStyle w:val="26"/>
                  </w:pPr>
                  <w:r>
                    <w:t>废水</w:t>
                  </w:r>
                </w:p>
              </w:tc>
              <w:tc>
                <w:tcPr>
                  <w:tcW w:w="577" w:type="pct"/>
                  <w:vAlign w:val="center"/>
                </w:tcPr>
                <w:p>
                  <w:pPr>
                    <w:pStyle w:val="26"/>
                  </w:pPr>
                  <w:r>
                    <w:rPr>
                      <w:rFonts w:hint="eastAsia"/>
                    </w:rPr>
                    <w:t>钻探废水</w:t>
                  </w:r>
                </w:p>
              </w:tc>
              <w:tc>
                <w:tcPr>
                  <w:tcW w:w="3359" w:type="pct"/>
                  <w:tcMar>
                    <w:top w:w="57" w:type="dxa"/>
                    <w:bottom w:w="57" w:type="dxa"/>
                  </w:tcMar>
                  <w:vAlign w:val="center"/>
                </w:tcPr>
                <w:p>
                  <w:pPr>
                    <w:pStyle w:val="26"/>
                  </w:pPr>
                  <w:r>
                    <w:t>每个钻孔设置一座循环沉淀池（5m</w:t>
                  </w:r>
                  <w:r>
                    <w:rPr>
                      <w:vertAlign w:val="superscript"/>
                    </w:rPr>
                    <w:t>3</w:t>
                  </w:r>
                  <w:r>
                    <w:t>），采用防渗膜塑料布及支架组装，循环使用</w:t>
                  </w:r>
                </w:p>
              </w:tc>
              <w:tc>
                <w:tcPr>
                  <w:tcW w:w="743" w:type="pct"/>
                  <w:tcMar>
                    <w:top w:w="57" w:type="dxa"/>
                    <w:bottom w:w="57" w:type="dxa"/>
                  </w:tcMar>
                  <w:vAlign w:val="center"/>
                </w:tcPr>
                <w:p>
                  <w:pPr>
                    <w:pStyle w:val="26"/>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生活废水</w:t>
                  </w:r>
                </w:p>
              </w:tc>
              <w:tc>
                <w:tcPr>
                  <w:tcW w:w="3359" w:type="pct"/>
                  <w:tcMar>
                    <w:top w:w="57" w:type="dxa"/>
                    <w:bottom w:w="57" w:type="dxa"/>
                  </w:tcMar>
                  <w:vAlign w:val="center"/>
                </w:tcPr>
                <w:p>
                  <w:pPr>
                    <w:pStyle w:val="26"/>
                  </w:pPr>
                  <w:r>
                    <w:rPr>
                      <w:rFonts w:hint="eastAsia"/>
                    </w:rPr>
                    <w:t>生活污水进入防渗化粪池（10m</w:t>
                  </w:r>
                  <w:r>
                    <w:rPr>
                      <w:rFonts w:hint="eastAsia"/>
                      <w:vertAlign w:val="superscript"/>
                    </w:rPr>
                    <w:t>3</w:t>
                  </w:r>
                  <w:r>
                    <w:rPr>
                      <w:rFonts w:hint="eastAsia"/>
                    </w:rPr>
                    <w:t>）处理后自然蒸发</w:t>
                  </w:r>
                </w:p>
              </w:tc>
              <w:tc>
                <w:tcPr>
                  <w:tcW w:w="743" w:type="pct"/>
                  <w:tcMar>
                    <w:top w:w="57" w:type="dxa"/>
                    <w:bottom w:w="57" w:type="dxa"/>
                  </w:tcMar>
                  <w:vAlign w:val="center"/>
                </w:tcPr>
                <w:p>
                  <w:pPr>
                    <w:pStyle w:val="26"/>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3" w:hRule="atLeast"/>
                <w:jc w:val="center"/>
              </w:trPr>
              <w:tc>
                <w:tcPr>
                  <w:tcW w:w="321" w:type="pct"/>
                  <w:tcMar>
                    <w:top w:w="57" w:type="dxa"/>
                    <w:bottom w:w="57" w:type="dxa"/>
                  </w:tcMar>
                  <w:vAlign w:val="center"/>
                </w:tcPr>
                <w:p>
                  <w:pPr>
                    <w:pStyle w:val="26"/>
                  </w:pPr>
                  <w:r>
                    <w:t>噪声</w:t>
                  </w:r>
                </w:p>
              </w:tc>
              <w:tc>
                <w:tcPr>
                  <w:tcW w:w="577" w:type="pct"/>
                  <w:vAlign w:val="center"/>
                </w:tcPr>
                <w:p>
                  <w:pPr>
                    <w:pStyle w:val="26"/>
                  </w:pPr>
                  <w:r>
                    <w:rPr>
                      <w:rFonts w:hint="eastAsia"/>
                    </w:rPr>
                    <w:t>机械噪声</w:t>
                  </w:r>
                </w:p>
              </w:tc>
              <w:tc>
                <w:tcPr>
                  <w:tcW w:w="3359" w:type="pct"/>
                  <w:tcMar>
                    <w:top w:w="57" w:type="dxa"/>
                    <w:bottom w:w="57" w:type="dxa"/>
                  </w:tcMar>
                  <w:vAlign w:val="center"/>
                </w:tcPr>
                <w:p>
                  <w:pPr>
                    <w:pStyle w:val="26"/>
                    <w:rPr>
                      <w:color w:val="FF0000"/>
                    </w:rPr>
                  </w:pPr>
                  <w:r>
                    <w:rPr>
                      <w:rFonts w:hint="eastAsia"/>
                    </w:rPr>
                    <w:t>选用低噪声设备，加强对柴油机械设备维护保养工作，保持其良好工况</w:t>
                  </w:r>
                </w:p>
              </w:tc>
              <w:tc>
                <w:tcPr>
                  <w:tcW w:w="743" w:type="pct"/>
                  <w:tcMar>
                    <w:top w:w="57" w:type="dxa"/>
                    <w:bottom w:w="57" w:type="dxa"/>
                  </w:tcMar>
                  <w:vAlign w:val="center"/>
                </w:tcPr>
                <w:p>
                  <w:pPr>
                    <w:pStyle w:val="26"/>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321" w:type="pct"/>
                  <w:vMerge w:val="restart"/>
                  <w:tcMar>
                    <w:top w:w="57" w:type="dxa"/>
                    <w:bottom w:w="57" w:type="dxa"/>
                  </w:tcMar>
                  <w:vAlign w:val="center"/>
                </w:tcPr>
                <w:p>
                  <w:pPr>
                    <w:pStyle w:val="26"/>
                  </w:pPr>
                  <w:r>
                    <w:t>固体</w:t>
                  </w:r>
                </w:p>
                <w:p>
                  <w:pPr>
                    <w:pStyle w:val="26"/>
                  </w:pPr>
                  <w:r>
                    <w:t>废物</w:t>
                  </w:r>
                </w:p>
              </w:tc>
              <w:tc>
                <w:tcPr>
                  <w:tcW w:w="577" w:type="pct"/>
                  <w:vAlign w:val="center"/>
                </w:tcPr>
                <w:p>
                  <w:pPr>
                    <w:pStyle w:val="26"/>
                  </w:pPr>
                  <w:r>
                    <w:rPr>
                      <w:rFonts w:hint="eastAsia"/>
                    </w:rPr>
                    <w:t>临时弃土</w:t>
                  </w:r>
                </w:p>
              </w:tc>
              <w:tc>
                <w:tcPr>
                  <w:tcW w:w="3359" w:type="pct"/>
                  <w:tcMar>
                    <w:top w:w="57" w:type="dxa"/>
                    <w:bottom w:w="57" w:type="dxa"/>
                  </w:tcMar>
                  <w:vAlign w:val="center"/>
                </w:tcPr>
                <w:p>
                  <w:pPr>
                    <w:pStyle w:val="26"/>
                  </w:pPr>
                  <w:r>
                    <w:t>钻探产生的临时弃土，采用篷布覆盖暂存，然后用于植被恢复</w:t>
                  </w:r>
                </w:p>
              </w:tc>
              <w:tc>
                <w:tcPr>
                  <w:tcW w:w="743" w:type="pct"/>
                  <w:tcMar>
                    <w:top w:w="57" w:type="dxa"/>
                    <w:bottom w:w="57" w:type="dxa"/>
                  </w:tcMar>
                  <w:vAlign w:val="center"/>
                </w:tcPr>
                <w:p>
                  <w:pPr>
                    <w:pStyle w:val="26"/>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钻探泥浆</w:t>
                  </w:r>
                </w:p>
              </w:tc>
              <w:tc>
                <w:tcPr>
                  <w:tcW w:w="3359" w:type="pct"/>
                  <w:tcMar>
                    <w:top w:w="57" w:type="dxa"/>
                    <w:bottom w:w="57" w:type="dxa"/>
                  </w:tcMar>
                  <w:vAlign w:val="center"/>
                </w:tcPr>
                <w:p>
                  <w:pPr>
                    <w:pStyle w:val="26"/>
                  </w:pPr>
                  <w:r>
                    <w:t>产生的钻探泥浆待完工后，沉淀池固化填埋</w:t>
                  </w:r>
                </w:p>
              </w:tc>
              <w:tc>
                <w:tcPr>
                  <w:tcW w:w="743" w:type="pct"/>
                  <w:tcMar>
                    <w:top w:w="57" w:type="dxa"/>
                    <w:bottom w:w="57" w:type="dxa"/>
                  </w:tcMar>
                  <w:vAlign w:val="center"/>
                </w:tcPr>
                <w:p>
                  <w:pPr>
                    <w:pStyle w:val="26"/>
                  </w:pPr>
                  <w: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3"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生活垃圾</w:t>
                  </w:r>
                </w:p>
              </w:tc>
              <w:tc>
                <w:tcPr>
                  <w:tcW w:w="3359" w:type="pct"/>
                  <w:tcMar>
                    <w:top w:w="57" w:type="dxa"/>
                    <w:bottom w:w="57" w:type="dxa"/>
                  </w:tcMar>
                  <w:vAlign w:val="center"/>
                </w:tcPr>
                <w:p>
                  <w:pPr>
                    <w:pStyle w:val="26"/>
                  </w:pPr>
                  <w:r>
                    <w:rPr>
                      <w:rFonts w:hint="eastAsia"/>
                    </w:rPr>
                    <w:t>生活垃圾采用垃圾袋集中收集后运出矿区由环卫部门统一清运</w:t>
                  </w:r>
                </w:p>
              </w:tc>
              <w:tc>
                <w:tcPr>
                  <w:tcW w:w="743" w:type="pct"/>
                  <w:tcMar>
                    <w:top w:w="57" w:type="dxa"/>
                    <w:bottom w:w="57" w:type="dxa"/>
                  </w:tcMar>
                  <w:vAlign w:val="center"/>
                </w:tcPr>
                <w:p>
                  <w:pPr>
                    <w:pStyle w:val="26"/>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废机油</w:t>
                  </w:r>
                </w:p>
              </w:tc>
              <w:tc>
                <w:tcPr>
                  <w:tcW w:w="3359" w:type="pct"/>
                  <w:tcMar>
                    <w:top w:w="57" w:type="dxa"/>
                    <w:bottom w:w="57" w:type="dxa"/>
                  </w:tcMar>
                  <w:vAlign w:val="center"/>
                </w:tcPr>
                <w:p>
                  <w:pPr>
                    <w:pStyle w:val="26"/>
                  </w:pPr>
                  <w:r>
                    <w:rPr>
                      <w:rFonts w:hint="eastAsia"/>
                    </w:rPr>
                    <w:t>日常维修产生的废机油暂存于</w:t>
                  </w:r>
                  <w:r>
                    <w:t>危废暂存间，</w:t>
                  </w:r>
                  <w:r>
                    <w:rPr>
                      <w:rFonts w:hint="eastAsia"/>
                    </w:rPr>
                    <w:t>最终</w:t>
                  </w:r>
                  <w:r>
                    <w:t>交由有危废处置资质单位处理</w:t>
                  </w:r>
                </w:p>
              </w:tc>
              <w:tc>
                <w:tcPr>
                  <w:tcW w:w="743" w:type="pct"/>
                  <w:tcMar>
                    <w:top w:w="57" w:type="dxa"/>
                    <w:bottom w:w="57" w:type="dxa"/>
                  </w:tcMar>
                  <w:vAlign w:val="center"/>
                </w:tcPr>
                <w:p>
                  <w:pPr>
                    <w:pStyle w:val="26"/>
                  </w:pP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化粪池污泥</w:t>
                  </w:r>
                </w:p>
              </w:tc>
              <w:tc>
                <w:tcPr>
                  <w:tcW w:w="3359" w:type="pct"/>
                  <w:tcMar>
                    <w:top w:w="57" w:type="dxa"/>
                    <w:bottom w:w="57" w:type="dxa"/>
                  </w:tcMar>
                  <w:vAlign w:val="center"/>
                </w:tcPr>
                <w:p>
                  <w:pPr>
                    <w:pStyle w:val="26"/>
                  </w:pPr>
                  <w:r>
                    <w:rPr>
                      <w:rFonts w:hint="eastAsia"/>
                    </w:rPr>
                    <w:t>化粪池污泥定期清掏后交由周边农户作为农肥消耗</w:t>
                  </w:r>
                </w:p>
              </w:tc>
              <w:tc>
                <w:tcPr>
                  <w:tcW w:w="743" w:type="pct"/>
                  <w:tcMar>
                    <w:top w:w="57" w:type="dxa"/>
                    <w:bottom w:w="57" w:type="dxa"/>
                  </w:tcMar>
                  <w:vAlign w:val="center"/>
                </w:tcPr>
                <w:p>
                  <w:pPr>
                    <w:pStyle w:val="26"/>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321" w:type="pct"/>
                  <w:vMerge w:val="continue"/>
                  <w:tcMar>
                    <w:top w:w="57" w:type="dxa"/>
                    <w:bottom w:w="57" w:type="dxa"/>
                  </w:tcMar>
                  <w:vAlign w:val="center"/>
                </w:tcPr>
                <w:p>
                  <w:pPr>
                    <w:pStyle w:val="26"/>
                  </w:pPr>
                </w:p>
              </w:tc>
              <w:tc>
                <w:tcPr>
                  <w:tcW w:w="577" w:type="pct"/>
                  <w:vAlign w:val="center"/>
                </w:tcPr>
                <w:p>
                  <w:pPr>
                    <w:pStyle w:val="26"/>
                  </w:pPr>
                  <w:r>
                    <w:rPr>
                      <w:rFonts w:hint="eastAsia"/>
                    </w:rPr>
                    <w:t>钻探岩心</w:t>
                  </w:r>
                </w:p>
              </w:tc>
              <w:tc>
                <w:tcPr>
                  <w:tcW w:w="3359" w:type="pct"/>
                  <w:tcMar>
                    <w:top w:w="57" w:type="dxa"/>
                    <w:bottom w:w="57" w:type="dxa"/>
                  </w:tcMar>
                  <w:vAlign w:val="center"/>
                </w:tcPr>
                <w:p>
                  <w:pPr>
                    <w:pStyle w:val="26"/>
                  </w:pPr>
                  <w:r>
                    <w:rPr>
                      <w:rFonts w:hint="eastAsia"/>
                    </w:rPr>
                    <w:t>岩心委托第三方进行分析，分析完成后由第三方妥善保存在专门的岩心库中</w:t>
                  </w:r>
                </w:p>
              </w:tc>
              <w:tc>
                <w:tcPr>
                  <w:tcW w:w="743" w:type="pct"/>
                  <w:tcMar>
                    <w:top w:w="57" w:type="dxa"/>
                    <w:bottom w:w="57" w:type="dxa"/>
                  </w:tcMar>
                  <w:vAlign w:val="center"/>
                </w:tcPr>
                <w:p>
                  <w:pPr>
                    <w:pStyle w:val="26"/>
                  </w:pP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3" w:hRule="atLeast"/>
                <w:jc w:val="center"/>
              </w:trPr>
              <w:tc>
                <w:tcPr>
                  <w:tcW w:w="898" w:type="pct"/>
                  <w:gridSpan w:val="2"/>
                  <w:tcMar>
                    <w:top w:w="57" w:type="dxa"/>
                    <w:bottom w:w="57" w:type="dxa"/>
                  </w:tcMar>
                  <w:vAlign w:val="center"/>
                </w:tcPr>
                <w:p>
                  <w:pPr>
                    <w:pStyle w:val="26"/>
                  </w:pPr>
                  <w:r>
                    <w:rPr>
                      <w:rFonts w:hint="eastAsia"/>
                    </w:rPr>
                    <w:t>地下水</w:t>
                  </w:r>
                </w:p>
              </w:tc>
              <w:tc>
                <w:tcPr>
                  <w:tcW w:w="3359" w:type="pct"/>
                  <w:tcMar>
                    <w:top w:w="57" w:type="dxa"/>
                    <w:bottom w:w="57" w:type="dxa"/>
                  </w:tcMar>
                  <w:vAlign w:val="center"/>
                </w:tcPr>
                <w:p>
                  <w:pPr>
                    <w:pStyle w:val="26"/>
                  </w:pPr>
                  <w:r>
                    <w:t>沉淀池采用防渗膜塑料布及支架组装成，满足《一般工业固体废物贮存和填埋污染控制标准》（GB18599-2020）中Ⅱ类一般工业固废场防渗要求</w:t>
                  </w:r>
                </w:p>
              </w:tc>
              <w:tc>
                <w:tcPr>
                  <w:tcW w:w="743" w:type="pct"/>
                  <w:tcMar>
                    <w:top w:w="57" w:type="dxa"/>
                    <w:bottom w:w="57" w:type="dxa"/>
                  </w:tcMar>
                  <w:vAlign w:val="center"/>
                </w:tcPr>
                <w:p>
                  <w:pPr>
                    <w:pStyle w:val="26"/>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1" w:hRule="atLeast"/>
                <w:jc w:val="center"/>
              </w:trPr>
              <w:tc>
                <w:tcPr>
                  <w:tcW w:w="898" w:type="pct"/>
                  <w:gridSpan w:val="2"/>
                  <w:tcMar>
                    <w:top w:w="57" w:type="dxa"/>
                    <w:bottom w:w="57" w:type="dxa"/>
                  </w:tcMar>
                  <w:vAlign w:val="center"/>
                </w:tcPr>
                <w:p>
                  <w:pPr>
                    <w:pStyle w:val="26"/>
                  </w:pPr>
                  <w:r>
                    <w:t>其它</w:t>
                  </w:r>
                </w:p>
              </w:tc>
              <w:tc>
                <w:tcPr>
                  <w:tcW w:w="3359" w:type="pct"/>
                  <w:tcMar>
                    <w:top w:w="57" w:type="dxa"/>
                    <w:bottom w:w="57" w:type="dxa"/>
                  </w:tcMar>
                  <w:vAlign w:val="center"/>
                </w:tcPr>
                <w:p>
                  <w:pPr>
                    <w:pStyle w:val="26"/>
                  </w:pPr>
                  <w:r>
                    <w:t>加强环境管理，对作业人员开展生态环境保护宣传教育</w:t>
                  </w:r>
                </w:p>
              </w:tc>
              <w:tc>
                <w:tcPr>
                  <w:tcW w:w="743" w:type="pct"/>
                  <w:tcMar>
                    <w:top w:w="57" w:type="dxa"/>
                    <w:bottom w:w="57" w:type="dxa"/>
                  </w:tcMar>
                  <w:vAlign w:val="center"/>
                </w:tcPr>
                <w:p>
                  <w:pPr>
                    <w:pStyle w:val="26"/>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3" w:hRule="atLeast"/>
                <w:jc w:val="center"/>
              </w:trPr>
              <w:tc>
                <w:tcPr>
                  <w:tcW w:w="898" w:type="pct"/>
                  <w:gridSpan w:val="2"/>
                  <w:tcMar>
                    <w:top w:w="57" w:type="dxa"/>
                    <w:bottom w:w="57" w:type="dxa"/>
                  </w:tcMar>
                  <w:vAlign w:val="center"/>
                </w:tcPr>
                <w:p>
                  <w:pPr>
                    <w:pStyle w:val="26"/>
                  </w:pPr>
                  <w:r>
                    <w:rPr>
                      <w:rFonts w:hint="eastAsia"/>
                    </w:rPr>
                    <w:t>生态恢复</w:t>
                  </w:r>
                </w:p>
              </w:tc>
              <w:tc>
                <w:tcPr>
                  <w:tcW w:w="3359" w:type="pct"/>
                  <w:tcMar>
                    <w:top w:w="57" w:type="dxa"/>
                    <w:bottom w:w="57" w:type="dxa"/>
                  </w:tcMar>
                  <w:vAlign w:val="center"/>
                </w:tcPr>
                <w:p>
                  <w:pPr>
                    <w:pStyle w:val="26"/>
                  </w:pPr>
                  <w:r>
                    <w:rPr>
                      <w:rFonts w:hint="eastAsia"/>
                    </w:rPr>
                    <w:t>加强环境管理，设置警示牌等设施，对作业人员开展生态环境保护宣传教育，</w:t>
                  </w:r>
                  <w:r>
                    <w:rPr>
                      <w:rFonts w:ascii="宋体" w:hAnsi="宋体" w:cs="宋体"/>
                    </w:rPr>
                    <w:t>完井后须对临时占地范围进行平整</w:t>
                  </w:r>
                </w:p>
              </w:tc>
              <w:tc>
                <w:tcPr>
                  <w:tcW w:w="743" w:type="pct"/>
                  <w:tcMar>
                    <w:top w:w="57" w:type="dxa"/>
                    <w:bottom w:w="57" w:type="dxa"/>
                  </w:tcMar>
                  <w:vAlign w:val="center"/>
                </w:tcPr>
                <w:p>
                  <w:pPr>
                    <w:pStyle w:val="26"/>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71" w:hRule="atLeast"/>
                <w:jc w:val="center"/>
              </w:trPr>
              <w:tc>
                <w:tcPr>
                  <w:tcW w:w="4257" w:type="pct"/>
                  <w:gridSpan w:val="3"/>
                </w:tcPr>
                <w:p>
                  <w:pPr>
                    <w:pStyle w:val="26"/>
                  </w:pPr>
                  <w:r>
                    <w:t>合计</w:t>
                  </w:r>
                </w:p>
              </w:tc>
              <w:tc>
                <w:tcPr>
                  <w:tcW w:w="743" w:type="pct"/>
                  <w:tcMar>
                    <w:top w:w="57" w:type="dxa"/>
                    <w:bottom w:w="57" w:type="dxa"/>
                  </w:tcMar>
                  <w:vAlign w:val="center"/>
                </w:tcPr>
                <w:p>
                  <w:pPr>
                    <w:pStyle w:val="26"/>
                  </w:pPr>
                  <w:r>
                    <w:rPr>
                      <w:rFonts w:hint="eastAsia"/>
                    </w:rPr>
                    <w:t>53</w:t>
                  </w:r>
                </w:p>
              </w:tc>
            </w:tr>
          </w:tbl>
          <w:p/>
        </w:tc>
      </w:tr>
    </w:tbl>
    <w:p/>
    <w:p>
      <w:pPr>
        <w:pStyle w:val="3"/>
      </w:pPr>
      <w:r>
        <w:rPr>
          <w:rFonts w:hint="eastAsia"/>
        </w:rPr>
        <w:t>六、生态环境保护措施监督检查清单</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171"/>
        <w:gridCol w:w="2456"/>
        <w:gridCol w:w="1473"/>
        <w:gridCol w:w="1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8" w:type="pct"/>
            <w:vMerge w:val="restart"/>
            <w:tcBorders>
              <w:top w:val="single" w:color="auto" w:sz="12" w:space="0"/>
              <w:left w:val="single" w:color="auto" w:sz="12" w:space="0"/>
              <w:bottom w:val="single" w:color="auto" w:sz="4" w:space="0"/>
              <w:tl2br w:val="single" w:color="auto" w:sz="4" w:space="0"/>
            </w:tcBorders>
          </w:tcPr>
          <w:p>
            <w:pPr>
              <w:pStyle w:val="26"/>
            </w:pPr>
            <w:r>
              <w:rPr>
                <w:rFonts w:hint="eastAsia"/>
              </w:rPr>
              <w:t>内容</w:t>
            </w:r>
          </w:p>
          <w:p>
            <w:pPr>
              <w:pStyle w:val="26"/>
            </w:pPr>
          </w:p>
          <w:p>
            <w:pPr>
              <w:pStyle w:val="26"/>
            </w:pPr>
            <w:r>
              <w:rPr>
                <w:rFonts w:hint="eastAsia"/>
              </w:rPr>
              <w:t>要素</w:t>
            </w:r>
          </w:p>
        </w:tc>
        <w:tc>
          <w:tcPr>
            <w:tcW w:w="2715" w:type="pct"/>
            <w:gridSpan w:val="2"/>
            <w:tcBorders>
              <w:top w:val="single" w:color="auto" w:sz="12" w:space="0"/>
              <w:bottom w:val="single" w:color="auto" w:sz="4" w:space="0"/>
            </w:tcBorders>
            <w:vAlign w:val="center"/>
          </w:tcPr>
          <w:p>
            <w:pPr>
              <w:pStyle w:val="26"/>
            </w:pPr>
            <w:r>
              <w:rPr>
                <w:rFonts w:hint="eastAsia"/>
              </w:rPr>
              <w:t>施工期</w:t>
            </w:r>
          </w:p>
        </w:tc>
        <w:tc>
          <w:tcPr>
            <w:tcW w:w="1506" w:type="pct"/>
            <w:gridSpan w:val="2"/>
            <w:tcBorders>
              <w:top w:val="single" w:color="auto" w:sz="12" w:space="0"/>
              <w:bottom w:val="single" w:color="auto" w:sz="4" w:space="0"/>
              <w:right w:val="single" w:color="auto" w:sz="12" w:space="0"/>
            </w:tcBorders>
            <w:vAlign w:val="center"/>
          </w:tcPr>
          <w:p>
            <w:pPr>
              <w:pStyle w:val="26"/>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8" w:type="pct"/>
            <w:vMerge w:val="continue"/>
            <w:tcBorders>
              <w:top w:val="single" w:color="auto" w:sz="4" w:space="0"/>
              <w:left w:val="single" w:color="auto" w:sz="12" w:space="0"/>
              <w:bottom w:val="single" w:color="auto" w:sz="4" w:space="0"/>
              <w:tl2br w:val="single" w:color="auto" w:sz="4" w:space="0"/>
            </w:tcBorders>
          </w:tcPr>
          <w:p>
            <w:pPr>
              <w:pStyle w:val="26"/>
            </w:pPr>
          </w:p>
        </w:tc>
        <w:tc>
          <w:tcPr>
            <w:tcW w:w="1274" w:type="pct"/>
            <w:tcBorders>
              <w:top w:val="single" w:color="auto" w:sz="4" w:space="0"/>
              <w:bottom w:val="single" w:color="auto" w:sz="4" w:space="0"/>
            </w:tcBorders>
            <w:vAlign w:val="center"/>
          </w:tcPr>
          <w:p>
            <w:pPr>
              <w:pStyle w:val="26"/>
            </w:pPr>
            <w:r>
              <w:rPr>
                <w:rFonts w:hint="eastAsia"/>
              </w:rPr>
              <w:t>环境保护措施</w:t>
            </w:r>
          </w:p>
        </w:tc>
        <w:tc>
          <w:tcPr>
            <w:tcW w:w="1440" w:type="pct"/>
            <w:tcBorders>
              <w:top w:val="single" w:color="auto" w:sz="4" w:space="0"/>
              <w:bottom w:val="single" w:color="auto" w:sz="4" w:space="0"/>
            </w:tcBorders>
            <w:vAlign w:val="center"/>
          </w:tcPr>
          <w:p>
            <w:pPr>
              <w:pStyle w:val="26"/>
            </w:pPr>
            <w:r>
              <w:rPr>
                <w:rFonts w:hint="eastAsia"/>
              </w:rPr>
              <w:t>验收要求</w:t>
            </w:r>
          </w:p>
        </w:tc>
        <w:tc>
          <w:tcPr>
            <w:tcW w:w="864" w:type="pct"/>
            <w:tcBorders>
              <w:top w:val="single" w:color="auto" w:sz="4" w:space="0"/>
              <w:bottom w:val="single" w:color="auto" w:sz="4" w:space="0"/>
            </w:tcBorders>
            <w:vAlign w:val="center"/>
          </w:tcPr>
          <w:p>
            <w:pPr>
              <w:pStyle w:val="26"/>
            </w:pPr>
            <w:r>
              <w:rPr>
                <w:rFonts w:hint="eastAsia"/>
              </w:rPr>
              <w:t>环境保护措施</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陆生生态</w:t>
            </w:r>
          </w:p>
        </w:tc>
        <w:tc>
          <w:tcPr>
            <w:tcW w:w="1274" w:type="pct"/>
            <w:tcBorders>
              <w:top w:val="single" w:color="auto" w:sz="4" w:space="0"/>
              <w:bottom w:val="single" w:color="auto" w:sz="4" w:space="0"/>
            </w:tcBorders>
            <w:vAlign w:val="center"/>
          </w:tcPr>
          <w:p>
            <w:pPr>
              <w:pStyle w:val="26"/>
            </w:pPr>
            <w:r>
              <w:t>施工期间在项目用地范围内施工，严禁超范围施工，注意对</w:t>
            </w:r>
            <w:r>
              <w:rPr>
                <w:rFonts w:hint="eastAsia"/>
              </w:rPr>
              <w:t>项目周围</w:t>
            </w:r>
            <w:r>
              <w:t>植被的保护，施工结束后及时采取工程和植物措施对临时用地进行迹地恢复</w:t>
            </w:r>
          </w:p>
        </w:tc>
        <w:tc>
          <w:tcPr>
            <w:tcW w:w="1440" w:type="pct"/>
            <w:tcBorders>
              <w:top w:val="single" w:color="auto" w:sz="4" w:space="0"/>
              <w:bottom w:val="single" w:color="auto" w:sz="4" w:space="0"/>
            </w:tcBorders>
            <w:vAlign w:val="center"/>
          </w:tcPr>
          <w:p>
            <w:pPr>
              <w:pStyle w:val="26"/>
              <w:rPr>
                <w:rFonts w:cs="宋体"/>
              </w:rPr>
            </w:pPr>
            <w:r>
              <w:t>严格限制施工作业范围，禁止破坏施工作业外的地表植被，临时占地复垦到原状态</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水生生态</w:t>
            </w:r>
          </w:p>
        </w:tc>
        <w:tc>
          <w:tcPr>
            <w:tcW w:w="1274" w:type="pct"/>
            <w:tcBorders>
              <w:top w:val="single" w:color="auto" w:sz="4" w:space="0"/>
              <w:bottom w:val="single" w:color="auto" w:sz="4" w:space="0"/>
            </w:tcBorders>
            <w:vAlign w:val="center"/>
          </w:tcPr>
          <w:p>
            <w:pPr>
              <w:pStyle w:val="26"/>
            </w:pPr>
            <w:r>
              <w:rPr>
                <w:rFonts w:hint="eastAsia"/>
              </w:rPr>
              <w:t>/</w:t>
            </w:r>
          </w:p>
        </w:tc>
        <w:tc>
          <w:tcPr>
            <w:tcW w:w="1440" w:type="pct"/>
            <w:tcBorders>
              <w:top w:val="single" w:color="auto" w:sz="4" w:space="0"/>
              <w:bottom w:val="single" w:color="auto" w:sz="4" w:space="0"/>
            </w:tcBorders>
            <w:vAlign w:val="center"/>
          </w:tcPr>
          <w:p>
            <w:pPr>
              <w:pStyle w:val="26"/>
            </w:pPr>
            <w:r>
              <w:rPr>
                <w:rFonts w:hint="eastAsia"/>
              </w:rPr>
              <w:t>/</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restart"/>
            <w:tcBorders>
              <w:top w:val="single" w:color="auto" w:sz="4" w:space="0"/>
              <w:left w:val="single" w:color="auto" w:sz="12" w:space="0"/>
              <w:bottom w:val="single" w:color="auto" w:sz="4" w:space="0"/>
            </w:tcBorders>
            <w:vAlign w:val="center"/>
          </w:tcPr>
          <w:p>
            <w:pPr>
              <w:pStyle w:val="26"/>
            </w:pPr>
            <w:r>
              <w:rPr>
                <w:rFonts w:hint="eastAsia"/>
              </w:rPr>
              <w:t>地表水环境</w:t>
            </w:r>
          </w:p>
        </w:tc>
        <w:tc>
          <w:tcPr>
            <w:tcW w:w="1274" w:type="pct"/>
            <w:tcBorders>
              <w:top w:val="single" w:color="auto" w:sz="4" w:space="0"/>
              <w:bottom w:val="single" w:color="auto" w:sz="4" w:space="0"/>
            </w:tcBorders>
            <w:vAlign w:val="center"/>
          </w:tcPr>
          <w:p>
            <w:pPr>
              <w:pStyle w:val="26"/>
              <w:rPr>
                <w:rFonts w:ascii="宋体" w:hAnsi="宋体" w:cs="宋体"/>
              </w:rPr>
            </w:pPr>
            <w:r>
              <w:t>施工</w:t>
            </w:r>
            <w:r>
              <w:rPr>
                <w:rFonts w:hint="eastAsia"/>
              </w:rPr>
              <w:t>生产</w:t>
            </w:r>
            <w:r>
              <w:t>废水沉淀池（5</w:t>
            </w:r>
            <w:r>
              <w:rPr>
                <w:rFonts w:hint="eastAsia"/>
              </w:rPr>
              <w:t>m</w:t>
            </w:r>
            <w:r>
              <w:rPr>
                <w:rFonts w:hint="eastAsia"/>
                <w:vertAlign w:val="superscript"/>
              </w:rPr>
              <w:t>3</w:t>
            </w:r>
            <w:r>
              <w:t>）</w:t>
            </w:r>
          </w:p>
        </w:tc>
        <w:tc>
          <w:tcPr>
            <w:tcW w:w="1440" w:type="pct"/>
            <w:tcBorders>
              <w:top w:val="single" w:color="auto" w:sz="4" w:space="0"/>
              <w:bottom w:val="single" w:color="auto" w:sz="4" w:space="0"/>
            </w:tcBorders>
            <w:vAlign w:val="center"/>
          </w:tcPr>
          <w:p>
            <w:pPr>
              <w:pStyle w:val="26"/>
              <w:rPr>
                <w:rFonts w:ascii="宋体" w:hAnsi="宋体" w:cs="宋体"/>
              </w:rPr>
            </w:pPr>
            <w:r>
              <w:rPr>
                <w:rFonts w:hint="eastAsia"/>
              </w:rPr>
              <w:t>循环利用，不外排</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continue"/>
            <w:tcBorders>
              <w:top w:val="single" w:color="auto" w:sz="4" w:space="0"/>
              <w:left w:val="single" w:color="auto" w:sz="12" w:space="0"/>
              <w:bottom w:val="single" w:color="auto" w:sz="4" w:space="0"/>
            </w:tcBorders>
            <w:vAlign w:val="center"/>
          </w:tcPr>
          <w:p>
            <w:pPr>
              <w:pStyle w:val="26"/>
            </w:pPr>
          </w:p>
        </w:tc>
        <w:tc>
          <w:tcPr>
            <w:tcW w:w="1274" w:type="pct"/>
            <w:tcBorders>
              <w:top w:val="single" w:color="auto" w:sz="4" w:space="0"/>
              <w:bottom w:val="single" w:color="auto" w:sz="4" w:space="0"/>
            </w:tcBorders>
            <w:vAlign w:val="center"/>
          </w:tcPr>
          <w:p>
            <w:pPr>
              <w:pStyle w:val="26"/>
              <w:jc w:val="both"/>
            </w:pPr>
            <w:r>
              <w:rPr>
                <w:rFonts w:hint="eastAsia"/>
              </w:rPr>
              <w:t>生活污水进入防渗化粪池（10m</w:t>
            </w:r>
            <w:r>
              <w:rPr>
                <w:rFonts w:hint="eastAsia"/>
                <w:vertAlign w:val="superscript"/>
              </w:rPr>
              <w:t>3</w:t>
            </w:r>
            <w:r>
              <w:rPr>
                <w:rFonts w:hint="eastAsia"/>
              </w:rPr>
              <w:t>）处理后自然蒸发</w:t>
            </w:r>
          </w:p>
        </w:tc>
        <w:tc>
          <w:tcPr>
            <w:tcW w:w="1440" w:type="pct"/>
            <w:tcBorders>
              <w:top w:val="single" w:color="auto" w:sz="4" w:space="0"/>
              <w:bottom w:val="single" w:color="auto" w:sz="4" w:space="0"/>
            </w:tcBorders>
            <w:vAlign w:val="center"/>
          </w:tcPr>
          <w:p>
            <w:pPr>
              <w:pStyle w:val="26"/>
            </w:pPr>
            <w:r>
              <w:rPr>
                <w:rFonts w:hint="eastAsia"/>
              </w:rPr>
              <w:t>生活污水进入防渗化粪池（10m</w:t>
            </w:r>
            <w:r>
              <w:rPr>
                <w:rFonts w:hint="eastAsia"/>
                <w:vertAlign w:val="superscript"/>
              </w:rPr>
              <w:t>3</w:t>
            </w:r>
            <w:r>
              <w:rPr>
                <w:rFonts w:hint="eastAsia"/>
              </w:rPr>
              <w:t>）处理后自然蒸发</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地下水及土壤环境</w:t>
            </w:r>
          </w:p>
        </w:tc>
        <w:tc>
          <w:tcPr>
            <w:tcW w:w="1274" w:type="pct"/>
            <w:tcBorders>
              <w:top w:val="single" w:color="auto" w:sz="4" w:space="0"/>
              <w:bottom w:val="single" w:color="auto" w:sz="4" w:space="0"/>
            </w:tcBorders>
            <w:vAlign w:val="center"/>
          </w:tcPr>
          <w:p>
            <w:pPr>
              <w:pStyle w:val="26"/>
            </w:pPr>
            <w:r>
              <w:rPr>
                <w:rFonts w:hint="eastAsia"/>
              </w:rPr>
              <w:t>/</w:t>
            </w:r>
          </w:p>
        </w:tc>
        <w:tc>
          <w:tcPr>
            <w:tcW w:w="1440" w:type="pct"/>
            <w:tcBorders>
              <w:top w:val="single" w:color="auto" w:sz="4" w:space="0"/>
              <w:bottom w:val="single" w:color="auto" w:sz="4" w:space="0"/>
            </w:tcBorders>
            <w:vAlign w:val="center"/>
          </w:tcPr>
          <w:p>
            <w:pPr>
              <w:pStyle w:val="26"/>
            </w:pPr>
            <w:r>
              <w:rPr>
                <w:rFonts w:hint="eastAsia"/>
              </w:rPr>
              <w:t>/</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声环境</w:t>
            </w:r>
          </w:p>
        </w:tc>
        <w:tc>
          <w:tcPr>
            <w:tcW w:w="1274" w:type="pct"/>
            <w:tcBorders>
              <w:top w:val="single" w:color="auto" w:sz="4" w:space="0"/>
              <w:bottom w:val="single" w:color="auto" w:sz="4" w:space="0"/>
            </w:tcBorders>
            <w:vAlign w:val="center"/>
          </w:tcPr>
          <w:p>
            <w:pPr>
              <w:pStyle w:val="26"/>
              <w:rPr>
                <w:rFonts w:ascii="宋体" w:hAnsi="宋体" w:cs="宋体"/>
              </w:rPr>
            </w:pPr>
            <w:r>
              <w:rPr>
                <w:rFonts w:hint="eastAsia"/>
              </w:rPr>
              <w:t>夜间应禁止施工作业；合理进行施工总平布置；采用低噪声设备并做好施工机械的保养和维护；对高噪声设备采取隔声措施</w:t>
            </w:r>
          </w:p>
        </w:tc>
        <w:tc>
          <w:tcPr>
            <w:tcW w:w="1440" w:type="pct"/>
            <w:tcBorders>
              <w:top w:val="single" w:color="auto" w:sz="4" w:space="0"/>
              <w:bottom w:val="single" w:color="auto" w:sz="4" w:space="0"/>
            </w:tcBorders>
            <w:vAlign w:val="center"/>
          </w:tcPr>
          <w:p>
            <w:pPr>
              <w:pStyle w:val="26"/>
              <w:rPr>
                <w:rFonts w:ascii="宋体" w:hAnsi="宋体" w:cs="宋体"/>
              </w:rPr>
            </w:pPr>
            <w:r>
              <w:rPr>
                <w:rFonts w:hint="eastAsia"/>
              </w:rPr>
              <w:t>《工业企业厂界环境噪声排放标准》（GB12348-2008）中的2类标准</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振动</w:t>
            </w:r>
          </w:p>
        </w:tc>
        <w:tc>
          <w:tcPr>
            <w:tcW w:w="1274" w:type="pct"/>
            <w:tcBorders>
              <w:top w:val="single" w:color="auto" w:sz="4" w:space="0"/>
              <w:bottom w:val="single" w:color="auto" w:sz="4" w:space="0"/>
            </w:tcBorders>
            <w:vAlign w:val="center"/>
          </w:tcPr>
          <w:p>
            <w:pPr>
              <w:pStyle w:val="26"/>
            </w:pPr>
            <w:r>
              <w:rPr>
                <w:rFonts w:hint="eastAsia"/>
              </w:rPr>
              <w:t>/</w:t>
            </w:r>
          </w:p>
        </w:tc>
        <w:tc>
          <w:tcPr>
            <w:tcW w:w="1440" w:type="pct"/>
            <w:tcBorders>
              <w:top w:val="single" w:color="auto" w:sz="4" w:space="0"/>
              <w:bottom w:val="single" w:color="auto" w:sz="4" w:space="0"/>
            </w:tcBorders>
            <w:vAlign w:val="center"/>
          </w:tcPr>
          <w:p>
            <w:pPr>
              <w:pStyle w:val="26"/>
            </w:pPr>
            <w:r>
              <w:rPr>
                <w:rFonts w:hint="eastAsia"/>
              </w:rPr>
              <w:t>/</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restart"/>
            <w:tcBorders>
              <w:top w:val="single" w:color="auto" w:sz="4" w:space="0"/>
              <w:left w:val="single" w:color="auto" w:sz="12" w:space="0"/>
              <w:bottom w:val="single" w:color="auto" w:sz="4" w:space="0"/>
            </w:tcBorders>
            <w:vAlign w:val="center"/>
          </w:tcPr>
          <w:p>
            <w:pPr>
              <w:pStyle w:val="26"/>
            </w:pPr>
            <w:r>
              <w:rPr>
                <w:rFonts w:hint="eastAsia"/>
              </w:rPr>
              <w:t>大气环境</w:t>
            </w:r>
          </w:p>
        </w:tc>
        <w:tc>
          <w:tcPr>
            <w:tcW w:w="1274" w:type="pct"/>
            <w:tcBorders>
              <w:top w:val="single" w:color="auto" w:sz="4" w:space="0"/>
              <w:bottom w:val="single" w:color="auto" w:sz="4" w:space="0"/>
            </w:tcBorders>
            <w:vAlign w:val="center"/>
          </w:tcPr>
          <w:p>
            <w:pPr>
              <w:pStyle w:val="26"/>
            </w:pPr>
            <w:r>
              <w:rPr>
                <w:rFonts w:hint="eastAsia"/>
              </w:rPr>
              <w:t>施工扬尘设置围挡、洒水降尘</w:t>
            </w:r>
          </w:p>
        </w:tc>
        <w:tc>
          <w:tcPr>
            <w:tcW w:w="1440" w:type="pct"/>
            <w:tcBorders>
              <w:top w:val="single" w:color="auto" w:sz="4" w:space="0"/>
              <w:bottom w:val="single" w:color="auto" w:sz="4" w:space="0"/>
            </w:tcBorders>
            <w:vAlign w:val="center"/>
          </w:tcPr>
          <w:p>
            <w:pPr>
              <w:pStyle w:val="26"/>
            </w:pPr>
            <w:r>
              <w:t>《大气污染物</w:t>
            </w:r>
            <w:r>
              <w:rPr>
                <w:rFonts w:hint="eastAsia"/>
              </w:rPr>
              <w:t>综合</w:t>
            </w:r>
            <w:r>
              <w:t>排放标准》（GB16297-1996）二级标准</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vMerge w:val="continue"/>
            <w:tcBorders>
              <w:top w:val="single" w:color="auto" w:sz="4" w:space="0"/>
              <w:left w:val="single" w:color="auto" w:sz="12" w:space="0"/>
              <w:bottom w:val="single" w:color="auto" w:sz="4" w:space="0"/>
            </w:tcBorders>
            <w:vAlign w:val="center"/>
          </w:tcPr>
          <w:p>
            <w:pPr>
              <w:pStyle w:val="26"/>
            </w:pPr>
          </w:p>
        </w:tc>
        <w:tc>
          <w:tcPr>
            <w:tcW w:w="1274" w:type="pct"/>
            <w:tcBorders>
              <w:top w:val="single" w:color="auto" w:sz="4" w:space="0"/>
              <w:bottom w:val="single" w:color="auto" w:sz="4" w:space="0"/>
            </w:tcBorders>
            <w:vAlign w:val="center"/>
          </w:tcPr>
          <w:p>
            <w:pPr>
              <w:pStyle w:val="26"/>
            </w:pPr>
            <w:r>
              <w:rPr>
                <w:rFonts w:hint="eastAsia"/>
              </w:rPr>
              <w:t>施工机械尾气自然扩散</w:t>
            </w:r>
          </w:p>
        </w:tc>
        <w:tc>
          <w:tcPr>
            <w:tcW w:w="1440" w:type="pct"/>
            <w:tcBorders>
              <w:top w:val="single" w:color="auto" w:sz="4" w:space="0"/>
              <w:bottom w:val="single" w:color="auto" w:sz="4" w:space="0"/>
            </w:tcBorders>
            <w:vAlign w:val="center"/>
          </w:tcPr>
          <w:p>
            <w:pPr>
              <w:pStyle w:val="26"/>
              <w:rPr>
                <w:rFonts w:ascii="宋体" w:hAnsi="宋体" w:cs="宋体"/>
                <w:szCs w:val="21"/>
              </w:rPr>
            </w:pPr>
            <w:r>
              <w:t>《非道路移动机械用柴油机排气污染物排放限值及测量方法（中国第三、四阶段）》（GB20891-2014）</w:t>
            </w:r>
            <w:r>
              <w:rPr>
                <w:rFonts w:hint="eastAsia"/>
              </w:rPr>
              <w:t>表2</w:t>
            </w:r>
          </w:p>
        </w:tc>
        <w:tc>
          <w:tcPr>
            <w:tcW w:w="864" w:type="pct"/>
            <w:tcBorders>
              <w:top w:val="single" w:color="auto" w:sz="4" w:space="0"/>
              <w:bottom w:val="single" w:color="auto" w:sz="4" w:space="0"/>
            </w:tcBorders>
            <w:vAlign w:val="center"/>
          </w:tcPr>
          <w:p>
            <w:pPr>
              <w:pStyle w:val="26"/>
            </w:pPr>
          </w:p>
        </w:tc>
        <w:tc>
          <w:tcPr>
            <w:tcW w:w="642" w:type="pct"/>
            <w:tcBorders>
              <w:top w:val="single" w:color="auto" w:sz="4" w:space="0"/>
              <w:bottom w:val="single" w:color="auto" w:sz="4" w:space="0"/>
              <w:right w:val="single" w:color="auto" w:sz="12" w:space="0"/>
            </w:tcBorders>
            <w:vAlign w:val="center"/>
          </w:tcPr>
          <w:p>
            <w:pPr>
              <w:pStyle w:val="2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固体废物</w:t>
            </w:r>
          </w:p>
        </w:tc>
        <w:tc>
          <w:tcPr>
            <w:tcW w:w="1274" w:type="pct"/>
            <w:tcBorders>
              <w:top w:val="single" w:color="auto" w:sz="4" w:space="0"/>
              <w:bottom w:val="single" w:color="auto" w:sz="4" w:space="0"/>
            </w:tcBorders>
            <w:vAlign w:val="center"/>
          </w:tcPr>
          <w:p>
            <w:pPr>
              <w:pStyle w:val="26"/>
              <w:jc w:val="both"/>
              <w:rPr>
                <w:rFonts w:ascii="宋体" w:hAnsi="宋体" w:cs="宋体"/>
              </w:rPr>
            </w:pPr>
            <w:r>
              <w:t>临时弃土单独存放，最终回填；钻探泥浆带施工结束后统一固化填埋；日常维修产生的废机油暂存于危废暂存间</w:t>
            </w:r>
            <w:r>
              <w:rPr>
                <w:rFonts w:hint="eastAsia"/>
              </w:rPr>
              <w:t>（约</w:t>
            </w:r>
            <w:r>
              <w:t>5</w:t>
            </w:r>
            <w:r>
              <w:rPr>
                <w:rFonts w:hint="eastAsia"/>
              </w:rPr>
              <w:t>m</w:t>
            </w:r>
            <w:r>
              <w:rPr>
                <w:rFonts w:hint="eastAsia"/>
                <w:vertAlign w:val="superscript"/>
              </w:rPr>
              <w:t>2</w:t>
            </w:r>
            <w:r>
              <w:rPr>
                <w:rFonts w:hint="eastAsia"/>
              </w:rPr>
              <w:t>）</w:t>
            </w:r>
            <w:r>
              <w:t>，交由有危废处置资质单位处理；生活垃圾集中收集后统一拉运到垃圾填埋场进行填埋；化粪池污泥定期清掏，交由周边农户作为农肥消耗</w:t>
            </w:r>
            <w:r>
              <w:rPr>
                <w:rFonts w:hint="eastAsia"/>
              </w:rPr>
              <w:t>；钻孔岩屑用于封孔，对钻孔进行密封；岩心委托第三方进行分析，分析完成后由第三方妥善保存在专门的岩心库中</w:t>
            </w:r>
          </w:p>
        </w:tc>
        <w:tc>
          <w:tcPr>
            <w:tcW w:w="1440" w:type="pct"/>
            <w:tcBorders>
              <w:top w:val="single" w:color="auto" w:sz="4" w:space="0"/>
              <w:bottom w:val="single" w:color="auto" w:sz="4" w:space="0"/>
            </w:tcBorders>
            <w:vAlign w:val="center"/>
          </w:tcPr>
          <w:p>
            <w:pPr>
              <w:pStyle w:val="26"/>
              <w:rPr>
                <w:rFonts w:ascii="宋体" w:hAnsi="宋体" w:cs="宋体"/>
              </w:rPr>
            </w:pPr>
            <w:r>
              <w:t>施工期的固废妥善的处理</w:t>
            </w:r>
            <w:r>
              <w:rPr>
                <w:rFonts w:hint="eastAsia"/>
              </w:rPr>
              <w:t>，不随意堆弃</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电磁环境</w:t>
            </w:r>
          </w:p>
        </w:tc>
        <w:tc>
          <w:tcPr>
            <w:tcW w:w="1274" w:type="pct"/>
            <w:tcBorders>
              <w:top w:val="single" w:color="auto" w:sz="4" w:space="0"/>
              <w:bottom w:val="single" w:color="auto" w:sz="4" w:space="0"/>
            </w:tcBorders>
            <w:vAlign w:val="center"/>
          </w:tcPr>
          <w:p>
            <w:pPr>
              <w:pStyle w:val="26"/>
            </w:pPr>
            <w:r>
              <w:rPr>
                <w:rFonts w:hint="eastAsia"/>
              </w:rPr>
              <w:t>/</w:t>
            </w:r>
          </w:p>
        </w:tc>
        <w:tc>
          <w:tcPr>
            <w:tcW w:w="1440" w:type="pct"/>
            <w:tcBorders>
              <w:top w:val="single" w:color="auto" w:sz="4" w:space="0"/>
              <w:bottom w:val="single" w:color="auto" w:sz="4" w:space="0"/>
            </w:tcBorders>
            <w:vAlign w:val="center"/>
          </w:tcPr>
          <w:p>
            <w:pPr>
              <w:pStyle w:val="26"/>
            </w:pPr>
            <w:r>
              <w:rPr>
                <w:rFonts w:hint="eastAsia"/>
              </w:rPr>
              <w:t>/</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环境风险</w:t>
            </w:r>
          </w:p>
        </w:tc>
        <w:tc>
          <w:tcPr>
            <w:tcW w:w="1274" w:type="pct"/>
            <w:tcBorders>
              <w:top w:val="single" w:color="auto" w:sz="4" w:space="0"/>
              <w:bottom w:val="single" w:color="auto" w:sz="4" w:space="0"/>
            </w:tcBorders>
            <w:vAlign w:val="center"/>
          </w:tcPr>
          <w:p>
            <w:pPr>
              <w:pStyle w:val="26"/>
            </w:pPr>
            <w:r>
              <w:rPr>
                <w:rFonts w:hint="eastAsia"/>
                <w:color w:val="000000"/>
              </w:rPr>
              <w:t>加强柴油、废机油风险管理</w:t>
            </w:r>
          </w:p>
        </w:tc>
        <w:tc>
          <w:tcPr>
            <w:tcW w:w="1440" w:type="pct"/>
            <w:tcBorders>
              <w:top w:val="single" w:color="auto" w:sz="4" w:space="0"/>
              <w:bottom w:val="single" w:color="auto" w:sz="4" w:space="0"/>
            </w:tcBorders>
            <w:vAlign w:val="center"/>
          </w:tcPr>
          <w:p>
            <w:pPr>
              <w:pStyle w:val="26"/>
            </w:pPr>
            <w:r>
              <w:rPr>
                <w:rFonts w:hint="eastAsia"/>
                <w:color w:val="000000"/>
              </w:rPr>
              <w:t>勘探期间不得发生重大环境事故</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4" w:space="0"/>
            </w:tcBorders>
            <w:vAlign w:val="center"/>
          </w:tcPr>
          <w:p>
            <w:pPr>
              <w:pStyle w:val="26"/>
            </w:pPr>
            <w:r>
              <w:rPr>
                <w:rFonts w:hint="eastAsia"/>
              </w:rPr>
              <w:t>环境监测</w:t>
            </w:r>
          </w:p>
        </w:tc>
        <w:tc>
          <w:tcPr>
            <w:tcW w:w="1274" w:type="pct"/>
            <w:tcBorders>
              <w:top w:val="single" w:color="auto" w:sz="4" w:space="0"/>
              <w:bottom w:val="single" w:color="auto" w:sz="4" w:space="0"/>
            </w:tcBorders>
            <w:vAlign w:val="center"/>
          </w:tcPr>
          <w:p>
            <w:pPr>
              <w:pStyle w:val="26"/>
            </w:pPr>
            <w:r>
              <w:rPr>
                <w:rFonts w:hint="eastAsia"/>
              </w:rPr>
              <w:t>/</w:t>
            </w:r>
          </w:p>
        </w:tc>
        <w:tc>
          <w:tcPr>
            <w:tcW w:w="1440" w:type="pct"/>
            <w:tcBorders>
              <w:top w:val="single" w:color="auto" w:sz="4" w:space="0"/>
              <w:bottom w:val="single" w:color="auto" w:sz="4" w:space="0"/>
            </w:tcBorders>
            <w:vAlign w:val="center"/>
          </w:tcPr>
          <w:p>
            <w:pPr>
              <w:pStyle w:val="26"/>
            </w:pPr>
            <w:r>
              <w:rPr>
                <w:rFonts w:hint="eastAsia"/>
              </w:rPr>
              <w:t>/</w:t>
            </w:r>
          </w:p>
        </w:tc>
        <w:tc>
          <w:tcPr>
            <w:tcW w:w="864" w:type="pct"/>
            <w:tcBorders>
              <w:top w:val="single" w:color="auto" w:sz="4" w:space="0"/>
              <w:bottom w:val="single" w:color="auto" w:sz="4" w:space="0"/>
            </w:tcBorders>
            <w:vAlign w:val="center"/>
          </w:tcPr>
          <w:p>
            <w:pPr>
              <w:pStyle w:val="26"/>
            </w:pPr>
            <w:r>
              <w:rPr>
                <w:rFonts w:hint="eastAsia"/>
              </w:rPr>
              <w:t>/</w:t>
            </w:r>
          </w:p>
        </w:tc>
        <w:tc>
          <w:tcPr>
            <w:tcW w:w="642" w:type="pct"/>
            <w:tcBorders>
              <w:top w:val="single" w:color="auto" w:sz="4" w:space="0"/>
              <w:bottom w:val="single" w:color="auto" w:sz="4" w:space="0"/>
              <w:right w:val="single" w:color="auto" w:sz="12" w:space="0"/>
            </w:tcBorders>
            <w:vAlign w:val="center"/>
          </w:tcPr>
          <w:p>
            <w:pPr>
              <w:pStyle w:val="26"/>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pct"/>
            <w:tcBorders>
              <w:top w:val="single" w:color="auto" w:sz="4" w:space="0"/>
              <w:left w:val="single" w:color="auto" w:sz="12" w:space="0"/>
              <w:bottom w:val="single" w:color="auto" w:sz="12" w:space="0"/>
            </w:tcBorders>
            <w:vAlign w:val="center"/>
          </w:tcPr>
          <w:p>
            <w:pPr>
              <w:pStyle w:val="26"/>
            </w:pPr>
            <w:r>
              <w:rPr>
                <w:rFonts w:hint="eastAsia"/>
              </w:rPr>
              <w:t>其他</w:t>
            </w:r>
          </w:p>
        </w:tc>
        <w:tc>
          <w:tcPr>
            <w:tcW w:w="1274" w:type="pct"/>
            <w:tcBorders>
              <w:top w:val="single" w:color="auto" w:sz="4" w:space="0"/>
              <w:bottom w:val="single" w:color="auto" w:sz="12" w:space="0"/>
            </w:tcBorders>
            <w:vAlign w:val="center"/>
          </w:tcPr>
          <w:p>
            <w:pPr>
              <w:pStyle w:val="26"/>
            </w:pPr>
            <w:r>
              <w:rPr>
                <w:rFonts w:hint="eastAsia"/>
              </w:rPr>
              <w:t>/</w:t>
            </w:r>
          </w:p>
        </w:tc>
        <w:tc>
          <w:tcPr>
            <w:tcW w:w="1440" w:type="pct"/>
            <w:tcBorders>
              <w:top w:val="single" w:color="auto" w:sz="4" w:space="0"/>
              <w:bottom w:val="single" w:color="auto" w:sz="12" w:space="0"/>
            </w:tcBorders>
            <w:vAlign w:val="center"/>
          </w:tcPr>
          <w:p>
            <w:pPr>
              <w:pStyle w:val="26"/>
            </w:pPr>
            <w:r>
              <w:rPr>
                <w:rFonts w:hint="eastAsia"/>
              </w:rPr>
              <w:t>/</w:t>
            </w:r>
          </w:p>
        </w:tc>
        <w:tc>
          <w:tcPr>
            <w:tcW w:w="864" w:type="pct"/>
            <w:tcBorders>
              <w:top w:val="single" w:color="auto" w:sz="4" w:space="0"/>
              <w:bottom w:val="single" w:color="auto" w:sz="12" w:space="0"/>
            </w:tcBorders>
            <w:vAlign w:val="center"/>
          </w:tcPr>
          <w:p>
            <w:pPr>
              <w:pStyle w:val="26"/>
            </w:pPr>
            <w:r>
              <w:rPr>
                <w:rFonts w:hint="eastAsia"/>
              </w:rPr>
              <w:t>/</w:t>
            </w:r>
          </w:p>
        </w:tc>
        <w:tc>
          <w:tcPr>
            <w:tcW w:w="642" w:type="pct"/>
            <w:tcBorders>
              <w:top w:val="single" w:color="auto" w:sz="4" w:space="0"/>
              <w:bottom w:val="single" w:color="auto" w:sz="12" w:space="0"/>
              <w:right w:val="single" w:color="auto" w:sz="12" w:space="0"/>
            </w:tcBorders>
            <w:vAlign w:val="center"/>
          </w:tcPr>
          <w:p>
            <w:pPr>
              <w:pStyle w:val="26"/>
            </w:pPr>
            <w:r>
              <w:rPr>
                <w:rFonts w:hint="eastAsia"/>
              </w:rPr>
              <w:t>/</w:t>
            </w:r>
          </w:p>
        </w:tc>
      </w:tr>
    </w:tbl>
    <w:p>
      <w:pPr>
        <w:pStyle w:val="3"/>
      </w:pPr>
      <w:r>
        <w:rPr>
          <w:rFonts w:hint="eastAsia"/>
        </w:rPr>
        <w:t>七、结论</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08" w:hRule="atLeast"/>
          <w:jc w:val="center"/>
        </w:trPr>
        <w:tc>
          <w:tcPr>
            <w:tcW w:w="5000" w:type="pct"/>
          </w:tcPr>
          <w:p>
            <w:pPr>
              <w:ind w:firstLine="482"/>
              <w:rPr>
                <w:b/>
                <w:bCs/>
              </w:rPr>
            </w:pPr>
            <w:r>
              <w:rPr>
                <w:rFonts w:hint="eastAsia"/>
                <w:b/>
                <w:bCs/>
                <w:szCs w:val="32"/>
              </w:rPr>
              <w:t>1、建设项目环境可行性结论</w:t>
            </w:r>
          </w:p>
          <w:p>
            <w:r>
              <w:rPr>
                <w:rFonts w:hint="eastAsia"/>
              </w:rPr>
              <w:t>本项目符合国家产业政策。该项目工程区内不涉及集中式饮用水源保护区、不涉及保护文物、不涉及风景名胜区及生态敏感区，不会对当地城镇发展规划造成影响。项目拟采取的三废治理措施有效可行。该项工程采取的环境风险措施切实可行。在落实风险防范措施后，环境风险达到可以接受水平。</w:t>
            </w:r>
          </w:p>
          <w:p>
            <w:r>
              <w:rPr>
                <w:rFonts w:hint="eastAsia"/>
              </w:rPr>
              <w:t>综上所述，在施工过程中强化环保管理，落实各项环保措施，保证各项设施正常运行，从环境保护角度分析，本项目建设是可行的。</w:t>
            </w:r>
          </w:p>
          <w:p>
            <w:pPr>
              <w:pStyle w:val="15"/>
              <w:ind w:firstLine="482" w:firstLineChars="200"/>
              <w:jc w:val="both"/>
            </w:pPr>
            <w:r>
              <w:t>2</w:t>
            </w:r>
            <w:r>
              <w:rPr>
                <w:rFonts w:hint="eastAsia"/>
              </w:rPr>
              <w:t>、建议</w:t>
            </w:r>
          </w:p>
          <w:p>
            <w:r>
              <w:rPr>
                <w:rFonts w:hint="eastAsia"/>
              </w:rPr>
              <w:t>（</w:t>
            </w:r>
            <w:r>
              <w:t>1</w:t>
            </w:r>
            <w:r>
              <w:rPr>
                <w:rFonts w:hint="eastAsia"/>
              </w:rPr>
              <w:t>）认真落实“三废”及噪声等环保措施，确保钻井废水处理达标后排放，固体废物得到有效处置，设备噪声得到有效控制，以保护环境不受影响。</w:t>
            </w:r>
          </w:p>
          <w:p>
            <w:r>
              <w:rPr>
                <w:rFonts w:hint="eastAsia"/>
              </w:rPr>
              <w:t>（</w:t>
            </w:r>
            <w:r>
              <w:t>2</w:t>
            </w:r>
            <w:r>
              <w:rPr>
                <w:rFonts w:hint="eastAsia"/>
              </w:rPr>
              <w:t>）加强废水、固体废物储运过程管理，建立相应的管理制度。</w:t>
            </w:r>
          </w:p>
          <w:p/>
          <w:p/>
          <w:p/>
          <w:p/>
          <w:p/>
          <w:p/>
          <w:p/>
          <w:p/>
          <w:p/>
          <w:p/>
          <w:p>
            <w:pPr>
              <w:ind w:firstLine="0" w:firstLineChars="0"/>
            </w:pPr>
          </w:p>
        </w:tc>
      </w:tr>
    </w:tbl>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435440"/>
    </w:sdtPr>
    <w:sdtContent>
      <w:p>
        <w:pPr>
          <w:pStyle w:val="11"/>
          <w:ind w:firstLine="360"/>
          <w:jc w:val="center"/>
        </w:pPr>
        <w:r>
          <w:fldChar w:fldCharType="begin"/>
        </w:r>
        <w:r>
          <w:instrText xml:space="preserve">PAGE   \* MERGEFORMAT</w:instrText>
        </w:r>
        <w:r>
          <w:fldChar w:fldCharType="separate"/>
        </w:r>
        <w:r>
          <w:rPr>
            <w:lang w:val="zh-CN"/>
          </w:rPr>
          <w:t>2</w:t>
        </w:r>
        <w: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FEB84"/>
    <w:multiLevelType w:val="singleLevel"/>
    <w:tmpl w:val="070FEB84"/>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0882F582"/>
    <w:multiLevelType w:val="singleLevel"/>
    <w:tmpl w:val="0882F582"/>
    <w:lvl w:ilvl="0" w:tentative="0">
      <w:start w:val="4"/>
      <w:numFmt w:val="decimal"/>
      <w:suff w:val="nothing"/>
      <w:lvlText w:val="（%1）"/>
      <w:lvlJc w:val="left"/>
    </w:lvl>
  </w:abstractNum>
  <w:abstractNum w:abstractNumId="2">
    <w:nsid w:val="50DDF1D6"/>
    <w:multiLevelType w:val="singleLevel"/>
    <w:tmpl w:val="50DDF1D6"/>
    <w:lvl w:ilvl="0" w:tentative="0">
      <w:start w:val="3"/>
      <w:numFmt w:val="decimal"/>
      <w:suff w:val="nothing"/>
      <w:lvlText w:val="%1、"/>
      <w:lvlJc w:val="left"/>
    </w:lvl>
  </w:abstractNum>
  <w:abstractNum w:abstractNumId="3">
    <w:nsid w:val="561E173D"/>
    <w:multiLevelType w:val="multilevel"/>
    <w:tmpl w:val="561E173D"/>
    <w:lvl w:ilvl="0" w:tentative="0">
      <w:start w:val="1"/>
      <w:numFmt w:val="decimal"/>
      <w:suff w:val="space"/>
      <w:lvlText w:val="%1"/>
      <w:lvlJc w:val="left"/>
      <w:pPr>
        <w:tabs>
          <w:tab w:val="left" w:pos="0"/>
        </w:tabs>
        <w:ind w:left="0" w:firstLine="0"/>
      </w:pPr>
      <w:rPr>
        <w:rFonts w:hint="default" w:ascii="Times New Roman" w:hAnsi="Times New Roman" w:eastAsia="宋体" w:cs="宋体"/>
      </w:rPr>
    </w:lvl>
    <w:lvl w:ilvl="1" w:tentative="0">
      <w:start w:val="1"/>
      <w:numFmt w:val="decimal"/>
      <w:suff w:val="space"/>
      <w:lvlText w:val="%1.%2"/>
      <w:lvlJc w:val="left"/>
      <w:pPr>
        <w:tabs>
          <w:tab w:val="left" w:pos="0"/>
        </w:tabs>
        <w:ind w:left="0" w:firstLine="0"/>
      </w:pPr>
      <w:rPr>
        <w:rFonts w:hint="default" w:ascii="Times New Roman" w:hAnsi="Times New Roman" w:eastAsia="宋体" w:cs="宋体"/>
      </w:rPr>
    </w:lvl>
    <w:lvl w:ilvl="2" w:tentative="0">
      <w:start w:val="1"/>
      <w:numFmt w:val="decimal"/>
      <w:suff w:val="space"/>
      <w:lvlText w:val="%1.%2.%3"/>
      <w:lvlJc w:val="left"/>
      <w:pPr>
        <w:tabs>
          <w:tab w:val="left" w:pos="0"/>
        </w:tabs>
        <w:ind w:left="0" w:firstLine="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ZGQ1YjY3YWE4ZjQxNzM3Mjc0MGM1ZTljYWMwNWUifQ=="/>
    <w:docVar w:name="KSO_WPS_MARK_KEY" w:val="aea58b2c-c1a0-4abd-abd3-756cc749d8cb"/>
  </w:docVars>
  <w:rsids>
    <w:rsidRoot w:val="005735F7"/>
    <w:rsid w:val="000061C2"/>
    <w:rsid w:val="0001101C"/>
    <w:rsid w:val="00017565"/>
    <w:rsid w:val="00022367"/>
    <w:rsid w:val="00022438"/>
    <w:rsid w:val="00030E15"/>
    <w:rsid w:val="000311A4"/>
    <w:rsid w:val="00033F0F"/>
    <w:rsid w:val="00042D20"/>
    <w:rsid w:val="0004628B"/>
    <w:rsid w:val="00071D33"/>
    <w:rsid w:val="0007550F"/>
    <w:rsid w:val="000765EF"/>
    <w:rsid w:val="00087B0D"/>
    <w:rsid w:val="000918C9"/>
    <w:rsid w:val="00095F14"/>
    <w:rsid w:val="000A051B"/>
    <w:rsid w:val="000A242F"/>
    <w:rsid w:val="000A7EF2"/>
    <w:rsid w:val="000B2D47"/>
    <w:rsid w:val="000B61F4"/>
    <w:rsid w:val="000B739D"/>
    <w:rsid w:val="000E1410"/>
    <w:rsid w:val="000F7164"/>
    <w:rsid w:val="00114196"/>
    <w:rsid w:val="001216A3"/>
    <w:rsid w:val="00121AA4"/>
    <w:rsid w:val="001263DA"/>
    <w:rsid w:val="00134D95"/>
    <w:rsid w:val="00142FB9"/>
    <w:rsid w:val="0015152E"/>
    <w:rsid w:val="00151813"/>
    <w:rsid w:val="00155D66"/>
    <w:rsid w:val="0016750E"/>
    <w:rsid w:val="00170935"/>
    <w:rsid w:val="001721D7"/>
    <w:rsid w:val="001737E2"/>
    <w:rsid w:val="00174D8D"/>
    <w:rsid w:val="00182689"/>
    <w:rsid w:val="00194B31"/>
    <w:rsid w:val="001961DE"/>
    <w:rsid w:val="001969E6"/>
    <w:rsid w:val="001A0B8C"/>
    <w:rsid w:val="001A5E76"/>
    <w:rsid w:val="001B32BD"/>
    <w:rsid w:val="001B45EB"/>
    <w:rsid w:val="001E3A4E"/>
    <w:rsid w:val="001E6250"/>
    <w:rsid w:val="001E7CEA"/>
    <w:rsid w:val="001F612C"/>
    <w:rsid w:val="001F7323"/>
    <w:rsid w:val="001F76FC"/>
    <w:rsid w:val="002013DD"/>
    <w:rsid w:val="00205D74"/>
    <w:rsid w:val="00207417"/>
    <w:rsid w:val="002112BF"/>
    <w:rsid w:val="00217C38"/>
    <w:rsid w:val="00220C5C"/>
    <w:rsid w:val="00220F54"/>
    <w:rsid w:val="0022257E"/>
    <w:rsid w:val="00223777"/>
    <w:rsid w:val="0023125D"/>
    <w:rsid w:val="00233C47"/>
    <w:rsid w:val="002439BC"/>
    <w:rsid w:val="0024726C"/>
    <w:rsid w:val="00257A93"/>
    <w:rsid w:val="002653F9"/>
    <w:rsid w:val="002667B6"/>
    <w:rsid w:val="00273FDA"/>
    <w:rsid w:val="00292842"/>
    <w:rsid w:val="00292C13"/>
    <w:rsid w:val="002958B3"/>
    <w:rsid w:val="002961C2"/>
    <w:rsid w:val="002A61EF"/>
    <w:rsid w:val="002A7317"/>
    <w:rsid w:val="002B0132"/>
    <w:rsid w:val="002B1728"/>
    <w:rsid w:val="002B2338"/>
    <w:rsid w:val="002B5A0A"/>
    <w:rsid w:val="002B6B49"/>
    <w:rsid w:val="002C77B5"/>
    <w:rsid w:val="002E075C"/>
    <w:rsid w:val="002E0E4F"/>
    <w:rsid w:val="002F0D6F"/>
    <w:rsid w:val="002F2293"/>
    <w:rsid w:val="002F4C4E"/>
    <w:rsid w:val="00314596"/>
    <w:rsid w:val="00321B84"/>
    <w:rsid w:val="00324033"/>
    <w:rsid w:val="003248F9"/>
    <w:rsid w:val="00335399"/>
    <w:rsid w:val="003477A6"/>
    <w:rsid w:val="00364E70"/>
    <w:rsid w:val="003661BA"/>
    <w:rsid w:val="003730D9"/>
    <w:rsid w:val="00381A0E"/>
    <w:rsid w:val="00383204"/>
    <w:rsid w:val="00384D70"/>
    <w:rsid w:val="003876DC"/>
    <w:rsid w:val="003951E4"/>
    <w:rsid w:val="003976A8"/>
    <w:rsid w:val="003A33DA"/>
    <w:rsid w:val="003B5DEE"/>
    <w:rsid w:val="003B71A5"/>
    <w:rsid w:val="003D228A"/>
    <w:rsid w:val="003D3831"/>
    <w:rsid w:val="003D65B5"/>
    <w:rsid w:val="003E4F88"/>
    <w:rsid w:val="003E5C18"/>
    <w:rsid w:val="003E5E46"/>
    <w:rsid w:val="003F6466"/>
    <w:rsid w:val="003F7C77"/>
    <w:rsid w:val="004302E3"/>
    <w:rsid w:val="0043063F"/>
    <w:rsid w:val="00437F82"/>
    <w:rsid w:val="0044399D"/>
    <w:rsid w:val="00455CBE"/>
    <w:rsid w:val="0046647C"/>
    <w:rsid w:val="004677C4"/>
    <w:rsid w:val="00470D40"/>
    <w:rsid w:val="00473A0C"/>
    <w:rsid w:val="00474C77"/>
    <w:rsid w:val="00477C08"/>
    <w:rsid w:val="0048120C"/>
    <w:rsid w:val="00487704"/>
    <w:rsid w:val="00497A8C"/>
    <w:rsid w:val="004A5FEB"/>
    <w:rsid w:val="004B2878"/>
    <w:rsid w:val="004B4D24"/>
    <w:rsid w:val="004B5471"/>
    <w:rsid w:val="004C1338"/>
    <w:rsid w:val="004C388D"/>
    <w:rsid w:val="004F3A8A"/>
    <w:rsid w:val="00501594"/>
    <w:rsid w:val="005077E1"/>
    <w:rsid w:val="00515FF0"/>
    <w:rsid w:val="005233FA"/>
    <w:rsid w:val="00523FB2"/>
    <w:rsid w:val="005355FC"/>
    <w:rsid w:val="005368A9"/>
    <w:rsid w:val="00543850"/>
    <w:rsid w:val="005472B2"/>
    <w:rsid w:val="0055434E"/>
    <w:rsid w:val="00557084"/>
    <w:rsid w:val="00561875"/>
    <w:rsid w:val="0056239F"/>
    <w:rsid w:val="005642F8"/>
    <w:rsid w:val="005712CE"/>
    <w:rsid w:val="0057166B"/>
    <w:rsid w:val="005735F7"/>
    <w:rsid w:val="005835C4"/>
    <w:rsid w:val="00591468"/>
    <w:rsid w:val="00591739"/>
    <w:rsid w:val="00595007"/>
    <w:rsid w:val="0059525D"/>
    <w:rsid w:val="005A14DA"/>
    <w:rsid w:val="005B5A18"/>
    <w:rsid w:val="005B5FE6"/>
    <w:rsid w:val="005B7E92"/>
    <w:rsid w:val="005C5488"/>
    <w:rsid w:val="005D1299"/>
    <w:rsid w:val="005E1532"/>
    <w:rsid w:val="005E3CE3"/>
    <w:rsid w:val="005E4FB6"/>
    <w:rsid w:val="005E6CC6"/>
    <w:rsid w:val="005F4114"/>
    <w:rsid w:val="005F587C"/>
    <w:rsid w:val="005F5E18"/>
    <w:rsid w:val="005F7737"/>
    <w:rsid w:val="00604828"/>
    <w:rsid w:val="00612780"/>
    <w:rsid w:val="00617F5D"/>
    <w:rsid w:val="006432E5"/>
    <w:rsid w:val="00643EED"/>
    <w:rsid w:val="006444ED"/>
    <w:rsid w:val="00651AC6"/>
    <w:rsid w:val="0065360C"/>
    <w:rsid w:val="00655024"/>
    <w:rsid w:val="00664EC9"/>
    <w:rsid w:val="00666FDF"/>
    <w:rsid w:val="00667388"/>
    <w:rsid w:val="00685C14"/>
    <w:rsid w:val="00696604"/>
    <w:rsid w:val="006A6005"/>
    <w:rsid w:val="006B365A"/>
    <w:rsid w:val="006C7923"/>
    <w:rsid w:val="006D1611"/>
    <w:rsid w:val="006F0CD6"/>
    <w:rsid w:val="006F5157"/>
    <w:rsid w:val="006F5D51"/>
    <w:rsid w:val="006F61E1"/>
    <w:rsid w:val="006F73C3"/>
    <w:rsid w:val="00706A7E"/>
    <w:rsid w:val="00706F85"/>
    <w:rsid w:val="00713705"/>
    <w:rsid w:val="00716280"/>
    <w:rsid w:val="0072299D"/>
    <w:rsid w:val="00740177"/>
    <w:rsid w:val="00750672"/>
    <w:rsid w:val="00753E4F"/>
    <w:rsid w:val="00755423"/>
    <w:rsid w:val="0075588E"/>
    <w:rsid w:val="00760115"/>
    <w:rsid w:val="007635DE"/>
    <w:rsid w:val="00764AE6"/>
    <w:rsid w:val="007678EF"/>
    <w:rsid w:val="007725E4"/>
    <w:rsid w:val="0077546D"/>
    <w:rsid w:val="00775802"/>
    <w:rsid w:val="007816F3"/>
    <w:rsid w:val="00782AED"/>
    <w:rsid w:val="00791131"/>
    <w:rsid w:val="007A01B6"/>
    <w:rsid w:val="007A1D5A"/>
    <w:rsid w:val="007A2139"/>
    <w:rsid w:val="007A4BBF"/>
    <w:rsid w:val="007C5910"/>
    <w:rsid w:val="007C6EEB"/>
    <w:rsid w:val="007D595D"/>
    <w:rsid w:val="007F5D45"/>
    <w:rsid w:val="00803473"/>
    <w:rsid w:val="00804E76"/>
    <w:rsid w:val="00805994"/>
    <w:rsid w:val="00810D92"/>
    <w:rsid w:val="00825F53"/>
    <w:rsid w:val="0082759D"/>
    <w:rsid w:val="0083505D"/>
    <w:rsid w:val="00840EE8"/>
    <w:rsid w:val="008420AF"/>
    <w:rsid w:val="00843A8F"/>
    <w:rsid w:val="00850A92"/>
    <w:rsid w:val="008524AB"/>
    <w:rsid w:val="0087605B"/>
    <w:rsid w:val="00895FB8"/>
    <w:rsid w:val="008A2FD1"/>
    <w:rsid w:val="008B3DAD"/>
    <w:rsid w:val="008B502F"/>
    <w:rsid w:val="008C310F"/>
    <w:rsid w:val="008D0626"/>
    <w:rsid w:val="008E2C4E"/>
    <w:rsid w:val="008E3880"/>
    <w:rsid w:val="008E5A92"/>
    <w:rsid w:val="008E68DF"/>
    <w:rsid w:val="008F55D7"/>
    <w:rsid w:val="008F653D"/>
    <w:rsid w:val="00903B6F"/>
    <w:rsid w:val="0091264A"/>
    <w:rsid w:val="00920407"/>
    <w:rsid w:val="0092279A"/>
    <w:rsid w:val="00926644"/>
    <w:rsid w:val="00927C99"/>
    <w:rsid w:val="00931D6D"/>
    <w:rsid w:val="00935E1D"/>
    <w:rsid w:val="00947B33"/>
    <w:rsid w:val="00953682"/>
    <w:rsid w:val="00970197"/>
    <w:rsid w:val="009970A0"/>
    <w:rsid w:val="009A4BE3"/>
    <w:rsid w:val="009A4D52"/>
    <w:rsid w:val="009A549B"/>
    <w:rsid w:val="009A6CC1"/>
    <w:rsid w:val="009B14BA"/>
    <w:rsid w:val="009B3CA9"/>
    <w:rsid w:val="009C6A4A"/>
    <w:rsid w:val="009D1190"/>
    <w:rsid w:val="009D295F"/>
    <w:rsid w:val="009E277E"/>
    <w:rsid w:val="009E5A02"/>
    <w:rsid w:val="009F0548"/>
    <w:rsid w:val="00A03448"/>
    <w:rsid w:val="00A12D1B"/>
    <w:rsid w:val="00A139E9"/>
    <w:rsid w:val="00A24FB0"/>
    <w:rsid w:val="00A30E10"/>
    <w:rsid w:val="00A33C96"/>
    <w:rsid w:val="00A4688F"/>
    <w:rsid w:val="00A47C42"/>
    <w:rsid w:val="00A5484A"/>
    <w:rsid w:val="00A55E37"/>
    <w:rsid w:val="00A57EAA"/>
    <w:rsid w:val="00A6383B"/>
    <w:rsid w:val="00A67B5E"/>
    <w:rsid w:val="00A70FC1"/>
    <w:rsid w:val="00A807A2"/>
    <w:rsid w:val="00A866BC"/>
    <w:rsid w:val="00A939DC"/>
    <w:rsid w:val="00A95643"/>
    <w:rsid w:val="00AA283A"/>
    <w:rsid w:val="00AA73A4"/>
    <w:rsid w:val="00AC273E"/>
    <w:rsid w:val="00AC37B7"/>
    <w:rsid w:val="00AC3C87"/>
    <w:rsid w:val="00AC3E3E"/>
    <w:rsid w:val="00AC6A65"/>
    <w:rsid w:val="00AE534C"/>
    <w:rsid w:val="00AF3301"/>
    <w:rsid w:val="00AF61F3"/>
    <w:rsid w:val="00B04333"/>
    <w:rsid w:val="00B11139"/>
    <w:rsid w:val="00B117DE"/>
    <w:rsid w:val="00B13C64"/>
    <w:rsid w:val="00B15850"/>
    <w:rsid w:val="00B167EF"/>
    <w:rsid w:val="00B20DB1"/>
    <w:rsid w:val="00B3569E"/>
    <w:rsid w:val="00B37DDD"/>
    <w:rsid w:val="00B45CC8"/>
    <w:rsid w:val="00B4658D"/>
    <w:rsid w:val="00B542C1"/>
    <w:rsid w:val="00B668FB"/>
    <w:rsid w:val="00B75669"/>
    <w:rsid w:val="00B768BC"/>
    <w:rsid w:val="00B866E3"/>
    <w:rsid w:val="00B870AC"/>
    <w:rsid w:val="00B92986"/>
    <w:rsid w:val="00B93C96"/>
    <w:rsid w:val="00B945CF"/>
    <w:rsid w:val="00BC23D0"/>
    <w:rsid w:val="00BC4C83"/>
    <w:rsid w:val="00BD78AF"/>
    <w:rsid w:val="00BE1F13"/>
    <w:rsid w:val="00BE715E"/>
    <w:rsid w:val="00BF5403"/>
    <w:rsid w:val="00C0528C"/>
    <w:rsid w:val="00C0655C"/>
    <w:rsid w:val="00C11C02"/>
    <w:rsid w:val="00C12B2E"/>
    <w:rsid w:val="00C13EC6"/>
    <w:rsid w:val="00C207D0"/>
    <w:rsid w:val="00C27451"/>
    <w:rsid w:val="00C33BE5"/>
    <w:rsid w:val="00C44039"/>
    <w:rsid w:val="00C57BD1"/>
    <w:rsid w:val="00C624D3"/>
    <w:rsid w:val="00C62896"/>
    <w:rsid w:val="00C6458D"/>
    <w:rsid w:val="00C64C5E"/>
    <w:rsid w:val="00C64F24"/>
    <w:rsid w:val="00C743F8"/>
    <w:rsid w:val="00C76600"/>
    <w:rsid w:val="00C86B53"/>
    <w:rsid w:val="00C87566"/>
    <w:rsid w:val="00C91D6A"/>
    <w:rsid w:val="00C93745"/>
    <w:rsid w:val="00C9698E"/>
    <w:rsid w:val="00CA1DCF"/>
    <w:rsid w:val="00CA6127"/>
    <w:rsid w:val="00CB25D2"/>
    <w:rsid w:val="00CC066C"/>
    <w:rsid w:val="00CC0D62"/>
    <w:rsid w:val="00CD2EDC"/>
    <w:rsid w:val="00CD43F2"/>
    <w:rsid w:val="00CD55D6"/>
    <w:rsid w:val="00D07C57"/>
    <w:rsid w:val="00D15E71"/>
    <w:rsid w:val="00D50F7B"/>
    <w:rsid w:val="00D653C5"/>
    <w:rsid w:val="00D67F6C"/>
    <w:rsid w:val="00D80D0E"/>
    <w:rsid w:val="00D907D0"/>
    <w:rsid w:val="00D939D9"/>
    <w:rsid w:val="00DB2F88"/>
    <w:rsid w:val="00DB35CF"/>
    <w:rsid w:val="00DC1815"/>
    <w:rsid w:val="00DD468D"/>
    <w:rsid w:val="00DD56FA"/>
    <w:rsid w:val="00DE1308"/>
    <w:rsid w:val="00DE219B"/>
    <w:rsid w:val="00DE5327"/>
    <w:rsid w:val="00DE65F1"/>
    <w:rsid w:val="00DF28BB"/>
    <w:rsid w:val="00DF350B"/>
    <w:rsid w:val="00DF49E1"/>
    <w:rsid w:val="00E03D6C"/>
    <w:rsid w:val="00E25435"/>
    <w:rsid w:val="00E33DC0"/>
    <w:rsid w:val="00E4477A"/>
    <w:rsid w:val="00E47374"/>
    <w:rsid w:val="00E55DDE"/>
    <w:rsid w:val="00E571B0"/>
    <w:rsid w:val="00E64873"/>
    <w:rsid w:val="00E65881"/>
    <w:rsid w:val="00E66126"/>
    <w:rsid w:val="00EA3053"/>
    <w:rsid w:val="00EA3469"/>
    <w:rsid w:val="00EC37A7"/>
    <w:rsid w:val="00EC5F48"/>
    <w:rsid w:val="00ED7CA3"/>
    <w:rsid w:val="00EE0154"/>
    <w:rsid w:val="00EE5409"/>
    <w:rsid w:val="00EE60AE"/>
    <w:rsid w:val="00EE6B3C"/>
    <w:rsid w:val="00F002D2"/>
    <w:rsid w:val="00F06D23"/>
    <w:rsid w:val="00F1500A"/>
    <w:rsid w:val="00F159A4"/>
    <w:rsid w:val="00F24D97"/>
    <w:rsid w:val="00F35D5E"/>
    <w:rsid w:val="00F378AB"/>
    <w:rsid w:val="00F43CA0"/>
    <w:rsid w:val="00F46839"/>
    <w:rsid w:val="00F52A55"/>
    <w:rsid w:val="00F53E52"/>
    <w:rsid w:val="00F6456F"/>
    <w:rsid w:val="00F67976"/>
    <w:rsid w:val="00F7237A"/>
    <w:rsid w:val="00F72BA6"/>
    <w:rsid w:val="00F72D61"/>
    <w:rsid w:val="00F73BF8"/>
    <w:rsid w:val="00F839A3"/>
    <w:rsid w:val="00F8744A"/>
    <w:rsid w:val="00F922F4"/>
    <w:rsid w:val="00F935CF"/>
    <w:rsid w:val="00FA4F07"/>
    <w:rsid w:val="00FA5374"/>
    <w:rsid w:val="00FB484D"/>
    <w:rsid w:val="00FC0A18"/>
    <w:rsid w:val="00FC2C0A"/>
    <w:rsid w:val="00FC3FF4"/>
    <w:rsid w:val="00FC573D"/>
    <w:rsid w:val="00FC5C3A"/>
    <w:rsid w:val="00FD02D9"/>
    <w:rsid w:val="00FE327A"/>
    <w:rsid w:val="01EC3E90"/>
    <w:rsid w:val="03B21F3A"/>
    <w:rsid w:val="046823FD"/>
    <w:rsid w:val="05640CAD"/>
    <w:rsid w:val="06CF3FC2"/>
    <w:rsid w:val="06F84D7D"/>
    <w:rsid w:val="088926C9"/>
    <w:rsid w:val="09521A1D"/>
    <w:rsid w:val="098D2310"/>
    <w:rsid w:val="0CFB142B"/>
    <w:rsid w:val="0DAF3C6D"/>
    <w:rsid w:val="0E0C0901"/>
    <w:rsid w:val="0F184516"/>
    <w:rsid w:val="0F396F30"/>
    <w:rsid w:val="0F6B1D96"/>
    <w:rsid w:val="1057502E"/>
    <w:rsid w:val="12045226"/>
    <w:rsid w:val="14A46B46"/>
    <w:rsid w:val="164817EB"/>
    <w:rsid w:val="1751474F"/>
    <w:rsid w:val="17F07564"/>
    <w:rsid w:val="18F422C9"/>
    <w:rsid w:val="1A143B2C"/>
    <w:rsid w:val="1AE43477"/>
    <w:rsid w:val="1BCC4B3F"/>
    <w:rsid w:val="1C7D0FBA"/>
    <w:rsid w:val="1D300C7D"/>
    <w:rsid w:val="22CC475F"/>
    <w:rsid w:val="265B67D9"/>
    <w:rsid w:val="27016BDE"/>
    <w:rsid w:val="277224AF"/>
    <w:rsid w:val="28243AD4"/>
    <w:rsid w:val="29DC6CCA"/>
    <w:rsid w:val="2F3F1E09"/>
    <w:rsid w:val="2FEA6A07"/>
    <w:rsid w:val="317815BA"/>
    <w:rsid w:val="318A0130"/>
    <w:rsid w:val="337E4093"/>
    <w:rsid w:val="38083D4D"/>
    <w:rsid w:val="386771E8"/>
    <w:rsid w:val="38873DD9"/>
    <w:rsid w:val="39B0258C"/>
    <w:rsid w:val="3B62421A"/>
    <w:rsid w:val="3BAD3AAC"/>
    <w:rsid w:val="3BE63123"/>
    <w:rsid w:val="3CE235D8"/>
    <w:rsid w:val="3CEC1573"/>
    <w:rsid w:val="3E04515C"/>
    <w:rsid w:val="3E382DAB"/>
    <w:rsid w:val="3F2D7226"/>
    <w:rsid w:val="4105168F"/>
    <w:rsid w:val="42505981"/>
    <w:rsid w:val="428A0D8A"/>
    <w:rsid w:val="42A71725"/>
    <w:rsid w:val="440C1E39"/>
    <w:rsid w:val="450E5003"/>
    <w:rsid w:val="45442C68"/>
    <w:rsid w:val="45763401"/>
    <w:rsid w:val="4824570C"/>
    <w:rsid w:val="48881584"/>
    <w:rsid w:val="48F514CA"/>
    <w:rsid w:val="497D7419"/>
    <w:rsid w:val="4A3E412A"/>
    <w:rsid w:val="4A7E6C1C"/>
    <w:rsid w:val="4B2D3B8F"/>
    <w:rsid w:val="4BB323CE"/>
    <w:rsid w:val="4BCB0E1A"/>
    <w:rsid w:val="4D020758"/>
    <w:rsid w:val="4E2E3340"/>
    <w:rsid w:val="4FD6242D"/>
    <w:rsid w:val="51350F36"/>
    <w:rsid w:val="5334256E"/>
    <w:rsid w:val="53736631"/>
    <w:rsid w:val="56804167"/>
    <w:rsid w:val="57BC67DC"/>
    <w:rsid w:val="582A4570"/>
    <w:rsid w:val="58D40E8A"/>
    <w:rsid w:val="59A55F73"/>
    <w:rsid w:val="59CD1026"/>
    <w:rsid w:val="5A4C726B"/>
    <w:rsid w:val="5B0C73AD"/>
    <w:rsid w:val="5B483314"/>
    <w:rsid w:val="5CD821BC"/>
    <w:rsid w:val="5D1F7DEB"/>
    <w:rsid w:val="5E315CFA"/>
    <w:rsid w:val="5E9C42C6"/>
    <w:rsid w:val="5EDF4223"/>
    <w:rsid w:val="6004641A"/>
    <w:rsid w:val="600F36D2"/>
    <w:rsid w:val="60AD576B"/>
    <w:rsid w:val="6202108D"/>
    <w:rsid w:val="622B1A37"/>
    <w:rsid w:val="625B7347"/>
    <w:rsid w:val="644F5459"/>
    <w:rsid w:val="65073B5D"/>
    <w:rsid w:val="67101E1A"/>
    <w:rsid w:val="675346C6"/>
    <w:rsid w:val="69874162"/>
    <w:rsid w:val="6A220D5D"/>
    <w:rsid w:val="6A7C70E7"/>
    <w:rsid w:val="6B4C645A"/>
    <w:rsid w:val="6B947BF6"/>
    <w:rsid w:val="6BDC7BEE"/>
    <w:rsid w:val="6C2C6882"/>
    <w:rsid w:val="6C8D2FC3"/>
    <w:rsid w:val="6EA03307"/>
    <w:rsid w:val="6EB505AF"/>
    <w:rsid w:val="6EDA2DAE"/>
    <w:rsid w:val="6F360455"/>
    <w:rsid w:val="70A97237"/>
    <w:rsid w:val="71D47B1E"/>
    <w:rsid w:val="727732B0"/>
    <w:rsid w:val="7447614D"/>
    <w:rsid w:val="74B324EB"/>
    <w:rsid w:val="74CB08D5"/>
    <w:rsid w:val="767D65C0"/>
    <w:rsid w:val="774825DE"/>
    <w:rsid w:val="79473E41"/>
    <w:rsid w:val="7E882C95"/>
    <w:rsid w:val="7F1F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ocked="1"/>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1"/>
    <w:qFormat/>
    <w:uiPriority w:val="0"/>
    <w:pPr>
      <w:keepNext/>
      <w:keepLines/>
      <w:spacing w:line="240" w:lineRule="auto"/>
      <w:ind w:firstLine="562"/>
      <w:jc w:val="center"/>
      <w:outlineLvl w:val="0"/>
    </w:pPr>
    <w:rPr>
      <w:b/>
      <w:kern w:val="44"/>
      <w:sz w:val="28"/>
    </w:rPr>
  </w:style>
  <w:style w:type="paragraph" w:styleId="4">
    <w:name w:val="heading 2"/>
    <w:basedOn w:val="1"/>
    <w:next w:val="1"/>
    <w:unhideWhenUsed/>
    <w:qFormat/>
    <w:uiPriority w:val="0"/>
    <w:pPr>
      <w:spacing w:line="520" w:lineRule="exact"/>
      <w:ind w:firstLine="0" w:firstLineChars="0"/>
      <w:jc w:val="left"/>
      <w:outlineLvl w:val="1"/>
    </w:pPr>
  </w:style>
  <w:style w:type="paragraph" w:styleId="5">
    <w:name w:val="heading 3"/>
    <w:basedOn w:val="1"/>
    <w:next w:val="1"/>
    <w:unhideWhenUsed/>
    <w:qFormat/>
    <w:uiPriority w:val="9"/>
    <w:pPr>
      <w:ind w:firstLine="420"/>
      <w:jc w:val="left"/>
      <w:outlineLvl w:val="2"/>
    </w:pPr>
    <w:rPr>
      <w:color w:val="000000" w:themeColor="text1"/>
      <w:sz w:val="21"/>
      <w:szCs w:val="21"/>
      <w14:textFill>
        <w14:solidFill>
          <w14:schemeClr w14:val="tx1"/>
        </w14:solidFill>
      </w14:textFill>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3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text"/>
    <w:basedOn w:val="1"/>
    <w:link w:val="36"/>
    <w:qFormat/>
    <w:uiPriority w:val="0"/>
    <w:pPr>
      <w:ind w:firstLine="420"/>
      <w:jc w:val="left"/>
    </w:pPr>
  </w:style>
  <w:style w:type="paragraph" w:styleId="8">
    <w:name w:val="Body Text"/>
    <w:basedOn w:val="1"/>
    <w:next w:val="9"/>
    <w:qFormat/>
    <w:uiPriority w:val="0"/>
    <w:pPr>
      <w:spacing w:after="120" w:line="240" w:lineRule="auto"/>
      <w:ind w:firstLine="0" w:firstLineChars="0"/>
    </w:pPr>
    <w:rPr>
      <w:sz w:val="21"/>
    </w:rPr>
  </w:style>
  <w:style w:type="paragraph" w:styleId="9">
    <w:name w:val="List Bullet 5"/>
    <w:basedOn w:val="1"/>
    <w:qFormat/>
    <w:uiPriority w:val="0"/>
    <w:pPr>
      <w:numPr>
        <w:ilvl w:val="0"/>
        <w:numId w:val="1"/>
      </w:numPr>
    </w:pPr>
  </w:style>
  <w:style w:type="paragraph" w:styleId="10">
    <w:name w:val="Body Text Indent"/>
    <w:basedOn w:val="1"/>
    <w:link w:val="25"/>
    <w:qFormat/>
    <w:uiPriority w:val="0"/>
    <w:pPr>
      <w:spacing w:after="120"/>
      <w:ind w:left="420" w:leftChars="200"/>
    </w:pPr>
    <w:rPr>
      <w:kern w:val="0"/>
      <w:szCs w:val="20"/>
    </w:rPr>
  </w:style>
  <w:style w:type="paragraph" w:styleId="11">
    <w:name w:val="footer"/>
    <w:basedOn w:val="1"/>
    <w:link w:val="35"/>
    <w:qFormat/>
    <w:uiPriority w:val="99"/>
    <w:pPr>
      <w:tabs>
        <w:tab w:val="center" w:pos="4153"/>
        <w:tab w:val="right" w:pos="8306"/>
      </w:tabs>
      <w:snapToGrid w:val="0"/>
      <w:spacing w:line="240" w:lineRule="auto"/>
      <w:jc w:val="left"/>
    </w:pPr>
    <w:rPr>
      <w:sz w:val="18"/>
      <w:szCs w:val="18"/>
    </w:rPr>
  </w:style>
  <w:style w:type="paragraph" w:styleId="12">
    <w:name w:val="List"/>
    <w:basedOn w:val="1"/>
    <w:next w:val="1"/>
    <w:qFormat/>
    <w:uiPriority w:val="0"/>
    <w:pPr>
      <w:ind w:left="200" w:hanging="200" w:hangingChars="200"/>
      <w:contextualSpacing/>
    </w:pPr>
  </w:style>
  <w:style w:type="paragraph" w:styleId="13">
    <w:name w:val="Body Text Indent 3"/>
    <w:basedOn w:val="1"/>
    <w:qFormat/>
    <w:uiPriority w:val="0"/>
    <w:pPr>
      <w:spacing w:line="480" w:lineRule="exact"/>
      <w:ind w:firstLine="588" w:firstLineChars="210"/>
    </w:pPr>
    <w:rPr>
      <w:rFonts w:ascii="仿宋_GB2312" w:hAnsi="宋体" w:eastAsia="仿宋_GB2312"/>
      <w:sz w:val="28"/>
    </w:rPr>
  </w:style>
  <w:style w:type="paragraph" w:styleId="14">
    <w:name w:val="Normal (Web)"/>
    <w:basedOn w:val="1"/>
    <w:uiPriority w:val="0"/>
    <w:pPr>
      <w:spacing w:beforeAutospacing="1" w:afterAutospacing="1"/>
      <w:jc w:val="left"/>
    </w:pPr>
    <w:rPr>
      <w:kern w:val="0"/>
    </w:rPr>
  </w:style>
  <w:style w:type="paragraph" w:styleId="15">
    <w:name w:val="Title"/>
    <w:basedOn w:val="1"/>
    <w:next w:val="1"/>
    <w:link w:val="33"/>
    <w:qFormat/>
    <w:uiPriority w:val="0"/>
    <w:pPr>
      <w:spacing w:before="120" w:after="120" w:line="240" w:lineRule="auto"/>
      <w:ind w:firstLine="0" w:firstLineChars="0"/>
      <w:jc w:val="left"/>
      <w:outlineLvl w:val="1"/>
    </w:pPr>
    <w:rPr>
      <w:b/>
      <w:bCs/>
      <w:szCs w:val="32"/>
    </w:rPr>
  </w:style>
  <w:style w:type="paragraph" w:styleId="16">
    <w:name w:val="annotation subject"/>
    <w:basedOn w:val="7"/>
    <w:next w:val="7"/>
    <w:link w:val="37"/>
    <w:qFormat/>
    <w:uiPriority w:val="0"/>
    <w:rPr>
      <w:b/>
      <w:bCs/>
    </w:rPr>
  </w:style>
  <w:style w:type="paragraph" w:styleId="17">
    <w:name w:val="Body Text First Indent"/>
    <w:basedOn w:val="8"/>
    <w:next w:val="1"/>
    <w:qFormat/>
    <w:uiPriority w:val="0"/>
    <w:pPr>
      <w:ind w:firstLine="420" w:firstLineChars="100"/>
    </w:pPr>
  </w:style>
  <w:style w:type="paragraph" w:styleId="18">
    <w:name w:val="Body Text First Indent 2"/>
    <w:basedOn w:val="10"/>
    <w:next w:val="1"/>
    <w:link w:val="24"/>
    <w:qFormat/>
    <w:locked/>
    <w:uiPriority w:val="0"/>
    <w:pPr>
      <w:ind w:left="0" w:leftChars="0" w:firstLine="420"/>
    </w:pPr>
    <w:rPr>
      <w:kern w:val="2"/>
      <w:sz w:val="21"/>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4">
    <w:name w:val="正文文本首行缩进 2 字符"/>
    <w:basedOn w:val="25"/>
    <w:link w:val="18"/>
    <w:qFormat/>
    <w:uiPriority w:val="0"/>
    <w:rPr>
      <w:rFonts w:ascii="Times New Roman" w:hAnsi="Times New Roman" w:eastAsia="宋体" w:cs="Times New Roman"/>
      <w:kern w:val="2"/>
      <w:sz w:val="21"/>
      <w:szCs w:val="24"/>
    </w:rPr>
  </w:style>
  <w:style w:type="character" w:customStyle="1" w:styleId="25">
    <w:name w:val="正文文本缩进 字符"/>
    <w:link w:val="10"/>
    <w:semiHidden/>
    <w:qFormat/>
    <w:locked/>
    <w:uiPriority w:val="0"/>
    <w:rPr>
      <w:rFonts w:ascii="Times New Roman" w:hAnsi="Times New Roman" w:eastAsia="宋体"/>
      <w:sz w:val="24"/>
    </w:rPr>
  </w:style>
  <w:style w:type="paragraph" w:styleId="26">
    <w:name w:val="No Spacing"/>
    <w:basedOn w:val="12"/>
    <w:next w:val="1"/>
    <w:qFormat/>
    <w:uiPriority w:val="1"/>
    <w:pPr>
      <w:spacing w:line="240" w:lineRule="auto"/>
      <w:ind w:left="0" w:firstLine="0" w:firstLineChars="0"/>
      <w:jc w:val="center"/>
      <w:textAlignment w:val="center"/>
    </w:pPr>
    <w:rPr>
      <w:sz w:val="21"/>
      <w:szCs w:val="22"/>
    </w:rPr>
  </w:style>
  <w:style w:type="paragraph" w:customStyle="1" w:styleId="27">
    <w:name w:val="p0"/>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8">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29">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paragraph" w:customStyle="1" w:styleId="30">
    <w:name w:val="正文格式"/>
    <w:basedOn w:val="17"/>
    <w:next w:val="31"/>
    <w:qFormat/>
    <w:uiPriority w:val="0"/>
    <w:pPr>
      <w:adjustRightInd w:val="0"/>
      <w:spacing w:line="360" w:lineRule="auto"/>
      <w:ind w:firstLine="560"/>
    </w:pPr>
    <w:rPr>
      <w:color w:val="000000"/>
      <w:lang w:val="zh-CN"/>
    </w:rPr>
  </w:style>
  <w:style w:type="paragraph" w:customStyle="1" w:styleId="31">
    <w:name w:val="_Style 5"/>
    <w:basedOn w:val="1"/>
    <w:qFormat/>
    <w:uiPriority w:val="0"/>
    <w:pPr>
      <w:ind w:firstLine="420"/>
    </w:pPr>
    <w:rPr>
      <w:rFonts w:ascii="Calibri" w:hAnsi="Calibri"/>
      <w:szCs w:val="22"/>
    </w:rPr>
  </w:style>
  <w:style w:type="paragraph" w:customStyle="1" w:styleId="32">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3">
    <w:name w:val="标题 字符"/>
    <w:link w:val="15"/>
    <w:qFormat/>
    <w:uiPriority w:val="0"/>
    <w:rPr>
      <w:rFonts w:ascii="Times New Roman" w:hAnsi="Times New Roman" w:eastAsia="宋体" w:cs="Times New Roman"/>
      <w:b/>
      <w:bCs/>
      <w:szCs w:val="32"/>
    </w:rPr>
  </w:style>
  <w:style w:type="character" w:customStyle="1" w:styleId="34">
    <w:name w:val="页眉 字符"/>
    <w:basedOn w:val="21"/>
    <w:link w:val="2"/>
    <w:qFormat/>
    <w:uiPriority w:val="0"/>
    <w:rPr>
      <w:rFonts w:ascii="Times New Roman" w:hAnsi="Times New Roman" w:eastAsia="宋体" w:cs="Times New Roman"/>
      <w:kern w:val="2"/>
      <w:sz w:val="18"/>
      <w:szCs w:val="18"/>
    </w:rPr>
  </w:style>
  <w:style w:type="character" w:customStyle="1" w:styleId="35">
    <w:name w:val="页脚 字符"/>
    <w:basedOn w:val="21"/>
    <w:link w:val="11"/>
    <w:qFormat/>
    <w:uiPriority w:val="99"/>
    <w:rPr>
      <w:rFonts w:ascii="Times New Roman" w:hAnsi="Times New Roman" w:eastAsia="宋体" w:cs="Times New Roman"/>
      <w:kern w:val="2"/>
      <w:sz w:val="18"/>
      <w:szCs w:val="18"/>
    </w:rPr>
  </w:style>
  <w:style w:type="character" w:customStyle="1" w:styleId="36">
    <w:name w:val="批注文字 字符"/>
    <w:basedOn w:val="21"/>
    <w:link w:val="7"/>
    <w:qFormat/>
    <w:uiPriority w:val="0"/>
    <w:rPr>
      <w:kern w:val="2"/>
      <w:sz w:val="24"/>
      <w:szCs w:val="24"/>
    </w:rPr>
  </w:style>
  <w:style w:type="character" w:customStyle="1" w:styleId="37">
    <w:name w:val="批注主题 字符"/>
    <w:basedOn w:val="36"/>
    <w:link w:val="16"/>
    <w:qFormat/>
    <w:uiPriority w:val="0"/>
    <w:rPr>
      <w:rFonts w:ascii="Times New Roman" w:hAnsi="Times New Roman" w:eastAsia="宋体" w:cs="Times New Roman"/>
      <w:b/>
      <w:bCs/>
      <w:kern w:val="2"/>
      <w:sz w:val="24"/>
      <w:szCs w:val="24"/>
    </w:rPr>
  </w:style>
  <w:style w:type="paragraph" w:customStyle="1" w:styleId="38">
    <w:name w:val="修订1"/>
    <w:hidden/>
    <w:semiHidden/>
    <w:qFormat/>
    <w:uiPriority w:val="99"/>
    <w:rPr>
      <w:rFonts w:ascii="Times New Roman" w:hAnsi="Times New Roman" w:eastAsia="宋体" w:cs="Times New Roman"/>
      <w:kern w:val="2"/>
      <w:sz w:val="24"/>
      <w:szCs w:val="24"/>
      <w:lang w:val="en-US" w:eastAsia="zh-CN" w:bidi="ar-SA"/>
    </w:rPr>
  </w:style>
  <w:style w:type="paragraph" w:styleId="39">
    <w:name w:val="List Paragraph"/>
    <w:basedOn w:val="1"/>
    <w:qFormat/>
    <w:uiPriority w:val="99"/>
    <w:pPr>
      <w:ind w:firstLine="420"/>
    </w:pPr>
  </w:style>
  <w:style w:type="paragraph" w:customStyle="1" w:styleId="40">
    <w:name w:val="表中"/>
    <w:basedOn w:val="1"/>
    <w:qFormat/>
    <w:uiPriority w:val="0"/>
    <w:pPr>
      <w:widowControl/>
      <w:spacing w:line="240" w:lineRule="auto"/>
      <w:ind w:firstLine="0" w:firstLineChars="0"/>
      <w:jc w:val="center"/>
      <w:textAlignment w:val="center"/>
    </w:pPr>
    <w:rPr>
      <w:rFonts w:hint="eastAsia"/>
      <w:bCs/>
      <w:color w:val="000000"/>
      <w:kern w:val="0"/>
      <w:sz w:val="18"/>
      <w:szCs w:val="22"/>
    </w:rPr>
  </w:style>
  <w:style w:type="character" w:customStyle="1" w:styleId="41">
    <w:name w:val="标题 1 字符"/>
    <w:link w:val="3"/>
    <w:qFormat/>
    <w:uiPriority w:val="0"/>
    <w:rPr>
      <w:b/>
      <w:kern w:val="44"/>
      <w:sz w:val="28"/>
      <w:szCs w:val="24"/>
    </w:rPr>
  </w:style>
  <w:style w:type="paragraph" w:customStyle="1" w:styleId="42">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43">
    <w:name w:val="修订3"/>
    <w:hidden/>
    <w:unhideWhenUsed/>
    <w:qFormat/>
    <w:uiPriority w:val="99"/>
    <w:rPr>
      <w:rFonts w:ascii="Times New Roman" w:hAnsi="Times New Roman" w:eastAsia="宋体" w:cs="Times New Roman"/>
      <w:kern w:val="2"/>
      <w:sz w:val="24"/>
      <w:szCs w:val="24"/>
      <w:lang w:val="en-US" w:eastAsia="zh-CN" w:bidi="ar-SA"/>
    </w:rPr>
  </w:style>
  <w:style w:type="paragraph" w:customStyle="1" w:styleId="44">
    <w:name w:val="表内两端"/>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45">
    <w:name w:val="Table Text"/>
    <w:basedOn w:val="1"/>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宋体" w:hAnsi="宋体" w:cs="宋体"/>
      <w:snapToGrid w:val="0"/>
      <w:color w:val="000000"/>
      <w:kern w:val="0"/>
      <w:sz w:val="27"/>
      <w:szCs w:val="27"/>
      <w:lang w:eastAsia="en-US"/>
    </w:rPr>
  </w:style>
  <w:style w:type="paragraph" w:customStyle="1" w:styleId="46">
    <w:name w:val="表题"/>
    <w:basedOn w:val="1"/>
    <w:next w:val="1"/>
    <w:qFormat/>
    <w:uiPriority w:val="0"/>
    <w:pPr>
      <w:spacing w:before="50" w:beforeLines="50" w:line="240" w:lineRule="auto"/>
      <w:ind w:firstLine="0" w:firstLineChars="0"/>
      <w:jc w:val="center"/>
      <w:textAlignment w:val="center"/>
    </w:pPr>
    <w:rPr>
      <w:rFonts w:cstheme="minorBidi"/>
      <w:b/>
      <w:sz w:val="21"/>
      <w:szCs w:val="22"/>
    </w:rPr>
  </w:style>
  <w:style w:type="paragraph" w:customStyle="1" w:styleId="47">
    <w:name w:val="表格字体"/>
    <w:basedOn w:val="1"/>
    <w:qFormat/>
    <w:uiPriority w:val="99"/>
    <w:pPr>
      <w:adjustRightInd w:val="0"/>
      <w:spacing w:line="240" w:lineRule="auto"/>
      <w:ind w:firstLine="0" w:firstLineChars="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8258</Words>
  <Characters>47072</Characters>
  <Lines>392</Lines>
  <Paragraphs>110</Paragraphs>
  <TotalTime>143</TotalTime>
  <ScaleCrop>false</ScaleCrop>
  <LinksUpToDate>false</LinksUpToDate>
  <CharactersWithSpaces>55220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2024-04-01T03:47:00Z</dcterms:created>
  <dc:creator>MyPC</dc:creator>
  <cp:lastModifiedBy>Administrator</cp:lastModifiedBy>
  <cp:lastPrinted>2025-07-29T01:26:00Z</cp:lastPrinted>
  <dcterms:modified xsi:type="dcterms:W3CDTF">2025-07-30T10:02:34Z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9B840414BC5849E2884BE3AAAC5986D0_13</vt:lpwstr>
  </property>
  <property fmtid="{D5CDD505-2E9C-101B-9397-08002B2CF9AE}" pid="4" name="KSOTemplateDocerSaveRecord">
    <vt:lpwstr>eyJoZGlkIjoiMTZmZGQ1YjY3YWE4ZjQxNzM3Mjc0MGM1ZTljYWMwNWUiLCJ1c2VySWQiOiI3MzIyMzUwMjAifQ==</vt:lpwstr>
  </property>
</Properties>
</file>