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sz w:val="72"/>
          <w:szCs w:val="72"/>
        </w:rPr>
      </w:pPr>
    </w:p>
    <w:p>
      <w:pPr>
        <w:ind w:firstLine="0" w:firstLineChars="0"/>
        <w:jc w:val="center"/>
        <w:rPr>
          <w:sz w:val="72"/>
          <w:szCs w:val="72"/>
        </w:rPr>
      </w:pPr>
    </w:p>
    <w:p>
      <w:pPr>
        <w:ind w:firstLine="0" w:firstLineChars="0"/>
        <w:jc w:val="center"/>
      </w:pPr>
      <w:r>
        <w:rPr>
          <w:rFonts w:hint="eastAsia"/>
          <w:sz w:val="72"/>
          <w:szCs w:val="72"/>
        </w:rPr>
        <w:t>建设项目环境影响报告表</w:t>
      </w:r>
    </w:p>
    <w:p>
      <w:pPr>
        <w:ind w:firstLine="0" w:firstLineChars="0"/>
        <w:jc w:val="center"/>
        <w:rPr>
          <w:sz w:val="48"/>
          <w:szCs w:val="48"/>
        </w:rPr>
      </w:pPr>
      <w:r>
        <w:rPr>
          <w:rFonts w:hint="eastAsia"/>
          <w:sz w:val="48"/>
          <w:szCs w:val="48"/>
        </w:rPr>
        <w:t>（生态影响类）</w:t>
      </w:r>
    </w:p>
    <w:p>
      <w:pPr>
        <w:adjustRightInd w:val="0"/>
        <w:snapToGrid w:val="0"/>
        <w:spacing w:line="288" w:lineRule="auto"/>
        <w:ind w:firstLine="720"/>
        <w:rPr>
          <w:rFonts w:ascii="宋体" w:hAnsi="宋体"/>
          <w:sz w:val="36"/>
          <w:szCs w:val="36"/>
        </w:rPr>
      </w:pPr>
    </w:p>
    <w:p>
      <w:pPr>
        <w:adjustRightInd w:val="0"/>
        <w:snapToGrid w:val="0"/>
        <w:spacing w:line="288" w:lineRule="auto"/>
        <w:ind w:firstLine="720"/>
        <w:rPr>
          <w:rFonts w:ascii="宋体" w:hAnsi="宋体"/>
          <w:sz w:val="36"/>
          <w:szCs w:val="36"/>
        </w:rPr>
      </w:pPr>
    </w:p>
    <w:p>
      <w:pPr>
        <w:adjustRightInd w:val="0"/>
        <w:snapToGrid w:val="0"/>
        <w:spacing w:line="288" w:lineRule="auto"/>
        <w:ind w:firstLine="720"/>
        <w:rPr>
          <w:rFonts w:ascii="宋体" w:hAnsi="宋体"/>
          <w:sz w:val="36"/>
          <w:szCs w:val="36"/>
        </w:rPr>
      </w:pPr>
    </w:p>
    <w:p>
      <w:pPr>
        <w:adjustRightInd w:val="0"/>
        <w:snapToGrid w:val="0"/>
        <w:spacing w:line="288" w:lineRule="auto"/>
        <w:ind w:firstLine="720"/>
        <w:rPr>
          <w:rFonts w:ascii="宋体" w:hAnsi="宋体"/>
          <w:sz w:val="36"/>
          <w:szCs w:val="36"/>
        </w:rPr>
      </w:pPr>
    </w:p>
    <w:p>
      <w:pPr>
        <w:adjustRightInd w:val="0"/>
        <w:snapToGrid w:val="0"/>
        <w:ind w:firstLine="0" w:firstLineChars="0"/>
        <w:rPr>
          <w:rFonts w:ascii="宋体" w:hAnsi="宋体"/>
          <w:sz w:val="36"/>
          <w:szCs w:val="36"/>
          <w:u w:val="single"/>
        </w:rPr>
      </w:pPr>
      <w:r>
        <w:rPr>
          <w:rFonts w:hint="eastAsia" w:ascii="宋体" w:hAnsi="宋体"/>
          <w:sz w:val="36"/>
          <w:szCs w:val="36"/>
        </w:rPr>
        <w:t>项目名称：</w:t>
      </w:r>
      <w:r>
        <w:rPr>
          <w:rFonts w:hint="eastAsia"/>
          <w:color w:val="000000"/>
          <w:sz w:val="36"/>
          <w:szCs w:val="36"/>
          <w:u w:val="single"/>
        </w:rPr>
        <w:t>新疆和静县帕勒特瓦日克沟铜矿勘探</w:t>
      </w:r>
      <w:r>
        <w:rPr>
          <w:color w:val="000000"/>
          <w:spacing w:val="-20"/>
          <w:sz w:val="36"/>
          <w:szCs w:val="36"/>
          <w:u w:val="single"/>
        </w:rPr>
        <w:t>项目</w:t>
      </w:r>
      <w:r>
        <w:rPr>
          <w:rFonts w:hint="eastAsia" w:ascii="宋体" w:hAnsi="宋体"/>
          <w:sz w:val="36"/>
          <w:szCs w:val="36"/>
          <w:u w:val="single"/>
        </w:rPr>
        <w:t xml:space="preserve">  </w:t>
      </w:r>
    </w:p>
    <w:p>
      <w:pPr>
        <w:adjustRightInd w:val="0"/>
        <w:snapToGrid w:val="0"/>
        <w:ind w:firstLine="0" w:firstLineChars="0"/>
        <w:rPr>
          <w:rFonts w:ascii="宋体" w:hAnsi="宋体"/>
          <w:sz w:val="36"/>
          <w:szCs w:val="36"/>
          <w:u w:val="single"/>
        </w:rPr>
      </w:pPr>
      <w:r>
        <w:rPr>
          <w:rFonts w:hint="eastAsia" w:ascii="宋体" w:hAnsi="宋体"/>
          <w:sz w:val="36"/>
          <w:szCs w:val="36"/>
        </w:rPr>
        <w:t>建设单位（盖章）：</w:t>
      </w:r>
      <w:bookmarkStart w:id="0" w:name="_Hlk71280878"/>
      <w:r>
        <w:rPr>
          <w:rFonts w:hint="eastAsia"/>
          <w:color w:val="000000"/>
          <w:spacing w:val="-20"/>
          <w:sz w:val="36"/>
          <w:szCs w:val="36"/>
          <w:u w:val="single"/>
        </w:rPr>
        <w:t>和静县西伯雅罕矿业有限公司</w:t>
      </w:r>
      <w:r>
        <w:rPr>
          <w:rFonts w:hint="eastAsia" w:ascii="宋体" w:hAnsi="宋体"/>
          <w:sz w:val="36"/>
          <w:szCs w:val="36"/>
          <w:u w:val="single"/>
        </w:rPr>
        <w:t xml:space="preserve"> </w:t>
      </w:r>
      <w:bookmarkEnd w:id="0"/>
      <w:r>
        <w:rPr>
          <w:rFonts w:hint="eastAsia" w:ascii="宋体" w:hAnsi="宋体"/>
          <w:sz w:val="36"/>
          <w:szCs w:val="36"/>
          <w:u w:val="single"/>
        </w:rPr>
        <w:t xml:space="preserve">     </w:t>
      </w:r>
    </w:p>
    <w:p>
      <w:pPr>
        <w:adjustRightInd w:val="0"/>
        <w:snapToGrid w:val="0"/>
        <w:ind w:firstLine="0" w:firstLineChars="0"/>
        <w:rPr>
          <w:rFonts w:ascii="宋体" w:hAnsi="宋体"/>
          <w:sz w:val="36"/>
          <w:szCs w:val="36"/>
          <w:u w:val="single"/>
        </w:rPr>
      </w:pPr>
      <w:r>
        <w:rPr>
          <w:rFonts w:hint="eastAsia" w:ascii="宋体" w:hAnsi="宋体"/>
          <w:sz w:val="36"/>
          <w:szCs w:val="36"/>
        </w:rPr>
        <w:t>编制日期：</w:t>
      </w:r>
      <w:r>
        <w:rPr>
          <w:rFonts w:ascii="宋体" w:hAnsi="宋体"/>
          <w:sz w:val="36"/>
          <w:szCs w:val="36"/>
          <w:u w:val="single"/>
        </w:rPr>
        <w:t>2025</w:t>
      </w:r>
      <w:r>
        <w:rPr>
          <w:rFonts w:hint="eastAsia" w:ascii="宋体" w:hAnsi="宋体"/>
          <w:sz w:val="36"/>
          <w:szCs w:val="36"/>
          <w:u w:val="single"/>
        </w:rPr>
        <w:t>年</w:t>
      </w:r>
      <w:r>
        <w:rPr>
          <w:rFonts w:ascii="宋体" w:hAnsi="宋体"/>
          <w:sz w:val="36"/>
          <w:szCs w:val="36"/>
          <w:u w:val="single"/>
        </w:rPr>
        <w:t>7</w:t>
      </w:r>
      <w:r>
        <w:rPr>
          <w:rFonts w:hint="eastAsia" w:ascii="宋体" w:hAnsi="宋体"/>
          <w:sz w:val="36"/>
          <w:szCs w:val="36"/>
          <w:u w:val="single"/>
        </w:rPr>
        <w:t xml:space="preserve">月 </w:t>
      </w:r>
      <w:r>
        <w:rPr>
          <w:rFonts w:ascii="宋体" w:hAnsi="宋体"/>
          <w:sz w:val="36"/>
          <w:szCs w:val="36"/>
          <w:u w:val="single"/>
        </w:rPr>
        <w:t xml:space="preserve">                         </w:t>
      </w:r>
    </w:p>
    <w:p/>
    <w:p/>
    <w:p/>
    <w:p/>
    <w:p/>
    <w:p/>
    <w:p/>
    <w:p/>
    <w:p/>
    <w:p>
      <w:pPr>
        <w:ind w:firstLine="0" w:firstLineChars="0"/>
        <w:jc w:val="cente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楷体_GB2312" w:hAnsi="楷体_GB2312" w:eastAsia="楷体_GB2312" w:cs="楷体_GB2312"/>
          <w:sz w:val="36"/>
          <w:szCs w:val="36"/>
        </w:rPr>
        <w:t>中华人民共和国生态环境部制</w:t>
      </w:r>
    </w:p>
    <w:p>
      <w:pPr>
        <w:pStyle w:val="3"/>
      </w:pPr>
      <w:r>
        <w:rPr>
          <w:rFonts w:hint="eastAsia"/>
        </w:rPr>
        <w:t>一、建设项目基本情况</w:t>
      </w:r>
    </w:p>
    <w:tbl>
      <w:tblPr>
        <w:tblStyle w:val="18"/>
        <w:tblW w:w="496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00"/>
        <w:gridCol w:w="2122"/>
        <w:gridCol w:w="1841"/>
        <w:gridCol w:w="26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7" w:type="pct"/>
            <w:tcMar>
              <w:top w:w="16" w:type="dxa"/>
              <w:left w:w="16" w:type="dxa"/>
              <w:right w:w="16" w:type="dxa"/>
            </w:tcMar>
            <w:vAlign w:val="center"/>
          </w:tcPr>
          <w:p>
            <w:pPr>
              <w:ind w:firstLine="0" w:firstLineChars="0"/>
              <w:jc w:val="center"/>
            </w:pPr>
            <w:r>
              <w:t>建设项目名称</w:t>
            </w:r>
          </w:p>
        </w:tc>
        <w:tc>
          <w:tcPr>
            <w:tcW w:w="3973" w:type="pct"/>
            <w:gridSpan w:val="3"/>
            <w:vAlign w:val="center"/>
          </w:tcPr>
          <w:p>
            <w:pPr>
              <w:ind w:firstLine="0" w:firstLineChars="0"/>
              <w:jc w:val="center"/>
            </w:pPr>
            <w:r>
              <w:rPr>
                <w:bCs/>
                <w:color w:val="000000"/>
              </w:rPr>
              <w:t>新疆和静县帕勒特瓦日克沟铜矿勘探项目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7" w:type="pct"/>
            <w:tcMar>
              <w:top w:w="16" w:type="dxa"/>
              <w:left w:w="16" w:type="dxa"/>
              <w:right w:w="16" w:type="dxa"/>
            </w:tcMar>
            <w:vAlign w:val="center"/>
          </w:tcPr>
          <w:p>
            <w:pPr>
              <w:ind w:firstLine="0" w:firstLineChars="0"/>
              <w:jc w:val="center"/>
            </w:pPr>
            <w:r>
              <w:t>项目代码</w:t>
            </w:r>
          </w:p>
        </w:tc>
        <w:tc>
          <w:tcPr>
            <w:tcW w:w="3973" w:type="pct"/>
            <w:gridSpan w:val="3"/>
            <w:vAlign w:val="center"/>
          </w:tcPr>
          <w:p>
            <w:pPr>
              <w:ind w:firstLine="0" w:firstLineChars="0"/>
              <w:jc w:val="center"/>
            </w:pPr>
            <w: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7" w:type="pct"/>
            <w:shd w:val="clear" w:color="auto" w:fill="auto"/>
            <w:tcMar>
              <w:top w:w="16" w:type="dxa"/>
              <w:left w:w="16" w:type="dxa"/>
              <w:right w:w="16" w:type="dxa"/>
            </w:tcMar>
            <w:vAlign w:val="center"/>
          </w:tcPr>
          <w:p>
            <w:pPr>
              <w:spacing w:line="240" w:lineRule="auto"/>
              <w:ind w:firstLine="0" w:firstLineChars="0"/>
              <w:jc w:val="center"/>
            </w:pPr>
            <w:r>
              <w:t>建设单位联系人</w:t>
            </w:r>
          </w:p>
        </w:tc>
        <w:tc>
          <w:tcPr>
            <w:tcW w:w="1282" w:type="pct"/>
            <w:shd w:val="clear" w:color="auto" w:fill="auto"/>
            <w:vAlign w:val="center"/>
          </w:tcPr>
          <w:p>
            <w:pPr>
              <w:pStyle w:val="25"/>
              <w:rPr>
                <w:kern w:val="0"/>
                <w:sz w:val="24"/>
                <w:szCs w:val="24"/>
              </w:rPr>
            </w:pPr>
            <w:bookmarkStart w:id="50" w:name="_GoBack"/>
            <w:bookmarkEnd w:id="50"/>
          </w:p>
        </w:tc>
        <w:tc>
          <w:tcPr>
            <w:tcW w:w="1112" w:type="pct"/>
            <w:shd w:val="clear" w:color="auto" w:fill="auto"/>
            <w:vAlign w:val="center"/>
          </w:tcPr>
          <w:p>
            <w:pPr>
              <w:pStyle w:val="25"/>
              <w:rPr>
                <w:kern w:val="0"/>
                <w:sz w:val="24"/>
                <w:szCs w:val="24"/>
              </w:rPr>
            </w:pPr>
          </w:p>
        </w:tc>
        <w:tc>
          <w:tcPr>
            <w:tcW w:w="1578" w:type="pct"/>
            <w:shd w:val="clear" w:color="auto" w:fill="auto"/>
            <w:vAlign w:val="center"/>
          </w:tcPr>
          <w:p>
            <w:pPr>
              <w:spacing w:line="240" w:lineRule="auto"/>
              <w:ind w:firstLine="0" w:firstLineChars="0"/>
              <w:jc w:val="center"/>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7" w:type="pct"/>
            <w:tcMar>
              <w:top w:w="16" w:type="dxa"/>
              <w:left w:w="16" w:type="dxa"/>
              <w:right w:w="16" w:type="dxa"/>
            </w:tcMar>
            <w:vAlign w:val="center"/>
          </w:tcPr>
          <w:p>
            <w:pPr>
              <w:ind w:firstLine="0" w:firstLineChars="0"/>
              <w:jc w:val="center"/>
            </w:pPr>
            <w:r>
              <w:t>建设地点</w:t>
            </w:r>
          </w:p>
        </w:tc>
        <w:tc>
          <w:tcPr>
            <w:tcW w:w="3973" w:type="pct"/>
            <w:gridSpan w:val="3"/>
            <w:vAlign w:val="center"/>
          </w:tcPr>
          <w:p>
            <w:pPr>
              <w:spacing w:line="240" w:lineRule="auto"/>
              <w:ind w:firstLine="0" w:firstLineChars="0"/>
              <w:jc w:val="center"/>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7" w:type="pct"/>
            <w:tcMar>
              <w:top w:w="16" w:type="dxa"/>
              <w:left w:w="16" w:type="dxa"/>
              <w:right w:w="16" w:type="dxa"/>
            </w:tcMar>
            <w:vAlign w:val="center"/>
          </w:tcPr>
          <w:p>
            <w:pPr>
              <w:ind w:firstLine="0" w:firstLineChars="0"/>
              <w:jc w:val="center"/>
            </w:pPr>
            <w:r>
              <w:t>地理坐标</w:t>
            </w:r>
          </w:p>
        </w:tc>
        <w:tc>
          <w:tcPr>
            <w:tcW w:w="3973" w:type="pct"/>
            <w:gridSpan w:val="3"/>
            <w:vAlign w:val="center"/>
          </w:tcPr>
          <w:p>
            <w:pPr>
              <w:ind w:firstLine="0" w:firstLineChars="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27" w:type="pct"/>
            <w:tcMar>
              <w:top w:w="16" w:type="dxa"/>
              <w:left w:w="16" w:type="dxa"/>
              <w:right w:w="16" w:type="dxa"/>
            </w:tcMar>
            <w:vAlign w:val="center"/>
          </w:tcPr>
          <w:p>
            <w:pPr>
              <w:spacing w:line="240" w:lineRule="auto"/>
              <w:ind w:firstLine="0" w:firstLineChars="0"/>
              <w:jc w:val="center"/>
            </w:pPr>
            <w:r>
              <w:t>建设项目</w:t>
            </w:r>
          </w:p>
          <w:p>
            <w:pPr>
              <w:spacing w:line="240" w:lineRule="auto"/>
              <w:ind w:firstLine="0" w:firstLineChars="0"/>
              <w:jc w:val="center"/>
            </w:pPr>
            <w:r>
              <w:t>行业类别</w:t>
            </w:r>
          </w:p>
        </w:tc>
        <w:tc>
          <w:tcPr>
            <w:tcW w:w="1282" w:type="pct"/>
            <w:vAlign w:val="center"/>
          </w:tcPr>
          <w:p>
            <w:pPr>
              <w:pStyle w:val="26"/>
              <w:rPr>
                <w:rFonts w:ascii="Times New Roman" w:hAnsi="Times New Roman" w:cs="Times New Roman"/>
                <w:kern w:val="2"/>
              </w:rPr>
            </w:pPr>
            <w:r>
              <w:rPr>
                <w:rFonts w:ascii="Times New Roman" w:hAnsi="Times New Roman" w:cs="Times New Roman"/>
              </w:rPr>
              <w:t>四十六、专业技术服务业-99、陆地矿产资源地质勘查（含油气资源勘探）；二氧化碳地质封存</w:t>
            </w:r>
          </w:p>
        </w:tc>
        <w:tc>
          <w:tcPr>
            <w:tcW w:w="1112" w:type="pct"/>
            <w:vAlign w:val="center"/>
          </w:tcPr>
          <w:p>
            <w:pPr>
              <w:spacing w:line="240" w:lineRule="auto"/>
              <w:ind w:firstLine="0" w:firstLineChars="0"/>
              <w:jc w:val="center"/>
            </w:pPr>
            <w:r>
              <w:t>用地（用海）</w:t>
            </w:r>
          </w:p>
          <w:p>
            <w:pPr>
              <w:spacing w:line="240" w:lineRule="auto"/>
              <w:ind w:firstLine="0" w:firstLineChars="0"/>
              <w:jc w:val="center"/>
            </w:pPr>
            <w:r>
              <w:t>面积（m</w:t>
            </w:r>
            <w:r>
              <w:rPr>
                <w:vertAlign w:val="superscript"/>
              </w:rPr>
              <w:t>2</w:t>
            </w:r>
            <w:r>
              <w:t>）</w:t>
            </w:r>
          </w:p>
        </w:tc>
        <w:tc>
          <w:tcPr>
            <w:tcW w:w="1578" w:type="pct"/>
            <w:vAlign w:val="center"/>
          </w:tcPr>
          <w:p>
            <w:pPr>
              <w:ind w:firstLine="0" w:firstLineChars="0"/>
              <w:jc w:val="center"/>
            </w:pPr>
            <w:r>
              <w:t>3660000m</w:t>
            </w:r>
            <w:r>
              <w:rPr>
                <w:vertAlign w:val="superscript"/>
              </w:rPr>
              <w:t>2</w:t>
            </w:r>
            <w:r>
              <w:rPr>
                <w:rFonts w:hint="eastAsia"/>
              </w:rPr>
              <w:t>（勘查面积）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27" w:type="pct"/>
            <w:tcMar>
              <w:top w:w="16" w:type="dxa"/>
              <w:left w:w="16" w:type="dxa"/>
              <w:right w:w="16" w:type="dxa"/>
            </w:tcMar>
            <w:vAlign w:val="center"/>
          </w:tcPr>
          <w:p>
            <w:pPr>
              <w:spacing w:line="240" w:lineRule="auto"/>
              <w:ind w:firstLine="0" w:firstLineChars="0"/>
              <w:jc w:val="center"/>
            </w:pPr>
            <w:r>
              <w:t>建设性质</w:t>
            </w:r>
          </w:p>
        </w:tc>
        <w:tc>
          <w:tcPr>
            <w:tcW w:w="1282" w:type="pct"/>
            <w:vAlign w:val="center"/>
          </w:tcPr>
          <w:p>
            <w:pPr>
              <w:spacing w:line="240" w:lineRule="auto"/>
              <w:ind w:firstLine="0" w:firstLineChars="0"/>
            </w:pPr>
            <w:r>
              <w:rPr/>
              <w:sym w:font="Wingdings 2" w:char="F052"/>
            </w:r>
            <w:r>
              <w:t>新建（迁建）</w:t>
            </w:r>
          </w:p>
          <w:p>
            <w:pPr>
              <w:spacing w:line="240" w:lineRule="auto"/>
              <w:ind w:firstLine="0" w:firstLineChars="0"/>
            </w:pPr>
            <w:r>
              <w:rPr/>
              <w:sym w:font="Wingdings 2" w:char="F0A3"/>
            </w:r>
            <w:r>
              <w:t>改建</w:t>
            </w:r>
          </w:p>
          <w:p>
            <w:pPr>
              <w:spacing w:line="240" w:lineRule="auto"/>
              <w:ind w:firstLine="0" w:firstLineChars="0"/>
            </w:pPr>
            <w:r>
              <w:rPr/>
              <w:sym w:font="Wingdings 2" w:char="F0A3"/>
            </w:r>
            <w:r>
              <w:t>扩建</w:t>
            </w:r>
          </w:p>
          <w:p>
            <w:pPr>
              <w:spacing w:line="240" w:lineRule="auto"/>
              <w:ind w:firstLine="0" w:firstLineChars="0"/>
            </w:pPr>
            <w:r>
              <w:rPr/>
              <w:sym w:font="Wingdings 2" w:char="F0A3"/>
            </w:r>
            <w:r>
              <w:t>技术改造</w:t>
            </w:r>
          </w:p>
        </w:tc>
        <w:tc>
          <w:tcPr>
            <w:tcW w:w="1112" w:type="pct"/>
            <w:vAlign w:val="center"/>
          </w:tcPr>
          <w:p>
            <w:pPr>
              <w:spacing w:line="240" w:lineRule="auto"/>
              <w:ind w:firstLine="0" w:firstLineChars="0"/>
              <w:jc w:val="center"/>
            </w:pPr>
            <w:r>
              <w:t>建设项目</w:t>
            </w:r>
          </w:p>
          <w:p>
            <w:pPr>
              <w:spacing w:line="240" w:lineRule="auto"/>
              <w:ind w:firstLine="0" w:firstLineChars="0"/>
              <w:jc w:val="center"/>
            </w:pPr>
            <w:r>
              <w:t>申报情形</w:t>
            </w:r>
          </w:p>
        </w:tc>
        <w:tc>
          <w:tcPr>
            <w:tcW w:w="1578" w:type="pct"/>
            <w:vAlign w:val="center"/>
          </w:tcPr>
          <w:p>
            <w:pPr>
              <w:spacing w:line="240" w:lineRule="auto"/>
              <w:ind w:firstLine="0" w:firstLineChars="0"/>
            </w:pPr>
            <w:r>
              <w:rPr/>
              <w:sym w:font="Wingdings 2" w:char="F052"/>
            </w:r>
            <w:r>
              <w:t>首次申报项目</w:t>
            </w:r>
          </w:p>
          <w:p>
            <w:pPr>
              <w:spacing w:line="240" w:lineRule="auto"/>
              <w:ind w:firstLine="0" w:firstLineChars="0"/>
            </w:pPr>
            <w:r>
              <w:rPr/>
              <w:sym w:font="Wingdings 2" w:char="F0A3"/>
            </w:r>
            <w:r>
              <w:t>不予批准后再次申报项目</w:t>
            </w:r>
          </w:p>
          <w:p>
            <w:pPr>
              <w:spacing w:line="240" w:lineRule="auto"/>
              <w:ind w:firstLine="0" w:firstLineChars="0"/>
            </w:pPr>
            <w:r>
              <w:rPr/>
              <w:sym w:font="Wingdings 2" w:char="F0A3"/>
            </w:r>
            <w:r>
              <w:t>超五年重新审核项目</w:t>
            </w:r>
          </w:p>
          <w:p>
            <w:pPr>
              <w:spacing w:line="240" w:lineRule="auto"/>
              <w:ind w:firstLine="0" w:firstLineChars="0"/>
            </w:pPr>
            <w:r>
              <w:rPr/>
              <w:sym w:font="Wingdings 2" w:char="F0A3"/>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27" w:type="pct"/>
            <w:tcMar>
              <w:top w:w="16" w:type="dxa"/>
              <w:left w:w="16" w:type="dxa"/>
              <w:right w:w="16" w:type="dxa"/>
            </w:tcMar>
            <w:vAlign w:val="center"/>
          </w:tcPr>
          <w:p>
            <w:pPr>
              <w:spacing w:line="240" w:lineRule="auto"/>
              <w:ind w:firstLine="0" w:firstLineChars="0"/>
              <w:jc w:val="center"/>
            </w:pPr>
            <w:r>
              <w:t>项目审批（核准/</w:t>
            </w:r>
          </w:p>
          <w:p>
            <w:pPr>
              <w:spacing w:line="240" w:lineRule="auto"/>
              <w:ind w:firstLine="0" w:firstLineChars="0"/>
              <w:jc w:val="center"/>
            </w:pPr>
            <w:r>
              <w:t>备案）部门（选填）</w:t>
            </w:r>
          </w:p>
        </w:tc>
        <w:tc>
          <w:tcPr>
            <w:tcW w:w="1282" w:type="pct"/>
            <w:vAlign w:val="center"/>
          </w:tcPr>
          <w:p>
            <w:pPr>
              <w:spacing w:line="240" w:lineRule="auto"/>
              <w:ind w:firstLine="0" w:firstLineChars="0"/>
              <w:jc w:val="center"/>
            </w:pPr>
            <w:r>
              <w:t>/</w:t>
            </w:r>
          </w:p>
        </w:tc>
        <w:tc>
          <w:tcPr>
            <w:tcW w:w="1112" w:type="pct"/>
            <w:vAlign w:val="center"/>
          </w:tcPr>
          <w:p>
            <w:pPr>
              <w:spacing w:line="240" w:lineRule="auto"/>
              <w:ind w:firstLine="0" w:firstLineChars="0"/>
              <w:jc w:val="center"/>
            </w:pPr>
            <w:r>
              <w:t>项目审批（核准/</w:t>
            </w:r>
          </w:p>
          <w:p>
            <w:pPr>
              <w:spacing w:line="240" w:lineRule="auto"/>
              <w:ind w:firstLine="0" w:firstLineChars="0"/>
              <w:jc w:val="center"/>
            </w:pPr>
            <w:r>
              <w:t>备案）文号（选填）</w:t>
            </w:r>
          </w:p>
        </w:tc>
        <w:tc>
          <w:tcPr>
            <w:tcW w:w="1578" w:type="pct"/>
            <w:vAlign w:val="center"/>
          </w:tcPr>
          <w:p>
            <w:pPr>
              <w:ind w:firstLine="0" w:firstLineChars="0"/>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7" w:type="pct"/>
            <w:tcMar>
              <w:top w:w="16" w:type="dxa"/>
              <w:left w:w="16" w:type="dxa"/>
              <w:right w:w="16" w:type="dxa"/>
            </w:tcMar>
            <w:vAlign w:val="center"/>
          </w:tcPr>
          <w:p>
            <w:pPr>
              <w:spacing w:line="240" w:lineRule="auto"/>
              <w:ind w:firstLine="0" w:firstLineChars="0"/>
              <w:jc w:val="center"/>
            </w:pPr>
            <w:r>
              <w:t>总投资（万元）</w:t>
            </w:r>
          </w:p>
        </w:tc>
        <w:tc>
          <w:tcPr>
            <w:tcW w:w="1282" w:type="pct"/>
            <w:vAlign w:val="center"/>
          </w:tcPr>
          <w:p>
            <w:pPr>
              <w:spacing w:line="240" w:lineRule="auto"/>
              <w:ind w:firstLine="0" w:firstLineChars="0"/>
              <w:jc w:val="center"/>
              <w:rPr>
                <w:highlight w:val="yellow"/>
              </w:rPr>
            </w:pPr>
            <w:r>
              <w:t>658.92</w:t>
            </w:r>
          </w:p>
        </w:tc>
        <w:tc>
          <w:tcPr>
            <w:tcW w:w="1112" w:type="pct"/>
            <w:tcMar>
              <w:top w:w="16" w:type="dxa"/>
              <w:left w:w="16" w:type="dxa"/>
              <w:right w:w="16" w:type="dxa"/>
            </w:tcMar>
            <w:vAlign w:val="center"/>
          </w:tcPr>
          <w:p>
            <w:pPr>
              <w:spacing w:line="240" w:lineRule="auto"/>
              <w:ind w:firstLine="0" w:firstLineChars="0"/>
              <w:jc w:val="center"/>
            </w:pPr>
            <w:r>
              <w:t>环保投资（万元）</w:t>
            </w:r>
          </w:p>
        </w:tc>
        <w:tc>
          <w:tcPr>
            <w:tcW w:w="1578" w:type="pct"/>
            <w:vAlign w:val="center"/>
          </w:tcPr>
          <w:p>
            <w:pPr>
              <w:spacing w:line="240" w:lineRule="auto"/>
              <w:ind w:firstLine="0" w:firstLineChars="0"/>
              <w:jc w:val="center"/>
            </w:pPr>
            <w:r>
              <w:t>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7" w:type="pct"/>
            <w:tcMar>
              <w:top w:w="16" w:type="dxa"/>
              <w:left w:w="16" w:type="dxa"/>
              <w:right w:w="16" w:type="dxa"/>
            </w:tcMar>
            <w:vAlign w:val="center"/>
          </w:tcPr>
          <w:p>
            <w:pPr>
              <w:spacing w:line="240" w:lineRule="auto"/>
              <w:ind w:firstLine="0" w:firstLineChars="0"/>
              <w:jc w:val="center"/>
            </w:pPr>
            <w:r>
              <w:t>环保投资占比（%）</w:t>
            </w:r>
          </w:p>
        </w:tc>
        <w:tc>
          <w:tcPr>
            <w:tcW w:w="1282" w:type="pct"/>
            <w:vAlign w:val="center"/>
          </w:tcPr>
          <w:p>
            <w:pPr>
              <w:spacing w:line="240" w:lineRule="auto"/>
              <w:ind w:firstLine="0" w:firstLineChars="0"/>
              <w:jc w:val="center"/>
            </w:pPr>
            <w:r>
              <w:t>8.04</w:t>
            </w:r>
          </w:p>
        </w:tc>
        <w:tc>
          <w:tcPr>
            <w:tcW w:w="1112" w:type="pct"/>
            <w:tcMar>
              <w:top w:w="16" w:type="dxa"/>
              <w:left w:w="16" w:type="dxa"/>
              <w:right w:w="16" w:type="dxa"/>
            </w:tcMar>
            <w:vAlign w:val="center"/>
          </w:tcPr>
          <w:p>
            <w:pPr>
              <w:spacing w:line="240" w:lineRule="auto"/>
              <w:ind w:firstLine="0" w:firstLineChars="0"/>
              <w:jc w:val="center"/>
            </w:pPr>
            <w:r>
              <w:t>施工工期</w:t>
            </w:r>
          </w:p>
        </w:tc>
        <w:tc>
          <w:tcPr>
            <w:tcW w:w="1578" w:type="pct"/>
            <w:vAlign w:val="center"/>
          </w:tcPr>
          <w:p>
            <w:pPr>
              <w:spacing w:line="240" w:lineRule="auto"/>
              <w:ind w:firstLine="0" w:firstLineChars="0"/>
              <w:jc w:val="center"/>
            </w:pPr>
            <w:r>
              <w:t>5</w:t>
            </w:r>
            <w:r>
              <w:rPr>
                <w:rFonts w:hint="eastAsia"/>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7" w:type="pct"/>
            <w:tcMar>
              <w:top w:w="16" w:type="dxa"/>
              <w:left w:w="16" w:type="dxa"/>
              <w:right w:w="16" w:type="dxa"/>
            </w:tcMar>
            <w:vAlign w:val="center"/>
          </w:tcPr>
          <w:p>
            <w:pPr>
              <w:spacing w:line="240" w:lineRule="auto"/>
              <w:ind w:firstLine="0" w:firstLineChars="0"/>
              <w:jc w:val="center"/>
            </w:pPr>
            <w:r>
              <w:t>是否开工建设</w:t>
            </w:r>
          </w:p>
        </w:tc>
        <w:tc>
          <w:tcPr>
            <w:tcW w:w="3973" w:type="pct"/>
            <w:gridSpan w:val="3"/>
            <w:vAlign w:val="center"/>
          </w:tcPr>
          <w:p>
            <w:pPr>
              <w:spacing w:line="240" w:lineRule="auto"/>
              <w:ind w:firstLine="0" w:firstLineChars="0"/>
            </w:pPr>
            <w:r>
              <w:rPr/>
              <w:sym w:font="Wingdings 2" w:char="0052"/>
            </w:r>
            <w:r>
              <w:t>否</w:t>
            </w:r>
          </w:p>
          <w:p>
            <w:pPr>
              <w:spacing w:line="240" w:lineRule="auto"/>
              <w:ind w:firstLine="0" w:firstLineChars="0"/>
            </w:pPr>
            <w:r>
              <w:rPr/>
              <w:sym w:font="Wingdings 2" w:char="F0A3"/>
            </w:r>
            <w: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27" w:type="pct"/>
            <w:vAlign w:val="center"/>
          </w:tcPr>
          <w:p>
            <w:pPr>
              <w:spacing w:line="240" w:lineRule="auto"/>
              <w:ind w:firstLine="0" w:firstLineChars="0"/>
              <w:jc w:val="center"/>
            </w:pPr>
            <w:r>
              <w:t>专项评价设置情况</w:t>
            </w:r>
          </w:p>
        </w:tc>
        <w:tc>
          <w:tcPr>
            <w:tcW w:w="3973" w:type="pct"/>
            <w:gridSpan w:val="3"/>
            <w:vAlign w:val="center"/>
          </w:tcPr>
          <w:p>
            <w:pPr>
              <w:jc w:val="center"/>
            </w:pPr>
            <w: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27" w:type="pct"/>
            <w:vAlign w:val="center"/>
          </w:tcPr>
          <w:p>
            <w:pPr>
              <w:spacing w:line="240" w:lineRule="auto"/>
              <w:ind w:firstLine="0" w:firstLineChars="0"/>
              <w:jc w:val="center"/>
              <w:rPr>
                <w:kern w:val="0"/>
              </w:rPr>
            </w:pPr>
            <w:r>
              <w:t>规划情况</w:t>
            </w:r>
          </w:p>
        </w:tc>
        <w:tc>
          <w:tcPr>
            <w:tcW w:w="3973" w:type="pct"/>
            <w:gridSpan w:val="3"/>
            <w:vAlign w:val="center"/>
          </w:tcPr>
          <w:p>
            <w:pPr>
              <w:spacing w:line="240" w:lineRule="auto"/>
              <w:ind w:firstLine="0" w:firstLineChars="0"/>
            </w:pPr>
            <w:r>
              <w:rPr>
                <w:rFonts w:hint="eastAsia"/>
              </w:rPr>
              <w:t>规划名称：《巴音郭楞蒙古自治州矿产资源规划（2021-2025年）》；</w:t>
            </w:r>
          </w:p>
          <w:p>
            <w:pPr>
              <w:spacing w:line="240" w:lineRule="auto"/>
              <w:ind w:firstLine="0" w:firstLineChars="0"/>
            </w:pPr>
            <w:r>
              <w:rPr>
                <w:rFonts w:hint="eastAsia"/>
              </w:rPr>
              <w:t>巴音郭楞蒙古自治州人民政府</w:t>
            </w:r>
            <w:r>
              <w:t>2022年12月31日发布</w:t>
            </w:r>
            <w:r>
              <w:rPr>
                <w:rFonts w:hint="eastAsia"/>
              </w:rPr>
              <w:t>；</w:t>
            </w:r>
          </w:p>
          <w:p>
            <w:pPr>
              <w:spacing w:line="240" w:lineRule="auto"/>
              <w:ind w:firstLine="0" w:firstLineChars="0"/>
            </w:pPr>
            <w:r>
              <w:t>审批机关：/</w:t>
            </w:r>
          </w:p>
          <w:p>
            <w:pPr>
              <w:spacing w:line="240" w:lineRule="auto"/>
              <w:ind w:firstLine="0" w:firstLineChars="0"/>
            </w:pPr>
            <w:r>
              <w:t>审批文号：/</w:t>
            </w:r>
          </w:p>
          <w:p>
            <w:pPr>
              <w:spacing w:line="240" w:lineRule="auto"/>
              <w:ind w:firstLine="0" w:firstLineChars="0"/>
            </w:pPr>
            <w:r>
              <w:rPr>
                <w:rFonts w:hint="eastAsia"/>
              </w:rPr>
              <w:t>规划名称：</w:t>
            </w:r>
            <w:r>
              <w:t>《新疆维吾尔自治区和静县矿产资源总体规划（2021～2025年）》</w:t>
            </w:r>
            <w:r>
              <w:rPr>
                <w:rFonts w:hint="eastAsia"/>
              </w:rPr>
              <w:t>；</w:t>
            </w:r>
          </w:p>
          <w:p>
            <w:pPr>
              <w:spacing w:line="240" w:lineRule="auto"/>
              <w:ind w:firstLine="0" w:firstLineChars="0"/>
            </w:pPr>
            <w:r>
              <w:t>和静县人民政府2023年4月26日发布</w:t>
            </w:r>
            <w:r>
              <w:rPr>
                <w:rFonts w:hint="eastAsia"/>
              </w:rPr>
              <w:t>；</w:t>
            </w:r>
          </w:p>
          <w:p>
            <w:pPr>
              <w:spacing w:line="240" w:lineRule="auto"/>
              <w:ind w:firstLine="0" w:firstLineChars="0"/>
            </w:pPr>
            <w:r>
              <w:t>审批机关：/</w:t>
            </w:r>
          </w:p>
          <w:p>
            <w:pPr>
              <w:pStyle w:val="22"/>
              <w:rPr>
                <w:rFonts w:ascii="Times New Roman"/>
              </w:rPr>
            </w:pPr>
            <w:r>
              <w:rPr>
                <w:rFonts w:ascii="Times New Roman"/>
              </w:rPr>
              <w:t>审批文号：/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27" w:type="pct"/>
            <w:vAlign w:val="center"/>
          </w:tcPr>
          <w:p>
            <w:pPr>
              <w:ind w:firstLine="0" w:firstLineChars="0"/>
              <w:jc w:val="center"/>
              <w:rPr>
                <w:kern w:val="0"/>
              </w:rPr>
            </w:pPr>
            <w:r>
              <w:t>规划环境影响评价情况</w:t>
            </w:r>
          </w:p>
        </w:tc>
        <w:tc>
          <w:tcPr>
            <w:tcW w:w="3973" w:type="pct"/>
            <w:gridSpan w:val="3"/>
            <w:vAlign w:val="center"/>
          </w:tcPr>
          <w:p>
            <w:pPr>
              <w:spacing w:line="240" w:lineRule="auto"/>
              <w:ind w:firstLine="0" w:firstLineChars="0"/>
              <w:jc w:val="center"/>
            </w:pPr>
            <w:r>
              <w:rPr>
                <w:rFonts w:hint="eastAsia"/>
              </w:rPr>
              <w:t>《巴音郭楞蒙古自治州矿产资源规划（2021-2025年）环境影响篇章》（2021年11月）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27" w:type="pct"/>
            <w:vAlign w:val="center"/>
          </w:tcPr>
          <w:p>
            <w:pPr>
              <w:ind w:firstLine="0" w:firstLineChars="0"/>
              <w:jc w:val="center"/>
            </w:pPr>
            <w:r>
              <w:t>规划及规划环境影响评价符合性分析</w:t>
            </w:r>
          </w:p>
        </w:tc>
        <w:tc>
          <w:tcPr>
            <w:tcW w:w="3973" w:type="pct"/>
            <w:gridSpan w:val="3"/>
            <w:vAlign w:val="center"/>
          </w:tcPr>
          <w:p>
            <w:pPr>
              <w:ind w:firstLine="0" w:firstLineChars="0"/>
              <w:rPr>
                <w:b/>
                <w:bCs/>
              </w:rPr>
            </w:pPr>
            <w:r>
              <w:rPr>
                <w:rFonts w:hint="eastAsia"/>
                <w:b/>
                <w:bCs/>
              </w:rPr>
              <w:t>与《巴音郭楞蒙古自治州矿产资源总体规划（2</w:t>
            </w:r>
            <w:r>
              <w:rPr>
                <w:b/>
                <w:bCs/>
              </w:rPr>
              <w:t>021-2025</w:t>
            </w:r>
            <w:r>
              <w:rPr>
                <w:rFonts w:hint="eastAsia"/>
                <w:b/>
                <w:bCs/>
              </w:rPr>
              <w:t>年）》</w:t>
            </w:r>
            <w:r>
              <w:rPr>
                <w:b/>
                <w:bCs/>
              </w:rPr>
              <w:t>相符性分析</w:t>
            </w:r>
          </w:p>
          <w:p>
            <w:pPr>
              <w:ind w:firstLine="0" w:firstLineChars="0"/>
            </w:pPr>
            <w:r>
              <w:rPr>
                <w:rFonts w:hint="eastAsia"/>
              </w:rPr>
              <w:t>《新疆巴音郭楞蒙古自治州矿产资源总体规划（2</w:t>
            </w:r>
            <w:r>
              <w:t>021-2025</w:t>
            </w:r>
            <w:r>
              <w:rPr>
                <w:rFonts w:hint="eastAsia"/>
              </w:rPr>
              <w:t>年）》提出发展要求，积极开展煤、煤层气，黑色、有色、稀有、贵金属、非金属等矿的调查评价和基础地质调查研究，主要矿产资源保障能力显著提高。产资源开发布局及开采总量管控趋于合理。绿色矿业发展格局基本形成，矿山生态环境保护与治理恢复取得新进展。矿产资源管理水平不断提升。</w:t>
            </w:r>
            <w:r>
              <w:t>本项目为铜矿勘探项目，符合上述《规划》的发展要求</w:t>
            </w:r>
            <w:r>
              <w:rPr>
                <w:rFonts w:hint="eastAsia"/>
              </w:rPr>
              <w:t>。</w:t>
            </w:r>
          </w:p>
          <w:p>
            <w:pPr>
              <w:ind w:firstLine="0" w:firstLineChars="0"/>
              <w:outlineLvl w:val="2"/>
              <w:rPr>
                <w:b/>
              </w:rPr>
            </w:pPr>
            <w:r>
              <w:rPr>
                <w:rFonts w:hint="eastAsia"/>
                <w:b/>
              </w:rPr>
              <w:t>与《巴音郭楞蒙古自治州矿产资源规划（2021-2025年）环境影响篇章》相符性分析</w:t>
            </w:r>
          </w:p>
          <w:p>
            <w:pPr>
              <w:pStyle w:val="46"/>
              <w:spacing w:before="156"/>
              <w:ind w:firstLine="422"/>
              <w:rPr>
                <w:color w:val="000000" w:themeColor="text1"/>
                <w14:textFill>
                  <w14:solidFill>
                    <w14:schemeClr w14:val="tx1"/>
                  </w14:solidFill>
                </w14:textFill>
              </w:rPr>
            </w:pPr>
            <w:r>
              <w:rPr>
                <w:rFonts w:hint="eastAsia"/>
                <w:color w:val="000000"/>
              </w:rPr>
              <w:t>表1</w:t>
            </w:r>
            <w:r>
              <w:rPr>
                <w:color w:val="000000"/>
              </w:rPr>
              <w:t xml:space="preserve">-1  </w:t>
            </w:r>
            <w:r>
              <w:rPr>
                <w:rFonts w:hint="eastAsia"/>
                <w:color w:val="000000"/>
              </w:rPr>
              <w:t>本项目《巴音郭楞蒙古自治州矿产资源规划（2021-2025年）环境影响篇章》相符性分析一览表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3875"/>
              <w:gridCol w:w="1714"/>
              <w:gridCol w:w="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pStyle w:val="47"/>
                    <w:spacing w:before="156"/>
                    <w:jc w:val="center"/>
                  </w:pPr>
                  <w:r>
                    <w:rPr>
                      <w:rFonts w:hint="eastAsia"/>
                    </w:rPr>
                    <w:t>文件要求</w:t>
                  </w:r>
                </w:p>
              </w:tc>
              <w:tc>
                <w:tcPr>
                  <w:tcW w:w="1354" w:type="pct"/>
                  <w:vAlign w:val="center"/>
                </w:tcPr>
                <w:p>
                  <w:pPr>
                    <w:pStyle w:val="47"/>
                    <w:spacing w:before="156"/>
                    <w:jc w:val="center"/>
                  </w:pPr>
                  <w:r>
                    <w:rPr>
                      <w:rFonts w:hint="eastAsia"/>
                    </w:rPr>
                    <w:t>本项目</w:t>
                  </w:r>
                </w:p>
              </w:tc>
              <w:tc>
                <w:tcPr>
                  <w:tcW w:w="586" w:type="pct"/>
                  <w:vAlign w:val="center"/>
                </w:tcPr>
                <w:p>
                  <w:pPr>
                    <w:pStyle w:val="47"/>
                    <w:spacing w:before="156"/>
                    <w:jc w:val="center"/>
                  </w:pPr>
                  <w:r>
                    <w:rPr>
                      <w:rFonts w:hint="eastAsia"/>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51" w:hRule="atLeast"/>
                <w:jc w:val="center"/>
              </w:trPr>
              <w:tc>
                <w:tcPr>
                  <w:tcW w:w="3060" w:type="pct"/>
                  <w:vAlign w:val="center"/>
                </w:tcPr>
                <w:p>
                  <w:pPr>
                    <w:pStyle w:val="47"/>
                    <w:spacing w:before="156"/>
                    <w:jc w:val="center"/>
                  </w:pPr>
                  <w:r>
                    <w:rPr>
                      <w:rFonts w:hint="eastAsia"/>
                    </w:rPr>
                    <w:t>围绕国家战略性矿产、自治区优势紧缺矿产，重点勘查煤层气、页岩气、煤炭、铁、锰、铬、钒、钛、铜、镍、铅、锌、钴、钨、锡、钼、锑、金、铌、钽、铍、锂、稀土、晶质石墨、钾盐、萤石、高纯石英等矿产。限制勘查高硫煤、石煤、硫铁矿、石棉等矿产，总量限制的非市场紧缺矿种等。</w:t>
                  </w:r>
                </w:p>
              </w:tc>
              <w:tc>
                <w:tcPr>
                  <w:tcW w:w="1354" w:type="pct"/>
                  <w:vMerge w:val="restart"/>
                  <w:vAlign w:val="center"/>
                </w:tcPr>
                <w:p>
                  <w:pPr>
                    <w:pStyle w:val="47"/>
                    <w:spacing w:before="156"/>
                    <w:jc w:val="center"/>
                  </w:pPr>
                  <w:r>
                    <w:rPr>
                      <w:rFonts w:hint="eastAsia"/>
                    </w:rPr>
                    <w:t>本项目为铜矿勘探项目，不属于限制、禁止勘查矿种</w:t>
                  </w: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开展重要成矿区（带）的矿产调查评价工作，为后续勘查工作提供基地。吸引各类资金，争取在煤、铁、铜、镍、铅锌、金、钨锡、锂铍、萤石、石灰岩（大理岩）、饰面石材、硅质原料（脉石英、石英岩）等矿产勘查方面取得重要进展，新增部分资源储量。</w:t>
                  </w:r>
                </w:p>
              </w:tc>
              <w:tc>
                <w:tcPr>
                  <w:tcW w:w="1354" w:type="pct"/>
                  <w:vMerge w:val="continue"/>
                  <w:vAlign w:val="center"/>
                </w:tcPr>
                <w:p>
                  <w:pPr>
                    <w:pStyle w:val="47"/>
                    <w:spacing w:before="156"/>
                    <w:jc w:val="center"/>
                  </w:pP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90" w:hRule="atLeast"/>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科学管控开发总量，鼓励饰面用石材、石灰岩、花岗岩等非金属矿产的开采及加工；加大萤石、石英岩矿深加工技术研究，积极创造条件对其进行集约化开发；稳步推进铁、铜、镍、锂、铍、钨、锡、铅、锌、金等金属矿产勘查与开发，确保煤炭、钾盐等大宗矿产资源的安全有效供给，保持稀有金属和贵金属、特色非金属产量稳中有增；矿业开发结构更趋合理，矿业开发产业链进一步延长，产品附加值显著提高。到2025年，形成矿产资源开发与保护新格局。开发总量控制在8319万吨/年左右</w:t>
                  </w:r>
                </w:p>
              </w:tc>
              <w:tc>
                <w:tcPr>
                  <w:tcW w:w="1354" w:type="pct"/>
                  <w:vAlign w:val="center"/>
                </w:tcPr>
                <w:p>
                  <w:pPr>
                    <w:pStyle w:val="47"/>
                    <w:spacing w:before="156"/>
                  </w:pPr>
                  <w:r>
                    <w:rPr>
                      <w:rFonts w:hint="eastAsia"/>
                    </w:rPr>
                    <w:t>本项目为铜矿勘探项目</w:t>
                  </w:r>
                  <w:r>
                    <w:rPr>
                      <w:rFonts w:hint="eastAsia"/>
                      <w:color w:val="000000"/>
                    </w:rPr>
                    <w:t>，主要目的是探明勘探区的资源储量，为后期的开发规划提供依据</w:t>
                  </w: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积极推进绿色勘查，确保矿产勘查工作不再产生新的环境问题。新建矿山全部按照 绿色矿山标准建设，生产矿山加快改造升级，力争至2025年大、中型矿山达到自治区规划的绿色矿山建设目标，小型矿山以绿色矿山标准规范管理。</w:t>
                  </w:r>
                </w:p>
              </w:tc>
              <w:tc>
                <w:tcPr>
                  <w:tcW w:w="1354" w:type="pct"/>
                  <w:vAlign w:val="center"/>
                </w:tcPr>
                <w:p>
                  <w:pPr>
                    <w:pStyle w:val="47"/>
                    <w:spacing w:before="156"/>
                  </w:pPr>
                  <w:r>
                    <w:rPr>
                      <w:rFonts w:hint="eastAsia"/>
                    </w:rPr>
                    <w:t>本项目采用先进使用的技术工艺、设备、方法开展地质勘查工作，有效减少对生态环境影响的程度、范围及持续时间</w:t>
                  </w: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规划实施后的主要大气环境影响源包括：采矿施工作业粉尘、施工交通运输产生的</w:t>
                  </w:r>
                </w:p>
                <w:p>
                  <w:pPr>
                    <w:widowControl/>
                    <w:spacing w:line="240" w:lineRule="auto"/>
                    <w:ind w:firstLine="0" w:firstLineChars="0"/>
                    <w:jc w:val="center"/>
                    <w:rPr>
                      <w:sz w:val="21"/>
                      <w:szCs w:val="21"/>
                    </w:rPr>
                  </w:pPr>
                  <w:r>
                    <w:rPr>
                      <w:rFonts w:hint="eastAsia"/>
                      <w:sz w:val="21"/>
                      <w:szCs w:val="21"/>
                    </w:rPr>
                    <w:t>扬尘；场地平整形成的裸露地表、地基开挖、回填以及散状物料堆放等产生的扬尘；爆破烟气；推土机、挖掘机等燃油设备及交通运输车辆释放的废气；冶炼及压延加工产生的废气，冬季采暖锅炉排烟。通过采取有效的污染控制措施，对大气环境的影响是可控的</w:t>
                  </w:r>
                </w:p>
              </w:tc>
              <w:tc>
                <w:tcPr>
                  <w:tcW w:w="1354" w:type="pct"/>
                  <w:vMerge w:val="restart"/>
                  <w:vAlign w:val="center"/>
                </w:tcPr>
                <w:p>
                  <w:pPr>
                    <w:pStyle w:val="47"/>
                    <w:spacing w:before="156"/>
                    <w:jc w:val="center"/>
                    <w:rPr>
                      <w:spacing w:val="4"/>
                    </w:rPr>
                  </w:pPr>
                  <w:r>
                    <w:rPr>
                      <w:rFonts w:hint="eastAsia"/>
                    </w:rPr>
                    <w:t>本项目大气污染物主要为颗粒物，采取相应措施后能够满足相关排放要求，对周边环境影响可接受，</w:t>
                  </w:r>
                  <w:r>
                    <w:rPr>
                      <w:color w:val="000000" w:themeColor="text1"/>
                      <w14:textFill>
                        <w14:solidFill>
                          <w14:schemeClr w14:val="tx1"/>
                        </w14:solidFill>
                      </w14:textFill>
                    </w:rPr>
                    <w:t>生活污水进入防渗化粪池（10m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）处理后</w:t>
                  </w:r>
                  <w:r>
                    <w:rPr>
                      <w:rFonts w:hint="eastAsia"/>
                      <w:color w:val="000000" w:themeColor="text1"/>
                      <w14:textFill>
                        <w14:solidFill>
                          <w14:schemeClr w14:val="tx1"/>
                        </w14:solidFill>
                      </w14:textFill>
                    </w:rPr>
                    <w:t>自然蒸发</w:t>
                  </w:r>
                  <w:r>
                    <w:rPr>
                      <w:rFonts w:hint="eastAsia"/>
                    </w:rPr>
                    <w:t>；生产废水循环使用，不外排；</w:t>
                  </w:r>
                  <w:r>
                    <w:rPr>
                      <w:rFonts w:hint="eastAsia"/>
                      <w:spacing w:val="4"/>
                    </w:rPr>
                    <w:t>本工程实施后通过采取完善的污染治理措施，不会对周围大气环境、地表水环境、声环境、地下水、土壤环境产生明显影响</w:t>
                  </w: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根据矿区水文地质条件判别地下水环境容易受到污染的程度，分析污染物迁移穿过 包气带进入含水层的能力，分析深层地下水含水组上覆地层的防污性能和有无与浅层地下水的水力联系。在此基础上对回用水池、各类事故池等在修建时应采取严格的防渗措施。一般废水经过污水处理后循环使用，不外排。部分矿区可能有外排的情况，在排水管道做好严格的防渗措施后，渗入地下水的污水会很少。在工程设计、施工时，应严把设计、施工质量关，杜绝因材质、防渗及运行失误造 成的泄漏。生产运行过程中，必须严格控制泄漏、外溢等事故，强化监控手段，定期检查，保护区域地下水资源</w:t>
                  </w:r>
                </w:p>
              </w:tc>
              <w:tc>
                <w:tcPr>
                  <w:tcW w:w="1354" w:type="pct"/>
                  <w:vMerge w:val="continue"/>
                  <w:vAlign w:val="center"/>
                </w:tcPr>
                <w:p>
                  <w:pPr>
                    <w:pStyle w:val="47"/>
                    <w:spacing w:before="156"/>
                  </w:pP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规划实施对声环境的影响，从设备发声原理、传播途径和影响范围来看，一般单个噪声设备影响范围在200m之内，通过合理布局，避免高噪声设备集中安置，控制高噪声设备和主要声环境敏感点的距离，合理布局、合理绿化，一般不会造成噪声值超标</w:t>
                  </w:r>
                </w:p>
              </w:tc>
              <w:tc>
                <w:tcPr>
                  <w:tcW w:w="1354" w:type="pct"/>
                  <w:vMerge w:val="continue"/>
                  <w:vAlign w:val="center"/>
                </w:tcPr>
                <w:p>
                  <w:pPr>
                    <w:pStyle w:val="47"/>
                    <w:spacing w:before="156"/>
                  </w:pP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规划实施过程中，产生的固体废物种类较多，主要包括废石、煤矸石、尾矿、冶炼 渣等固体废物，废机油、修井油泥，以及生活垃圾等。固废应首先考虑综合利用，秉承“减量化、资源化、无害化”原则。固废堆场应符合相关技术要求。不能综合利用时要按一般工业固废及危害分别进行合理处置</w:t>
                  </w:r>
                </w:p>
              </w:tc>
              <w:tc>
                <w:tcPr>
                  <w:tcW w:w="1354" w:type="pct"/>
                  <w:vMerge w:val="continue"/>
                  <w:vAlign w:val="center"/>
                </w:tcPr>
                <w:p>
                  <w:pPr>
                    <w:pStyle w:val="47"/>
                    <w:spacing w:before="156"/>
                  </w:pPr>
                </w:p>
              </w:tc>
              <w:tc>
                <w:tcPr>
                  <w:tcW w:w="586" w:type="pct"/>
                  <w:vAlign w:val="center"/>
                </w:tcPr>
                <w:p>
                  <w:pPr>
                    <w:pStyle w:val="47"/>
                    <w:spacing w:before="156"/>
                    <w:jc w:val="center"/>
                  </w:pPr>
                  <w:r>
                    <w:rPr>
                      <w:rFonts w:hint="eastAsia"/>
                    </w:rPr>
                    <w:t>符合</w:t>
                  </w:r>
                </w:p>
              </w:tc>
            </w:tr>
          </w:tbl>
          <w:p>
            <w:pPr>
              <w:ind w:firstLine="0" w:firstLineChars="0"/>
              <w:rPr>
                <w:b/>
                <w:bCs/>
              </w:rPr>
            </w:pPr>
            <w:r>
              <w:rPr>
                <w:b/>
                <w:bCs/>
              </w:rPr>
              <w:t>与《新疆维吾尔自治区和静县矿产资源总体规划（2021～2025年）》相符性分析</w:t>
            </w:r>
          </w:p>
          <w:p>
            <w:r>
              <w:t>《新疆维吾尔自治区和静县矿产资源总体规划（2021～2025年）》提出发展要求，经济社会全面发展需要进一步提高矿产资源安全供给保障能力。和静县是资源型地区，矿业经济对国民经济和社会发展带动效应举足轻重。“十四五”时期，和静县着力提升经济发展的质量和效益，加快制造业、服务业和农业转型升级，推动战略性新兴产业和高新技术产业迅速崛起，推进“四新”经济发展，加快推动向高端化、智能化、绿色化转型，提升城市竞争力，需要进一步强化矿产资源勘查开发，加强科技创新，加快推进矿产资源深部勘查开发，增储保量，缓解矿产资源消耗和资源储量增长的矛盾，建立稳定、平衡的资源供应体系，提高矿产资源安全保障能力，实现矿业经济持续快速高效发展。本项目为铜矿勘探项目，符合上述《规划》的发展要求。</w:t>
            </w:r>
          </w:p>
        </w:tc>
      </w:tr>
    </w:tbl>
    <w:p/>
    <w:tbl>
      <w:tblPr>
        <w:tblStyle w:val="18"/>
        <w:tblW w:w="497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77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5" w:hRule="atLeast"/>
          <w:jc w:val="center"/>
        </w:trPr>
        <w:tc>
          <w:tcPr>
            <w:tcW w:w="424" w:type="pct"/>
            <w:vAlign w:val="center"/>
          </w:tcPr>
          <w:p>
            <w:pPr>
              <w:ind w:firstLine="0" w:firstLineChars="0"/>
            </w:pPr>
            <w:r>
              <w:rPr>
                <w:rFonts w:hint="eastAsia"/>
              </w:rPr>
              <w:t>其他符合性分析</w:t>
            </w:r>
          </w:p>
        </w:tc>
        <w:tc>
          <w:tcPr>
            <w:tcW w:w="4576" w:type="pct"/>
          </w:tcPr>
          <w:p>
            <w:pPr>
              <w:pStyle w:val="14"/>
            </w:pPr>
            <w:r>
              <w:t>1</w:t>
            </w:r>
            <w:r>
              <w:rPr>
                <w:rFonts w:hint="eastAsia"/>
              </w:rPr>
              <w:t>.</w:t>
            </w:r>
            <w:r>
              <w:t>产业政策符合性</w:t>
            </w:r>
          </w:p>
          <w:p>
            <w:r>
              <w:rPr>
                <w:snapToGrid w:val="0"/>
              </w:rPr>
              <w:t>根据</w:t>
            </w:r>
            <w:r>
              <w:rPr>
                <w:rFonts w:ascii="宋体" w:hAnsi="宋体"/>
                <w:color w:val="000000"/>
                <w:szCs w:val="22"/>
              </w:rPr>
              <w:t>《产业结构调整指导目录（</w:t>
            </w:r>
            <w:r>
              <w:rPr>
                <w:rFonts w:hint="eastAsia"/>
              </w:rPr>
              <w:t>2024</w:t>
            </w:r>
            <w:r>
              <w:t>年</w:t>
            </w:r>
            <w:r>
              <w:rPr>
                <w:rFonts w:ascii="宋体" w:hAnsi="宋体"/>
                <w:color w:val="000000"/>
                <w:szCs w:val="22"/>
              </w:rPr>
              <w:t>本）》</w:t>
            </w:r>
            <w:r>
              <w:rPr>
                <w:snapToGrid w:val="0"/>
              </w:rPr>
              <w:t>，</w:t>
            </w:r>
            <w:r>
              <w:rPr>
                <w:rFonts w:hint="eastAsia"/>
                <w:snapToGrid w:val="0"/>
              </w:rPr>
              <w:t>本项目为固体矿产地质勘探，不属于鼓励类、限制类、淘汰类项目，为允许类。</w:t>
            </w:r>
            <w:r>
              <w:rPr>
                <w:snapToGrid w:val="0"/>
              </w:rPr>
              <w:t>因此其建设符合国家产业政策要求。</w:t>
            </w:r>
          </w:p>
          <w:p>
            <w:pPr>
              <w:pStyle w:val="14"/>
            </w:pPr>
            <w:r>
              <w:t>2</w:t>
            </w:r>
            <w:r>
              <w:rPr>
                <w:rFonts w:hint="eastAsia"/>
              </w:rPr>
              <w:t>.生态环境分区管控相符性分析</w:t>
            </w:r>
          </w:p>
          <w:p>
            <w:r>
              <w:rPr>
                <w:rFonts w:hint="eastAsia"/>
              </w:rPr>
              <w:t>根据“关于印发《新疆维吾尔自治区生态环境分区管控动态更新成果》的通知”（新环环评发〔2024〕157号），将本项目与空间布局约束、污染物排放管控、环境风险防控和资源利用相关要求对比分析。</w:t>
            </w:r>
          </w:p>
          <w:p>
            <w:pPr>
              <w:adjustRightInd w:val="0"/>
              <w:spacing w:before="156" w:beforeLines="50" w:line="240" w:lineRule="auto"/>
              <w:ind w:firstLine="0" w:firstLineChars="0"/>
              <w:jc w:val="center"/>
              <w:textAlignment w:val="baseline"/>
              <w:rPr>
                <w:b/>
                <w:kern w:val="0"/>
                <w:sz w:val="21"/>
                <w:szCs w:val="20"/>
              </w:rPr>
            </w:pPr>
            <w:r>
              <w:rPr>
                <w:rFonts w:hint="eastAsia"/>
                <w:b/>
                <w:bCs/>
                <w:sz w:val="21"/>
                <w:szCs w:val="21"/>
              </w:rPr>
              <w:t>表</w:t>
            </w:r>
            <w:r>
              <w:rPr>
                <w:b/>
                <w:bCs/>
                <w:sz w:val="21"/>
                <w:szCs w:val="21"/>
              </w:rPr>
              <w:t>1-</w:t>
            </w:r>
            <w:r>
              <w:rPr>
                <w:rFonts w:hint="eastAsia"/>
                <w:b/>
                <w:bCs/>
                <w:sz w:val="21"/>
                <w:szCs w:val="21"/>
              </w:rPr>
              <w:t>2</w:t>
            </w:r>
            <w:r>
              <w:rPr>
                <w:b/>
                <w:bCs/>
                <w:sz w:val="21"/>
                <w:szCs w:val="21"/>
              </w:rPr>
              <w:t xml:space="preserve">  </w:t>
            </w:r>
            <w:r>
              <w:rPr>
                <w:rFonts w:hint="eastAsia"/>
                <w:b/>
                <w:bCs/>
                <w:sz w:val="21"/>
                <w:szCs w:val="21"/>
              </w:rPr>
              <w:t>本项目与新疆维吾尔自治区生态环境分区管控符合性分析一览</w:t>
            </w:r>
            <w:r>
              <w:rPr>
                <w:rFonts w:hint="eastAsia"/>
                <w:b/>
                <w:kern w:val="0"/>
                <w:sz w:val="21"/>
                <w:szCs w:val="20"/>
              </w:rPr>
              <w:t>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83"/>
              <w:gridCol w:w="317"/>
              <w:gridCol w:w="325"/>
              <w:gridCol w:w="3742"/>
              <w:gridCol w:w="1840"/>
              <w:gridCol w:w="8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 w:type="pct"/>
                  <w:vAlign w:val="center"/>
                </w:tcPr>
                <w:p>
                  <w:pPr>
                    <w:spacing w:line="240" w:lineRule="auto"/>
                    <w:ind w:firstLine="0" w:firstLineChars="0"/>
                    <w:contextualSpacing/>
                    <w:jc w:val="center"/>
                    <w:rPr>
                      <w:sz w:val="21"/>
                    </w:rPr>
                  </w:pPr>
                  <w:r>
                    <w:rPr>
                      <w:rFonts w:hint="eastAsia"/>
                      <w:sz w:val="21"/>
                    </w:rPr>
                    <w:t>名称</w:t>
                  </w:r>
                </w:p>
              </w:tc>
              <w:tc>
                <w:tcPr>
                  <w:tcW w:w="2916" w:type="pct"/>
                  <w:gridSpan w:val="3"/>
                  <w:vAlign w:val="center"/>
                </w:tcPr>
                <w:p>
                  <w:pPr>
                    <w:spacing w:line="240" w:lineRule="auto"/>
                    <w:ind w:firstLine="0" w:firstLineChars="0"/>
                    <w:contextualSpacing/>
                    <w:jc w:val="center"/>
                    <w:rPr>
                      <w:sz w:val="21"/>
                    </w:rPr>
                  </w:pPr>
                  <w:r>
                    <w:rPr>
                      <w:rFonts w:hint="eastAsia"/>
                      <w:sz w:val="21"/>
                    </w:rPr>
                    <w:t>文件要求</w:t>
                  </w:r>
                </w:p>
              </w:tc>
              <w:tc>
                <w:tcPr>
                  <w:tcW w:w="1224" w:type="pct"/>
                  <w:vAlign w:val="center"/>
                </w:tcPr>
                <w:p>
                  <w:pPr>
                    <w:spacing w:line="240" w:lineRule="auto"/>
                    <w:ind w:firstLine="0" w:firstLineChars="0"/>
                    <w:contextualSpacing/>
                    <w:jc w:val="center"/>
                    <w:rPr>
                      <w:sz w:val="21"/>
                    </w:rPr>
                  </w:pPr>
                  <w:r>
                    <w:rPr>
                      <w:rFonts w:hint="eastAsia"/>
                      <w:sz w:val="21"/>
                    </w:rPr>
                    <w:t>本项目</w:t>
                  </w:r>
                </w:p>
              </w:tc>
              <w:tc>
                <w:tcPr>
                  <w:tcW w:w="537" w:type="pct"/>
                  <w:vAlign w:val="center"/>
                </w:tcPr>
                <w:p>
                  <w:pPr>
                    <w:spacing w:line="240" w:lineRule="auto"/>
                    <w:ind w:firstLine="0" w:firstLineChars="0"/>
                    <w:contextualSpacing/>
                    <w:jc w:val="center"/>
                    <w:rPr>
                      <w:sz w:val="21"/>
                    </w:rPr>
                  </w:pPr>
                  <w:r>
                    <w:rPr>
                      <w:rFonts w:hint="eastAsia"/>
                      <w:sz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 w:type="pct"/>
                  <w:vMerge w:val="restart"/>
                  <w:vAlign w:val="center"/>
                </w:tcPr>
                <w:p>
                  <w:pPr>
                    <w:spacing w:line="240" w:lineRule="auto"/>
                    <w:ind w:firstLine="0" w:firstLineChars="0"/>
                    <w:contextualSpacing/>
                    <w:jc w:val="center"/>
                    <w:rPr>
                      <w:sz w:val="21"/>
                    </w:rPr>
                  </w:pPr>
                  <w:r>
                    <w:rPr>
                      <w:rFonts w:hint="eastAsia"/>
                      <w:sz w:val="21"/>
                    </w:rPr>
                    <w:t>《新疆维吾尔自治区生态环境分区管控方案》</w:t>
                  </w:r>
                </w:p>
              </w:tc>
              <w:tc>
                <w:tcPr>
                  <w:tcW w:w="427" w:type="pct"/>
                  <w:gridSpan w:val="2"/>
                  <w:vAlign w:val="center"/>
                </w:tcPr>
                <w:p>
                  <w:pPr>
                    <w:spacing w:line="240" w:lineRule="auto"/>
                    <w:ind w:firstLine="0" w:firstLineChars="0"/>
                    <w:contextualSpacing/>
                    <w:jc w:val="center"/>
                    <w:rPr>
                      <w:sz w:val="21"/>
                    </w:rPr>
                  </w:pPr>
                  <w:r>
                    <w:rPr>
                      <w:rFonts w:hint="eastAsia"/>
                      <w:sz w:val="21"/>
                    </w:rPr>
                    <w:t>生态保护红线</w:t>
                  </w:r>
                </w:p>
              </w:tc>
              <w:tc>
                <w:tcPr>
                  <w:tcW w:w="2489" w:type="pct"/>
                  <w:vAlign w:val="center"/>
                </w:tcPr>
                <w:p>
                  <w:pPr>
                    <w:spacing w:line="240" w:lineRule="auto"/>
                    <w:ind w:firstLine="0" w:firstLineChars="0"/>
                    <w:contextualSpacing/>
                    <w:jc w:val="center"/>
                    <w:rPr>
                      <w:sz w:val="21"/>
                    </w:rPr>
                  </w:pPr>
                  <w:r>
                    <w:rPr>
                      <w:rFonts w:hint="eastAsia"/>
                      <w:sz w:val="21"/>
                    </w:rPr>
                    <w:t>按照“生态功能不降低、面积不减少、性质不改变”的基本要求，对划定的生态保护红线实施严格管控，保障和维护国家生态安全的底线和生命线</w:t>
                  </w:r>
                </w:p>
              </w:tc>
              <w:tc>
                <w:tcPr>
                  <w:tcW w:w="1224" w:type="pct"/>
                  <w:vAlign w:val="center"/>
                </w:tcPr>
                <w:p>
                  <w:pPr>
                    <w:spacing w:line="240" w:lineRule="auto"/>
                    <w:ind w:firstLine="0" w:firstLineChars="0"/>
                    <w:contextualSpacing/>
                    <w:jc w:val="center"/>
                    <w:rPr>
                      <w:sz w:val="21"/>
                    </w:rPr>
                  </w:pPr>
                  <w:r>
                    <w:rPr>
                      <w:rFonts w:hint="eastAsia"/>
                      <w:sz w:val="21"/>
                    </w:rPr>
                    <w:t>本项目不在生态保护红线范围内</w:t>
                  </w:r>
                </w:p>
              </w:tc>
              <w:tc>
                <w:tcPr>
                  <w:tcW w:w="537" w:type="pct"/>
                  <w:vAlign w:val="center"/>
                </w:tcPr>
                <w:p>
                  <w:pPr>
                    <w:spacing w:line="240" w:lineRule="auto"/>
                    <w:ind w:firstLine="0" w:firstLineChars="0"/>
                    <w:contextualSpacing/>
                    <w:jc w:val="center"/>
                    <w:rPr>
                      <w:sz w:val="21"/>
                    </w:rPr>
                  </w:pPr>
                  <w:r>
                    <w:rPr>
                      <w:rFonts w:hint="eastAsia"/>
                      <w:sz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 w:type="pct"/>
                  <w:vMerge w:val="continue"/>
                  <w:vAlign w:val="center"/>
                </w:tcPr>
                <w:p>
                  <w:pPr>
                    <w:spacing w:line="240" w:lineRule="auto"/>
                    <w:ind w:firstLine="0" w:firstLineChars="0"/>
                    <w:contextualSpacing/>
                    <w:jc w:val="center"/>
                    <w:rPr>
                      <w:sz w:val="21"/>
                    </w:rPr>
                  </w:pPr>
                </w:p>
              </w:tc>
              <w:tc>
                <w:tcPr>
                  <w:tcW w:w="427" w:type="pct"/>
                  <w:gridSpan w:val="2"/>
                  <w:vAlign w:val="center"/>
                </w:tcPr>
                <w:p>
                  <w:pPr>
                    <w:spacing w:line="240" w:lineRule="auto"/>
                    <w:ind w:firstLine="0" w:firstLineChars="0"/>
                    <w:contextualSpacing/>
                    <w:jc w:val="center"/>
                    <w:rPr>
                      <w:sz w:val="21"/>
                    </w:rPr>
                  </w:pPr>
                  <w:r>
                    <w:rPr>
                      <w:rFonts w:hint="eastAsia"/>
                      <w:sz w:val="21"/>
                    </w:rPr>
                    <w:t>环境质量底线</w:t>
                  </w:r>
                </w:p>
              </w:tc>
              <w:tc>
                <w:tcPr>
                  <w:tcW w:w="2489" w:type="pct"/>
                  <w:vAlign w:val="center"/>
                </w:tcPr>
                <w:p>
                  <w:pPr>
                    <w:spacing w:line="240" w:lineRule="auto"/>
                    <w:ind w:firstLine="0" w:firstLineChars="0"/>
                    <w:contextualSpacing/>
                    <w:jc w:val="center"/>
                    <w:rPr>
                      <w:sz w:val="21"/>
                    </w:rPr>
                  </w:pPr>
                  <w:r>
                    <w:rPr>
                      <w:rFonts w:hint="eastAsia"/>
                      <w:sz w:val="21"/>
                    </w:rPr>
                    <w:t>全区水环境质量持续改善，受污染地表水体得到优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1224" w:type="pct"/>
                  <w:vAlign w:val="center"/>
                </w:tcPr>
                <w:p>
                  <w:pPr>
                    <w:spacing w:line="240" w:lineRule="auto"/>
                    <w:ind w:firstLine="0" w:firstLineChars="0"/>
                    <w:contextualSpacing/>
                    <w:rPr>
                      <w:sz w:val="21"/>
                    </w:rPr>
                  </w:pPr>
                  <w:r>
                    <w:rPr>
                      <w:rFonts w:hint="eastAsia"/>
                      <w:sz w:val="21"/>
                    </w:rPr>
                    <w:t>本项目运营期采取相应措施后能够满足相关排放要求，对周边环境影响可接受</w:t>
                  </w:r>
                </w:p>
              </w:tc>
              <w:tc>
                <w:tcPr>
                  <w:tcW w:w="537" w:type="pct"/>
                  <w:vAlign w:val="center"/>
                </w:tcPr>
                <w:p>
                  <w:pPr>
                    <w:spacing w:line="240" w:lineRule="auto"/>
                    <w:ind w:firstLine="0" w:firstLineChars="0"/>
                    <w:contextualSpacing/>
                    <w:jc w:val="center"/>
                    <w:rPr>
                      <w:sz w:val="21"/>
                    </w:rPr>
                  </w:pPr>
                  <w:r>
                    <w:rPr>
                      <w:rFonts w:hint="eastAsia"/>
                      <w:sz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 w:type="pct"/>
                  <w:vMerge w:val="continue"/>
                  <w:vAlign w:val="center"/>
                </w:tcPr>
                <w:p>
                  <w:pPr>
                    <w:spacing w:line="240" w:lineRule="auto"/>
                    <w:ind w:firstLine="0" w:firstLineChars="0"/>
                    <w:contextualSpacing/>
                    <w:jc w:val="center"/>
                    <w:rPr>
                      <w:sz w:val="21"/>
                    </w:rPr>
                  </w:pPr>
                </w:p>
              </w:tc>
              <w:tc>
                <w:tcPr>
                  <w:tcW w:w="427" w:type="pct"/>
                  <w:gridSpan w:val="2"/>
                  <w:vAlign w:val="center"/>
                </w:tcPr>
                <w:p>
                  <w:pPr>
                    <w:spacing w:line="240" w:lineRule="auto"/>
                    <w:ind w:firstLine="0" w:firstLineChars="0"/>
                    <w:contextualSpacing/>
                    <w:jc w:val="center"/>
                    <w:rPr>
                      <w:sz w:val="21"/>
                    </w:rPr>
                  </w:pPr>
                  <w:r>
                    <w:rPr>
                      <w:rFonts w:hint="eastAsia"/>
                      <w:sz w:val="21"/>
                    </w:rPr>
                    <w:t>资源利用上线</w:t>
                  </w:r>
                </w:p>
              </w:tc>
              <w:tc>
                <w:tcPr>
                  <w:tcW w:w="2489" w:type="pct"/>
                  <w:vAlign w:val="center"/>
                </w:tcPr>
                <w:p>
                  <w:pPr>
                    <w:spacing w:line="240" w:lineRule="auto"/>
                    <w:ind w:firstLine="0" w:firstLineChars="0"/>
                    <w:contextualSpacing/>
                    <w:jc w:val="center"/>
                    <w:rPr>
                      <w:sz w:val="21"/>
                    </w:rPr>
                  </w:pPr>
                  <w:r>
                    <w:rPr>
                      <w:rFonts w:hint="eastAsia"/>
                      <w:sz w:val="21"/>
                    </w:rPr>
                    <w:t>强化节约集约利用，持续提升资源能源利用效率，水资源、土地资源、能源消耗等达到国家、自治区下达的总量和强度控制目标</w:t>
                  </w:r>
                </w:p>
              </w:tc>
              <w:tc>
                <w:tcPr>
                  <w:tcW w:w="1224" w:type="pct"/>
                  <w:vAlign w:val="center"/>
                </w:tcPr>
                <w:p>
                  <w:pPr>
                    <w:spacing w:line="240" w:lineRule="auto"/>
                    <w:ind w:firstLine="0" w:firstLineChars="0"/>
                    <w:contextualSpacing/>
                    <w:jc w:val="center"/>
                    <w:rPr>
                      <w:sz w:val="21"/>
                    </w:rPr>
                  </w:pPr>
                  <w:r>
                    <w:rPr>
                      <w:rFonts w:hint="eastAsia"/>
                      <w:sz w:val="21"/>
                    </w:rPr>
                    <w:t>本项目主要利用资源为生产、生活用水及生产用电，本项目用水量及耗电量较小，占地面积较小，对区域水资源、土地资源、能源消耗较小，不会超过资源利用上线</w:t>
                  </w:r>
                </w:p>
              </w:tc>
              <w:tc>
                <w:tcPr>
                  <w:tcW w:w="537" w:type="pct"/>
                  <w:vAlign w:val="center"/>
                </w:tcPr>
                <w:p>
                  <w:pPr>
                    <w:spacing w:line="240" w:lineRule="auto"/>
                    <w:ind w:firstLine="0" w:firstLineChars="0"/>
                    <w:contextualSpacing/>
                    <w:jc w:val="center"/>
                    <w:rPr>
                      <w:sz w:val="21"/>
                    </w:rPr>
                  </w:pPr>
                  <w:r>
                    <w:rPr>
                      <w:rFonts w:hint="eastAsia"/>
                      <w:sz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 w:type="pct"/>
                  <w:vMerge w:val="continue"/>
                  <w:vAlign w:val="center"/>
                </w:tcPr>
                <w:p>
                  <w:pPr>
                    <w:spacing w:line="240" w:lineRule="auto"/>
                    <w:ind w:firstLine="0" w:firstLineChars="0"/>
                    <w:contextualSpacing/>
                    <w:jc w:val="center"/>
                    <w:rPr>
                      <w:sz w:val="21"/>
                    </w:rPr>
                  </w:pPr>
                </w:p>
              </w:tc>
              <w:tc>
                <w:tcPr>
                  <w:tcW w:w="211" w:type="pct"/>
                  <w:vAlign w:val="center"/>
                </w:tcPr>
                <w:p>
                  <w:pPr>
                    <w:spacing w:line="240" w:lineRule="auto"/>
                    <w:ind w:firstLine="0" w:firstLineChars="0"/>
                    <w:contextualSpacing/>
                    <w:jc w:val="center"/>
                    <w:rPr>
                      <w:sz w:val="21"/>
                    </w:rPr>
                  </w:pPr>
                  <w:r>
                    <w:rPr>
                      <w:rFonts w:hint="eastAsia"/>
                      <w:sz w:val="21"/>
                    </w:rPr>
                    <w:t>环境管控单元</w:t>
                  </w:r>
                </w:p>
              </w:tc>
              <w:tc>
                <w:tcPr>
                  <w:tcW w:w="215" w:type="pct"/>
                  <w:vAlign w:val="center"/>
                </w:tcPr>
                <w:p>
                  <w:pPr>
                    <w:spacing w:line="240" w:lineRule="auto"/>
                    <w:ind w:firstLine="0" w:firstLineChars="0"/>
                    <w:contextualSpacing/>
                    <w:jc w:val="center"/>
                    <w:rPr>
                      <w:sz w:val="21"/>
                    </w:rPr>
                  </w:pPr>
                  <w:r>
                    <w:rPr>
                      <w:rFonts w:hint="eastAsia"/>
                      <w:sz w:val="21"/>
                    </w:rPr>
                    <w:t>本项目属于一般管控单元</w:t>
                  </w:r>
                </w:p>
              </w:tc>
              <w:tc>
                <w:tcPr>
                  <w:tcW w:w="2489" w:type="pct"/>
                  <w:vAlign w:val="center"/>
                </w:tcPr>
                <w:p>
                  <w:pPr>
                    <w:spacing w:line="240" w:lineRule="auto"/>
                    <w:ind w:firstLine="0" w:firstLineChars="0"/>
                    <w:contextualSpacing/>
                    <w:rPr>
                      <w:sz w:val="21"/>
                    </w:rPr>
                  </w:pPr>
                  <w:r>
                    <w:rPr>
                      <w:rFonts w:hint="eastAsia"/>
                      <w:sz w:val="21"/>
                    </w:rPr>
                    <w:t>自治区划定环境管控单元，分为优先保护单元、重点管控单元和一般管控单元三类，实施分类管控。一般管控单元中，执行区域生态环境保护的基本要求，重点加强农业、生活等领域污染治理。</w:t>
                  </w:r>
                </w:p>
              </w:tc>
              <w:tc>
                <w:tcPr>
                  <w:tcW w:w="1224" w:type="pct"/>
                  <w:vAlign w:val="center"/>
                </w:tcPr>
                <w:p>
                  <w:pPr>
                    <w:spacing w:line="240" w:lineRule="auto"/>
                    <w:ind w:firstLine="0" w:firstLineChars="0"/>
                    <w:contextualSpacing/>
                    <w:jc w:val="center"/>
                    <w:rPr>
                      <w:sz w:val="21"/>
                    </w:rPr>
                  </w:pPr>
                  <w:r>
                    <w:rPr>
                      <w:rFonts w:hint="eastAsia"/>
                      <w:sz w:val="21"/>
                    </w:rPr>
                    <w:t>本工程实施后通过采取完善的污染治理措施，不会对厂址周围大气环境、地表水环境、声环境、地下水、土壤环境产生明显影响</w:t>
                  </w:r>
                </w:p>
              </w:tc>
              <w:tc>
                <w:tcPr>
                  <w:tcW w:w="537" w:type="pct"/>
                  <w:vAlign w:val="center"/>
                </w:tcPr>
                <w:p>
                  <w:pPr>
                    <w:spacing w:line="240" w:lineRule="auto"/>
                    <w:ind w:firstLine="0" w:firstLineChars="0"/>
                    <w:contextualSpacing/>
                    <w:jc w:val="center"/>
                    <w:rPr>
                      <w:sz w:val="21"/>
                    </w:rPr>
                  </w:pPr>
                  <w:r>
                    <w:rPr>
                      <w:rFonts w:hint="eastAsia"/>
                      <w:sz w:val="21"/>
                    </w:rPr>
                    <w:t>符合</w:t>
                  </w:r>
                </w:p>
              </w:tc>
            </w:tr>
          </w:tbl>
          <w:p>
            <w:pPr>
              <w:pStyle w:val="27"/>
              <w:spacing w:before="156"/>
            </w:pPr>
            <w:r>
              <w:rPr>
                <w:rFonts w:hint="eastAsia"/>
              </w:rPr>
              <w:t>表</w:t>
            </w:r>
            <w:r>
              <w:t xml:space="preserve">1-3  </w:t>
            </w:r>
            <w:r>
              <w:rPr>
                <w:rFonts w:hint="eastAsia"/>
              </w:rPr>
              <w:t>本项目与</w:t>
            </w:r>
            <w:r>
              <w:rPr>
                <w:rFonts w:hint="eastAsia"/>
                <w:bCs/>
                <w:szCs w:val="21"/>
              </w:rPr>
              <w:t>新疆维吾尔自治区</w:t>
            </w:r>
            <w:r>
              <w:rPr>
                <w:rFonts w:hint="eastAsia"/>
              </w:rPr>
              <w:t>一般环境管控单元分类管控要求相符性分析</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60"/>
              <w:gridCol w:w="649"/>
              <w:gridCol w:w="3963"/>
              <w:gridCol w:w="1809"/>
              <w:gridCol w:w="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3375" w:type="pct"/>
                  <w:gridSpan w:val="3"/>
                  <w:vAlign w:val="center"/>
                </w:tcPr>
                <w:p>
                  <w:pPr>
                    <w:pStyle w:val="25"/>
                  </w:pPr>
                  <w:r>
                    <w:rPr>
                      <w:rFonts w:hint="eastAsia"/>
                    </w:rPr>
                    <w:t>管控要求</w:t>
                  </w:r>
                </w:p>
              </w:tc>
              <w:tc>
                <w:tcPr>
                  <w:tcW w:w="1204" w:type="pct"/>
                  <w:vAlign w:val="center"/>
                </w:tcPr>
                <w:p>
                  <w:pPr>
                    <w:pStyle w:val="25"/>
                  </w:pPr>
                  <w:r>
                    <w:rPr>
                      <w:rFonts w:hint="eastAsia"/>
                    </w:rPr>
                    <w:t>本项目</w:t>
                  </w:r>
                </w:p>
              </w:tc>
              <w:tc>
                <w:tcPr>
                  <w:tcW w:w="421" w:type="pct"/>
                  <w:vAlign w:val="center"/>
                </w:tcPr>
                <w:p>
                  <w:pPr>
                    <w:pStyle w:val="25"/>
                  </w:pPr>
                  <w:r>
                    <w:rPr>
                      <w:rFonts w:hint="eastAsia"/>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9" w:hRule="atLeast"/>
                <w:jc w:val="center"/>
              </w:trPr>
              <w:tc>
                <w:tcPr>
                  <w:tcW w:w="306" w:type="pct"/>
                  <w:vMerge w:val="restart"/>
                  <w:vAlign w:val="center"/>
                </w:tcPr>
                <w:p>
                  <w:pPr>
                    <w:pStyle w:val="25"/>
                  </w:pPr>
                  <w:r>
                    <w:t>A7</w:t>
                  </w:r>
                  <w:r>
                    <w:rPr>
                      <w:rFonts w:hint="eastAsia"/>
                    </w:rPr>
                    <w:t>一般管控单元</w:t>
                  </w:r>
                </w:p>
              </w:tc>
              <w:tc>
                <w:tcPr>
                  <w:tcW w:w="432" w:type="pct"/>
                  <w:vAlign w:val="center"/>
                </w:tcPr>
                <w:p>
                  <w:pPr>
                    <w:pStyle w:val="25"/>
                  </w:pPr>
                  <w:r>
                    <w:t>A7.1</w:t>
                  </w:r>
                  <w:r>
                    <w:rPr>
                      <w:rFonts w:hint="eastAsia"/>
                    </w:rPr>
                    <w:t>空间布局约束</w:t>
                  </w:r>
                </w:p>
              </w:tc>
              <w:tc>
                <w:tcPr>
                  <w:tcW w:w="2636" w:type="pct"/>
                  <w:vAlign w:val="center"/>
                </w:tcPr>
                <w:p>
                  <w:pPr>
                    <w:pStyle w:val="25"/>
                  </w:pPr>
                  <w:r>
                    <w:rPr>
                      <w:rFonts w:hint="eastAsia"/>
                    </w:rPr>
                    <w:t>【</w:t>
                  </w:r>
                  <w:r>
                    <w:t>A7.1-1</w:t>
                  </w:r>
                  <w:r>
                    <w:rPr>
                      <w:rFonts w:hint="eastAsia"/>
                    </w:rPr>
                    <w:t>】限制进行大规模高强度工业化城镇化开发，严格控制金属冶炼、石油化工、焦化等“高污染、高环境风险产品”工业项目，原则上不增加产能，现有“高污染、高环境风险产品”工业项目持续削减污染物排放总量并严格控制环境风险。原则上禁止建设涉及一类重金属、持久性有机污染物排放的工业项目。建立集镇居住商业区、耕地保护区与工业功能区等集聚区块之间的防护带。严格执行畜禽养殖禁养区规定，根据区域用地和消纳水平，合理确定养殖规模。加强基本农田保护，严格限制非农项目占用耕地。</w:t>
                  </w:r>
                </w:p>
              </w:tc>
              <w:tc>
                <w:tcPr>
                  <w:tcW w:w="1204" w:type="pct"/>
                  <w:vAlign w:val="center"/>
                </w:tcPr>
                <w:p>
                  <w:pPr>
                    <w:pStyle w:val="25"/>
                  </w:pPr>
                  <w:r>
                    <w:rPr>
                      <w:rFonts w:hint="eastAsia"/>
                      <w:color w:val="000000"/>
                      <w:szCs w:val="21"/>
                    </w:rPr>
                    <w:t>本项目为铜矿勘探项目，主要目的是探明勘探区的资源 储量，为后期的开发规划提供依据，项目不属于工业项 目，不属于“高污染、高环境风险”项目，不涉及重金 属、持久性有机污染物排放。故项目的建设是符合空间布局约束的</w:t>
                  </w:r>
                  <w:r>
                    <w:rPr>
                      <w:rFonts w:hint="eastAsia"/>
                    </w:rPr>
                    <w:t>。</w:t>
                  </w:r>
                </w:p>
              </w:tc>
              <w:tc>
                <w:tcPr>
                  <w:tcW w:w="421" w:type="pct"/>
                  <w:vAlign w:val="center"/>
                </w:tcPr>
                <w:p>
                  <w:pPr>
                    <w:pStyle w:val="25"/>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306" w:type="pct"/>
                  <w:vMerge w:val="continue"/>
                  <w:vAlign w:val="center"/>
                </w:tcPr>
                <w:p>
                  <w:pPr>
                    <w:pStyle w:val="25"/>
                  </w:pPr>
                </w:p>
              </w:tc>
              <w:tc>
                <w:tcPr>
                  <w:tcW w:w="432" w:type="pct"/>
                  <w:vAlign w:val="center"/>
                </w:tcPr>
                <w:p>
                  <w:pPr>
                    <w:pStyle w:val="25"/>
                  </w:pPr>
                  <w:r>
                    <w:t>A7.2</w:t>
                  </w:r>
                  <w:r>
                    <w:rPr>
                      <w:rFonts w:hint="eastAsia"/>
                    </w:rPr>
                    <w:t>污染物排放管控</w:t>
                  </w:r>
                </w:p>
              </w:tc>
              <w:tc>
                <w:tcPr>
                  <w:tcW w:w="2636" w:type="pct"/>
                  <w:vAlign w:val="center"/>
                </w:tcPr>
                <w:p>
                  <w:pPr>
                    <w:pStyle w:val="25"/>
                  </w:pPr>
                  <w:r>
                    <w:rPr>
                      <w:rFonts w:hint="eastAsia"/>
                    </w:rPr>
                    <w:t>【</w:t>
                  </w:r>
                  <w:r>
                    <w:t>A7.2-1</w:t>
                  </w:r>
                  <w:r>
                    <w:rPr>
                      <w:rFonts w:hint="eastAsia"/>
                    </w:rPr>
                    <w:t>】落实污染物总量控制制度，根据区域环境质量改善目标，削减污染物排放总量。加强农业面源污染治理，严格控制化肥农药施加量，逐步削减农业面源污染物排放量。</w:t>
                  </w:r>
                </w:p>
              </w:tc>
              <w:tc>
                <w:tcPr>
                  <w:tcW w:w="1204" w:type="pct"/>
                  <w:vAlign w:val="center"/>
                </w:tcPr>
                <w:p>
                  <w:pPr>
                    <w:pStyle w:val="25"/>
                  </w:pPr>
                  <w:r>
                    <w:rPr>
                      <w:rFonts w:hint="eastAsia"/>
                      <w:color w:val="000000"/>
                      <w:szCs w:val="21"/>
                    </w:rPr>
                    <w:t>项目不设置河流排污口，不新增工业污染物排放总量， 故符合污染物排放管控</w:t>
                  </w:r>
                </w:p>
              </w:tc>
              <w:tc>
                <w:tcPr>
                  <w:tcW w:w="421" w:type="pct"/>
                  <w:vAlign w:val="center"/>
                </w:tcPr>
                <w:p>
                  <w:pPr>
                    <w:pStyle w:val="25"/>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1" w:hRule="atLeast"/>
                <w:jc w:val="center"/>
              </w:trPr>
              <w:tc>
                <w:tcPr>
                  <w:tcW w:w="306" w:type="pct"/>
                  <w:vMerge w:val="continue"/>
                  <w:vAlign w:val="center"/>
                </w:tcPr>
                <w:p>
                  <w:pPr>
                    <w:pStyle w:val="25"/>
                  </w:pPr>
                </w:p>
              </w:tc>
              <w:tc>
                <w:tcPr>
                  <w:tcW w:w="432" w:type="pct"/>
                  <w:vAlign w:val="center"/>
                </w:tcPr>
                <w:p>
                  <w:pPr>
                    <w:pStyle w:val="25"/>
                  </w:pPr>
                  <w:r>
                    <w:t>A7.3</w:t>
                  </w:r>
                  <w:r>
                    <w:rPr>
                      <w:rFonts w:hint="eastAsia"/>
                    </w:rPr>
                    <w:t>环境风险防控</w:t>
                  </w:r>
                </w:p>
              </w:tc>
              <w:tc>
                <w:tcPr>
                  <w:tcW w:w="2636" w:type="pct"/>
                  <w:vAlign w:val="center"/>
                </w:tcPr>
                <w:p>
                  <w:pPr>
                    <w:pStyle w:val="25"/>
                  </w:pPr>
                  <w:r>
                    <w:rPr>
                      <w:rFonts w:hint="eastAsia"/>
                    </w:rPr>
                    <w:t>【</w:t>
                  </w:r>
                  <w:r>
                    <w:t>A7.3-1</w:t>
                  </w:r>
                  <w:r>
                    <w:rPr>
                      <w:rFonts w:hint="eastAsia"/>
                    </w:rPr>
                    <w:t>】加强生态公益林保护与建设，防止水土流失。禁止向农用地排放重金属或者其他有毒有害物质含量超标的污水、污泥，以及可能造成土壤污染的尾矿、矿渣等。加强农田土壤、灌溉水的监测及评价，对周边或区域环境风险源进行评估。</w:t>
                  </w:r>
                </w:p>
              </w:tc>
              <w:tc>
                <w:tcPr>
                  <w:tcW w:w="1204" w:type="pct"/>
                  <w:vAlign w:val="center"/>
                </w:tcPr>
                <w:p>
                  <w:pPr>
                    <w:pStyle w:val="25"/>
                  </w:pPr>
                  <w:r>
                    <w:rPr>
                      <w:rFonts w:hint="eastAsia"/>
                      <w:color w:val="000000"/>
                      <w:szCs w:val="21"/>
                    </w:rPr>
                    <w:t>项目为铜矿勘探项目，勘探期较短，勘探主要是槽探和钻探结合的方式进 行，勘探结束后，恢复地面原装，不会造成生物多样性 和生境的损害，项目区探勘区域不涉及野生动物保护 区、重要栖息地和自然通道，不涉及饮用水水源区，故项 目的建设符合环境风险防控</w:t>
                  </w:r>
                </w:p>
              </w:tc>
              <w:tc>
                <w:tcPr>
                  <w:tcW w:w="421" w:type="pct"/>
                  <w:vAlign w:val="center"/>
                </w:tcPr>
                <w:p>
                  <w:pPr>
                    <w:pStyle w:val="25"/>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3" w:hRule="atLeast"/>
                <w:jc w:val="center"/>
              </w:trPr>
              <w:tc>
                <w:tcPr>
                  <w:tcW w:w="306" w:type="pct"/>
                  <w:vMerge w:val="continue"/>
                  <w:vAlign w:val="center"/>
                </w:tcPr>
                <w:p>
                  <w:pPr>
                    <w:pStyle w:val="25"/>
                  </w:pPr>
                </w:p>
              </w:tc>
              <w:tc>
                <w:tcPr>
                  <w:tcW w:w="432" w:type="pct"/>
                  <w:vAlign w:val="center"/>
                </w:tcPr>
                <w:p>
                  <w:pPr>
                    <w:pStyle w:val="25"/>
                  </w:pPr>
                  <w:r>
                    <w:t>A7.4</w:t>
                  </w:r>
                  <w:r>
                    <w:rPr>
                      <w:rFonts w:hint="eastAsia"/>
                    </w:rPr>
                    <w:t>资源利用要求</w:t>
                  </w:r>
                </w:p>
              </w:tc>
              <w:tc>
                <w:tcPr>
                  <w:tcW w:w="2636" w:type="pct"/>
                  <w:vAlign w:val="center"/>
                </w:tcPr>
                <w:p>
                  <w:pPr>
                    <w:pStyle w:val="25"/>
                  </w:pPr>
                  <w:r>
                    <w:rPr>
                      <w:rFonts w:hint="eastAsia"/>
                    </w:rPr>
                    <w:t>【</w:t>
                  </w:r>
                  <w:r>
                    <w:t>A7.4-1</w:t>
                  </w:r>
                  <w:r>
                    <w:rPr>
                      <w:rFonts w:hint="eastAsia"/>
                    </w:rPr>
                    <w:t>】实行水资源消耗总量和强度双控，推进农业节水，提高农业用水效率。优化能源结构，加强能源清洁利用。</w:t>
                  </w:r>
                </w:p>
              </w:tc>
              <w:tc>
                <w:tcPr>
                  <w:tcW w:w="1204" w:type="pct"/>
                  <w:vAlign w:val="center"/>
                </w:tcPr>
                <w:p>
                  <w:pPr>
                    <w:pStyle w:val="25"/>
                  </w:pPr>
                  <w:r>
                    <w:rPr>
                      <w:rFonts w:hint="eastAsia"/>
                      <w:color w:val="000000"/>
                      <w:szCs w:val="21"/>
                    </w:rPr>
                    <w:t>勘探用水主要是勘探人员生活用水和勘探过程的生产用水，用水量较小</w:t>
                  </w:r>
                </w:p>
              </w:tc>
              <w:tc>
                <w:tcPr>
                  <w:tcW w:w="421" w:type="pct"/>
                  <w:vAlign w:val="center"/>
                </w:tcPr>
                <w:p>
                  <w:pPr>
                    <w:pStyle w:val="25"/>
                  </w:pPr>
                  <w:r>
                    <w:rPr>
                      <w:rFonts w:hint="eastAsia"/>
                    </w:rPr>
                    <w:t>符合</w:t>
                  </w:r>
                </w:p>
              </w:tc>
            </w:tr>
          </w:tbl>
          <w:p>
            <w:pPr>
              <w:pStyle w:val="27"/>
              <w:spacing w:before="156"/>
            </w:pPr>
            <w:r>
              <w:rPr>
                <w:rFonts w:hint="eastAsia"/>
              </w:rPr>
              <w:t>表</w:t>
            </w:r>
            <w:r>
              <w:t>1-4</w:t>
            </w:r>
            <w:r>
              <w:rPr>
                <w:rFonts w:hint="eastAsia"/>
              </w:rPr>
              <w:t xml:space="preserve"> </w:t>
            </w:r>
            <w:r>
              <w:t xml:space="preserve"> </w:t>
            </w:r>
            <w:r>
              <w:rPr>
                <w:rFonts w:hint="eastAsia"/>
              </w:rPr>
              <w:t>项目与天山南坡片区总体管控要求符合性分析一览表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6"/>
              <w:gridCol w:w="4059"/>
              <w:gridCol w:w="1788"/>
              <w:gridCol w:w="6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3" w:type="pct"/>
                  <w:vMerge w:val="restart"/>
                  <w:vAlign w:val="center"/>
                </w:tcPr>
                <w:p>
                  <w:pPr>
                    <w:spacing w:line="240" w:lineRule="auto"/>
                    <w:ind w:firstLine="0" w:firstLineChars="0"/>
                    <w:jc w:val="center"/>
                    <w:rPr>
                      <w:sz w:val="21"/>
                      <w:szCs w:val="21"/>
                    </w:rPr>
                  </w:pPr>
                  <w:r>
                    <w:rPr>
                      <w:rFonts w:hint="eastAsia"/>
                      <w:sz w:val="21"/>
                      <w:szCs w:val="21"/>
                    </w:rPr>
                    <w:t>天山南坡片区总体管控要求</w:t>
                  </w:r>
                </w:p>
              </w:tc>
              <w:tc>
                <w:tcPr>
                  <w:tcW w:w="2699" w:type="pct"/>
                  <w:vAlign w:val="center"/>
                </w:tcPr>
                <w:p>
                  <w:pPr>
                    <w:spacing w:line="240" w:lineRule="auto"/>
                    <w:ind w:firstLine="0" w:firstLineChars="0"/>
                    <w:jc w:val="center"/>
                    <w:rPr>
                      <w:sz w:val="21"/>
                      <w:szCs w:val="21"/>
                    </w:rPr>
                  </w:pPr>
                  <w:r>
                    <w:rPr>
                      <w:rFonts w:hint="eastAsia"/>
                      <w:sz w:val="21"/>
                      <w:szCs w:val="21"/>
                    </w:rPr>
                    <w:t>管控要求</w:t>
                  </w:r>
                </w:p>
              </w:tc>
              <w:tc>
                <w:tcPr>
                  <w:tcW w:w="1189" w:type="pct"/>
                  <w:vAlign w:val="center"/>
                </w:tcPr>
                <w:p>
                  <w:pPr>
                    <w:spacing w:line="240" w:lineRule="auto"/>
                    <w:ind w:firstLine="0" w:firstLineChars="0"/>
                    <w:jc w:val="center"/>
                    <w:rPr>
                      <w:sz w:val="21"/>
                      <w:szCs w:val="21"/>
                    </w:rPr>
                  </w:pPr>
                  <w:r>
                    <w:rPr>
                      <w:rFonts w:hint="eastAsia"/>
                      <w:sz w:val="21"/>
                      <w:szCs w:val="21"/>
                    </w:rPr>
                    <w:t>本项目</w:t>
                  </w:r>
                </w:p>
              </w:tc>
              <w:tc>
                <w:tcPr>
                  <w:tcW w:w="446" w:type="pct"/>
                  <w:vAlign w:val="center"/>
                </w:tcPr>
                <w:p>
                  <w:pPr>
                    <w:spacing w:line="240" w:lineRule="auto"/>
                    <w:ind w:firstLine="0" w:firstLineChars="0"/>
                    <w:jc w:val="center"/>
                    <w:rPr>
                      <w:sz w:val="21"/>
                      <w:szCs w:val="21"/>
                    </w:rPr>
                  </w:pPr>
                  <w:r>
                    <w:rPr>
                      <w:rFonts w:hint="eastAsia"/>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3" w:type="pct"/>
                  <w:vMerge w:val="continue"/>
                  <w:vAlign w:val="center"/>
                </w:tcPr>
                <w:p>
                  <w:pPr>
                    <w:spacing w:line="240" w:lineRule="auto"/>
                    <w:ind w:firstLine="420"/>
                    <w:jc w:val="center"/>
                    <w:rPr>
                      <w:sz w:val="21"/>
                      <w:szCs w:val="21"/>
                    </w:rPr>
                  </w:pPr>
                </w:p>
              </w:tc>
              <w:tc>
                <w:tcPr>
                  <w:tcW w:w="2699" w:type="pct"/>
                  <w:vAlign w:val="center"/>
                </w:tcPr>
                <w:p>
                  <w:pPr>
                    <w:spacing w:line="240" w:lineRule="auto"/>
                    <w:ind w:firstLine="0" w:firstLineChars="0"/>
                    <w:jc w:val="center"/>
                    <w:rPr>
                      <w:sz w:val="21"/>
                      <w:szCs w:val="21"/>
                    </w:rPr>
                  </w:pPr>
                  <w:r>
                    <w:rPr>
                      <w:rFonts w:hint="eastAsia"/>
                      <w:sz w:val="21"/>
                      <w:szCs w:val="21"/>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189" w:type="pct"/>
                  <w:vAlign w:val="center"/>
                </w:tcPr>
                <w:p>
                  <w:pPr>
                    <w:spacing w:line="240" w:lineRule="auto"/>
                    <w:ind w:firstLine="0" w:firstLineChars="0"/>
                    <w:jc w:val="center"/>
                    <w:rPr>
                      <w:sz w:val="21"/>
                      <w:szCs w:val="21"/>
                    </w:rPr>
                  </w:pPr>
                  <w:r>
                    <w:rPr>
                      <w:rFonts w:hint="eastAsia"/>
                      <w:sz w:val="21"/>
                      <w:szCs w:val="21"/>
                    </w:rPr>
                    <w:t>本项目不在托木尔峰和天山南坡中段冰雪水源及生物多样性保护生态功能区，项目与生态红线的最近距离约为2</w:t>
                  </w:r>
                  <w:r>
                    <w:rPr>
                      <w:sz w:val="21"/>
                      <w:szCs w:val="21"/>
                    </w:rPr>
                    <w:t>.2km</w:t>
                  </w:r>
                </w:p>
              </w:tc>
              <w:tc>
                <w:tcPr>
                  <w:tcW w:w="446"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3" w:type="pct"/>
                  <w:vMerge w:val="continue"/>
                  <w:vAlign w:val="center"/>
                </w:tcPr>
                <w:p>
                  <w:pPr>
                    <w:spacing w:line="240" w:lineRule="auto"/>
                    <w:ind w:firstLine="420"/>
                    <w:jc w:val="center"/>
                    <w:rPr>
                      <w:sz w:val="21"/>
                      <w:szCs w:val="21"/>
                    </w:rPr>
                  </w:pPr>
                </w:p>
              </w:tc>
              <w:tc>
                <w:tcPr>
                  <w:tcW w:w="2699" w:type="pct"/>
                  <w:vAlign w:val="center"/>
                </w:tcPr>
                <w:p>
                  <w:pPr>
                    <w:spacing w:line="240" w:lineRule="auto"/>
                    <w:ind w:firstLine="0" w:firstLineChars="0"/>
                    <w:jc w:val="center"/>
                    <w:rPr>
                      <w:sz w:val="21"/>
                      <w:szCs w:val="21"/>
                    </w:rPr>
                  </w:pPr>
                  <w:r>
                    <w:rPr>
                      <w:rFonts w:hint="eastAsia"/>
                      <w:snapToGrid w:val="0"/>
                      <w:sz w:val="21"/>
                      <w:szCs w:val="21"/>
                    </w:rPr>
                    <w:t>重点做好塔里木盆地北缘荒漠化防治。加强荒漠植被及河岸荒漠林保护，规范油气勘探开发作业，建立油田和公路扰动区域工程与生物相结合的防风固沙体系，逐步形成生态屏障。</w:t>
                  </w:r>
                </w:p>
              </w:tc>
              <w:tc>
                <w:tcPr>
                  <w:tcW w:w="1189" w:type="pct"/>
                  <w:vAlign w:val="center"/>
                </w:tcPr>
                <w:p>
                  <w:pPr>
                    <w:spacing w:line="240" w:lineRule="auto"/>
                    <w:ind w:firstLine="0" w:firstLineChars="0"/>
                    <w:jc w:val="center"/>
                    <w:rPr>
                      <w:sz w:val="21"/>
                      <w:szCs w:val="21"/>
                    </w:rPr>
                  </w:pPr>
                  <w:r>
                    <w:rPr>
                      <w:rFonts w:hint="eastAsia"/>
                      <w:snapToGrid w:val="0"/>
                      <w:sz w:val="21"/>
                      <w:szCs w:val="21"/>
                    </w:rPr>
                    <w:t>本项目不涉及油气勘探开发</w:t>
                  </w:r>
                </w:p>
              </w:tc>
              <w:tc>
                <w:tcPr>
                  <w:tcW w:w="446"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63" w:type="pct"/>
                  <w:vMerge w:val="continue"/>
                  <w:vAlign w:val="center"/>
                </w:tcPr>
                <w:p>
                  <w:pPr>
                    <w:spacing w:line="240" w:lineRule="auto"/>
                    <w:ind w:firstLine="420"/>
                    <w:jc w:val="center"/>
                    <w:rPr>
                      <w:sz w:val="21"/>
                      <w:szCs w:val="21"/>
                    </w:rPr>
                  </w:pPr>
                </w:p>
              </w:tc>
              <w:tc>
                <w:tcPr>
                  <w:tcW w:w="2699" w:type="pct"/>
                  <w:vAlign w:val="center"/>
                </w:tcPr>
                <w:p>
                  <w:pPr>
                    <w:spacing w:line="240" w:lineRule="auto"/>
                    <w:ind w:firstLine="0" w:firstLineChars="0"/>
                    <w:jc w:val="center"/>
                    <w:rPr>
                      <w:snapToGrid w:val="0"/>
                      <w:sz w:val="21"/>
                      <w:szCs w:val="21"/>
                    </w:rPr>
                  </w:pPr>
                  <w:r>
                    <w:rPr>
                      <w:rFonts w:hint="eastAsia"/>
                      <w:snapToGrid w:val="0"/>
                      <w:sz w:val="21"/>
                      <w:szCs w:val="21"/>
                    </w:rPr>
                    <w:t>推进塔里木河流域用水结构调整，维护塔里木河、博斯腾湖基本生态用水</w:t>
                  </w:r>
                </w:p>
              </w:tc>
              <w:tc>
                <w:tcPr>
                  <w:tcW w:w="1189" w:type="pct"/>
                  <w:vAlign w:val="center"/>
                </w:tcPr>
                <w:p>
                  <w:pPr>
                    <w:spacing w:line="240" w:lineRule="auto"/>
                    <w:ind w:firstLine="0" w:firstLineChars="0"/>
                    <w:jc w:val="center"/>
                    <w:rPr>
                      <w:snapToGrid w:val="0"/>
                      <w:sz w:val="21"/>
                      <w:szCs w:val="21"/>
                    </w:rPr>
                  </w:pPr>
                  <w:r>
                    <w:rPr>
                      <w:rFonts w:hint="eastAsia"/>
                      <w:snapToGrid w:val="0"/>
                      <w:sz w:val="21"/>
                      <w:szCs w:val="21"/>
                    </w:rPr>
                    <w:t>本项目不涉及塔里木河、博斯腾湖生态用水</w:t>
                  </w:r>
                </w:p>
              </w:tc>
              <w:tc>
                <w:tcPr>
                  <w:tcW w:w="446"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3" w:type="pct"/>
                  <w:vMerge w:val="continue"/>
                  <w:vAlign w:val="center"/>
                </w:tcPr>
                <w:p>
                  <w:pPr>
                    <w:spacing w:line="240" w:lineRule="auto"/>
                    <w:ind w:firstLine="420"/>
                    <w:jc w:val="center"/>
                    <w:rPr>
                      <w:sz w:val="21"/>
                      <w:szCs w:val="21"/>
                    </w:rPr>
                  </w:pPr>
                </w:p>
              </w:tc>
              <w:tc>
                <w:tcPr>
                  <w:tcW w:w="2699" w:type="pct"/>
                  <w:vAlign w:val="center"/>
                </w:tcPr>
                <w:p>
                  <w:pPr>
                    <w:spacing w:line="240" w:lineRule="auto"/>
                    <w:ind w:firstLine="0" w:firstLineChars="0"/>
                    <w:jc w:val="center"/>
                    <w:rPr>
                      <w:snapToGrid w:val="0"/>
                      <w:sz w:val="21"/>
                      <w:szCs w:val="21"/>
                    </w:rPr>
                  </w:pPr>
                  <w:r>
                    <w:rPr>
                      <w:rFonts w:hint="eastAsia"/>
                      <w:snapToGrid w:val="0"/>
                      <w:sz w:val="21"/>
                      <w:szCs w:val="21"/>
                    </w:rPr>
                    <w:t>加强塔里木河流域水环境风险管控。加大博斯腾湖污染源头达标排放治理和监督力度，实施博斯腾湖综合治理。</w:t>
                  </w:r>
                </w:p>
              </w:tc>
              <w:tc>
                <w:tcPr>
                  <w:tcW w:w="1189" w:type="pct"/>
                  <w:vAlign w:val="center"/>
                </w:tcPr>
                <w:p>
                  <w:pPr>
                    <w:spacing w:line="240" w:lineRule="auto"/>
                    <w:ind w:firstLine="0" w:firstLineChars="0"/>
                    <w:jc w:val="center"/>
                    <w:rPr>
                      <w:snapToGrid w:val="0"/>
                      <w:sz w:val="21"/>
                      <w:szCs w:val="21"/>
                    </w:rPr>
                  </w:pPr>
                  <w:r>
                    <w:rPr>
                      <w:rFonts w:hint="eastAsia"/>
                      <w:snapToGrid w:val="0"/>
                      <w:sz w:val="21"/>
                      <w:szCs w:val="21"/>
                    </w:rPr>
                    <w:t>本项目不涉及</w:t>
                  </w:r>
                </w:p>
              </w:tc>
              <w:tc>
                <w:tcPr>
                  <w:tcW w:w="446"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3" w:type="pct"/>
                  <w:vMerge w:val="continue"/>
                  <w:vAlign w:val="center"/>
                </w:tcPr>
                <w:p>
                  <w:pPr>
                    <w:spacing w:line="240" w:lineRule="auto"/>
                    <w:ind w:firstLine="420"/>
                    <w:jc w:val="center"/>
                    <w:rPr>
                      <w:sz w:val="21"/>
                      <w:szCs w:val="21"/>
                    </w:rPr>
                  </w:pPr>
                </w:p>
              </w:tc>
              <w:tc>
                <w:tcPr>
                  <w:tcW w:w="2699" w:type="pct"/>
                  <w:vAlign w:val="center"/>
                </w:tcPr>
                <w:p>
                  <w:pPr>
                    <w:spacing w:line="240" w:lineRule="auto"/>
                    <w:ind w:firstLine="0" w:firstLineChars="0"/>
                    <w:jc w:val="center"/>
                    <w:rPr>
                      <w:snapToGrid w:val="0"/>
                      <w:sz w:val="21"/>
                      <w:szCs w:val="21"/>
                    </w:rPr>
                  </w:pPr>
                  <w:r>
                    <w:rPr>
                      <w:rFonts w:hint="eastAsia"/>
                      <w:snapToGrid w:val="0"/>
                      <w:sz w:val="21"/>
                      <w:szCs w:val="21"/>
                    </w:rPr>
                    <w:t>加强油（气）资源开发区土壤环境污染综合整治。强化涉重金属行业污染防控与工业废物处理处置。</w:t>
                  </w:r>
                </w:p>
              </w:tc>
              <w:tc>
                <w:tcPr>
                  <w:tcW w:w="1189" w:type="pct"/>
                  <w:vAlign w:val="center"/>
                </w:tcPr>
                <w:p>
                  <w:pPr>
                    <w:spacing w:line="240" w:lineRule="auto"/>
                    <w:ind w:firstLine="0" w:firstLineChars="0"/>
                    <w:jc w:val="center"/>
                    <w:rPr>
                      <w:snapToGrid w:val="0"/>
                      <w:sz w:val="21"/>
                      <w:szCs w:val="21"/>
                    </w:rPr>
                  </w:pPr>
                  <w:r>
                    <w:rPr>
                      <w:rFonts w:hint="eastAsia"/>
                      <w:snapToGrid w:val="0"/>
                      <w:sz w:val="21"/>
                      <w:szCs w:val="21"/>
                    </w:rPr>
                    <w:t>本项目不涉及油气开发，不涉及重金属排放</w:t>
                  </w:r>
                </w:p>
              </w:tc>
              <w:tc>
                <w:tcPr>
                  <w:tcW w:w="446" w:type="pct"/>
                  <w:vAlign w:val="center"/>
                </w:tcPr>
                <w:p>
                  <w:pPr>
                    <w:spacing w:line="240" w:lineRule="auto"/>
                    <w:ind w:firstLine="0" w:firstLineChars="0"/>
                    <w:jc w:val="center"/>
                    <w:rPr>
                      <w:sz w:val="21"/>
                      <w:szCs w:val="21"/>
                    </w:rPr>
                  </w:pPr>
                  <w:r>
                    <w:rPr>
                      <w:rFonts w:hint="eastAsia"/>
                      <w:sz w:val="21"/>
                      <w:szCs w:val="21"/>
                    </w:rPr>
                    <w:t>符合</w:t>
                  </w:r>
                </w:p>
              </w:tc>
            </w:tr>
          </w:tbl>
          <w:p>
            <w:pPr>
              <w:pStyle w:val="14"/>
              <w:jc w:val="both"/>
            </w:pPr>
            <w:r>
              <w:rPr>
                <w:rFonts w:hint="eastAsia"/>
              </w:rPr>
              <w:t>2</w:t>
            </w:r>
            <w:r>
              <w:t>.1</w:t>
            </w:r>
            <w:r>
              <w:rPr>
                <w:rFonts w:hint="eastAsia"/>
              </w:rPr>
              <w:t>与</w:t>
            </w:r>
            <w:r>
              <w:rPr>
                <w:spacing w:val="-3"/>
              </w:rPr>
              <w:t>巴音郭楞蒙古自治州</w:t>
            </w:r>
            <w:r>
              <w:rPr>
                <w:rFonts w:hint="eastAsia"/>
              </w:rPr>
              <w:t>生态环境分区管控符合性分析</w:t>
            </w:r>
          </w:p>
          <w:p>
            <w:pPr>
              <w:ind w:firstLine="468"/>
            </w:pPr>
            <w:r>
              <w:rPr>
                <w:spacing w:val="-3"/>
              </w:rPr>
              <w:t>根据2024年12月9日发布的《关于印发巴音郭楞蒙古自治州“三线一单”生态环境分区管控动态更新成果（2023年）的通知》（巴政办发〔2024〕32号），</w:t>
            </w:r>
            <w:r>
              <w:rPr>
                <w:rFonts w:hint="eastAsia"/>
                <w:spacing w:val="-3"/>
              </w:rPr>
              <w:t>本项目与</w:t>
            </w:r>
            <w:r>
              <w:rPr>
                <w:spacing w:val="-3"/>
              </w:rPr>
              <w:t>巴音郭楞蒙古自治州</w:t>
            </w:r>
            <w:r>
              <w:rPr>
                <w:rFonts w:hint="eastAsia"/>
                <w:spacing w:val="-3"/>
              </w:rPr>
              <w:t>生态环境分区管控的符合性分析见表1-5</w:t>
            </w:r>
            <w:r>
              <w:rPr>
                <w:rFonts w:hint="eastAsia"/>
              </w:rPr>
              <w:t>。</w:t>
            </w:r>
          </w:p>
          <w:p>
            <w:pPr>
              <w:adjustRightInd w:val="0"/>
              <w:spacing w:before="156" w:beforeLines="50" w:line="240" w:lineRule="auto"/>
              <w:ind w:firstLine="0" w:firstLineChars="0"/>
              <w:jc w:val="center"/>
              <w:rPr>
                <w:b/>
                <w:kern w:val="0"/>
                <w:sz w:val="21"/>
                <w:szCs w:val="20"/>
              </w:rPr>
            </w:pPr>
            <w:r>
              <w:rPr>
                <w:rFonts w:hint="eastAsia"/>
                <w:b/>
                <w:kern w:val="0"/>
                <w:sz w:val="21"/>
                <w:szCs w:val="20"/>
              </w:rPr>
              <w:t>表</w:t>
            </w:r>
            <w:r>
              <w:rPr>
                <w:b/>
                <w:kern w:val="0"/>
                <w:sz w:val="21"/>
                <w:szCs w:val="20"/>
              </w:rPr>
              <w:t xml:space="preserve">1-5  </w:t>
            </w:r>
            <w:r>
              <w:rPr>
                <w:rFonts w:hint="eastAsia"/>
                <w:b/>
                <w:bCs/>
                <w:spacing w:val="-20"/>
                <w:kern w:val="21"/>
                <w:sz w:val="21"/>
              </w:rPr>
              <w:t>本项目与《巴音郭楞蒙古自治州生态环境分区管控方案》符合性一览表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4457"/>
              <w:gridCol w:w="1661"/>
              <w:gridCol w:w="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3" w:type="pct"/>
                  <w:tcBorders>
                    <w:top w:val="single" w:color="auto" w:sz="12" w:space="0"/>
                    <w:left w:val="single" w:color="auto" w:sz="12" w:space="0"/>
                    <w:bottom w:val="single" w:color="auto" w:sz="6" w:space="0"/>
                    <w:right w:val="single" w:color="auto" w:sz="6" w:space="0"/>
                  </w:tcBorders>
                  <w:vAlign w:val="center"/>
                </w:tcPr>
                <w:p>
                  <w:pPr>
                    <w:pStyle w:val="25"/>
                  </w:pPr>
                  <w:r>
                    <w:rPr>
                      <w:rFonts w:hint="eastAsia"/>
                    </w:rPr>
                    <w:t>名称</w:t>
                  </w:r>
                </w:p>
              </w:tc>
              <w:tc>
                <w:tcPr>
                  <w:tcW w:w="2966" w:type="pct"/>
                  <w:tcBorders>
                    <w:top w:val="single" w:color="auto" w:sz="12" w:space="0"/>
                    <w:left w:val="single" w:color="auto" w:sz="6" w:space="0"/>
                    <w:bottom w:val="single" w:color="auto" w:sz="6" w:space="0"/>
                    <w:right w:val="single" w:color="auto" w:sz="6" w:space="0"/>
                  </w:tcBorders>
                  <w:vAlign w:val="center"/>
                </w:tcPr>
                <w:p>
                  <w:pPr>
                    <w:pStyle w:val="25"/>
                  </w:pPr>
                  <w:r>
                    <w:rPr>
                      <w:rFonts w:hint="eastAsia"/>
                    </w:rPr>
                    <w:t>符合性分析</w:t>
                  </w:r>
                </w:p>
              </w:tc>
              <w:tc>
                <w:tcPr>
                  <w:tcW w:w="1105" w:type="pct"/>
                  <w:tcBorders>
                    <w:top w:val="single" w:color="auto" w:sz="12" w:space="0"/>
                    <w:left w:val="single" w:color="auto" w:sz="6" w:space="0"/>
                    <w:bottom w:val="single" w:color="auto" w:sz="6" w:space="0"/>
                    <w:right w:val="single" w:color="auto" w:sz="6" w:space="0"/>
                  </w:tcBorders>
                  <w:vAlign w:val="center"/>
                </w:tcPr>
                <w:p>
                  <w:pPr>
                    <w:pStyle w:val="25"/>
                  </w:pPr>
                  <w:r>
                    <w:rPr>
                      <w:rFonts w:hint="eastAsia"/>
                    </w:rPr>
                    <w:t>本项目</w:t>
                  </w:r>
                </w:p>
              </w:tc>
              <w:tc>
                <w:tcPr>
                  <w:tcW w:w="476" w:type="pct"/>
                  <w:tcBorders>
                    <w:top w:val="single" w:color="auto" w:sz="12" w:space="0"/>
                    <w:left w:val="single" w:color="auto" w:sz="6" w:space="0"/>
                    <w:bottom w:val="single" w:color="auto" w:sz="6" w:space="0"/>
                    <w:right w:val="single" w:color="auto" w:sz="12" w:space="0"/>
                  </w:tcBorders>
                  <w:vAlign w:val="center"/>
                </w:tcPr>
                <w:p>
                  <w:pPr>
                    <w:pStyle w:val="25"/>
                  </w:pPr>
                  <w:r>
                    <w:rPr>
                      <w:rFonts w:hint="eastAsia"/>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3" w:type="pct"/>
                  <w:tcBorders>
                    <w:top w:val="single" w:color="auto" w:sz="6" w:space="0"/>
                    <w:left w:val="single" w:color="auto" w:sz="12" w:space="0"/>
                    <w:bottom w:val="single" w:color="auto" w:sz="6" w:space="0"/>
                    <w:right w:val="single" w:color="auto" w:sz="6" w:space="0"/>
                  </w:tcBorders>
                  <w:vAlign w:val="center"/>
                </w:tcPr>
                <w:p>
                  <w:pPr>
                    <w:pStyle w:val="25"/>
                  </w:pPr>
                  <w:r>
                    <w:rPr>
                      <w:rFonts w:hint="eastAsia"/>
                    </w:rPr>
                    <w:t>生态保护红线</w:t>
                  </w:r>
                </w:p>
              </w:tc>
              <w:tc>
                <w:tcPr>
                  <w:tcW w:w="2966" w:type="pct"/>
                  <w:tcBorders>
                    <w:top w:val="single" w:color="auto" w:sz="6" w:space="0"/>
                    <w:left w:val="single" w:color="auto" w:sz="6" w:space="0"/>
                    <w:bottom w:val="single" w:color="auto" w:sz="6" w:space="0"/>
                    <w:right w:val="single" w:color="auto" w:sz="6" w:space="0"/>
                  </w:tcBorders>
                  <w:vAlign w:val="center"/>
                </w:tcPr>
                <w:p>
                  <w:pPr>
                    <w:pStyle w:val="25"/>
                  </w:pPr>
                  <w:r>
                    <w:rPr>
                      <w:rFonts w:hint="eastAsia" w:hAnsi="宋体" w:cs="宋体"/>
                    </w:rPr>
                    <w:t>按照“生态功能不降低、面积不减少、性质不改变”的基本要求，对划定的生态保护红线实施严格管控，保障和维护国家生态安全的底线和生命线</w:t>
                  </w:r>
                </w:p>
              </w:tc>
              <w:tc>
                <w:tcPr>
                  <w:tcW w:w="1105" w:type="pct"/>
                  <w:tcBorders>
                    <w:top w:val="single" w:color="auto" w:sz="6" w:space="0"/>
                    <w:left w:val="single" w:color="auto" w:sz="6" w:space="0"/>
                    <w:bottom w:val="single" w:color="auto" w:sz="6" w:space="0"/>
                    <w:right w:val="single" w:color="auto" w:sz="6" w:space="0"/>
                  </w:tcBorders>
                  <w:vAlign w:val="center"/>
                </w:tcPr>
                <w:p>
                  <w:pPr>
                    <w:pStyle w:val="25"/>
                  </w:pPr>
                  <w:r>
                    <w:rPr>
                      <w:rFonts w:hint="eastAsia" w:hAnsi="宋体" w:cs="宋体"/>
                    </w:rPr>
                    <w:t>本项目不在生态保护红线范围内</w:t>
                  </w:r>
                </w:p>
              </w:tc>
              <w:tc>
                <w:tcPr>
                  <w:tcW w:w="476" w:type="pct"/>
                  <w:tcBorders>
                    <w:top w:val="single" w:color="auto" w:sz="6" w:space="0"/>
                    <w:left w:val="single" w:color="auto" w:sz="6" w:space="0"/>
                    <w:bottom w:val="single" w:color="auto" w:sz="6" w:space="0"/>
                    <w:right w:val="single" w:color="auto" w:sz="12" w:space="0"/>
                  </w:tcBorders>
                  <w:vAlign w:val="center"/>
                </w:tcPr>
                <w:p>
                  <w:pPr>
                    <w:pStyle w:val="25"/>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3" w:type="pct"/>
                  <w:tcBorders>
                    <w:top w:val="single" w:color="auto" w:sz="6" w:space="0"/>
                    <w:left w:val="single" w:color="auto" w:sz="12" w:space="0"/>
                    <w:bottom w:val="single" w:color="auto" w:sz="6" w:space="0"/>
                    <w:right w:val="single" w:color="auto" w:sz="6" w:space="0"/>
                  </w:tcBorders>
                  <w:vAlign w:val="center"/>
                </w:tcPr>
                <w:p>
                  <w:pPr>
                    <w:pStyle w:val="25"/>
                  </w:pPr>
                  <w:r>
                    <w:t>环境质量底线</w:t>
                  </w:r>
                </w:p>
              </w:tc>
              <w:tc>
                <w:tcPr>
                  <w:tcW w:w="2966" w:type="pct"/>
                  <w:tcBorders>
                    <w:top w:val="single" w:color="auto" w:sz="6" w:space="0"/>
                    <w:left w:val="single" w:color="auto" w:sz="6" w:space="0"/>
                    <w:bottom w:val="single" w:color="auto" w:sz="6" w:space="0"/>
                    <w:right w:val="single" w:color="auto" w:sz="6" w:space="0"/>
                  </w:tcBorders>
                  <w:vAlign w:val="center"/>
                </w:tcPr>
                <w:p>
                  <w:pPr>
                    <w:pStyle w:val="25"/>
                  </w:pPr>
                  <w:r>
                    <w:t>项全州水环境质量持续改善，开都河、塔里木河、迪那河、车尔臣河、黄水沟5条河流13个监测断面稳定达到Ⅱ类水（塔里木河氟化物不参与考核，其他指标均为Ⅱ类），孔雀河4个监测断面达到II类水，博斯腾湖17个重点点位中1、7、14监测点均值Ⅲ类，其余监测点均值Ⅳ类；受污染地表水体得到有效治理，饮用水安全保障水平持续提升，地下水超采得到严格控制，地下水水质保持稳定。全州环境空气质量有所提升，SO</w:t>
                  </w:r>
                  <w:r>
                    <w:rPr>
                      <w:vertAlign w:val="subscript"/>
                    </w:rPr>
                    <w:t>2</w:t>
                  </w:r>
                  <w:r>
                    <w:t>、NO</w:t>
                  </w:r>
                  <w:r>
                    <w:rPr>
                      <w:vertAlign w:val="subscript"/>
                    </w:rPr>
                    <w:t>2</w:t>
                  </w:r>
                  <w:r>
                    <w:t>浓度长期维持在较低水平，达到环境空气质量一级标准；逐步减少颗粒物排放，PM</w:t>
                  </w:r>
                  <w:r>
                    <w:rPr>
                      <w:vertAlign w:val="subscript"/>
                    </w:rPr>
                    <w:t>10</w:t>
                  </w:r>
                  <w:r>
                    <w:t>、PM</w:t>
                  </w:r>
                  <w:r>
                    <w:rPr>
                      <w:vertAlign w:val="subscript"/>
                    </w:rPr>
                    <w:t>2.5</w:t>
                  </w:r>
                  <w:r>
                    <w:t>平均浓度分别低于81μg/m</w:t>
                  </w:r>
                  <w:r>
                    <w:rPr>
                      <w:vertAlign w:val="superscript"/>
                    </w:rPr>
                    <w:t>3</w:t>
                  </w:r>
                  <w:r>
                    <w:t>、31.5μg/m</w:t>
                  </w:r>
                  <w:r>
                    <w:rPr>
                      <w:vertAlign w:val="superscript"/>
                    </w:rPr>
                    <w:t>3</w:t>
                  </w:r>
                  <w:r>
                    <w:t>(库尔勒市，扣除沙尘天气影响)，空气优良天数比例大于75.2%(库尔勒市)，重污染天数持续减少，沙尘影响严重地区做好防风固沙、生态环境保护修复等工作；全州土壤环境质量保持稳定，受污染耕地安全利用率达到98%以上，污染地块安全利用率不低于93%，土壤环境风险得到进一步管控</w:t>
                  </w:r>
                </w:p>
              </w:tc>
              <w:tc>
                <w:tcPr>
                  <w:tcW w:w="1105" w:type="pct"/>
                  <w:tcBorders>
                    <w:top w:val="single" w:color="auto" w:sz="6" w:space="0"/>
                    <w:left w:val="single" w:color="auto" w:sz="6" w:space="0"/>
                    <w:bottom w:val="single" w:color="auto" w:sz="6" w:space="0"/>
                    <w:right w:val="single" w:color="auto" w:sz="6" w:space="0"/>
                  </w:tcBorders>
                  <w:vAlign w:val="center"/>
                </w:tcPr>
                <w:p>
                  <w:pPr>
                    <w:pStyle w:val="43"/>
                    <w:rPr>
                      <w:rFonts w:ascii="Times New Roman"/>
                    </w:rPr>
                  </w:pPr>
                  <w:r>
                    <w:rPr>
                      <w:rFonts w:ascii="Times New Roman"/>
                    </w:rPr>
                    <w:t>1、本项目不进行地下水开采</w:t>
                  </w:r>
                </w:p>
                <w:p>
                  <w:pPr>
                    <w:pStyle w:val="25"/>
                    <w:jc w:val="both"/>
                  </w:pPr>
                  <w:r>
                    <w:t>2、</w:t>
                  </w:r>
                  <w:r>
                    <w:rPr>
                      <w:rFonts w:hint="eastAsia"/>
                    </w:rPr>
                    <w:t>生活污水进入防渗化粪池（10m</w:t>
                  </w:r>
                  <w:r>
                    <w:rPr>
                      <w:rFonts w:hint="eastAsia"/>
                      <w:vertAlign w:val="superscript"/>
                    </w:rPr>
                    <w:t>3</w:t>
                  </w:r>
                  <w:r>
                    <w:rPr>
                      <w:rFonts w:hint="eastAsia"/>
                    </w:rPr>
                    <w:t>）处理后自然蒸发</w:t>
                  </w:r>
                </w:p>
                <w:p>
                  <w:pPr>
                    <w:pStyle w:val="25"/>
                    <w:jc w:val="both"/>
                  </w:pPr>
                  <w:r>
                    <w:t>3、废气严格控制各类污染物达标排放</w:t>
                  </w:r>
                </w:p>
              </w:tc>
              <w:tc>
                <w:tcPr>
                  <w:tcW w:w="476" w:type="pct"/>
                  <w:tcBorders>
                    <w:top w:val="single" w:color="auto" w:sz="6" w:space="0"/>
                    <w:left w:val="single" w:color="auto" w:sz="6" w:space="0"/>
                    <w:bottom w:val="single" w:color="auto" w:sz="6" w:space="0"/>
                    <w:right w:val="single" w:color="auto" w:sz="12" w:space="0"/>
                  </w:tcBorders>
                  <w:vAlign w:val="center"/>
                </w:tcPr>
                <w:p>
                  <w:pPr>
                    <w:pStyle w:val="25"/>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53" w:type="pct"/>
                  <w:tcBorders>
                    <w:top w:val="single" w:color="auto" w:sz="6" w:space="0"/>
                    <w:left w:val="single" w:color="auto" w:sz="12" w:space="0"/>
                    <w:bottom w:val="single" w:color="auto" w:sz="6" w:space="0"/>
                    <w:right w:val="single" w:color="auto" w:sz="6" w:space="0"/>
                  </w:tcBorders>
                  <w:vAlign w:val="center"/>
                </w:tcPr>
                <w:p>
                  <w:pPr>
                    <w:pStyle w:val="25"/>
                  </w:pPr>
                  <w:r>
                    <w:rPr>
                      <w:rFonts w:hint="eastAsia"/>
                    </w:rPr>
                    <w:t>资源利用上线</w:t>
                  </w:r>
                </w:p>
              </w:tc>
              <w:tc>
                <w:tcPr>
                  <w:tcW w:w="2966" w:type="pct"/>
                  <w:tcBorders>
                    <w:top w:val="single" w:color="auto" w:sz="6" w:space="0"/>
                    <w:left w:val="single" w:color="auto" w:sz="6" w:space="0"/>
                    <w:bottom w:val="single" w:color="auto" w:sz="6" w:space="0"/>
                    <w:right w:val="single" w:color="auto" w:sz="6" w:space="0"/>
                  </w:tcBorders>
                  <w:vAlign w:val="center"/>
                </w:tcPr>
                <w:p>
                  <w:pPr>
                    <w:pStyle w:val="25"/>
                  </w:pPr>
                  <w:r>
                    <w:rPr>
                      <w:rFonts w:hint="eastAsia" w:hAnsi="宋体" w:cs="宋体"/>
                    </w:rPr>
                    <w:t>强化节约集约利用，持续提升资源能源利用效率，水资源、土地资源、能源消耗等达到国家、自治区下达的总量和强度控制目标，</w:t>
                  </w:r>
                  <w:r>
                    <w:rPr>
                      <w:rFonts w:hint="eastAsia"/>
                    </w:rPr>
                    <w:t>加快低碳发展，提升碳汇能力，做好碳达峰和碳中和工作</w:t>
                  </w:r>
                </w:p>
              </w:tc>
              <w:tc>
                <w:tcPr>
                  <w:tcW w:w="1105" w:type="pct"/>
                  <w:tcBorders>
                    <w:top w:val="single" w:color="auto" w:sz="6" w:space="0"/>
                    <w:left w:val="single" w:color="auto" w:sz="6" w:space="0"/>
                    <w:bottom w:val="single" w:color="auto" w:sz="6" w:space="0"/>
                    <w:right w:val="single" w:color="auto" w:sz="6" w:space="0"/>
                  </w:tcBorders>
                  <w:vAlign w:val="center"/>
                </w:tcPr>
                <w:p>
                  <w:pPr>
                    <w:pStyle w:val="25"/>
                  </w:pPr>
                  <w:r>
                    <w:rPr>
                      <w:rFonts w:hint="eastAsia" w:hAnsi="宋体" w:cs="宋体"/>
                    </w:rPr>
                    <w:t>本项目严格执行污染物总量控制指标</w:t>
                  </w:r>
                </w:p>
              </w:tc>
              <w:tc>
                <w:tcPr>
                  <w:tcW w:w="476" w:type="pct"/>
                  <w:tcBorders>
                    <w:top w:val="single" w:color="auto" w:sz="6" w:space="0"/>
                    <w:left w:val="single" w:color="auto" w:sz="6" w:space="0"/>
                    <w:bottom w:val="single" w:color="auto" w:sz="6" w:space="0"/>
                    <w:right w:val="single" w:color="auto" w:sz="12" w:space="0"/>
                  </w:tcBorders>
                  <w:vAlign w:val="center"/>
                </w:tcPr>
                <w:p>
                  <w:pPr>
                    <w:pStyle w:val="25"/>
                  </w:pPr>
                  <w:r>
                    <w:rPr>
                      <w:rFonts w:hint="eastAsia"/>
                    </w:rPr>
                    <w:t>符合</w:t>
                  </w:r>
                </w:p>
              </w:tc>
            </w:tr>
          </w:tbl>
          <w:p>
            <w:pPr>
              <w:adjustRightInd w:val="0"/>
              <w:spacing w:before="156" w:beforeLines="50" w:line="240" w:lineRule="auto"/>
              <w:ind w:firstLine="0" w:firstLineChars="0"/>
              <w:jc w:val="center"/>
              <w:rPr>
                <w:b/>
                <w:kern w:val="0"/>
                <w:sz w:val="21"/>
                <w:szCs w:val="20"/>
              </w:rPr>
            </w:pPr>
            <w:r>
              <w:rPr>
                <w:rFonts w:hint="eastAsia"/>
                <w:b/>
                <w:kern w:val="0"/>
                <w:sz w:val="21"/>
                <w:szCs w:val="20"/>
              </w:rPr>
              <w:t>表</w:t>
            </w:r>
            <w:r>
              <w:rPr>
                <w:b/>
                <w:kern w:val="0"/>
                <w:sz w:val="21"/>
                <w:szCs w:val="20"/>
              </w:rPr>
              <w:t>1-</w:t>
            </w:r>
            <w:r>
              <w:rPr>
                <w:rFonts w:hint="eastAsia"/>
                <w:b/>
                <w:kern w:val="0"/>
                <w:sz w:val="21"/>
                <w:szCs w:val="20"/>
              </w:rPr>
              <w:t>6</w:t>
            </w:r>
            <w:r>
              <w:rPr>
                <w:b/>
                <w:kern w:val="0"/>
                <w:sz w:val="21"/>
                <w:szCs w:val="20"/>
              </w:rPr>
              <w:t xml:space="preserve">  </w:t>
            </w:r>
            <w:r>
              <w:rPr>
                <w:rFonts w:hint="eastAsia"/>
                <w:b/>
                <w:bCs/>
                <w:color w:val="000000"/>
                <w:sz w:val="21"/>
                <w:szCs w:val="21"/>
              </w:rPr>
              <w:t>和静县一般管控单元（Z</w:t>
            </w:r>
            <w:r>
              <w:rPr>
                <w:b/>
                <w:bCs/>
                <w:color w:val="000000"/>
                <w:sz w:val="21"/>
                <w:szCs w:val="21"/>
              </w:rPr>
              <w:t>H65282730001</w:t>
            </w:r>
            <w:r>
              <w:rPr>
                <w:rFonts w:hint="eastAsia"/>
                <w:b/>
                <w:bCs/>
                <w:color w:val="000000"/>
                <w:sz w:val="21"/>
                <w:szCs w:val="21"/>
              </w:rPr>
              <w:t>）生态环境管控要求</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4433"/>
              <w:gridCol w:w="2130"/>
              <w:gridCol w:w="5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5" w:type="pct"/>
                  <w:tcBorders>
                    <w:top w:val="single" w:color="auto" w:sz="12" w:space="0"/>
                    <w:left w:val="single" w:color="auto" w:sz="12" w:space="0"/>
                    <w:bottom w:val="single" w:color="auto" w:sz="6"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管控类型</w:t>
                  </w:r>
                </w:p>
              </w:tc>
              <w:tc>
                <w:tcPr>
                  <w:tcW w:w="3108" w:type="pct"/>
                  <w:tcBorders>
                    <w:top w:val="single" w:color="auto" w:sz="12" w:space="0"/>
                    <w:left w:val="single" w:color="auto" w:sz="12" w:space="0"/>
                    <w:bottom w:val="single" w:color="auto" w:sz="6"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管控要求</w:t>
                  </w:r>
                </w:p>
              </w:tc>
              <w:tc>
                <w:tcPr>
                  <w:tcW w:w="1148" w:type="pct"/>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w:t>
                  </w:r>
                </w:p>
              </w:tc>
              <w:tc>
                <w:tcPr>
                  <w:tcW w:w="439" w:type="pct"/>
                  <w:tcBorders>
                    <w:top w:val="single" w:color="auto" w:sz="12" w:space="0"/>
                    <w:left w:val="single" w:color="auto" w:sz="6" w:space="0"/>
                    <w:bottom w:val="single" w:color="auto" w:sz="6"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305" w:type="pct"/>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空间布局约束</w:t>
                  </w:r>
                </w:p>
              </w:tc>
              <w:tc>
                <w:tcPr>
                  <w:tcW w:w="310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1.强化畜禽粪污资源化利用，改善养殖场通风环境，提高畜禽粪污综合利用率，减少氨挥发排放。鼓励和支持散养密集区实行畜禽粪污分户收集、集中处理。</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2.严格控制林地、草地、园地农药使用量，禁止使用高毒、高残留农药。</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3.加强种植业污染防治。推广应用科学施肥、病虫害绿色防控和综合防治等技术；加强农药包装废弃物管理；实施农膜回收行动，推进农作物秸秆综合利用，健全回收利用体系，提高废旧地膜回收率。</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4.对化学品生产企业、工业集聚区、尾矿库、矿山开采区、危险废物处置场、垃圾填埋场等地下水污染源及周边区域，逐步开展地下水环境状况调查评估，加强风险管控。</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5.严控土壤重金属污染，加强油（气）田开发土壤污染防治，以历史遗留工业企业污染场地为重点，开展土壤污染风险管控与修复工程。</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7.金属和非金属矿山采选企业新建、改建、扩建执行《新疆维吾尔自治区重点行业环境准入条件（修订）》相关要求</w:t>
                  </w:r>
                </w:p>
              </w:tc>
              <w:tc>
                <w:tcPr>
                  <w:tcW w:w="114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、本项目不涉及重点生态功能区</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2、本项目为固体矿产地质勘探，不属于重点排污单位，且各项污染物均可达标排放</w:t>
                  </w:r>
                </w:p>
              </w:tc>
              <w:tc>
                <w:tcPr>
                  <w:tcW w:w="439" w:type="pct"/>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305" w:type="pct"/>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污染物排放管控</w:t>
                  </w:r>
                </w:p>
              </w:tc>
              <w:tc>
                <w:tcPr>
                  <w:tcW w:w="310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1.加强对矿山、油田等矿产资源开采影响区域内未利用地的环境监管，发现土壤污染问题的，要坚决查处，并及时督促有关单位采取有效防治措施消除或减轻污染。</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2.对排查出的危库和病库以及风险评估有严重环境安全隐患的尾矿库，要求企业完善污染治理设施、进行治理和修复。全面整治历史遗留尾矿库，完善覆膜、压土、排洪、堤坝加固等隐患治理和闭库措施。</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3.依法推行农用地分类管理制度，强化受污染耕地安全利用和风险管控。因地制宜制定实施 安全利用方案，鼓励采取种植结构调整等措施，确保受污染耕地全部实现安全利用。</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矿山采选污染物排放执行相应行业标准。稳步推进废水循环利用技术改造升级。采选产生废水排放有行业标准的执行行业标准，否则执行《污水综合排放标准》（GB8978）。采选活动矿石转运、破碎、筛分等粉尘产生工序，应配备抑尘、除尘设备，除尘效率不低于99%，有效控制无组织粉尘排放。采选矿各环节废气排放有行业标准的执行行业标准，否则执行《大气污染物综合排放标准》（GB16297）。一般固体废弃物应根据《一般工业固体废物贮存、处置场污染控制标准》（GB18599）进行管理，属危险废物的按危险废物相关要求依法进行管理，其贮存设施须符合《危险废物贮存污染控制标准》（GB18597）。矿山生态环境保护和恢复要达到《矿山生态环境保护与恢复治理技术规范》（HJ651）及其他有关环保法律法规的相关要求。</w:t>
                  </w:r>
                </w:p>
              </w:tc>
              <w:tc>
                <w:tcPr>
                  <w:tcW w:w="114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采用绿色勘查技术（按照《固体矿产地质勘查规范总则》（GB/T13908-2020）中绿色勘查的要求，将生态环境保护贯穿于勘查设计、施工、验收全过程，设计中选用适宜的勘查方法、技术手段和设备，勘查施工过程中尽量避开对耕地的占用和压实，以及对植被的损毁，对勘查过程产生的固废进行有效管控，勘查工作结束后对施工造成的临时占地等进行生态恢复）；临时用地通过覆土、种植等措施开展复垦还绿；项目废水、固废均采取了合理的处置措施，防止对水体和土壤造成污染。建设单位将严格落实本报告提出的生态环境保护措施，项目产生的污染物经本环评提出的污染防治措施后，均能得到妥善处置，对环境影响较小</w:t>
                  </w:r>
                </w:p>
              </w:tc>
              <w:tc>
                <w:tcPr>
                  <w:tcW w:w="439" w:type="pct"/>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5" w:type="pct"/>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环境风险防控</w:t>
                  </w:r>
                </w:p>
              </w:tc>
              <w:tc>
                <w:tcPr>
                  <w:tcW w:w="310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1.推广渠道防渗、管道输水、喷灌、微灌等节水灌溉技术，完善灌溉用水计量设施。推进规模化高效节水灌溉，推广农作物节水抗旱技术。建立灌区墒情测报网络，提高农业用水效率，降低农业用水比重。</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定期对企业及周边土壤进行监测；对不符合法律法规和相关标准要求的，应当根据监测结果，要求运营单位采取相应改进措施。土壤环境监管重点行业企业拆除生产设施设备、构筑物和污染治理设施，要事先制定残留污染物清理和安全处置方案，并报所在地县级生态环境、工业和信息化部门备案；要严格按照有关规定实施安全处理处置，防范拆除活动污染土壤</w:t>
                  </w:r>
                  <w:r>
                    <w:rPr>
                      <w:rFonts w:hint="eastAsia"/>
                      <w:color w:val="000000" w:themeColor="text1"/>
                      <w:sz w:val="21"/>
                      <w:szCs w:val="21"/>
                      <w14:textFill>
                        <w14:solidFill>
                          <w14:schemeClr w14:val="tx1"/>
                        </w14:solidFill>
                      </w14:textFill>
                    </w:rPr>
                    <w:t>。</w:t>
                  </w:r>
                </w:p>
              </w:tc>
              <w:tc>
                <w:tcPr>
                  <w:tcW w:w="114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本项目为固体矿产地质勘探，不会造成周边土壤环境污染，探矿过程中采取防渗措施可有效防止风险物质下渗进入土壤，对土壤环境影响较小，符合土壤环境风险防控底线</w:t>
                  </w:r>
                </w:p>
              </w:tc>
              <w:tc>
                <w:tcPr>
                  <w:tcW w:w="439" w:type="pct"/>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305" w:type="pct"/>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资源利用效率</w:t>
                  </w:r>
                </w:p>
              </w:tc>
              <w:tc>
                <w:tcPr>
                  <w:tcW w:w="3108" w:type="pct"/>
                  <w:tcBorders>
                    <w:top w:val="single" w:color="auto" w:sz="6" w:space="0"/>
                    <w:left w:val="single" w:color="auto" w:sz="6" w:space="0"/>
                    <w:bottom w:val="single" w:color="auto" w:sz="12"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1.强化畜禽粪污资源化利用，改善养殖场通风环境，提高畜禽粪污综合利用率，减少氨挥发排放。鼓励和支持散养密集区实行畜禽粪污分户收集、集中处理。</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2.严格控制林地、草地、园地农药使用量，禁止使用高毒、高残留农药。</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3.对化学品生产企业、工业集聚区、尾矿库、矿山开采区、危险废物处置场、垃圾填埋场等地下水污染源及周边区域，逐步开展地下水环境状况调查评估，加强风险管控。</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4.严控土壤重金属污染，加强油（气）田开发土壤污染防治，以历史遗留工业企业污染场地为重点，开展土壤污染风险管控与修复工程。</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6.废石综合回用、尾矿砂利用率参考《新疆维吾尔自治区重点行业环境准入条件（修订）》等相关文件要求</w:t>
                  </w:r>
                  <w:r>
                    <w:rPr>
                      <w:rFonts w:hint="eastAsia"/>
                      <w:color w:val="000000" w:themeColor="text1"/>
                      <w:sz w:val="21"/>
                      <w:szCs w:val="21"/>
                      <w14:textFill>
                        <w14:solidFill>
                          <w14:schemeClr w14:val="tx1"/>
                        </w14:solidFill>
                      </w14:textFill>
                    </w:rPr>
                    <w:t>。</w:t>
                  </w:r>
                </w:p>
              </w:tc>
              <w:tc>
                <w:tcPr>
                  <w:tcW w:w="1148" w:type="pct"/>
                  <w:tcBorders>
                    <w:top w:val="single" w:color="auto" w:sz="6" w:space="0"/>
                    <w:left w:val="single" w:color="auto" w:sz="6" w:space="0"/>
                    <w:bottom w:val="single" w:color="auto" w:sz="12"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本项目为固体矿产地质勘探，不属于重点排污单位，且各项污染物均可达标排放</w:t>
                  </w:r>
                  <w:r>
                    <w:rPr>
                      <w:rFonts w:hint="eastAsia"/>
                      <w:color w:val="000000" w:themeColor="text1"/>
                      <w:sz w:val="21"/>
                      <w:szCs w:val="21"/>
                      <w14:textFill>
                        <w14:solidFill>
                          <w14:schemeClr w14:val="tx1"/>
                        </w14:solidFill>
                      </w14:textFill>
                    </w:rPr>
                    <w:t>，没有重大土壤污染来源，土壤环境质量现状较好</w:t>
                  </w:r>
                </w:p>
              </w:tc>
              <w:tc>
                <w:tcPr>
                  <w:tcW w:w="439" w:type="pct"/>
                  <w:tcBorders>
                    <w:top w:val="single" w:color="auto" w:sz="6" w:space="0"/>
                    <w:left w:val="single" w:color="auto" w:sz="6" w:space="0"/>
                    <w:bottom w:val="single" w:color="auto" w:sz="12"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bl>
          <w:p>
            <w:pPr>
              <w:pStyle w:val="14"/>
            </w:pPr>
            <w:r>
              <w:rPr>
                <w:rFonts w:hint="eastAsia"/>
              </w:rPr>
              <w:t>3.与其他符合性分析</w:t>
            </w:r>
          </w:p>
          <w:p>
            <w:pPr>
              <w:pStyle w:val="27"/>
              <w:spacing w:before="156"/>
            </w:pPr>
            <w:r>
              <w:rPr>
                <w:rFonts w:hint="eastAsia"/>
              </w:rPr>
              <w:t>表</w:t>
            </w:r>
            <w:r>
              <w:t xml:space="preserve">1-7  </w:t>
            </w:r>
            <w:r>
              <w:rPr>
                <w:rFonts w:hint="eastAsia"/>
              </w:rPr>
              <w:t>环境规划符合性分析</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56"/>
              <w:gridCol w:w="2661"/>
              <w:gridCol w:w="2332"/>
              <w:gridCol w:w="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bookmarkStart w:id="1" w:name="_Hlk97245357"/>
                  <w:r>
                    <w:rPr>
                      <w:rFonts w:hint="eastAsia"/>
                      <w:sz w:val="21"/>
                      <w:szCs w:val="21"/>
                    </w:rPr>
                    <w:t>规划</w:t>
                  </w:r>
                </w:p>
              </w:tc>
              <w:tc>
                <w:tcPr>
                  <w:tcW w:w="1771" w:type="pct"/>
                  <w:vAlign w:val="center"/>
                </w:tcPr>
                <w:p>
                  <w:pPr>
                    <w:spacing w:line="240" w:lineRule="auto"/>
                    <w:ind w:firstLine="0" w:firstLineChars="0"/>
                    <w:jc w:val="center"/>
                    <w:rPr>
                      <w:sz w:val="21"/>
                      <w:szCs w:val="21"/>
                    </w:rPr>
                  </w:pPr>
                  <w:r>
                    <w:rPr>
                      <w:rFonts w:hint="eastAsia"/>
                      <w:sz w:val="21"/>
                      <w:szCs w:val="21"/>
                    </w:rPr>
                    <w:t>规划要求</w:t>
                  </w:r>
                </w:p>
              </w:tc>
              <w:tc>
                <w:tcPr>
                  <w:tcW w:w="1552" w:type="pct"/>
                  <w:vAlign w:val="center"/>
                </w:tcPr>
                <w:p>
                  <w:pPr>
                    <w:spacing w:line="240" w:lineRule="auto"/>
                    <w:ind w:firstLine="0" w:firstLineChars="0"/>
                    <w:jc w:val="center"/>
                    <w:rPr>
                      <w:sz w:val="21"/>
                      <w:szCs w:val="21"/>
                    </w:rPr>
                  </w:pPr>
                  <w:r>
                    <w:rPr>
                      <w:rFonts w:hint="eastAsia"/>
                      <w:sz w:val="21"/>
                      <w:szCs w:val="21"/>
                    </w:rPr>
                    <w:t>本项目情况</w:t>
                  </w:r>
                </w:p>
              </w:tc>
              <w:tc>
                <w:tcPr>
                  <w:tcW w:w="509" w:type="pct"/>
                  <w:vAlign w:val="center"/>
                </w:tcPr>
                <w:p>
                  <w:pPr>
                    <w:spacing w:line="240" w:lineRule="auto"/>
                    <w:ind w:firstLine="0" w:firstLineChars="0"/>
                    <w:jc w:val="center"/>
                    <w:rPr>
                      <w:sz w:val="21"/>
                      <w:szCs w:val="21"/>
                    </w:rPr>
                  </w:pPr>
                  <w:r>
                    <w:rPr>
                      <w:rFonts w:hint="eastAsia"/>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新疆维吾尔自治区国民经济和社会发展第十四个五年规划和</w:t>
                  </w:r>
                  <w:r>
                    <w:rPr>
                      <w:sz w:val="21"/>
                      <w:szCs w:val="21"/>
                    </w:rPr>
                    <w:t>2035</w:t>
                  </w:r>
                  <w:r>
                    <w:rPr>
                      <w:rFonts w:hint="eastAsia"/>
                      <w:sz w:val="21"/>
                      <w:szCs w:val="21"/>
                    </w:rPr>
                    <w:t>年远景目标纲要</w:t>
                  </w:r>
                </w:p>
              </w:tc>
              <w:tc>
                <w:tcPr>
                  <w:tcW w:w="1771" w:type="pct"/>
                  <w:vAlign w:val="center"/>
                </w:tcPr>
                <w:p>
                  <w:pPr>
                    <w:spacing w:line="240" w:lineRule="auto"/>
                    <w:ind w:firstLine="0" w:firstLineChars="0"/>
                    <w:jc w:val="center"/>
                    <w:rPr>
                      <w:sz w:val="21"/>
                      <w:szCs w:val="21"/>
                    </w:rPr>
                  </w:pPr>
                  <w:r>
                    <w:rPr>
                      <w:rFonts w:hint="eastAsia"/>
                      <w:sz w:val="21"/>
                      <w:szCs w:val="21"/>
                    </w:rPr>
                    <w:t>按照“深化北疆东疆，加快南疆勘查”的总体思路，开展重点成矿区带地质调查和矿产勘查，做好矿产资源开发利用储备。贯彻新发展理念，建设绿色矿山，实现可持续发展。</w:t>
                  </w:r>
                </w:p>
              </w:tc>
              <w:tc>
                <w:tcPr>
                  <w:tcW w:w="1552" w:type="pct"/>
                  <w:vAlign w:val="center"/>
                </w:tcPr>
                <w:p>
                  <w:pPr>
                    <w:spacing w:line="240" w:lineRule="auto"/>
                    <w:ind w:firstLine="0" w:firstLineChars="0"/>
                    <w:jc w:val="center"/>
                    <w:rPr>
                      <w:sz w:val="21"/>
                      <w:szCs w:val="21"/>
                    </w:rPr>
                  </w:pPr>
                  <w:r>
                    <w:rPr>
                      <w:rFonts w:hint="eastAsia"/>
                      <w:sz w:val="21"/>
                      <w:szCs w:val="21"/>
                    </w:rPr>
                    <w:t>本项目为固体矿产地质勘探，符合新疆维吾尔自治区国民经济和社会发展第十四个五年规划和</w:t>
                  </w:r>
                  <w:r>
                    <w:rPr>
                      <w:sz w:val="21"/>
                      <w:szCs w:val="21"/>
                    </w:rPr>
                    <w:t>2035</w:t>
                  </w:r>
                  <w:r>
                    <w:rPr>
                      <w:rFonts w:hint="eastAsia"/>
                      <w:sz w:val="21"/>
                      <w:szCs w:val="21"/>
                    </w:rPr>
                    <w:t>年远景目标纲要。</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巴音郭楞蒙古自治州国民经济和社会发展第十四个五年规划和二〇三五年远景目标纲要</w:t>
                  </w:r>
                </w:p>
              </w:tc>
              <w:tc>
                <w:tcPr>
                  <w:tcW w:w="1771" w:type="pct"/>
                  <w:vAlign w:val="center"/>
                </w:tcPr>
                <w:p>
                  <w:pPr>
                    <w:spacing w:line="240" w:lineRule="auto"/>
                    <w:ind w:firstLine="0" w:firstLineChars="0"/>
                    <w:jc w:val="center"/>
                    <w:rPr>
                      <w:sz w:val="21"/>
                      <w:szCs w:val="21"/>
                    </w:rPr>
                  </w:pPr>
                  <w:r>
                    <w:rPr>
                      <w:rFonts w:hint="eastAsia"/>
                      <w:sz w:val="21"/>
                      <w:szCs w:val="21"/>
                    </w:rPr>
                    <w:t>加强矿产资源循环利用，大力推进绿色矿山和绿色矿区发展示范区建设；推动绿色矿山建设，加大矿山开采修复治理，实现“边开采、边治理”；加强防风固沙绿化工程建设，加强扬尘、露天矿山综合治理；</w:t>
                  </w:r>
                </w:p>
              </w:tc>
              <w:tc>
                <w:tcPr>
                  <w:tcW w:w="1552" w:type="pct"/>
                  <w:vAlign w:val="center"/>
                </w:tcPr>
                <w:p>
                  <w:pPr>
                    <w:spacing w:line="240" w:lineRule="auto"/>
                    <w:ind w:firstLine="0" w:firstLineChars="0"/>
                    <w:jc w:val="center"/>
                    <w:rPr>
                      <w:sz w:val="21"/>
                      <w:szCs w:val="21"/>
                    </w:rPr>
                  </w:pPr>
                  <w:r>
                    <w:rPr>
                      <w:rFonts w:hint="eastAsia"/>
                      <w:sz w:val="21"/>
                      <w:szCs w:val="21"/>
                    </w:rPr>
                    <w:t>本项目主要为固体矿产地质勘探，符合巴音郭楞蒙古自治州国民经济和社会发展第十四个五年规划和二〇三五年远景目标纲要</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和静县国民经济和社会发展第十四个五年规划和</w:t>
                  </w:r>
                  <w:r>
                    <w:rPr>
                      <w:sz w:val="21"/>
                      <w:szCs w:val="21"/>
                    </w:rPr>
                    <w:t>2035</w:t>
                  </w:r>
                  <w:r>
                    <w:rPr>
                      <w:rFonts w:hint="eastAsia"/>
                      <w:sz w:val="21"/>
                      <w:szCs w:val="21"/>
                    </w:rPr>
                    <w:t>年远景目标</w:t>
                  </w:r>
                </w:p>
              </w:tc>
              <w:tc>
                <w:tcPr>
                  <w:tcW w:w="1771" w:type="pct"/>
                  <w:vAlign w:val="center"/>
                </w:tcPr>
                <w:p>
                  <w:pPr>
                    <w:spacing w:line="240" w:lineRule="auto"/>
                    <w:ind w:firstLine="0" w:firstLineChars="0"/>
                    <w:jc w:val="center"/>
                    <w:rPr>
                      <w:sz w:val="21"/>
                      <w:szCs w:val="21"/>
                    </w:rPr>
                  </w:pPr>
                  <w:r>
                    <w:rPr>
                      <w:rFonts w:hint="eastAsia"/>
                      <w:sz w:val="21"/>
                      <w:szCs w:val="21"/>
                    </w:rPr>
                    <w:t>加快发展现代产业体系，推动钢铁、矿山等传统产业改造升级，着力壮大农产品加工业，创新培育新能源新材料战略新兴产业，加快发展特色旅游、医疗康养、商贸物流等现代服务业，以工业化理念推动农业现代化。</w:t>
                  </w:r>
                </w:p>
              </w:tc>
              <w:tc>
                <w:tcPr>
                  <w:tcW w:w="1552" w:type="pct"/>
                  <w:vAlign w:val="center"/>
                </w:tcPr>
                <w:p>
                  <w:pPr>
                    <w:spacing w:line="240" w:lineRule="auto"/>
                    <w:ind w:firstLine="0" w:firstLineChars="0"/>
                    <w:jc w:val="center"/>
                    <w:rPr>
                      <w:sz w:val="21"/>
                      <w:szCs w:val="21"/>
                    </w:rPr>
                  </w:pPr>
                  <w:r>
                    <w:rPr>
                      <w:rFonts w:hint="eastAsia"/>
                      <w:sz w:val="21"/>
                      <w:szCs w:val="21"/>
                    </w:rPr>
                    <w:t>本项目主要为固体矿产地质勘探，符合和静县国民经济和社会发展第十四个五年规划和</w:t>
                  </w:r>
                  <w:r>
                    <w:rPr>
                      <w:sz w:val="21"/>
                      <w:szCs w:val="21"/>
                    </w:rPr>
                    <w:t>2035</w:t>
                  </w:r>
                  <w:r>
                    <w:rPr>
                      <w:rFonts w:hint="eastAsia"/>
                      <w:sz w:val="21"/>
                      <w:szCs w:val="21"/>
                    </w:rPr>
                    <w:t>年远景目标</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新疆生态环境保护</w:t>
                  </w:r>
                  <w:r>
                    <w:rPr>
                      <w:sz w:val="21"/>
                      <w:szCs w:val="21"/>
                    </w:rPr>
                    <w:t>“</w:t>
                  </w:r>
                  <w:r>
                    <w:rPr>
                      <w:rFonts w:hint="eastAsia"/>
                      <w:sz w:val="21"/>
                      <w:szCs w:val="21"/>
                    </w:rPr>
                    <w:t>十四五</w:t>
                  </w:r>
                  <w:r>
                    <w:rPr>
                      <w:sz w:val="21"/>
                      <w:szCs w:val="21"/>
                    </w:rPr>
                    <w:t>”</w:t>
                  </w:r>
                  <w:r>
                    <w:rPr>
                      <w:rFonts w:hint="eastAsia"/>
                      <w:sz w:val="21"/>
                      <w:szCs w:val="21"/>
                    </w:rPr>
                    <w:t>规划</w:t>
                  </w:r>
                </w:p>
              </w:tc>
              <w:tc>
                <w:tcPr>
                  <w:tcW w:w="1771" w:type="pct"/>
                  <w:vAlign w:val="center"/>
                </w:tcPr>
                <w:p>
                  <w:pPr>
                    <w:spacing w:line="240" w:lineRule="auto"/>
                    <w:ind w:firstLine="0" w:firstLineChars="0"/>
                    <w:rPr>
                      <w:sz w:val="21"/>
                      <w:szCs w:val="21"/>
                    </w:rPr>
                  </w:pPr>
                  <w:r>
                    <w:rPr>
                      <w:rFonts w:hint="eastAsia"/>
                      <w:sz w:val="21"/>
                      <w:szCs w:val="21"/>
                    </w:rPr>
                    <w:t>《新疆生态环境保护“十四五”规划》第三章坚持创新引领，推动绿色低碳</w:t>
                  </w:r>
                </w:p>
                <w:p>
                  <w:pPr>
                    <w:spacing w:line="240" w:lineRule="auto"/>
                    <w:ind w:firstLine="0" w:firstLineChars="0"/>
                    <w:jc w:val="center"/>
                    <w:rPr>
                      <w:sz w:val="21"/>
                      <w:szCs w:val="21"/>
                    </w:rPr>
                  </w:pPr>
                  <w:r>
                    <w:rPr>
                      <w:rFonts w:hint="eastAsia"/>
                      <w:sz w:val="21"/>
                      <w:szCs w:val="21"/>
                    </w:rPr>
                    <w:t>发展第一节完善绿色发展机制提出：健全国土空间开发保护制度。完善国土空间规划体系，划定并严格落实“三区三线”，明晰生态、农业、城镇三类空间及生态保护红线、永久基本农田、城镇开发边界三条控制线，持续优化城市化地区、农产品产区、生态功能区布局。合理确定新增建设用地规模，严格控制建设项目</w:t>
                  </w:r>
                </w:p>
                <w:p>
                  <w:pPr>
                    <w:spacing w:line="240" w:lineRule="auto"/>
                    <w:ind w:firstLine="0" w:firstLineChars="0"/>
                    <w:jc w:val="center"/>
                    <w:rPr>
                      <w:sz w:val="21"/>
                      <w:szCs w:val="21"/>
                    </w:rPr>
                  </w:pPr>
                  <w:r>
                    <w:rPr>
                      <w:rFonts w:hint="eastAsia"/>
                      <w:sz w:val="21"/>
                      <w:szCs w:val="21"/>
                    </w:rPr>
                    <w:t>土地使用标准，提高资源利用效率。强化国土空间用途管制，对国土空间分级分类实施管控，推动形成优势互补、绿色低碳、高质量发展的区域经济布局。严格落实国家绿色产业指导目录标准，依法依规把好土地审批供应关，加强建设用地准入监管。全面推进绿色矿山建设，规范绿色矿山第三方评估，推广矿产资源节约与综合利用先进技术。</w:t>
                  </w:r>
                </w:p>
              </w:tc>
              <w:tc>
                <w:tcPr>
                  <w:tcW w:w="1552" w:type="pct"/>
                  <w:vAlign w:val="center"/>
                </w:tcPr>
                <w:p>
                  <w:pPr>
                    <w:spacing w:line="240" w:lineRule="auto"/>
                    <w:ind w:firstLine="0" w:firstLineChars="0"/>
                    <w:jc w:val="center"/>
                    <w:rPr>
                      <w:sz w:val="21"/>
                      <w:szCs w:val="21"/>
                    </w:rPr>
                  </w:pPr>
                  <w:r>
                    <w:rPr>
                      <w:rFonts w:hint="eastAsia"/>
                      <w:sz w:val="21"/>
                      <w:szCs w:val="21"/>
                    </w:rPr>
                    <w:t>勘探工程是绿色矿山建设的基础资料提供项目，绿色矿山科学的建设需要对 矿山的资源、地质情况等科学明确的认知，故勘探工程是绿色矿山建设的基础辅助工程，故本勘探工程的建设是符合《新疆生态环境保护“十四五”规划》的</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新疆维吾尔自治区环境保护条例</w:t>
                  </w:r>
                </w:p>
              </w:tc>
              <w:tc>
                <w:tcPr>
                  <w:tcW w:w="1771" w:type="pct"/>
                  <w:vAlign w:val="center"/>
                </w:tcPr>
                <w:p>
                  <w:pPr>
                    <w:spacing w:line="240" w:lineRule="auto"/>
                    <w:ind w:firstLine="0" w:firstLineChars="0"/>
                    <w:jc w:val="center"/>
                    <w:rPr>
                      <w:sz w:val="21"/>
                      <w:szCs w:val="21"/>
                    </w:rPr>
                  </w:pPr>
                  <w:r>
                    <w:rPr>
                      <w:rFonts w:hint="eastAsia"/>
                      <w:sz w:val="21"/>
                      <w:szCs w:val="21"/>
                      <w:shd w:val="clear" w:color="auto" w:fill="FFFFFF"/>
                    </w:rPr>
                    <w:t>第四十七条矿产资源勘探、开发单位，应当对矿产资源勘探、开发产生的尾矿、煤矸石、粉煤灰、冶炼渣以及脱硫、脱硝、除尘等产生的固体废物的堆存场所进行整治，完善防扬散、防流失、防渗漏等设施；造成环境污染的，应当采取有效措施进行生态修复；</w:t>
                  </w:r>
                </w:p>
              </w:tc>
              <w:tc>
                <w:tcPr>
                  <w:tcW w:w="1552" w:type="pct"/>
                  <w:vAlign w:val="center"/>
                </w:tcPr>
                <w:p>
                  <w:pPr>
                    <w:spacing w:line="240" w:lineRule="auto"/>
                    <w:ind w:firstLine="0" w:firstLineChars="0"/>
                    <w:jc w:val="center"/>
                    <w:rPr>
                      <w:sz w:val="21"/>
                      <w:szCs w:val="21"/>
                    </w:rPr>
                  </w:pPr>
                  <w:r>
                    <w:rPr>
                      <w:rFonts w:hint="eastAsia"/>
                      <w:sz w:val="21"/>
                      <w:szCs w:val="21"/>
                    </w:rPr>
                    <w:t>施工期剥离的表土和挖出的土石方在临时堆场暂存后用于回填和土地恢复；项目不属于鼓励类、限制类、淘汰类，本项目属于允许类。项目符合新疆维吾尔自治区环境保护条例。</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新疆维吾尔自治区生态功能区划</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保护托木尔峰自然景观、保护高山冰川、保护野生动物；保护森林和草原、草地减牧、森林禁伐、禁猎、加强保护区管理；合理利用天然草地，维护自然景观和生物多样性</w:t>
                  </w:r>
                </w:p>
              </w:tc>
              <w:tc>
                <w:tcPr>
                  <w:tcW w:w="1552" w:type="pct"/>
                  <w:vAlign w:val="center"/>
                </w:tcPr>
                <w:p>
                  <w:pPr>
                    <w:spacing w:line="240" w:lineRule="auto"/>
                    <w:ind w:firstLine="0" w:firstLineChars="0"/>
                    <w:jc w:val="center"/>
                    <w:rPr>
                      <w:sz w:val="21"/>
                      <w:szCs w:val="21"/>
                    </w:rPr>
                  </w:pPr>
                  <w:r>
                    <w:rPr>
                      <w:rFonts w:hint="eastAsia"/>
                      <w:sz w:val="21"/>
                      <w:szCs w:val="21"/>
                    </w:rPr>
                    <w:t>本项目评价区域属于</w:t>
                  </w:r>
                  <w:r>
                    <w:rPr>
                      <w:sz w:val="21"/>
                      <w:szCs w:val="21"/>
                    </w:rPr>
                    <w:t>III3</w:t>
                  </w:r>
                  <w:r>
                    <w:rPr>
                      <w:rFonts w:hint="eastAsia"/>
                      <w:sz w:val="21"/>
                      <w:szCs w:val="21"/>
                    </w:rPr>
                    <w:t>天山南坡草原牧业、绿洲农业生态亚区</w:t>
                  </w:r>
                  <w:r>
                    <w:rPr>
                      <w:sz w:val="21"/>
                      <w:szCs w:val="21"/>
                    </w:rPr>
                    <w:t>-42</w:t>
                  </w:r>
                  <w:r>
                    <w:rPr>
                      <w:rFonts w:hint="eastAsia"/>
                      <w:sz w:val="21"/>
                      <w:szCs w:val="21"/>
                    </w:rPr>
                    <w:t>．托木尔峰。和天山南坡中段冰雪水源及生物多样性保护生态功能区，项目区域不涉及托木尔峰自然景观、冰川等区域；周边无野生动植物保护区域；符合新疆维吾尔自治区生态功能区域要求</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新疆维吾尔自治区主体功能区规划</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根据主体功能区开发的理念，结合新疆独特的自然地理状况和新时期跨越式发展的需要，本规划将新疆国土空间划分为重点开发、限制开发和禁止开发区域；按开发内容，分为城市化地区、农产品主产区和重点生态功能区</w:t>
                  </w:r>
                </w:p>
              </w:tc>
              <w:tc>
                <w:tcPr>
                  <w:tcW w:w="1552" w:type="pct"/>
                  <w:vAlign w:val="center"/>
                </w:tcPr>
                <w:p>
                  <w:pPr>
                    <w:spacing w:line="240" w:lineRule="auto"/>
                    <w:ind w:firstLine="0" w:firstLineChars="0"/>
                    <w:jc w:val="center"/>
                    <w:rPr>
                      <w:sz w:val="21"/>
                      <w:szCs w:val="21"/>
                    </w:rPr>
                  </w:pPr>
                  <w:r>
                    <w:rPr>
                      <w:rFonts w:hint="eastAsia"/>
                      <w:sz w:val="21"/>
                      <w:szCs w:val="21"/>
                    </w:rPr>
                    <w:t>本项目位于和静县，属于天山南坡产业带重点开发区域，本项目为固体矿产地质勘探，符合新疆维吾尔自治区主体功能区规划空间管控要求</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168" w:type="pct"/>
                  <w:vMerge w:val="restart"/>
                  <w:vAlign w:val="center"/>
                </w:tcPr>
                <w:p>
                  <w:pPr>
                    <w:spacing w:line="240" w:lineRule="auto"/>
                    <w:ind w:firstLine="0" w:firstLineChars="0"/>
                    <w:jc w:val="center"/>
                    <w:rPr>
                      <w:sz w:val="21"/>
                      <w:szCs w:val="21"/>
                    </w:rPr>
                  </w:pPr>
                  <w:r>
                    <w:rPr>
                      <w:rFonts w:hint="eastAsia"/>
                      <w:sz w:val="21"/>
                      <w:szCs w:val="21"/>
                    </w:rPr>
                    <w:t>《矿山生态环境保护与恢复治理技术规范（试行）》（HJ651-2013）</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探矿活动结束后，应根据景观相似原则，对探矿活动造成的土壤、植被和地表景观破坏进行恢复</w:t>
                  </w:r>
                </w:p>
              </w:tc>
              <w:tc>
                <w:tcPr>
                  <w:tcW w:w="1552" w:type="pct"/>
                  <w:vAlign w:val="center"/>
                </w:tcPr>
                <w:p>
                  <w:pPr>
                    <w:spacing w:line="240" w:lineRule="auto"/>
                    <w:ind w:firstLine="0" w:firstLineChars="0"/>
                    <w:rPr>
                      <w:sz w:val="21"/>
                      <w:szCs w:val="21"/>
                    </w:rPr>
                  </w:pPr>
                  <w:r>
                    <w:rPr>
                      <w:rFonts w:hint="eastAsia"/>
                      <w:color w:val="000000"/>
                      <w:sz w:val="21"/>
                      <w:szCs w:val="21"/>
                    </w:rPr>
                    <w:t>本项目实施过程注意减少对土壤、植被、地表景观的破坏，探矿期结束后，对遗留地面的施工迹地进行恢复，对探井进行回填封闭并设置警示标识</w:t>
                  </w:r>
                </w:p>
              </w:tc>
              <w:tc>
                <w:tcPr>
                  <w:tcW w:w="509" w:type="pct"/>
                  <w:vMerge w:val="restart"/>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168" w:type="pct"/>
                  <w:vMerge w:val="continue"/>
                  <w:vAlign w:val="center"/>
                </w:tcPr>
                <w:p>
                  <w:pPr>
                    <w:spacing w:line="240" w:lineRule="auto"/>
                    <w:ind w:firstLine="0" w:firstLineChars="0"/>
                    <w:jc w:val="center"/>
                    <w:rPr>
                      <w:sz w:val="21"/>
                      <w:szCs w:val="21"/>
                    </w:rPr>
                  </w:pPr>
                </w:p>
              </w:tc>
              <w:tc>
                <w:tcPr>
                  <w:tcW w:w="1771" w:type="pct"/>
                  <w:vAlign w:val="center"/>
                </w:tcPr>
                <w:p>
                  <w:pPr>
                    <w:spacing w:line="240" w:lineRule="auto"/>
                    <w:ind w:firstLine="0" w:firstLineChars="0"/>
                    <w:rPr>
                      <w:sz w:val="21"/>
                      <w:szCs w:val="21"/>
                      <w:shd w:val="clear" w:color="auto" w:fill="FFFFFF"/>
                    </w:rPr>
                  </w:pPr>
                  <w:r>
                    <w:rPr>
                      <w:rFonts w:hint="eastAsia"/>
                      <w:color w:val="000000"/>
                      <w:sz w:val="21"/>
                      <w:szCs w:val="21"/>
                    </w:rPr>
                    <w:t>对水文地质条件、土地耕作及道路 安全有影响或位于江、河、湖、海防护堤或重要建筑物附近的钻孔或 坑井应予回填封闭，并恢复其原有生态功能</w:t>
                  </w:r>
                </w:p>
              </w:tc>
              <w:tc>
                <w:tcPr>
                  <w:tcW w:w="1552" w:type="pct"/>
                  <w:vAlign w:val="center"/>
                </w:tcPr>
                <w:p>
                  <w:pPr>
                    <w:spacing w:line="240" w:lineRule="auto"/>
                    <w:ind w:firstLine="0" w:firstLineChars="0"/>
                    <w:rPr>
                      <w:color w:val="000000"/>
                      <w:sz w:val="21"/>
                      <w:szCs w:val="21"/>
                    </w:rPr>
                  </w:pPr>
                  <w:r>
                    <w:rPr>
                      <w:rFonts w:hint="eastAsia"/>
                      <w:color w:val="000000"/>
                      <w:sz w:val="21"/>
                      <w:szCs w:val="21"/>
                    </w:rPr>
                    <w:t>本次勘探不涉及重要水文地质条件、土地耕作及道路安全有影响的区域，同时不涉及江、河、湖、海防护堤或其他重要建筑物，钻孔进行部分回填和封闭，恢复其原有生态功能，同时设置警示标识</w:t>
                  </w:r>
                </w:p>
              </w:tc>
              <w:tc>
                <w:tcPr>
                  <w:tcW w:w="509" w:type="pct"/>
                  <w:vMerge w:val="continue"/>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168" w:type="pct"/>
                  <w:vMerge w:val="continue"/>
                  <w:vAlign w:val="center"/>
                </w:tcPr>
                <w:p>
                  <w:pPr>
                    <w:spacing w:line="240" w:lineRule="auto"/>
                    <w:ind w:firstLine="0" w:firstLineChars="0"/>
                    <w:jc w:val="center"/>
                    <w:rPr>
                      <w:sz w:val="21"/>
                      <w:szCs w:val="21"/>
                    </w:rPr>
                  </w:pPr>
                </w:p>
              </w:tc>
              <w:tc>
                <w:tcPr>
                  <w:tcW w:w="1771" w:type="pct"/>
                  <w:vAlign w:val="center"/>
                </w:tcPr>
                <w:p>
                  <w:pPr>
                    <w:spacing w:line="240" w:lineRule="auto"/>
                    <w:ind w:firstLine="0" w:firstLineChars="0"/>
                    <w:rPr>
                      <w:sz w:val="21"/>
                      <w:szCs w:val="21"/>
                      <w:shd w:val="clear" w:color="auto" w:fill="FFFFFF"/>
                    </w:rPr>
                  </w:pPr>
                  <w:r>
                    <w:rPr>
                      <w:rFonts w:hint="eastAsia"/>
                      <w:color w:val="000000"/>
                      <w:sz w:val="21"/>
                      <w:szCs w:val="21"/>
                    </w:rPr>
                    <w:t>勘探、采矿及选矿作业中所用设备应配备粉尘收集或降尘设施</w:t>
                  </w:r>
                </w:p>
              </w:tc>
              <w:tc>
                <w:tcPr>
                  <w:tcW w:w="1552" w:type="pct"/>
                  <w:vAlign w:val="center"/>
                </w:tcPr>
                <w:p>
                  <w:pPr>
                    <w:spacing w:line="240" w:lineRule="auto"/>
                    <w:ind w:firstLine="0" w:firstLineChars="0"/>
                    <w:jc w:val="center"/>
                    <w:rPr>
                      <w:color w:val="000000"/>
                      <w:sz w:val="21"/>
                      <w:szCs w:val="21"/>
                    </w:rPr>
                  </w:pPr>
                  <w:r>
                    <w:rPr>
                      <w:rFonts w:hint="eastAsia"/>
                      <w:color w:val="000000"/>
                      <w:sz w:val="21"/>
                      <w:szCs w:val="21"/>
                    </w:rPr>
                    <w:t>本次勘探过程，采用湿法钻探</w:t>
                  </w:r>
                </w:p>
              </w:tc>
              <w:tc>
                <w:tcPr>
                  <w:tcW w:w="509" w:type="pct"/>
                  <w:vMerge w:val="continue"/>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Merge w:val="restart"/>
                  <w:vAlign w:val="center"/>
                </w:tcPr>
                <w:p>
                  <w:pPr>
                    <w:spacing w:line="240" w:lineRule="auto"/>
                    <w:ind w:firstLine="0" w:firstLineChars="0"/>
                    <w:jc w:val="center"/>
                    <w:rPr>
                      <w:sz w:val="21"/>
                      <w:szCs w:val="21"/>
                    </w:rPr>
                  </w:pPr>
                  <w:r>
                    <w:rPr>
                      <w:rFonts w:hint="eastAsia"/>
                      <w:sz w:val="21"/>
                      <w:szCs w:val="21"/>
                    </w:rPr>
                    <w:t>自治州大气污染防治行动计划实施方案</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加强矿山企业采矿扬尘综合整治和宜林区植被恢复工程</w:t>
                  </w:r>
                </w:p>
              </w:tc>
              <w:tc>
                <w:tcPr>
                  <w:tcW w:w="1552" w:type="pct"/>
                  <w:vAlign w:val="center"/>
                </w:tcPr>
                <w:p>
                  <w:pPr>
                    <w:spacing w:line="240" w:lineRule="auto"/>
                    <w:ind w:firstLine="0" w:firstLineChars="0"/>
                    <w:jc w:val="center"/>
                    <w:rPr>
                      <w:sz w:val="21"/>
                      <w:szCs w:val="21"/>
                    </w:rPr>
                  </w:pPr>
                  <w:r>
                    <w:rPr>
                      <w:rFonts w:hint="eastAsia"/>
                      <w:sz w:val="21"/>
                      <w:szCs w:val="21"/>
                    </w:rPr>
                    <w:t>本项目采用定期洒水抑尘；能够满足自治州大气污染防治行动计划实施方案要求</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Merge w:val="continue"/>
                  <w:vAlign w:val="center"/>
                </w:tcPr>
                <w:p>
                  <w:pPr>
                    <w:spacing w:line="240" w:lineRule="auto"/>
                    <w:ind w:firstLine="420"/>
                    <w:jc w:val="center"/>
                    <w:rPr>
                      <w:sz w:val="21"/>
                      <w:szCs w:val="21"/>
                    </w:rPr>
                  </w:pP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库尔勒市区域作为自治区大气污染防治重点区域（以库尔勒市人民广场为圆心，半径</w:t>
                  </w:r>
                  <w:r>
                    <w:rPr>
                      <w:sz w:val="21"/>
                      <w:szCs w:val="21"/>
                      <w:shd w:val="clear" w:color="auto" w:fill="FFFFFF"/>
                    </w:rPr>
                    <w:t>25</w:t>
                  </w:r>
                  <w:r>
                    <w:rPr>
                      <w:rFonts w:hint="eastAsia"/>
                      <w:sz w:val="21"/>
                      <w:szCs w:val="21"/>
                      <w:shd w:val="clear" w:color="auto" w:fill="FFFFFF"/>
                    </w:rPr>
                    <w:t>公里区域）；</w:t>
                  </w:r>
                </w:p>
              </w:tc>
              <w:tc>
                <w:tcPr>
                  <w:tcW w:w="1552" w:type="pct"/>
                  <w:vAlign w:val="center"/>
                </w:tcPr>
                <w:p>
                  <w:pPr>
                    <w:spacing w:line="240" w:lineRule="auto"/>
                    <w:ind w:firstLine="0" w:firstLineChars="0"/>
                    <w:jc w:val="center"/>
                    <w:rPr>
                      <w:sz w:val="21"/>
                      <w:szCs w:val="21"/>
                    </w:rPr>
                  </w:pPr>
                  <w:r>
                    <w:rPr>
                      <w:rFonts w:hint="eastAsia"/>
                      <w:sz w:val="21"/>
                      <w:szCs w:val="21"/>
                    </w:rPr>
                    <w:t>本项目位于和静县，不在大气污染防治重点区域</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关于重点区域执行大气污染物特别排放限值的公告</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自治区大气污染防治重点区域内的火电、钢铁、水泥、石化行业和燃煤锅炉执行大气污染物特别排放限值，对重点区域重点行业的污染物排放标准进行了更严格的约束和规定，二氧化硫及氮氧化物排放将减少一半以上。</w:t>
                  </w:r>
                </w:p>
              </w:tc>
              <w:tc>
                <w:tcPr>
                  <w:tcW w:w="1552" w:type="pct"/>
                  <w:vAlign w:val="center"/>
                </w:tcPr>
                <w:p>
                  <w:pPr>
                    <w:spacing w:line="240" w:lineRule="auto"/>
                    <w:ind w:firstLine="0" w:firstLineChars="0"/>
                    <w:jc w:val="center"/>
                    <w:rPr>
                      <w:sz w:val="21"/>
                      <w:szCs w:val="21"/>
                    </w:rPr>
                  </w:pPr>
                  <w:r>
                    <w:rPr>
                      <w:rFonts w:hint="eastAsia"/>
                      <w:sz w:val="21"/>
                      <w:szCs w:val="21"/>
                    </w:rPr>
                    <w:t>本项目位于和静县，不在大气污染防治重点区域。</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《新疆维吾尔自治区矿产资源总体规划（2021-2025）》</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到2025年，矿产资源勘查开发科技创新能力不断增强，矿产资源勘查开发与保护格局更加优化，支撑保障国家“三基地一通道”和能源资源接替基地建设更加有力。矿业发展质量显著提升，矿业权市场更加健全、更加活跃，矿山生态环境质量持续提升，矿山安全根基稳固，初步形成资源、经济、环境、社会效益协调统一的矿业高质量发展新格局。</w:t>
                  </w:r>
                </w:p>
              </w:tc>
              <w:tc>
                <w:tcPr>
                  <w:tcW w:w="1552" w:type="pct"/>
                  <w:vAlign w:val="center"/>
                </w:tcPr>
                <w:p>
                  <w:pPr>
                    <w:spacing w:line="240" w:lineRule="auto"/>
                    <w:ind w:firstLine="0" w:firstLineChars="0"/>
                    <w:rPr>
                      <w:sz w:val="21"/>
                      <w:szCs w:val="21"/>
                    </w:rPr>
                  </w:pPr>
                  <w:r>
                    <w:rPr>
                      <w:rFonts w:hint="eastAsia"/>
                      <w:sz w:val="21"/>
                      <w:szCs w:val="21"/>
                    </w:rPr>
                    <w:t>本项目为固体矿产地质勘探，整体符合《新疆维吾尔自治区矿产资源总体规划（2021-2025）》总体目标要求</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《新疆维吾尔自治区重点行业生态环境准入条件（2024年）》</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建设项目须符合国家、自治区相关法律法规、产业政策要求，采用的工艺、技术和设备应符合《产业结构调整指导目录（2011年本）》（2013年修正）、《产业转移指导目录（2012年本）》（工信部〔2012〕31号）、《市场准入负面清单草案（试点版）》和《关于促进新疆工业通信业和信息化发展的若干政策意见》（工信部产业〔2010〕617号）等相关要求，不得采用国家和自治区淘汰或禁止使用的工艺、技术和设备。</w:t>
                  </w:r>
                </w:p>
              </w:tc>
              <w:tc>
                <w:tcPr>
                  <w:tcW w:w="1552" w:type="pct"/>
                  <w:vAlign w:val="center"/>
                </w:tcPr>
                <w:p>
                  <w:pPr>
                    <w:spacing w:line="240" w:lineRule="auto"/>
                    <w:ind w:firstLine="0" w:firstLineChars="0"/>
                    <w:jc w:val="center"/>
                    <w:rPr>
                      <w:sz w:val="21"/>
                      <w:szCs w:val="21"/>
                    </w:rPr>
                  </w:pPr>
                  <w:r>
                    <w:rPr>
                      <w:rFonts w:hint="eastAsia"/>
                      <w:sz w:val="21"/>
                      <w:szCs w:val="21"/>
                    </w:rPr>
                    <w:t>根据《产业结构调整指导目录（2024年本）》，本项目为固体矿产地质勘探，不属于鼓励类、限制类、淘汰类项目，为允许类。因此其建设符合新疆重点行业环境准入条件要求。</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《中华人民共和国草原法》</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第五十五条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tc>
              <w:tc>
                <w:tcPr>
                  <w:tcW w:w="1552" w:type="pct"/>
                  <w:vAlign w:val="center"/>
                </w:tcPr>
                <w:p>
                  <w:pPr>
                    <w:spacing w:line="240" w:lineRule="auto"/>
                    <w:ind w:firstLine="0" w:firstLineChars="0"/>
                    <w:jc w:val="center"/>
                    <w:rPr>
                      <w:sz w:val="21"/>
                      <w:szCs w:val="21"/>
                    </w:rPr>
                  </w:pPr>
                  <w:r>
                    <w:rPr>
                      <w:rFonts w:hint="eastAsia"/>
                      <w:sz w:val="21"/>
                      <w:szCs w:val="21"/>
                      <w:shd w:val="clear" w:color="auto" w:fill="FFFFFF"/>
                    </w:rPr>
                    <w:t>本项目属于地质勘探活动，普查区外交通较为方便，</w:t>
                  </w:r>
                  <w:r>
                    <w:rPr>
                      <w:rFonts w:hint="eastAsia"/>
                      <w:sz w:val="21"/>
                      <w:szCs w:val="21"/>
                      <w:shd w:val="clear" w:color="auto" w:fill="FFFFFF"/>
                      <w:lang w:val="zh-CN"/>
                    </w:rPr>
                    <w:t>交通条件较好，有简易公路直达矿区</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《巴音郭楞蒙古自治州生态环境“十四五”规划》</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坚持绿水青山就是金山银山、冰天雪地也是金山银山的理念，坚持山水林田湖草沙系统治理，坚持人与自然和谐共生，协同推进经济高质量发展和生态环境高水平保护，突出精准治污、科学治污、依法治污，深入打好污染防治攻坚战，落实减污降碳总要求，着力推进碳达峰行动，加快推动绿色低碳发展，加强生物多样性保护，推进生态环境治理体系和治理能力现代化</w:t>
                  </w:r>
                </w:p>
              </w:tc>
              <w:tc>
                <w:tcPr>
                  <w:tcW w:w="1552" w:type="pct"/>
                  <w:vAlign w:val="center"/>
                </w:tcPr>
                <w:p>
                  <w:pPr>
                    <w:spacing w:line="240" w:lineRule="auto"/>
                    <w:ind w:firstLine="0" w:firstLineChars="0"/>
                    <w:jc w:val="center"/>
                    <w:rPr>
                      <w:sz w:val="21"/>
                      <w:szCs w:val="21"/>
                    </w:rPr>
                  </w:pPr>
                  <w:r>
                    <w:rPr>
                      <w:rFonts w:hint="eastAsia"/>
                      <w:sz w:val="21"/>
                      <w:szCs w:val="21"/>
                    </w:rPr>
                    <w:t>本项目为铜矿勘探工程，</w:t>
                  </w:r>
                  <w:r>
                    <w:rPr>
                      <w:rFonts w:hint="eastAsia"/>
                      <w:sz w:val="21"/>
                      <w:szCs w:val="21"/>
                      <w:shd w:val="clear" w:color="auto" w:fill="FFFFFF"/>
                    </w:rPr>
                    <w:t>属于地质勘探活动，工作体量较小，探矿期较短，工程结束后影响随着消除，符合</w:t>
                  </w:r>
                  <w:r>
                    <w:rPr>
                      <w:rFonts w:hint="eastAsia"/>
                      <w:sz w:val="21"/>
                      <w:szCs w:val="21"/>
                    </w:rPr>
                    <w:t>《巴音郭楞蒙古自治州生态环境“十四五”规划》相关要求</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《新疆维吾尔自治区大气污染防治条例》</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加强对建设施工、矿产资源开采、物料运输的扬尘和沙尘污染的治理，保持道路清洁、控制料堆和渣土堆放，科学合理扩大绿地、水面、湿地、地面铺装和防风固沙绿化面积，防治扬尘污染</w:t>
                  </w:r>
                </w:p>
              </w:tc>
              <w:tc>
                <w:tcPr>
                  <w:tcW w:w="1552" w:type="pct"/>
                  <w:vAlign w:val="center"/>
                </w:tcPr>
                <w:p>
                  <w:pPr>
                    <w:spacing w:line="240" w:lineRule="auto"/>
                    <w:ind w:firstLine="0" w:firstLineChars="0"/>
                    <w:jc w:val="center"/>
                    <w:rPr>
                      <w:sz w:val="21"/>
                      <w:szCs w:val="21"/>
                    </w:rPr>
                  </w:pPr>
                  <w:r>
                    <w:rPr>
                      <w:rFonts w:hint="eastAsia"/>
                      <w:sz w:val="21"/>
                      <w:szCs w:val="21"/>
                    </w:rPr>
                    <w:t>本项目采取了有效的污染防治措施；项目符合新疆维吾尔自治区大气污染防治条例</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《绿色地质勘查工作规范》</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在地质勘查工作中，通过合理选择有利于生态环境保护的技术办法、手段和设备等，在道路施工和场地平整、驻地建设、勘察施工、环境修复等方面实施管控，在满足地质勘察目的和安全施工的前提下，实现对生态环境不利影响最小化，推动地质勘查绿色发展。</w:t>
                  </w:r>
                </w:p>
              </w:tc>
              <w:tc>
                <w:tcPr>
                  <w:tcW w:w="1552" w:type="pct"/>
                  <w:vAlign w:val="center"/>
                </w:tcPr>
                <w:p>
                  <w:pPr>
                    <w:spacing w:line="240" w:lineRule="auto"/>
                    <w:ind w:firstLine="0" w:firstLineChars="0"/>
                    <w:jc w:val="center"/>
                    <w:rPr>
                      <w:sz w:val="21"/>
                      <w:szCs w:val="21"/>
                    </w:rPr>
                  </w:pPr>
                  <w:r>
                    <w:rPr>
                      <w:rFonts w:hint="eastAsia"/>
                      <w:sz w:val="21"/>
                      <w:szCs w:val="21"/>
                    </w:rPr>
                    <w:t>本项目采用先进使用的技术工艺、设备、方法开展地质勘查工作，有效减少对生态环境影响的程度、范围及持续时间</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756" w:type="dxa"/>
                  <w:vAlign w:val="center"/>
                </w:tcPr>
                <w:p>
                  <w:pPr>
                    <w:spacing w:line="240" w:lineRule="auto"/>
                    <w:ind w:firstLine="0" w:firstLineChars="0"/>
                    <w:rPr>
                      <w:sz w:val="21"/>
                      <w:szCs w:val="21"/>
                    </w:rPr>
                  </w:pPr>
                  <w:r>
                    <w:rPr>
                      <w:rFonts w:hint="eastAsia"/>
                      <w:sz w:val="21"/>
                      <w:szCs w:val="21"/>
                    </w:rPr>
                    <w:t>《矿山生态环境保护与污染防治技术政策》</w:t>
                  </w:r>
                </w:p>
              </w:tc>
              <w:tc>
                <w:tcPr>
                  <w:tcW w:w="2661" w:type="dxa"/>
                  <w:vAlign w:val="center"/>
                </w:tcPr>
                <w:p>
                  <w:pPr>
                    <w:spacing w:line="240" w:lineRule="auto"/>
                    <w:ind w:firstLine="0" w:firstLineChars="0"/>
                    <w:rPr>
                      <w:color w:val="000000"/>
                      <w:sz w:val="21"/>
                      <w:szCs w:val="21"/>
                    </w:rPr>
                  </w:pPr>
                  <w:r>
                    <w:rPr>
                      <w:rFonts w:hint="eastAsia"/>
                      <w:color w:val="000000"/>
                      <w:sz w:val="21"/>
                      <w:szCs w:val="21"/>
                    </w:rPr>
                    <w:t>对矿山勘探性钻孔应采取封闭等措施进行处理，以确保生产安全；对矿山基建可能影响的具有保护价值的动、植物资源，应优先采取就地、就近保护措施；对表土、底土和适于植物生长的地层物质均应进行保护性堆存和利用，可优</w:t>
                  </w:r>
                </w:p>
                <w:p>
                  <w:pPr>
                    <w:spacing w:line="240" w:lineRule="auto"/>
                    <w:ind w:firstLine="0" w:firstLineChars="0"/>
                    <w:rPr>
                      <w:sz w:val="21"/>
                      <w:szCs w:val="21"/>
                      <w:shd w:val="clear" w:color="auto" w:fill="FFFFFF"/>
                    </w:rPr>
                  </w:pPr>
                  <w:r>
                    <w:rPr>
                      <w:rFonts w:hint="eastAsia"/>
                      <w:color w:val="000000"/>
                      <w:sz w:val="21"/>
                      <w:szCs w:val="21"/>
                    </w:rPr>
                    <w:t>先用作废弃地复垦时的土壤重构用土</w:t>
                  </w:r>
                </w:p>
              </w:tc>
              <w:tc>
                <w:tcPr>
                  <w:tcW w:w="2332" w:type="dxa"/>
                  <w:vAlign w:val="center"/>
                </w:tcPr>
                <w:p>
                  <w:pPr>
                    <w:spacing w:line="240" w:lineRule="auto"/>
                    <w:ind w:firstLine="0" w:firstLineChars="0"/>
                    <w:rPr>
                      <w:sz w:val="21"/>
                      <w:szCs w:val="21"/>
                    </w:rPr>
                  </w:pPr>
                  <w:r>
                    <w:rPr>
                      <w:rFonts w:hint="eastAsia"/>
                      <w:sz w:val="21"/>
                      <w:szCs w:val="21"/>
                    </w:rPr>
                    <w:t>本项目主要为固体矿产地质勘探，在严格落实各项污染防治措施的前提下，项目建设对环境影响较小，</w:t>
                  </w:r>
                  <w:r>
                    <w:rPr>
                      <w:rFonts w:hint="eastAsia"/>
                      <w:color w:val="000000"/>
                      <w:sz w:val="21"/>
                      <w:szCs w:val="21"/>
                    </w:rPr>
                    <w:t>钻孔进行部分回填和封闭，恢复其原有生态功能</w:t>
                  </w:r>
                </w:p>
              </w:tc>
              <w:tc>
                <w:tcPr>
                  <w:tcW w:w="765" w:type="dxa"/>
                  <w:vAlign w:val="center"/>
                </w:tcPr>
                <w:p>
                  <w:pPr>
                    <w:spacing w:line="240" w:lineRule="auto"/>
                    <w:ind w:firstLine="0" w:firstLineChars="0"/>
                    <w:rPr>
                      <w:sz w:val="21"/>
                      <w:szCs w:val="21"/>
                    </w:rPr>
                  </w:pPr>
                  <w:r>
                    <w:rPr>
                      <w:rFonts w:hint="eastAsia"/>
                      <w:sz w:val="21"/>
                      <w:szCs w:val="21"/>
                    </w:rPr>
                    <w:t>符合</w:t>
                  </w:r>
                </w:p>
              </w:tc>
            </w:tr>
            <w:bookmarkEnd w:id="1"/>
          </w:tbl>
          <w:p/>
        </w:tc>
      </w:tr>
    </w:tbl>
    <w:p>
      <w:r>
        <w:br w:type="page"/>
      </w:r>
    </w:p>
    <w:p>
      <w:pPr>
        <w:pStyle w:val="3"/>
      </w:pPr>
      <w:r>
        <w:rPr>
          <w:rFonts w:hint="eastAsia"/>
        </w:rPr>
        <w:t>二、建设内容</w:t>
      </w:r>
    </w:p>
    <w:tbl>
      <w:tblPr>
        <w:tblStyle w:val="18"/>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7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32" w:hRule="atLeast"/>
          <w:jc w:val="center"/>
        </w:trPr>
        <w:tc>
          <w:tcPr>
            <w:tcW w:w="468" w:type="pct"/>
            <w:vAlign w:val="center"/>
          </w:tcPr>
          <w:p>
            <w:pPr>
              <w:ind w:firstLine="0" w:firstLineChars="0"/>
              <w:jc w:val="center"/>
            </w:pPr>
            <w:r>
              <w:rPr>
                <w:rFonts w:hint="eastAsia"/>
              </w:rPr>
              <w:t>地理位置</w:t>
            </w:r>
          </w:p>
        </w:tc>
        <w:tc>
          <w:tcPr>
            <w:tcW w:w="4531" w:type="pct"/>
          </w:tcPr>
          <w:p>
            <w:pPr>
              <w:ind w:firstLine="482"/>
              <w:rPr>
                <w:b/>
                <w:bCs/>
              </w:rPr>
            </w:pPr>
            <w:r>
              <w:rPr>
                <w:rFonts w:hint="eastAsia"/>
                <w:b/>
                <w:bCs/>
              </w:rPr>
              <w:t>1、项目所在行政区域</w:t>
            </w:r>
          </w:p>
          <w:p>
            <w:r>
              <w:t>项目区位于新疆和</w:t>
            </w:r>
            <w:r>
              <w:rPr>
                <w:color w:val="000000" w:themeColor="text1"/>
                <w14:textFill>
                  <w14:solidFill>
                    <w14:schemeClr w14:val="tx1"/>
                  </w14:solidFill>
                </w14:textFill>
              </w:rPr>
              <w:t>静县克尔古提乡西</w:t>
            </w:r>
            <w:r>
              <w:rPr>
                <w:rFonts w:hint="eastAsia"/>
                <w:color w:val="000000" w:themeColor="text1"/>
                <w14:textFill>
                  <w14:solidFill>
                    <w14:schemeClr w14:val="tx1"/>
                  </w14:solidFill>
                </w14:textFill>
              </w:rPr>
              <w:t>北</w:t>
            </w:r>
            <w:r>
              <w:rPr>
                <w:color w:val="000000" w:themeColor="text1"/>
                <w14:textFill>
                  <w14:solidFill>
                    <w14:schemeClr w14:val="tx1"/>
                  </w14:solidFill>
                </w14:textFill>
              </w:rPr>
              <w:t>约27</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°方向直距约</w:t>
            </w:r>
            <w:r>
              <w:rPr>
                <w:rFonts w:hint="eastAsia"/>
                <w:color w:val="000000" w:themeColor="text1"/>
                <w14:textFill>
                  <w14:solidFill>
                    <w14:schemeClr w14:val="tx1"/>
                  </w14:solidFill>
                </w14:textFill>
              </w:rPr>
              <w:t>41</w:t>
            </w:r>
            <w:r>
              <w:rPr>
                <w:color w:val="000000" w:themeColor="text1"/>
                <w14:textFill>
                  <w14:solidFill>
                    <w14:schemeClr w14:val="tx1"/>
                  </w14:solidFill>
                </w14:textFill>
              </w:rPr>
              <w:t>千米处</w:t>
            </w:r>
            <w:r>
              <w:rPr>
                <w:lang w:val="zh-CN"/>
              </w:rPr>
              <w:t>。</w:t>
            </w:r>
            <w:r>
              <w:t>勘查范围中心点坐标：86°24'34.241"E，42°30'22.410"N；行政区划隶属</w:t>
            </w:r>
            <w:r>
              <w:rPr>
                <w:lang w:val="zh-CN"/>
              </w:rPr>
              <w:t>巴音郭楞蒙古自治州和静县管辖，</w:t>
            </w:r>
            <w:r>
              <w:t>工区内有简易碎石路，向南约10km内可达G218国道，途径G218国道转吐和高速可达库尔勒市。交通较为便利。根据建设单位取得的探矿证（探矿证号：</w:t>
            </w:r>
            <w:r>
              <w:rPr>
                <w:rFonts w:eastAsiaTheme="minorEastAsia"/>
                <w:color w:val="000000" w:themeColor="text1"/>
                <w14:textFill>
                  <w14:solidFill>
                    <w14:schemeClr w14:val="tx1"/>
                  </w14:solidFill>
                </w14:textFill>
              </w:rPr>
              <w:t>T6500002008033010004756</w:t>
            </w:r>
            <w:r>
              <w:t>），项目探矿范围拐点坐标如下表所示；地理位置图见《附图1项目区行政区划图》。</w:t>
            </w:r>
          </w:p>
          <w:p>
            <w:pPr>
              <w:pStyle w:val="27"/>
              <w:spacing w:before="156"/>
            </w:pPr>
            <w:r>
              <w:t>表2-1  本项目</w:t>
            </w:r>
            <w:r>
              <w:rPr>
                <w:rFonts w:hint="eastAsia"/>
              </w:rPr>
              <w:t>探矿权范围拐点坐标</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6"/>
              <w:gridCol w:w="3187"/>
              <w:gridCol w:w="31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Merge w:val="restart"/>
                  <w:vAlign w:val="center"/>
                </w:tcPr>
                <w:p>
                  <w:pPr>
                    <w:pStyle w:val="25"/>
                    <w:rPr>
                      <w:szCs w:val="21"/>
                    </w:rPr>
                  </w:pPr>
                  <w:r>
                    <w:rPr>
                      <w:szCs w:val="21"/>
                    </w:rPr>
                    <w:t>拐点序号</w:t>
                  </w:r>
                </w:p>
              </w:tc>
              <w:tc>
                <w:tcPr>
                  <w:tcW w:w="4267" w:type="pct"/>
                  <w:gridSpan w:val="2"/>
                  <w:vAlign w:val="center"/>
                </w:tcPr>
                <w:p>
                  <w:pPr>
                    <w:pStyle w:val="25"/>
                    <w:rPr>
                      <w:szCs w:val="21"/>
                    </w:rPr>
                  </w:pPr>
                  <w:r>
                    <w:rPr>
                      <w:szCs w:val="21"/>
                    </w:rPr>
                    <w:t>地理坐标（CGCS2000坐标系）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Merge w:val="continue"/>
                  <w:vAlign w:val="center"/>
                </w:tcPr>
                <w:p>
                  <w:pPr>
                    <w:pStyle w:val="25"/>
                    <w:rPr>
                      <w:szCs w:val="21"/>
                    </w:rPr>
                  </w:pPr>
                </w:p>
              </w:tc>
              <w:tc>
                <w:tcPr>
                  <w:tcW w:w="2131" w:type="pct"/>
                  <w:vAlign w:val="center"/>
                </w:tcPr>
                <w:p>
                  <w:pPr>
                    <w:pStyle w:val="25"/>
                    <w:rPr>
                      <w:szCs w:val="21"/>
                    </w:rPr>
                  </w:pPr>
                  <w:r>
                    <w:rPr>
                      <w:szCs w:val="21"/>
                    </w:rPr>
                    <w:t>经度</w:t>
                  </w:r>
                </w:p>
              </w:tc>
              <w:tc>
                <w:tcPr>
                  <w:tcW w:w="2136" w:type="pct"/>
                  <w:vAlign w:val="center"/>
                </w:tcPr>
                <w:p>
                  <w:pPr>
                    <w:pStyle w:val="25"/>
                    <w:rPr>
                      <w:szCs w:val="21"/>
                    </w:rPr>
                  </w:pPr>
                  <w:r>
                    <w:rPr>
                      <w:szCs w:val="21"/>
                    </w:rPr>
                    <w:t>纬度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733" w:type="pct"/>
                  <w:vAlign w:val="center"/>
                </w:tcPr>
                <w:p>
                  <w:pPr>
                    <w:pStyle w:val="25"/>
                    <w:rPr>
                      <w:szCs w:val="21"/>
                    </w:rPr>
                  </w:pPr>
                  <w:r>
                    <w:rPr>
                      <w:szCs w:val="21"/>
                    </w:rPr>
                    <w:t>1</w:t>
                  </w:r>
                </w:p>
              </w:tc>
              <w:tc>
                <w:tcPr>
                  <w:tcW w:w="2131" w:type="pct"/>
                  <w:vAlign w:val="center"/>
                </w:tcPr>
                <w:p>
                  <w:pPr>
                    <w:ind w:firstLine="0" w:firstLineChars="0"/>
                    <w:jc w:val="center"/>
                    <w:rPr>
                      <w:sz w:val="21"/>
                      <w:szCs w:val="21"/>
                    </w:rPr>
                  </w:pPr>
                  <w:r>
                    <w:rPr>
                      <w:color w:val="000000"/>
                      <w:sz w:val="21"/>
                      <w:szCs w:val="21"/>
                      <w:lang w:bidi="ar"/>
                    </w:rPr>
                    <w:t>86°22′01.000″</w:t>
                  </w:r>
                </w:p>
              </w:tc>
              <w:tc>
                <w:tcPr>
                  <w:tcW w:w="2136" w:type="pct"/>
                  <w:vAlign w:val="center"/>
                </w:tcPr>
                <w:p>
                  <w:pPr>
                    <w:ind w:firstLine="0" w:firstLineChars="0"/>
                    <w:jc w:val="center"/>
                    <w:rPr>
                      <w:sz w:val="21"/>
                      <w:szCs w:val="21"/>
                    </w:rPr>
                  </w:pPr>
                  <w:r>
                    <w:rPr>
                      <w:color w:val="000000"/>
                      <w:sz w:val="21"/>
                      <w:szCs w:val="21"/>
                      <w:lang w:bidi="ar"/>
                    </w:rPr>
                    <w:t>42°31′01.000″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Align w:val="center"/>
                </w:tcPr>
                <w:p>
                  <w:pPr>
                    <w:pStyle w:val="25"/>
                    <w:rPr>
                      <w:szCs w:val="21"/>
                    </w:rPr>
                  </w:pPr>
                  <w:r>
                    <w:rPr>
                      <w:szCs w:val="21"/>
                    </w:rPr>
                    <w:t>2</w:t>
                  </w:r>
                </w:p>
              </w:tc>
              <w:tc>
                <w:tcPr>
                  <w:tcW w:w="2131" w:type="pct"/>
                  <w:vAlign w:val="center"/>
                </w:tcPr>
                <w:p>
                  <w:pPr>
                    <w:ind w:firstLine="0" w:firstLineChars="0"/>
                    <w:jc w:val="center"/>
                    <w:rPr>
                      <w:sz w:val="21"/>
                      <w:szCs w:val="21"/>
                    </w:rPr>
                  </w:pPr>
                  <w:r>
                    <w:rPr>
                      <w:color w:val="000000"/>
                      <w:sz w:val="21"/>
                      <w:szCs w:val="21"/>
                      <w:lang w:bidi="ar"/>
                    </w:rPr>
                    <w:t>86°23′04.000″</w:t>
                  </w:r>
                </w:p>
              </w:tc>
              <w:tc>
                <w:tcPr>
                  <w:tcW w:w="2136" w:type="pct"/>
                  <w:vAlign w:val="center"/>
                </w:tcPr>
                <w:p>
                  <w:pPr>
                    <w:ind w:firstLine="0" w:firstLineChars="0"/>
                    <w:jc w:val="center"/>
                    <w:rPr>
                      <w:sz w:val="21"/>
                      <w:szCs w:val="21"/>
                    </w:rPr>
                  </w:pPr>
                  <w:r>
                    <w:rPr>
                      <w:color w:val="000000"/>
                      <w:sz w:val="21"/>
                      <w:szCs w:val="21"/>
                      <w:lang w:bidi="ar"/>
                    </w:rPr>
                    <w:t>42°31′01.000″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Align w:val="center"/>
                </w:tcPr>
                <w:p>
                  <w:pPr>
                    <w:pStyle w:val="25"/>
                    <w:rPr>
                      <w:szCs w:val="21"/>
                    </w:rPr>
                  </w:pPr>
                  <w:r>
                    <w:rPr>
                      <w:szCs w:val="21"/>
                    </w:rPr>
                    <w:t>3</w:t>
                  </w:r>
                </w:p>
              </w:tc>
              <w:tc>
                <w:tcPr>
                  <w:tcW w:w="2131" w:type="pct"/>
                  <w:vAlign w:val="center"/>
                </w:tcPr>
                <w:p>
                  <w:pPr>
                    <w:ind w:firstLine="0" w:firstLineChars="0"/>
                    <w:jc w:val="center"/>
                    <w:rPr>
                      <w:sz w:val="21"/>
                      <w:szCs w:val="21"/>
                    </w:rPr>
                  </w:pPr>
                  <w:r>
                    <w:rPr>
                      <w:color w:val="000000"/>
                      <w:sz w:val="21"/>
                      <w:szCs w:val="21"/>
                      <w:lang w:bidi="ar"/>
                    </w:rPr>
                    <w:t>86°23′04.000″</w:t>
                  </w:r>
                </w:p>
              </w:tc>
              <w:tc>
                <w:tcPr>
                  <w:tcW w:w="2136" w:type="pct"/>
                  <w:vAlign w:val="center"/>
                </w:tcPr>
                <w:p>
                  <w:pPr>
                    <w:ind w:firstLine="0" w:firstLineChars="0"/>
                    <w:jc w:val="center"/>
                    <w:rPr>
                      <w:sz w:val="21"/>
                      <w:szCs w:val="21"/>
                    </w:rPr>
                  </w:pPr>
                  <w:r>
                    <w:rPr>
                      <w:color w:val="000000"/>
                      <w:sz w:val="21"/>
                      <w:szCs w:val="21"/>
                      <w:lang w:bidi="ar"/>
                    </w:rPr>
                    <w:t>42°30′31.000″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Align w:val="center"/>
                </w:tcPr>
                <w:p>
                  <w:pPr>
                    <w:pStyle w:val="25"/>
                    <w:rPr>
                      <w:szCs w:val="21"/>
                    </w:rPr>
                  </w:pPr>
                  <w:r>
                    <w:rPr>
                      <w:szCs w:val="21"/>
                    </w:rPr>
                    <w:t>4</w:t>
                  </w:r>
                </w:p>
              </w:tc>
              <w:tc>
                <w:tcPr>
                  <w:tcW w:w="2131" w:type="pct"/>
                  <w:vAlign w:val="center"/>
                </w:tcPr>
                <w:p>
                  <w:pPr>
                    <w:ind w:firstLine="0" w:firstLineChars="0"/>
                    <w:jc w:val="center"/>
                    <w:rPr>
                      <w:sz w:val="21"/>
                      <w:szCs w:val="21"/>
                    </w:rPr>
                  </w:pPr>
                  <w:r>
                    <w:rPr>
                      <w:color w:val="000000"/>
                      <w:sz w:val="21"/>
                      <w:szCs w:val="21"/>
                      <w:lang w:bidi="ar"/>
                    </w:rPr>
                    <w:t>86°25′21.000″</w:t>
                  </w:r>
                </w:p>
              </w:tc>
              <w:tc>
                <w:tcPr>
                  <w:tcW w:w="2136" w:type="pct"/>
                  <w:vAlign w:val="center"/>
                </w:tcPr>
                <w:p>
                  <w:pPr>
                    <w:ind w:firstLine="0" w:firstLineChars="0"/>
                    <w:jc w:val="center"/>
                    <w:rPr>
                      <w:sz w:val="21"/>
                      <w:szCs w:val="21"/>
                    </w:rPr>
                  </w:pPr>
                  <w:r>
                    <w:rPr>
                      <w:color w:val="000000"/>
                      <w:sz w:val="21"/>
                      <w:szCs w:val="21"/>
                      <w:lang w:bidi="ar"/>
                    </w:rPr>
                    <w:t>42°30′31.000″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Align w:val="center"/>
                </w:tcPr>
                <w:p>
                  <w:pPr>
                    <w:pStyle w:val="25"/>
                    <w:rPr>
                      <w:szCs w:val="21"/>
                    </w:rPr>
                  </w:pPr>
                  <w:r>
                    <w:rPr>
                      <w:szCs w:val="21"/>
                    </w:rPr>
                    <w:t>5</w:t>
                  </w:r>
                </w:p>
              </w:tc>
              <w:tc>
                <w:tcPr>
                  <w:tcW w:w="2131" w:type="pct"/>
                  <w:vAlign w:val="center"/>
                </w:tcPr>
                <w:p>
                  <w:pPr>
                    <w:ind w:firstLine="0" w:firstLineChars="0"/>
                    <w:jc w:val="center"/>
                    <w:rPr>
                      <w:sz w:val="21"/>
                      <w:szCs w:val="21"/>
                      <w:lang w:bidi="ar"/>
                    </w:rPr>
                  </w:pPr>
                  <w:r>
                    <w:rPr>
                      <w:color w:val="000000"/>
                      <w:sz w:val="21"/>
                      <w:szCs w:val="21"/>
                      <w:lang w:bidi="ar"/>
                    </w:rPr>
                    <w:t>86°25′21.000″</w:t>
                  </w:r>
                </w:p>
              </w:tc>
              <w:tc>
                <w:tcPr>
                  <w:tcW w:w="2136" w:type="pct"/>
                  <w:vAlign w:val="center"/>
                </w:tcPr>
                <w:p>
                  <w:pPr>
                    <w:ind w:firstLine="0" w:firstLineChars="0"/>
                    <w:jc w:val="center"/>
                    <w:rPr>
                      <w:sz w:val="21"/>
                      <w:szCs w:val="21"/>
                    </w:rPr>
                  </w:pPr>
                  <w:r>
                    <w:rPr>
                      <w:color w:val="000000"/>
                      <w:sz w:val="21"/>
                      <w:szCs w:val="21"/>
                      <w:lang w:bidi="ar"/>
                    </w:rPr>
                    <w:t>42°29′54.000″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Align w:val="center"/>
                </w:tcPr>
                <w:p>
                  <w:pPr>
                    <w:pStyle w:val="25"/>
                    <w:rPr>
                      <w:szCs w:val="21"/>
                    </w:rPr>
                  </w:pPr>
                  <w:r>
                    <w:rPr>
                      <w:szCs w:val="21"/>
                    </w:rPr>
                    <w:t>6</w:t>
                  </w:r>
                </w:p>
              </w:tc>
              <w:tc>
                <w:tcPr>
                  <w:tcW w:w="2131" w:type="pct"/>
                  <w:vAlign w:val="center"/>
                </w:tcPr>
                <w:p>
                  <w:pPr>
                    <w:ind w:firstLine="0" w:firstLineChars="0"/>
                    <w:jc w:val="center"/>
                    <w:rPr>
                      <w:sz w:val="21"/>
                      <w:szCs w:val="21"/>
                      <w:lang w:bidi="ar"/>
                    </w:rPr>
                  </w:pPr>
                  <w:r>
                    <w:rPr>
                      <w:color w:val="000000"/>
                      <w:sz w:val="21"/>
                      <w:szCs w:val="21"/>
                      <w:lang w:bidi="ar"/>
                    </w:rPr>
                    <w:t>86°24′17.000″</w:t>
                  </w:r>
                </w:p>
              </w:tc>
              <w:tc>
                <w:tcPr>
                  <w:tcW w:w="2136" w:type="pct"/>
                  <w:vAlign w:val="center"/>
                </w:tcPr>
                <w:p>
                  <w:pPr>
                    <w:ind w:firstLine="0" w:firstLineChars="0"/>
                    <w:jc w:val="center"/>
                    <w:rPr>
                      <w:b/>
                      <w:bCs/>
                      <w:sz w:val="21"/>
                      <w:szCs w:val="21"/>
                    </w:rPr>
                  </w:pPr>
                  <w:r>
                    <w:rPr>
                      <w:color w:val="000000"/>
                      <w:sz w:val="21"/>
                      <w:szCs w:val="21"/>
                      <w:lang w:bidi="ar"/>
                    </w:rPr>
                    <w:t>42°29′54.000″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733" w:type="pct"/>
                  <w:vAlign w:val="center"/>
                </w:tcPr>
                <w:p>
                  <w:pPr>
                    <w:pStyle w:val="25"/>
                    <w:rPr>
                      <w:szCs w:val="21"/>
                    </w:rPr>
                  </w:pPr>
                  <w:r>
                    <w:rPr>
                      <w:szCs w:val="21"/>
                    </w:rPr>
                    <w:t>7</w:t>
                  </w:r>
                </w:p>
              </w:tc>
              <w:tc>
                <w:tcPr>
                  <w:tcW w:w="2131" w:type="pct"/>
                  <w:vAlign w:val="center"/>
                </w:tcPr>
                <w:p>
                  <w:pPr>
                    <w:ind w:firstLine="0" w:firstLineChars="0"/>
                    <w:jc w:val="center"/>
                    <w:rPr>
                      <w:color w:val="000000"/>
                      <w:kern w:val="0"/>
                      <w:sz w:val="21"/>
                      <w:szCs w:val="21"/>
                      <w:lang w:bidi="ar"/>
                    </w:rPr>
                  </w:pPr>
                  <w:r>
                    <w:rPr>
                      <w:color w:val="000000"/>
                      <w:sz w:val="21"/>
                      <w:szCs w:val="21"/>
                      <w:lang w:bidi="ar"/>
                    </w:rPr>
                    <w:t>86°24′17.000″</w:t>
                  </w:r>
                </w:p>
              </w:tc>
              <w:tc>
                <w:tcPr>
                  <w:tcW w:w="2136" w:type="pct"/>
                  <w:vAlign w:val="center"/>
                </w:tcPr>
                <w:p>
                  <w:pPr>
                    <w:ind w:firstLine="0" w:firstLineChars="0"/>
                    <w:jc w:val="center"/>
                    <w:rPr>
                      <w:color w:val="000000"/>
                      <w:kern w:val="0"/>
                      <w:sz w:val="21"/>
                      <w:szCs w:val="21"/>
                      <w:lang w:bidi="ar"/>
                    </w:rPr>
                  </w:pPr>
                  <w:r>
                    <w:rPr>
                      <w:color w:val="000000"/>
                      <w:sz w:val="21"/>
                      <w:szCs w:val="21"/>
                      <w:lang w:bidi="ar"/>
                    </w:rPr>
                    <w:t>42°30′24.000″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Align w:val="center"/>
                </w:tcPr>
                <w:p>
                  <w:pPr>
                    <w:pStyle w:val="25"/>
                    <w:rPr>
                      <w:szCs w:val="21"/>
                    </w:rPr>
                  </w:pPr>
                  <w:r>
                    <w:rPr>
                      <w:szCs w:val="21"/>
                    </w:rPr>
                    <w:t>8</w:t>
                  </w:r>
                </w:p>
              </w:tc>
              <w:tc>
                <w:tcPr>
                  <w:tcW w:w="2131" w:type="pct"/>
                  <w:vAlign w:val="center"/>
                </w:tcPr>
                <w:p>
                  <w:pPr>
                    <w:ind w:firstLine="0" w:firstLineChars="0"/>
                    <w:jc w:val="center"/>
                    <w:rPr>
                      <w:color w:val="000000"/>
                      <w:kern w:val="0"/>
                      <w:sz w:val="21"/>
                      <w:szCs w:val="21"/>
                      <w:lang w:bidi="ar"/>
                    </w:rPr>
                  </w:pPr>
                  <w:r>
                    <w:rPr>
                      <w:color w:val="000000"/>
                      <w:sz w:val="21"/>
                      <w:szCs w:val="21"/>
                      <w:lang w:bidi="ar"/>
                    </w:rPr>
                    <w:t>86°22′01.000″</w:t>
                  </w:r>
                </w:p>
              </w:tc>
              <w:tc>
                <w:tcPr>
                  <w:tcW w:w="2136" w:type="pct"/>
                  <w:vAlign w:val="center"/>
                </w:tcPr>
                <w:p>
                  <w:pPr>
                    <w:ind w:firstLine="0" w:firstLineChars="0"/>
                    <w:jc w:val="center"/>
                    <w:rPr>
                      <w:color w:val="000000"/>
                      <w:kern w:val="0"/>
                      <w:sz w:val="21"/>
                      <w:szCs w:val="21"/>
                      <w:lang w:bidi="ar"/>
                    </w:rPr>
                  </w:pPr>
                  <w:r>
                    <w:rPr>
                      <w:color w:val="000000"/>
                      <w:sz w:val="21"/>
                      <w:szCs w:val="21"/>
                      <w:lang w:bidi="ar"/>
                    </w:rPr>
                    <w:t>42°30′24.000″</w:t>
                  </w:r>
                </w:p>
              </w:tc>
            </w:tr>
          </w:tbl>
          <w:p>
            <w:pPr>
              <w:ind w:firstLine="482"/>
              <w:rPr>
                <w:b/>
                <w:bCs/>
              </w:rPr>
            </w:pPr>
            <w:r>
              <w:rPr>
                <w:rFonts w:hint="eastAsia"/>
                <w:b/>
                <w:bCs/>
              </w:rPr>
              <w:t>2、周边环境</w:t>
            </w:r>
          </w:p>
          <w:p>
            <w:r>
              <w:t>矿区属于天山山脉南坡低山丘陵地貌，地势大致为北高南低，冲沟极为发育，海拔高程在+1670－+2118m之间。气候属大陆性干旱—半干旱，表现为夏季多阵雨、山洪，冬季少雪。四周为山地。周边关系图见《附图4项目区周边关系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468" w:type="pct"/>
            <w:vAlign w:val="center"/>
          </w:tcPr>
          <w:p>
            <w:pPr>
              <w:ind w:firstLine="0" w:firstLineChars="0"/>
              <w:jc w:val="center"/>
            </w:pPr>
            <w:r>
              <w:rPr>
                <w:rFonts w:hint="eastAsia"/>
              </w:rPr>
              <w:t>项</w:t>
            </w:r>
          </w:p>
          <w:p>
            <w:pPr>
              <w:ind w:firstLine="0" w:firstLineChars="0"/>
              <w:jc w:val="center"/>
            </w:pPr>
            <w:r>
              <w:rPr>
                <w:rFonts w:hint="eastAsia"/>
              </w:rPr>
              <w:t>目</w:t>
            </w:r>
          </w:p>
          <w:p>
            <w:pPr>
              <w:ind w:firstLine="0" w:firstLineChars="0"/>
              <w:jc w:val="center"/>
            </w:pPr>
            <w:r>
              <w:rPr>
                <w:rFonts w:hint="eastAsia"/>
              </w:rPr>
              <w:t>组</w:t>
            </w:r>
          </w:p>
          <w:p>
            <w:pPr>
              <w:ind w:firstLine="0" w:firstLineChars="0"/>
              <w:jc w:val="center"/>
            </w:pPr>
            <w:r>
              <w:rPr>
                <w:rFonts w:hint="eastAsia"/>
              </w:rPr>
              <w:t>成</w:t>
            </w:r>
          </w:p>
          <w:p>
            <w:pPr>
              <w:ind w:firstLine="0" w:firstLineChars="0"/>
              <w:jc w:val="center"/>
            </w:pPr>
            <w:r>
              <w:rPr>
                <w:rFonts w:hint="eastAsia"/>
              </w:rPr>
              <w:t>及</w:t>
            </w:r>
          </w:p>
          <w:p>
            <w:pPr>
              <w:ind w:firstLine="0" w:firstLineChars="0"/>
              <w:jc w:val="center"/>
            </w:pPr>
            <w:r>
              <w:rPr>
                <w:rFonts w:hint="eastAsia"/>
              </w:rPr>
              <w:t>规</w:t>
            </w:r>
          </w:p>
          <w:p>
            <w:pPr>
              <w:ind w:firstLine="0" w:firstLineChars="0"/>
              <w:jc w:val="center"/>
            </w:pPr>
            <w:r>
              <w:rPr>
                <w:rFonts w:hint="eastAsia"/>
              </w:rPr>
              <w:t>模</w:t>
            </w:r>
          </w:p>
        </w:tc>
        <w:tc>
          <w:tcPr>
            <w:tcW w:w="4531" w:type="pct"/>
          </w:tcPr>
          <w:p>
            <w:pPr>
              <w:pStyle w:val="14"/>
              <w:ind w:firstLine="482" w:firstLineChars="200"/>
            </w:pPr>
            <w:r>
              <w:t>1</w:t>
            </w:r>
            <w:r>
              <w:rPr>
                <w:rFonts w:hint="eastAsia"/>
              </w:rPr>
              <w:t>、项目基本概况</w:t>
            </w:r>
          </w:p>
          <w:p>
            <w:r>
              <w:rPr>
                <w:rFonts w:hint="eastAsia"/>
              </w:rPr>
              <w:t>（</w:t>
            </w:r>
            <w:r>
              <w:t>1</w:t>
            </w:r>
            <w:r>
              <w:rPr>
                <w:rFonts w:hint="eastAsia"/>
              </w:rPr>
              <w:t>）项目名称：</w:t>
            </w:r>
            <w:r>
              <w:rPr>
                <w:rFonts w:hint="eastAsia" w:ascii="宋体" w:hAnsi="宋体" w:cs="仿宋"/>
                <w:bCs/>
                <w:color w:val="000000"/>
              </w:rPr>
              <w:t>新疆和静县帕勒特瓦日克沟铜矿勘探项目</w:t>
            </w:r>
            <w:r>
              <w:rPr>
                <w:rFonts w:hint="eastAsia"/>
              </w:rPr>
              <w:t>；</w:t>
            </w:r>
          </w:p>
          <w:p>
            <w:r>
              <w:rPr>
                <w:rFonts w:hint="eastAsia"/>
              </w:rPr>
              <w:t>（</w:t>
            </w:r>
            <w:r>
              <w:t>2</w:t>
            </w:r>
            <w:r>
              <w:rPr>
                <w:rFonts w:hint="eastAsia"/>
              </w:rPr>
              <w:t>）项目性质：新建；</w:t>
            </w:r>
          </w:p>
          <w:p>
            <w:r>
              <w:rPr>
                <w:rFonts w:hint="eastAsia"/>
              </w:rPr>
              <w:t>（</w:t>
            </w:r>
            <w:r>
              <w:t>3</w:t>
            </w:r>
            <w:r>
              <w:rPr>
                <w:rFonts w:hint="eastAsia"/>
              </w:rPr>
              <w:t>）建设单位：和静县西伯雅罕矿业有限公司；</w:t>
            </w:r>
          </w:p>
          <w:p>
            <w:pPr>
              <w:rPr>
                <w:lang w:val="zh-CN"/>
              </w:rPr>
            </w:pPr>
            <w:r>
              <w:rPr>
                <w:rFonts w:hint="eastAsia"/>
              </w:rPr>
              <w:t>（</w:t>
            </w:r>
            <w:r>
              <w:t>4</w:t>
            </w:r>
            <w:r>
              <w:rPr>
                <w:rFonts w:hint="eastAsia"/>
              </w:rPr>
              <w:t>）建设地点：</w:t>
            </w:r>
            <w:r>
              <w:t>新疆和</w:t>
            </w:r>
            <w:r>
              <w:rPr>
                <w:color w:val="000000" w:themeColor="text1"/>
                <w14:textFill>
                  <w14:solidFill>
                    <w14:schemeClr w14:val="tx1"/>
                  </w14:solidFill>
                </w14:textFill>
              </w:rPr>
              <w:t>静县克尔古提乡西</w:t>
            </w:r>
            <w:r>
              <w:rPr>
                <w:rFonts w:hint="eastAsia"/>
                <w:color w:val="000000" w:themeColor="text1"/>
                <w14:textFill>
                  <w14:solidFill>
                    <w14:schemeClr w14:val="tx1"/>
                  </w14:solidFill>
                </w14:textFill>
              </w:rPr>
              <w:t>北</w:t>
            </w:r>
            <w:r>
              <w:rPr>
                <w:color w:val="000000" w:themeColor="text1"/>
                <w14:textFill>
                  <w14:solidFill>
                    <w14:schemeClr w14:val="tx1"/>
                  </w14:solidFill>
                </w14:textFill>
              </w:rPr>
              <w:t>约27</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°方向直距约</w:t>
            </w:r>
            <w:r>
              <w:rPr>
                <w:rFonts w:hint="eastAsia"/>
                <w:color w:val="000000" w:themeColor="text1"/>
                <w14:textFill>
                  <w14:solidFill>
                    <w14:schemeClr w14:val="tx1"/>
                  </w14:solidFill>
                </w14:textFill>
              </w:rPr>
              <w:t>41</w:t>
            </w:r>
            <w:r>
              <w:rPr>
                <w:color w:val="000000" w:themeColor="text1"/>
                <w14:textFill>
                  <w14:solidFill>
                    <w14:schemeClr w14:val="tx1"/>
                  </w14:solidFill>
                </w14:textFill>
              </w:rPr>
              <w:t>千米处</w:t>
            </w:r>
            <w:r>
              <w:rPr>
                <w:rFonts w:hint="eastAsia"/>
                <w:lang w:val="zh-CN"/>
              </w:rPr>
              <w:t>；</w:t>
            </w:r>
          </w:p>
          <w:p>
            <w:r>
              <w:rPr>
                <w:rFonts w:hint="eastAsia"/>
              </w:rPr>
              <w:t>（5）探矿权有效期：</w:t>
            </w:r>
            <w:r>
              <w:t>20</w:t>
            </w:r>
            <w:r>
              <w:rPr>
                <w:rFonts w:hint="eastAsia"/>
              </w:rPr>
              <w:t>2</w:t>
            </w:r>
            <w:r>
              <w:t>1年8</w:t>
            </w:r>
            <w:r>
              <w:rPr>
                <w:rFonts w:hint="eastAsia"/>
              </w:rPr>
              <w:t>月</w:t>
            </w:r>
            <w:r>
              <w:t>30</w:t>
            </w:r>
            <w:r>
              <w:rPr>
                <w:rFonts w:hint="eastAsia"/>
              </w:rPr>
              <w:t>日</w:t>
            </w:r>
            <w:r>
              <w:t>至2026年8月30日</w:t>
            </w:r>
            <w:r>
              <w:rPr>
                <w:rFonts w:hint="eastAsia"/>
              </w:rPr>
              <w:t>；</w:t>
            </w:r>
          </w:p>
          <w:p>
            <w:r>
              <w:rPr>
                <w:rFonts w:hint="eastAsia"/>
              </w:rPr>
              <w:t>（6）</w:t>
            </w:r>
            <w:r>
              <w:t>工程投资：658.92万元</w:t>
            </w:r>
            <w:r>
              <w:rPr>
                <w:rFonts w:hint="eastAsia"/>
              </w:rPr>
              <w:t>；</w:t>
            </w:r>
          </w:p>
          <w:p>
            <w:r>
              <w:rPr>
                <w:rFonts w:hint="eastAsia"/>
              </w:rPr>
              <w:t>（7）勘查面积：</w:t>
            </w:r>
            <w:r>
              <w:t>3.66</w:t>
            </w:r>
            <w:r>
              <w:rPr>
                <w:rFonts w:hint="eastAsia"/>
              </w:rPr>
              <w:t>k</w:t>
            </w:r>
            <w:r>
              <w:t>m</w:t>
            </w:r>
            <w:r>
              <w:rPr>
                <w:vertAlign w:val="superscript"/>
              </w:rPr>
              <w:t>2</w:t>
            </w:r>
            <w:r>
              <w:rPr>
                <w:rFonts w:hint="eastAsia"/>
              </w:rPr>
              <w:t>。</w:t>
            </w:r>
          </w:p>
          <w:p>
            <w:pPr>
              <w:pStyle w:val="14"/>
              <w:ind w:firstLine="482" w:firstLineChars="200"/>
            </w:pPr>
            <w:r>
              <w:rPr>
                <w:rFonts w:hint="eastAsia"/>
              </w:rPr>
              <w:t>2、建设内容及规模</w:t>
            </w:r>
          </w:p>
          <w:p>
            <w:r>
              <w:t>本项目</w:t>
            </w:r>
            <w:r>
              <w:rPr>
                <w:rFonts w:hint="eastAsia"/>
              </w:rPr>
              <w:t>为矿产资源勘探工程，不涉及采矿，因此</w:t>
            </w:r>
            <w:r>
              <w:t>只有施工期，不存在运营期。本项目组成及主要环境问题见表2-2。</w:t>
            </w:r>
          </w:p>
          <w:p>
            <w:pPr>
              <w:pStyle w:val="27"/>
              <w:spacing w:before="156"/>
            </w:pPr>
            <w:r>
              <w:t>表2-</w:t>
            </w:r>
            <w:r>
              <w:rPr>
                <w:rFonts w:hint="eastAsia"/>
              </w:rPr>
              <w:t>2</w:t>
            </w:r>
            <w:r>
              <w:t xml:space="preserve">  建设项目组成一览表</w:t>
            </w:r>
          </w:p>
          <w:tbl>
            <w:tblPr>
              <w:tblStyle w:val="18"/>
              <w:tblW w:w="7507"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48"/>
              <w:gridCol w:w="1380"/>
              <w:gridCol w:w="4635"/>
              <w:gridCol w:w="84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351" w:type="pct"/>
                  <w:gridSpan w:val="2"/>
                  <w:tcBorders>
                    <w:top w:val="single" w:color="auto" w:sz="12" w:space="0"/>
                    <w:left w:val="single" w:color="auto" w:sz="12" w:space="0"/>
                  </w:tcBorders>
                  <w:vAlign w:val="center"/>
                </w:tcPr>
                <w:p>
                  <w:pPr>
                    <w:pStyle w:val="25"/>
                  </w:pPr>
                  <w:r>
                    <w:t>项目组成</w:t>
                  </w:r>
                </w:p>
              </w:tc>
              <w:tc>
                <w:tcPr>
                  <w:tcW w:w="3087" w:type="pct"/>
                  <w:tcBorders>
                    <w:top w:val="single" w:color="auto" w:sz="12" w:space="0"/>
                    <w:bottom w:val="single" w:color="auto" w:sz="4" w:space="0"/>
                  </w:tcBorders>
                  <w:vAlign w:val="center"/>
                </w:tcPr>
                <w:p>
                  <w:pPr>
                    <w:pStyle w:val="25"/>
                  </w:pPr>
                  <w:r>
                    <w:t>工程内容与规模</w:t>
                  </w:r>
                </w:p>
              </w:tc>
              <w:tc>
                <w:tcPr>
                  <w:tcW w:w="562" w:type="pct"/>
                  <w:tcBorders>
                    <w:top w:val="single" w:color="auto" w:sz="12" w:space="0"/>
                    <w:bottom w:val="single" w:color="auto" w:sz="4" w:space="0"/>
                    <w:right w:val="single" w:color="auto" w:sz="12" w:space="0"/>
                  </w:tcBorders>
                  <w:vAlign w:val="center"/>
                </w:tcPr>
                <w:p>
                  <w:pPr>
                    <w:pStyle w:val="25"/>
                  </w:pPr>
                  <w: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restart"/>
                  <w:tcBorders>
                    <w:left w:val="single" w:color="auto" w:sz="12" w:space="0"/>
                  </w:tcBorders>
                  <w:vAlign w:val="center"/>
                </w:tcPr>
                <w:p>
                  <w:pPr>
                    <w:pStyle w:val="25"/>
                  </w:pPr>
                  <w:r>
                    <w:t>主体工程</w:t>
                  </w:r>
                </w:p>
              </w:tc>
              <w:tc>
                <w:tcPr>
                  <w:tcW w:w="919" w:type="pct"/>
                  <w:vAlign w:val="center"/>
                </w:tcPr>
                <w:p>
                  <w:pPr>
                    <w:pStyle w:val="25"/>
                  </w:pPr>
                  <w:r>
                    <w:t>地形测量</w:t>
                  </w:r>
                </w:p>
              </w:tc>
              <w:tc>
                <w:tcPr>
                  <w:tcW w:w="3087" w:type="pct"/>
                  <w:tcBorders>
                    <w:bottom w:val="single" w:color="auto" w:sz="4" w:space="0"/>
                  </w:tcBorders>
                  <w:vAlign w:val="center"/>
                </w:tcPr>
                <w:p>
                  <w:pPr>
                    <w:spacing w:line="240" w:lineRule="auto"/>
                    <w:ind w:firstLine="0" w:firstLineChars="0"/>
                    <w:rPr>
                      <w:sz w:val="21"/>
                      <w:szCs w:val="21"/>
                    </w:rPr>
                  </w:pPr>
                  <w:r>
                    <w:rPr>
                      <w:sz w:val="21"/>
                      <w:szCs w:val="21"/>
                    </w:rPr>
                    <w:t>设计1:10000地形测量3.66km</w:t>
                  </w:r>
                  <w:r>
                    <w:rPr>
                      <w:sz w:val="21"/>
                      <w:szCs w:val="21"/>
                      <w:vertAlign w:val="superscript"/>
                    </w:rPr>
                    <w:t>2</w:t>
                  </w:r>
                  <w:r>
                    <w:rPr>
                      <w:sz w:val="21"/>
                      <w:szCs w:val="21"/>
                    </w:rPr>
                    <w:t>；1:2000地形测量1.64km</w:t>
                  </w:r>
                  <w:r>
                    <w:rPr>
                      <w:sz w:val="21"/>
                      <w:szCs w:val="21"/>
                      <w:vertAlign w:val="superscript"/>
                    </w:rPr>
                    <w:t>2</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地质测量</w:t>
                  </w:r>
                </w:p>
              </w:tc>
              <w:tc>
                <w:tcPr>
                  <w:tcW w:w="3087" w:type="pct"/>
                  <w:tcBorders>
                    <w:bottom w:val="single" w:color="auto" w:sz="4" w:space="0"/>
                  </w:tcBorders>
                  <w:vAlign w:val="center"/>
                </w:tcPr>
                <w:p>
                  <w:pPr>
                    <w:spacing w:line="240" w:lineRule="auto"/>
                    <w:ind w:firstLine="0" w:firstLineChars="0"/>
                    <w:rPr>
                      <w:sz w:val="21"/>
                      <w:szCs w:val="21"/>
                    </w:rPr>
                  </w:pPr>
                  <w:r>
                    <w:rPr>
                      <w:sz w:val="21"/>
                      <w:szCs w:val="21"/>
                    </w:rPr>
                    <w:t>设计1:10000地质测量3.66km</w:t>
                  </w:r>
                  <w:r>
                    <w:rPr>
                      <w:sz w:val="21"/>
                      <w:szCs w:val="21"/>
                      <w:vertAlign w:val="superscript"/>
                    </w:rPr>
                    <w:t>2</w:t>
                  </w:r>
                  <w:r>
                    <w:rPr>
                      <w:sz w:val="21"/>
                      <w:szCs w:val="21"/>
                    </w:rPr>
                    <w:t>；1:2000地质测量1.64km</w:t>
                  </w:r>
                  <w:r>
                    <w:rPr>
                      <w:sz w:val="21"/>
                      <w:szCs w:val="21"/>
                      <w:vertAlign w:val="superscript"/>
                    </w:rPr>
                    <w:t>2</w:t>
                  </w:r>
                  <w:r>
                    <w:rPr>
                      <w:rFonts w:hint="eastAsia"/>
                      <w:sz w:val="21"/>
                      <w:szCs w:val="21"/>
                    </w:rPr>
                    <w:t>；</w:t>
                  </w:r>
                  <w:r>
                    <w:rPr>
                      <w:sz w:val="21"/>
                      <w:szCs w:val="21"/>
                    </w:rPr>
                    <w:t>1:10000地质剖面测量10km</w:t>
                  </w:r>
                  <w:r>
                    <w:rPr>
                      <w:rFonts w:hint="eastAsia"/>
                      <w:sz w:val="21"/>
                      <w:szCs w:val="21"/>
                    </w:rPr>
                    <w:t>；</w:t>
                  </w:r>
                  <w:r>
                    <w:rPr>
                      <w:sz w:val="21"/>
                      <w:szCs w:val="21"/>
                    </w:rPr>
                    <w:t>1:2000地质剖面测量4km</w:t>
                  </w:r>
                  <w:r>
                    <w:rPr>
                      <w:rFonts w:hint="eastAsia"/>
                      <w:sz w:val="21"/>
                      <w:szCs w:val="21"/>
                    </w:rPr>
                    <w:t>；</w:t>
                  </w:r>
                  <w:r>
                    <w:rPr>
                      <w:sz w:val="21"/>
                      <w:szCs w:val="21"/>
                    </w:rPr>
                    <w:t>1:10000专项水工环地质测量3.66km</w:t>
                  </w:r>
                  <w:r>
                    <w:rPr>
                      <w:sz w:val="21"/>
                      <w:szCs w:val="21"/>
                      <w:vertAlign w:val="superscript"/>
                    </w:rPr>
                    <w:t>2</w:t>
                  </w:r>
                  <w:r>
                    <w:rPr>
                      <w:rFonts w:hint="eastAsia"/>
                      <w:sz w:val="21"/>
                      <w:szCs w:val="21"/>
                    </w:rPr>
                    <w:t>；</w:t>
                  </w:r>
                  <w:r>
                    <w:rPr>
                      <w:sz w:val="21"/>
                      <w:szCs w:val="21"/>
                    </w:rPr>
                    <w:t>1:2000专项水工环地质测量1.64km</w:t>
                  </w:r>
                  <w:r>
                    <w:rPr>
                      <w:sz w:val="21"/>
                      <w:szCs w:val="21"/>
                      <w:vertAlign w:val="superscript"/>
                    </w:rPr>
                    <w:t>2</w:t>
                  </w:r>
                </w:p>
              </w:tc>
              <w:tc>
                <w:tcPr>
                  <w:tcW w:w="562" w:type="pct"/>
                  <w:tcBorders>
                    <w:right w:val="single" w:color="auto" w:sz="12" w:space="0"/>
                  </w:tcBorders>
                  <w:vAlign w:val="center"/>
                </w:tcPr>
                <w:p>
                  <w:pPr>
                    <w:pStyle w:val="25"/>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探槽</w:t>
                  </w:r>
                </w:p>
              </w:tc>
              <w:tc>
                <w:tcPr>
                  <w:tcW w:w="3087" w:type="pct"/>
                  <w:tcBorders>
                    <w:bottom w:val="single" w:color="auto" w:sz="4" w:space="0"/>
                  </w:tcBorders>
                  <w:vAlign w:val="center"/>
                </w:tcPr>
                <w:p>
                  <w:pPr>
                    <w:pStyle w:val="25"/>
                    <w:jc w:val="both"/>
                  </w:pPr>
                  <w:r>
                    <w:rPr>
                      <w:rFonts w:hint="eastAsia"/>
                      <w:color w:val="000000" w:themeColor="text1"/>
                      <w14:textFill>
                        <w14:solidFill>
                          <w14:schemeClr w14:val="tx1"/>
                        </w14:solidFill>
                      </w14:textFill>
                    </w:rPr>
                    <w:t>布设探槽</w:t>
                  </w:r>
                  <w:r>
                    <w:rPr>
                      <w:color w:val="000000" w:themeColor="text1"/>
                      <w14:textFill>
                        <w14:solidFill>
                          <w14:schemeClr w14:val="tx1"/>
                        </w14:solidFill>
                      </w14:textFill>
                    </w:rPr>
                    <w:t>13</w:t>
                  </w:r>
                  <w:r>
                    <w:rPr>
                      <w:rFonts w:hint="eastAsia"/>
                      <w:color w:val="000000" w:themeColor="text1"/>
                      <w14:textFill>
                        <w14:solidFill>
                          <w14:schemeClr w14:val="tx1"/>
                        </w14:solidFill>
                      </w14:textFill>
                    </w:rPr>
                    <w:t>处，设计</w:t>
                  </w:r>
                  <w:r>
                    <w:rPr>
                      <w:color w:val="000000" w:themeColor="text1"/>
                      <w14:textFill>
                        <w14:solidFill>
                          <w14:schemeClr w14:val="tx1"/>
                        </w14:solidFill>
                      </w14:textFill>
                    </w:rPr>
                    <w:t>探槽工作量</w:t>
                  </w:r>
                  <w:r>
                    <w:rPr>
                      <w:color w:val="000000" w:themeColor="text1"/>
                      <w:szCs w:val="21"/>
                      <w14:textFill>
                        <w14:solidFill>
                          <w14:schemeClr w14:val="tx1"/>
                        </w14:solidFill>
                      </w14:textFill>
                    </w:rPr>
                    <w:t>2000m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施</w:t>
                  </w:r>
                  <w:r>
                    <w:rPr>
                      <w:rFonts w:hint="eastAsia"/>
                      <w:szCs w:val="21"/>
                    </w:rPr>
                    <w:t>工顺序：优先在见矿几率最大的部位，再沿见矿工程或矿化露头沿走向展开。开口宽度根据推测施工深度确定，一般不超过2.0m、底宽不低于0.8m，断面为倒梯形，底壁平整，深入基岩0.3—0.5m。在确保安全的前提下可酌情加深。探槽必须揭穿矿（化）体的顶、底板</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rPr>
                      <w:rFonts w:hint="eastAsia"/>
                    </w:rPr>
                    <w:t>钻探</w:t>
                  </w:r>
                </w:p>
              </w:tc>
              <w:tc>
                <w:tcPr>
                  <w:tcW w:w="3087" w:type="pct"/>
                  <w:tcBorders>
                    <w:bottom w:val="single" w:color="auto" w:sz="4" w:space="0"/>
                  </w:tcBorders>
                  <w:vAlign w:val="center"/>
                </w:tcPr>
                <w:p>
                  <w:pPr>
                    <w:pStyle w:val="25"/>
                    <w:jc w:val="both"/>
                  </w:pPr>
                  <w:r>
                    <w:rPr>
                      <w:color w:val="000000" w:themeColor="text1"/>
                      <w14:textFill>
                        <w14:solidFill>
                          <w14:schemeClr w14:val="tx1"/>
                        </w14:solidFill>
                      </w14:textFill>
                    </w:rPr>
                    <w:t>共布设13个钻孔；</w:t>
                  </w:r>
                  <w:r>
                    <w:rPr>
                      <w:rFonts w:hint="eastAsia"/>
                      <w:color w:val="000000" w:themeColor="text1"/>
                      <w14:textFill>
                        <w14:solidFill>
                          <w14:schemeClr w14:val="tx1"/>
                        </w14:solidFill>
                      </w14:textFill>
                    </w:rPr>
                    <w:t>钻探工作量为3</w:t>
                  </w:r>
                  <w:r>
                    <w:rPr>
                      <w:color w:val="000000" w:themeColor="text1"/>
                      <w14:textFill>
                        <w14:solidFill>
                          <w14:schemeClr w14:val="tx1"/>
                        </w14:solidFill>
                      </w14:textFill>
                    </w:rPr>
                    <w:t>500m</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机械岩心钻探工作量3000m；水文地质钻探工作量500m</w:t>
                  </w:r>
                  <w:r>
                    <w:rPr>
                      <w:rFonts w:hint="eastAsia"/>
                      <w:color w:val="000000" w:themeColor="text1"/>
                      <w14:textFill>
                        <w14:solidFill>
                          <w14:schemeClr w14:val="tx1"/>
                        </w14:solidFill>
                      </w14:textFill>
                    </w:rPr>
                    <w:t>；设计2个水文地质孔，钻探孔深为0-300m</w:t>
                  </w:r>
                </w:p>
              </w:tc>
              <w:tc>
                <w:tcPr>
                  <w:tcW w:w="562" w:type="pct"/>
                  <w:tcBorders>
                    <w:right w:val="single" w:color="auto" w:sz="12" w:space="0"/>
                  </w:tcBorders>
                  <w:vAlign w:val="center"/>
                </w:tcPr>
                <w:p>
                  <w:pPr>
                    <w:pStyle w:val="25"/>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rPr>
                      <w:rFonts w:hint="eastAsia"/>
                    </w:rPr>
                    <w:t>坑探</w:t>
                  </w:r>
                </w:p>
              </w:tc>
              <w:tc>
                <w:tcPr>
                  <w:tcW w:w="3087" w:type="pct"/>
                  <w:tcBorders>
                    <w:bottom w:val="single" w:color="auto" w:sz="4" w:space="0"/>
                  </w:tcBorders>
                  <w:vAlign w:val="center"/>
                </w:tcPr>
                <w:p>
                  <w:pPr>
                    <w:pStyle w:val="25"/>
                    <w:jc w:val="both"/>
                  </w:pPr>
                  <w:r>
                    <w:rPr>
                      <w:rFonts w:hint="eastAsia"/>
                    </w:rPr>
                    <w:t>坑探工作量为3</w:t>
                  </w:r>
                  <w:r>
                    <w:t>00m</w:t>
                  </w:r>
                </w:p>
              </w:tc>
              <w:tc>
                <w:tcPr>
                  <w:tcW w:w="562" w:type="pct"/>
                  <w:tcBorders>
                    <w:right w:val="single" w:color="auto" w:sz="12" w:space="0"/>
                  </w:tcBorders>
                  <w:vAlign w:val="center"/>
                </w:tcPr>
                <w:p>
                  <w:pPr>
                    <w:pStyle w:val="25"/>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8"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样品采集</w:t>
                  </w:r>
                </w:p>
              </w:tc>
              <w:tc>
                <w:tcPr>
                  <w:tcW w:w="3087" w:type="pct"/>
                  <w:tcBorders>
                    <w:bottom w:val="single" w:color="auto" w:sz="4" w:space="0"/>
                  </w:tcBorders>
                  <w:vAlign w:val="center"/>
                </w:tcPr>
                <w:p>
                  <w:pPr>
                    <w:pStyle w:val="25"/>
                    <w:jc w:val="both"/>
                  </w:pPr>
                  <w:r>
                    <w:t>采取基本分析样、</w:t>
                  </w:r>
                  <w:r>
                    <w:rPr>
                      <w:rFonts w:hint="eastAsia" w:ascii="宋体" w:hAnsi="宋体" w:cs="宋体"/>
                      <w:szCs w:val="21"/>
                    </w:rPr>
                    <w:t>微量元素分析样</w:t>
                  </w:r>
                  <w:r>
                    <w:t>、</w:t>
                  </w:r>
                  <w:r>
                    <w:rPr>
                      <w:rFonts w:hint="eastAsia" w:ascii="宋体" w:hAnsi="宋体" w:cs="宋体"/>
                      <w:szCs w:val="21"/>
                    </w:rPr>
                    <w:t>稀土元素分析样、硅酸盐分析样、组合分析样、光谱全分析、岩、矿石全分析样、物相分析、水系沉积物样、基岩（岩石）化探样、</w:t>
                  </w:r>
                  <w:r>
                    <w:rPr>
                      <w:rFonts w:hint="eastAsia" w:ascii="宋体" w:hAnsi="宋体" w:cs="宋体"/>
                      <w:color w:val="000000"/>
                      <w:szCs w:val="21"/>
                    </w:rPr>
                    <w:t>水质综合分析样、</w:t>
                  </w:r>
                  <w:r>
                    <w:rPr>
                      <w:rFonts w:hint="eastAsia" w:ascii="宋体" w:hAnsi="宋体" w:cs="宋体"/>
                      <w:szCs w:val="21"/>
                    </w:rPr>
                    <w:t>水质单分析样</w:t>
                  </w:r>
                </w:p>
              </w:tc>
              <w:tc>
                <w:tcPr>
                  <w:tcW w:w="562" w:type="pct"/>
                  <w:tcBorders>
                    <w:right w:val="single" w:color="auto" w:sz="12" w:space="0"/>
                  </w:tcBorders>
                  <w:vAlign w:val="center"/>
                </w:tcPr>
                <w:p>
                  <w:pPr>
                    <w:pStyle w:val="25"/>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tcBorders>
                    <w:left w:val="single" w:color="auto" w:sz="12" w:space="0"/>
                  </w:tcBorders>
                  <w:vAlign w:val="center"/>
                </w:tcPr>
                <w:p>
                  <w:pPr>
                    <w:pStyle w:val="25"/>
                  </w:pPr>
                  <w:r>
                    <w:t>辅助工程</w:t>
                  </w:r>
                </w:p>
              </w:tc>
              <w:tc>
                <w:tcPr>
                  <w:tcW w:w="919" w:type="pct"/>
                  <w:vAlign w:val="center"/>
                </w:tcPr>
                <w:p>
                  <w:pPr>
                    <w:pStyle w:val="25"/>
                  </w:pPr>
                  <w:r>
                    <w:t>施工营地</w:t>
                  </w:r>
                </w:p>
              </w:tc>
              <w:tc>
                <w:tcPr>
                  <w:tcW w:w="3087" w:type="pct"/>
                  <w:tcBorders>
                    <w:bottom w:val="single" w:color="auto" w:sz="4" w:space="0"/>
                  </w:tcBorders>
                  <w:vAlign w:val="center"/>
                </w:tcPr>
                <w:p>
                  <w:pPr>
                    <w:pStyle w:val="25"/>
                    <w:rPr>
                      <w:bCs/>
                    </w:rPr>
                  </w:pPr>
                  <w:r>
                    <w:t>项目不设置施工营地，本次探矿活动在探矿作业区内搭设临时帐篷</w:t>
                  </w:r>
                  <w:r>
                    <w:rPr>
                      <w:rFonts w:hint="eastAsia"/>
                    </w:rPr>
                    <w:t>用于施工人员休息使用</w:t>
                  </w:r>
                </w:p>
              </w:tc>
              <w:tc>
                <w:tcPr>
                  <w:tcW w:w="562" w:type="pct"/>
                  <w:tcBorders>
                    <w:right w:val="single" w:color="auto" w:sz="12" w:space="0"/>
                  </w:tcBorders>
                  <w:vAlign w:val="center"/>
                </w:tcPr>
                <w:p>
                  <w:pPr>
                    <w:pStyle w:val="25"/>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restart"/>
                  <w:tcBorders>
                    <w:left w:val="single" w:color="auto" w:sz="12" w:space="0"/>
                  </w:tcBorders>
                  <w:vAlign w:val="center"/>
                </w:tcPr>
                <w:p>
                  <w:pPr>
                    <w:pStyle w:val="25"/>
                  </w:pPr>
                  <w:r>
                    <w:t>储运工程</w:t>
                  </w:r>
                </w:p>
              </w:tc>
              <w:tc>
                <w:tcPr>
                  <w:tcW w:w="919" w:type="pct"/>
                  <w:vAlign w:val="center"/>
                </w:tcPr>
                <w:p>
                  <w:pPr>
                    <w:pStyle w:val="25"/>
                  </w:pPr>
                  <w:r>
                    <w:t>施工道路</w:t>
                  </w:r>
                </w:p>
              </w:tc>
              <w:tc>
                <w:tcPr>
                  <w:tcW w:w="3087" w:type="pct"/>
                  <w:vAlign w:val="center"/>
                </w:tcPr>
                <w:p>
                  <w:pPr>
                    <w:pStyle w:val="25"/>
                  </w:pPr>
                  <w:r>
                    <w:rPr>
                      <w:rFonts w:hint="eastAsia"/>
                      <w:color w:val="000000"/>
                      <w:shd w:val="clear" w:color="auto" w:fill="FFFFFF"/>
                    </w:rPr>
                    <w:t>在原有的道路上扩宽、平整一条矿山</w:t>
                  </w:r>
                  <w:r>
                    <w:rPr>
                      <w:rFonts w:hint="eastAsia"/>
                      <w:color w:val="000000" w:themeColor="text1"/>
                      <w:shd w:val="clear" w:color="auto" w:fill="FFFFFF"/>
                      <w14:textFill>
                        <w14:solidFill>
                          <w14:schemeClr w14:val="tx1"/>
                        </w14:solidFill>
                      </w14:textFill>
                    </w:rPr>
                    <w:t>道路，用地面积0.</w:t>
                  </w:r>
                  <w:r>
                    <w:rPr>
                      <w:color w:val="000000" w:themeColor="text1"/>
                      <w:shd w:val="clear" w:color="auto" w:fill="FFFFFF"/>
                      <w14:textFill>
                        <w14:solidFill>
                          <w14:schemeClr w14:val="tx1"/>
                        </w14:solidFill>
                      </w14:textFill>
                    </w:rPr>
                    <w:t>142526</w:t>
                  </w:r>
                  <w:r>
                    <w:rPr>
                      <w:rFonts w:hint="eastAsia"/>
                      <w:color w:val="000000" w:themeColor="text1"/>
                      <w:shd w:val="clear" w:color="auto" w:fill="FFFFFF"/>
                      <w14:textFill>
                        <w14:solidFill>
                          <w14:schemeClr w14:val="tx1"/>
                        </w14:solidFill>
                      </w14:textFill>
                    </w:rPr>
                    <w:t>公顷</w:t>
                  </w:r>
                </w:p>
              </w:tc>
              <w:tc>
                <w:tcPr>
                  <w:tcW w:w="562" w:type="pct"/>
                  <w:tcBorders>
                    <w:right w:val="single" w:color="auto" w:sz="12" w:space="0"/>
                  </w:tcBorders>
                  <w:vAlign w:val="center"/>
                </w:tcPr>
                <w:p>
                  <w:pPr>
                    <w:pStyle w:val="25"/>
                  </w:pPr>
                  <w:r>
                    <w:rPr>
                      <w:rFonts w:hint="eastAsia"/>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rPr>
                      <w:color w:val="000000" w:themeColor="text1"/>
                      <w14:textFill>
                        <w14:solidFill>
                          <w14:schemeClr w14:val="tx1"/>
                        </w14:solidFill>
                      </w14:textFill>
                    </w:rPr>
                    <w:t>临时堆场</w:t>
                  </w:r>
                </w:p>
              </w:tc>
              <w:tc>
                <w:tcPr>
                  <w:tcW w:w="3087" w:type="pct"/>
                  <w:vAlign w:val="center"/>
                </w:tcPr>
                <w:p>
                  <w:pPr>
                    <w:pStyle w:val="25"/>
                    <w:jc w:val="both"/>
                    <w:rPr>
                      <w:color w:val="000000"/>
                      <w:shd w:val="clear" w:color="auto" w:fill="FFFFFF"/>
                    </w:rPr>
                  </w:pPr>
                  <w:r>
                    <w:rPr>
                      <w:color w:val="000000"/>
                      <w:shd w:val="clear" w:color="auto" w:fill="FFFFFF"/>
                    </w:rPr>
                    <w:t>开挖探槽产生的岩土，采用可降解编织袋装袋，依次堆码于探槽两侧2m～5m范围的较平缓稳定区域，堆放高度不宜超过2m，确保堆填边坡稳定。探槽上方禁止堆放土石，预防形成滑塌或坡面泥石流等次生灾害</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施工机械及材料堆放场</w:t>
                  </w:r>
                </w:p>
              </w:tc>
              <w:tc>
                <w:tcPr>
                  <w:tcW w:w="3087" w:type="pct"/>
                  <w:vAlign w:val="center"/>
                </w:tcPr>
                <w:p>
                  <w:pPr>
                    <w:pStyle w:val="25"/>
                    <w:jc w:val="both"/>
                    <w:rPr>
                      <w:color w:val="000000"/>
                      <w:shd w:val="clear" w:color="auto" w:fill="FFFFFF"/>
                    </w:rPr>
                  </w:pPr>
                  <w:r>
                    <w:rPr>
                      <w:color w:val="000000"/>
                      <w:shd w:val="clear" w:color="auto" w:fill="FFFFFF"/>
                    </w:rPr>
                    <w:t>集中储存施工所需器械与材料，保障施工效率、安全及现场管理</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rPr>
                      <w:rFonts w:hint="eastAsia"/>
                    </w:rPr>
                    <w:t>危险废物暂存间</w:t>
                  </w:r>
                </w:p>
              </w:tc>
              <w:tc>
                <w:tcPr>
                  <w:tcW w:w="3087" w:type="pct"/>
                  <w:vAlign w:val="center"/>
                </w:tcPr>
                <w:p>
                  <w:pPr>
                    <w:pStyle w:val="25"/>
                    <w:jc w:val="both"/>
                    <w:rPr>
                      <w:color w:val="000000"/>
                      <w:shd w:val="clear" w:color="auto" w:fill="FFFFFF"/>
                    </w:rPr>
                  </w:pPr>
                  <w:r>
                    <w:rPr>
                      <w:rFonts w:hint="eastAsia"/>
                      <w:color w:val="000000"/>
                      <w:shd w:val="clear" w:color="auto" w:fill="FFFFFF"/>
                    </w:rPr>
                    <w:t>本项目建1座危险废物暂存间，建筑面积5m</w:t>
                  </w:r>
                  <w:r>
                    <w:rPr>
                      <w:rFonts w:hint="eastAsia"/>
                      <w:color w:val="000000"/>
                      <w:shd w:val="clear" w:color="auto" w:fill="FFFFFF"/>
                      <w:vertAlign w:val="superscript"/>
                    </w:rPr>
                    <w:t>2</w:t>
                  </w:r>
                  <w:r>
                    <w:rPr>
                      <w:rFonts w:hint="eastAsia"/>
                      <w:color w:val="000000"/>
                      <w:shd w:val="clear" w:color="auto" w:fill="FFFFFF"/>
                    </w:rPr>
                    <w:t>，用于储存废机油等危险废物。严格按照《危险废物贮存污染控制标准》（GB18597-2023）要求建设，基础防渗，防渗层为至少1m厚黏土层（渗透系数不大于10</w:t>
                  </w:r>
                  <w:r>
                    <w:rPr>
                      <w:rFonts w:hint="eastAsia"/>
                      <w:color w:val="000000"/>
                      <w:shd w:val="clear" w:color="auto" w:fill="FFFFFF"/>
                      <w:vertAlign w:val="superscript"/>
                    </w:rPr>
                    <w:t>-7</w:t>
                  </w:r>
                  <w:r>
                    <w:rPr>
                      <w:rFonts w:hint="eastAsia"/>
                      <w:color w:val="000000"/>
                      <w:shd w:val="clear" w:color="auto" w:fill="FFFFFF"/>
                    </w:rPr>
                    <w:t>cm/s），或至少2mm厚高密度聚乙烯膜等人工防渗材料（渗透系数不大于10</w:t>
                  </w:r>
                  <w:r>
                    <w:rPr>
                      <w:rFonts w:hint="eastAsia"/>
                      <w:color w:val="000000"/>
                      <w:shd w:val="clear" w:color="auto" w:fill="FFFFFF"/>
                      <w:vertAlign w:val="superscript"/>
                    </w:rPr>
                    <w:t>-10</w:t>
                  </w:r>
                  <w:r>
                    <w:rPr>
                      <w:rFonts w:hint="eastAsia"/>
                      <w:color w:val="000000"/>
                      <w:shd w:val="clear" w:color="auto" w:fill="FFFFFF"/>
                    </w:rPr>
                    <w:t>cm/s）</w:t>
                  </w:r>
                </w:p>
              </w:tc>
              <w:tc>
                <w:tcPr>
                  <w:tcW w:w="562" w:type="pct"/>
                  <w:tcBorders>
                    <w:right w:val="single" w:color="auto" w:sz="12" w:space="0"/>
                  </w:tcBorders>
                  <w:vAlign w:val="center"/>
                </w:tcPr>
                <w:p>
                  <w:pPr>
                    <w:pStyle w:val="25"/>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restart"/>
                  <w:tcBorders>
                    <w:left w:val="single" w:color="auto" w:sz="12" w:space="0"/>
                  </w:tcBorders>
                  <w:vAlign w:val="center"/>
                </w:tcPr>
                <w:p>
                  <w:pPr>
                    <w:pStyle w:val="25"/>
                  </w:pPr>
                  <w:r>
                    <w:t>公用工程</w:t>
                  </w:r>
                </w:p>
              </w:tc>
              <w:tc>
                <w:tcPr>
                  <w:tcW w:w="919" w:type="pct"/>
                  <w:vAlign w:val="center"/>
                </w:tcPr>
                <w:p>
                  <w:pPr>
                    <w:pStyle w:val="25"/>
                  </w:pPr>
                  <w:r>
                    <w:t>供电</w:t>
                  </w:r>
                </w:p>
              </w:tc>
              <w:tc>
                <w:tcPr>
                  <w:tcW w:w="3087" w:type="pct"/>
                  <w:vAlign w:val="center"/>
                </w:tcPr>
                <w:p>
                  <w:pPr>
                    <w:pStyle w:val="25"/>
                    <w:jc w:val="both"/>
                  </w:pPr>
                  <w:r>
                    <w:t>本项目设置2台柴油发电机，提供生产用电</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供水</w:t>
                  </w:r>
                </w:p>
              </w:tc>
              <w:tc>
                <w:tcPr>
                  <w:tcW w:w="3087" w:type="pct"/>
                  <w:vAlign w:val="center"/>
                </w:tcPr>
                <w:p>
                  <w:pPr>
                    <w:pStyle w:val="25"/>
                    <w:jc w:val="both"/>
                  </w:pPr>
                  <w:r>
                    <w:rPr>
                      <w:rFonts w:hint="eastAsia"/>
                    </w:rPr>
                    <w:t>钻探过程用水由附近城镇拉由水车拉运至勘探区工作人员用水自带的纯净水</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排水</w:t>
                  </w:r>
                </w:p>
              </w:tc>
              <w:tc>
                <w:tcPr>
                  <w:tcW w:w="3087" w:type="pct"/>
                  <w:vAlign w:val="center"/>
                </w:tcPr>
                <w:p>
                  <w:pPr>
                    <w:pStyle w:val="25"/>
                    <w:jc w:val="both"/>
                  </w:pPr>
                  <w:r>
                    <w:t>生产废水经沉淀池沉淀后循环使用，不外排；</w:t>
                  </w:r>
                  <w:r>
                    <w:rPr>
                      <w:rFonts w:hint="eastAsia"/>
                    </w:rPr>
                    <w:t>生活污水进入防渗化粪池（10m</w:t>
                  </w:r>
                  <w:r>
                    <w:rPr>
                      <w:rFonts w:hint="eastAsia"/>
                      <w:vertAlign w:val="superscript"/>
                    </w:rPr>
                    <w:t>3</w:t>
                  </w:r>
                  <w:r>
                    <w:rPr>
                      <w:rFonts w:hint="eastAsia"/>
                    </w:rPr>
                    <w:t>）处理后自然蒸发</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供热</w:t>
                  </w:r>
                </w:p>
              </w:tc>
              <w:tc>
                <w:tcPr>
                  <w:tcW w:w="3087" w:type="pct"/>
                  <w:vAlign w:val="center"/>
                </w:tcPr>
                <w:p>
                  <w:pPr>
                    <w:pStyle w:val="25"/>
                    <w:jc w:val="both"/>
                  </w:pPr>
                  <w:r>
                    <w:t>项目冬季不开展探矿施工，无需供热</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restart"/>
                  <w:tcBorders>
                    <w:left w:val="single" w:color="auto" w:sz="12" w:space="0"/>
                  </w:tcBorders>
                  <w:vAlign w:val="center"/>
                </w:tcPr>
                <w:p>
                  <w:pPr>
                    <w:pStyle w:val="25"/>
                  </w:pPr>
                  <w:r>
                    <w:t>环保工程</w:t>
                  </w:r>
                </w:p>
              </w:tc>
              <w:tc>
                <w:tcPr>
                  <w:tcW w:w="919" w:type="pct"/>
                  <w:vAlign w:val="center"/>
                </w:tcPr>
                <w:p>
                  <w:pPr>
                    <w:pStyle w:val="25"/>
                  </w:pPr>
                  <w:r>
                    <w:t>废气</w:t>
                  </w:r>
                </w:p>
              </w:tc>
              <w:tc>
                <w:tcPr>
                  <w:tcW w:w="3087" w:type="pct"/>
                  <w:vAlign w:val="center"/>
                </w:tcPr>
                <w:p>
                  <w:pPr>
                    <w:pStyle w:val="25"/>
                    <w:jc w:val="both"/>
                  </w:pPr>
                  <w:r>
                    <w:rPr>
                      <w:b/>
                    </w:rPr>
                    <w:t>扬尘：</w:t>
                  </w:r>
                  <w:r>
                    <w:t>对土石方要求采用防尘网或篷布覆盖，运输车辆限速行驶，减少扬尘的产生并洒水抑尘处理</w:t>
                  </w:r>
                </w:p>
                <w:p>
                  <w:pPr>
                    <w:pStyle w:val="25"/>
                    <w:jc w:val="both"/>
                  </w:pPr>
                  <w:r>
                    <w:rPr>
                      <w:b/>
                    </w:rPr>
                    <w:t>燃油废气</w:t>
                  </w:r>
                  <w:r>
                    <w:t>：对柴油发电机及运输车辆定期维护保养，提高其燃烧效率，减少尾气排放量</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废水</w:t>
                  </w:r>
                </w:p>
              </w:tc>
              <w:tc>
                <w:tcPr>
                  <w:tcW w:w="3087" w:type="pct"/>
                  <w:vAlign w:val="center"/>
                </w:tcPr>
                <w:p>
                  <w:pPr>
                    <w:pStyle w:val="25"/>
                    <w:jc w:val="both"/>
                  </w:pPr>
                  <w:r>
                    <w:rPr>
                      <w:b/>
                    </w:rPr>
                    <w:t>生产废水：</w:t>
                  </w:r>
                  <w:r>
                    <w:rPr>
                      <w:color w:val="000000" w:themeColor="text1"/>
                      <w14:textFill>
                        <w14:solidFill>
                          <w14:schemeClr w14:val="tx1"/>
                        </w14:solidFill>
                      </w14:textFill>
                    </w:rPr>
                    <w:t>在每个钻孔采用防渗膜塑料布及支架组装成简易沉淀池，每个规模为5m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，生产废水经沉淀后循环使用</w:t>
                  </w:r>
                </w:p>
                <w:p>
                  <w:pPr>
                    <w:pStyle w:val="25"/>
                    <w:jc w:val="both"/>
                  </w:pPr>
                  <w:r>
                    <w:rPr>
                      <w:b/>
                    </w:rPr>
                    <w:t>生活污水</w:t>
                  </w:r>
                  <w:r>
                    <w:t>：</w:t>
                  </w:r>
                  <w:r>
                    <w:rPr>
                      <w:rFonts w:hint="eastAsia"/>
                    </w:rPr>
                    <w:t>生活污水进入防渗化粪池（10m</w:t>
                  </w:r>
                  <w:r>
                    <w:rPr>
                      <w:rFonts w:hint="eastAsia"/>
                      <w:vertAlign w:val="superscript"/>
                    </w:rPr>
                    <w:t>3</w:t>
                  </w:r>
                  <w:r>
                    <w:rPr>
                      <w:rFonts w:hint="eastAsia"/>
                    </w:rPr>
                    <w:t>）处理后自然蒸发</w:t>
                  </w:r>
                </w:p>
              </w:tc>
              <w:tc>
                <w:tcPr>
                  <w:tcW w:w="562" w:type="pct"/>
                  <w:tcBorders>
                    <w:right w:val="single" w:color="auto" w:sz="12" w:space="0"/>
                  </w:tcBorders>
                  <w:vAlign w:val="center"/>
                </w:tcPr>
                <w:p>
                  <w:pPr>
                    <w:pStyle w:val="25"/>
                  </w:pPr>
                  <w: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噪声</w:t>
                  </w:r>
                </w:p>
              </w:tc>
              <w:tc>
                <w:tcPr>
                  <w:tcW w:w="3087" w:type="pct"/>
                  <w:vAlign w:val="center"/>
                </w:tcPr>
                <w:p>
                  <w:pPr>
                    <w:pStyle w:val="25"/>
                  </w:pPr>
                  <w:r>
                    <w:t>采用低噪声设备，加强对运输车辆、钻机、柴油发电机设备的维护保养工作，保持其良好工况；空压机、钻机进行基础减震，空压机进行隔声，能减小噪声传播</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固废</w:t>
                  </w:r>
                </w:p>
              </w:tc>
              <w:tc>
                <w:tcPr>
                  <w:tcW w:w="3087" w:type="pct"/>
                  <w:vAlign w:val="center"/>
                </w:tcPr>
                <w:p>
                  <w:pPr>
                    <w:pStyle w:val="25"/>
                  </w:pPr>
                  <w:r>
                    <w:t>临时弃土单独存放，最终回填；钻探泥浆带施工结束后统一固化填埋；日常维修产生的废机油暂存于危废暂存间</w:t>
                  </w:r>
                  <w:r>
                    <w:rPr>
                      <w:rFonts w:hint="eastAsia"/>
                    </w:rPr>
                    <w:t>（约</w:t>
                  </w:r>
                  <w:r>
                    <w:t>5</w:t>
                  </w:r>
                  <w:r>
                    <w:rPr>
                      <w:rFonts w:hint="eastAsia"/>
                    </w:rPr>
                    <w:t>m</w:t>
                  </w:r>
                  <w:r>
                    <w:rPr>
                      <w:rFonts w:hint="eastAsia"/>
                      <w:vertAlign w:val="superscript"/>
                    </w:rPr>
                    <w:t>2</w:t>
                  </w:r>
                  <w:r>
                    <w:rPr>
                      <w:rFonts w:hint="eastAsia"/>
                    </w:rPr>
                    <w:t>）</w:t>
                  </w:r>
                  <w:r>
                    <w:t>，交由有危废处置资质单位处理；生活垃圾集中收集后统一拉运到垃圾填埋场进行填埋；化粪池污泥定期清掏，交由周边农户作为农肥消耗</w:t>
                  </w:r>
                  <w:r>
                    <w:rPr>
                      <w:rFonts w:hint="eastAsia"/>
                    </w:rPr>
                    <w:t>；钻孔岩屑用于封孔，对钻孔进行密封；岩心委托第三方进行分析，分析完成后由第三方妥善保存在专门的岩心库中</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生态恢复措施</w:t>
                  </w:r>
                </w:p>
              </w:tc>
              <w:tc>
                <w:tcPr>
                  <w:tcW w:w="3087" w:type="pct"/>
                  <w:vAlign w:val="center"/>
                </w:tcPr>
                <w:p>
                  <w:pPr>
                    <w:widowControl/>
                    <w:spacing w:line="240" w:lineRule="auto"/>
                    <w:ind w:firstLine="0" w:firstLineChars="0"/>
                    <w:jc w:val="left"/>
                  </w:pPr>
                  <w:r>
                    <w:rPr>
                      <w:sz w:val="21"/>
                      <w:szCs w:val="22"/>
                    </w:rPr>
                    <w:t>本项目场界周围200m范围内，施工场地生态恢复措施；施工临建的恢复情况</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351" w:type="pct"/>
                  <w:gridSpan w:val="2"/>
                  <w:tcBorders>
                    <w:left w:val="single" w:color="auto" w:sz="12" w:space="0"/>
                  </w:tcBorders>
                  <w:vAlign w:val="center"/>
                </w:tcPr>
                <w:p>
                  <w:pPr>
                    <w:pStyle w:val="25"/>
                  </w:pPr>
                  <w:r>
                    <w:t>办公生活区</w:t>
                  </w:r>
                </w:p>
              </w:tc>
              <w:tc>
                <w:tcPr>
                  <w:tcW w:w="3087" w:type="pct"/>
                  <w:vAlign w:val="center"/>
                </w:tcPr>
                <w:p>
                  <w:pPr>
                    <w:pStyle w:val="25"/>
                  </w:pPr>
                  <w:r>
                    <w:t>办公生活区为勘探现场搭建临时帐篷</w:t>
                  </w:r>
                </w:p>
              </w:tc>
              <w:tc>
                <w:tcPr>
                  <w:tcW w:w="562" w:type="pct"/>
                  <w:tcBorders>
                    <w:right w:val="single" w:color="auto" w:sz="12" w:space="0"/>
                  </w:tcBorders>
                  <w:vAlign w:val="center"/>
                </w:tcPr>
                <w:p>
                  <w:pPr>
                    <w:pStyle w:val="25"/>
                  </w:pPr>
                  <w:r>
                    <w:t>临时</w:t>
                  </w:r>
                </w:p>
              </w:tc>
            </w:tr>
          </w:tbl>
          <w:p>
            <w:pPr>
              <w:pStyle w:val="14"/>
              <w:ind w:firstLine="482" w:firstLineChars="200"/>
            </w:pPr>
            <w:r>
              <w:rPr>
                <w:rFonts w:hint="eastAsia"/>
              </w:rPr>
              <w:t>3、总体工作部署：</w:t>
            </w:r>
          </w:p>
          <w:p>
            <w:pPr>
              <w:ind w:firstLine="482"/>
              <w:rPr>
                <w:b/>
                <w:bCs/>
                <w:szCs w:val="32"/>
              </w:rPr>
            </w:pPr>
            <w:r>
              <w:rPr>
                <w:rFonts w:hint="eastAsia"/>
                <w:b/>
                <w:bCs/>
                <w:szCs w:val="32"/>
              </w:rPr>
              <w:t>3</w:t>
            </w:r>
            <w:r>
              <w:rPr>
                <w:b/>
                <w:bCs/>
                <w:szCs w:val="32"/>
              </w:rPr>
              <w:t>.1</w:t>
            </w:r>
            <w:r>
              <w:rPr>
                <w:rFonts w:hint="eastAsia"/>
                <w:b/>
                <w:bCs/>
                <w:szCs w:val="32"/>
              </w:rPr>
              <w:t>测量工作</w:t>
            </w:r>
          </w:p>
          <w:p>
            <w:pPr>
              <w:ind w:firstLine="482"/>
              <w:rPr>
                <w:b/>
                <w:bCs/>
              </w:rPr>
            </w:pPr>
            <w:r>
              <w:rPr>
                <w:b/>
                <w:bCs/>
              </w:rPr>
              <w:t>3.1.1</w:t>
            </w:r>
            <w:r>
              <w:rPr>
                <w:rFonts w:hint="eastAsia"/>
                <w:b/>
                <w:bCs/>
              </w:rPr>
              <w:t>控制测量</w:t>
            </w:r>
          </w:p>
          <w:p>
            <w:r>
              <w:rPr>
                <w:rFonts w:hint="eastAsia"/>
              </w:rPr>
              <w:t>以国家测量三等坐标点为起始点，在工作区进行首级控制测量，建立E级控制测量点。采用动态GPS仪器施测，以DZ/T0091《地质矿产勘查测量规范》为依据,技术要求及误差指标按《全球定位系统（GPS）测量规范》（GB／T18314-2001）执行。同时，在控制点位置进行埋石及编号，为下一步进行的地质填图、剖面测量、钻探提供基础数据。</w:t>
            </w:r>
          </w:p>
          <w:p>
            <w:r>
              <w:rPr>
                <w:rFonts w:hint="eastAsia"/>
              </w:rPr>
              <w:t>平面采用2000国家大地坐标系，高程采用1985年高程基准</w:t>
            </w:r>
            <w:r>
              <w:t>。</w:t>
            </w:r>
          </w:p>
          <w:p>
            <w:pPr>
              <w:ind w:firstLine="482"/>
              <w:rPr>
                <w:b/>
                <w:bCs/>
              </w:rPr>
            </w:pPr>
            <w:r>
              <w:rPr>
                <w:b/>
                <w:bCs/>
              </w:rPr>
              <w:t>3.1.2</w:t>
            </w:r>
            <w:r>
              <w:rPr>
                <w:rFonts w:hint="eastAsia"/>
                <w:b/>
                <w:bCs/>
              </w:rPr>
              <w:t>地形测量</w:t>
            </w:r>
          </w:p>
          <w:p>
            <w:bookmarkStart w:id="2" w:name="_Toc133924768"/>
            <w:r>
              <w:t>地形测量拟采用航测全数字摄影测量作业方法。先进行像控点的布设与测量，再进行航空摄影与激光雷达点云扫描；上述任务结束后，利用外业像控点进行空三加密，然后进行点云解算与立体像对采集，回放线划图后供外业调绘，最后完成地形图绘制。</w:t>
            </w:r>
          </w:p>
          <w:p>
            <w:r>
              <w:t>本次测绘工作坐标系统采用2000国家大地坐标系，高程基准采用1985国家高程基准。所有成果图件坐标系统均采用2000国家大地坐标系、1985国家高程基准。</w:t>
            </w:r>
          </w:p>
          <w:bookmarkEnd w:id="2"/>
          <w:p>
            <w:pPr>
              <w:ind w:firstLine="482"/>
              <w:rPr>
                <w:b/>
                <w:bCs/>
                <w:szCs w:val="32"/>
              </w:rPr>
            </w:pPr>
            <w:r>
              <w:rPr>
                <w:b/>
                <w:bCs/>
                <w:szCs w:val="32"/>
              </w:rPr>
              <w:t>3.2</w:t>
            </w:r>
            <w:r>
              <w:rPr>
                <w:rFonts w:hint="eastAsia"/>
                <w:b/>
                <w:bCs/>
                <w:szCs w:val="32"/>
              </w:rPr>
              <w:t>地质测量</w:t>
            </w:r>
          </w:p>
          <w:p>
            <w:pPr>
              <w:ind w:firstLine="482"/>
              <w:rPr>
                <w:b/>
                <w:bCs/>
                <w:szCs w:val="32"/>
              </w:rPr>
            </w:pPr>
            <w:bookmarkStart w:id="3" w:name="_Toc140527732"/>
            <w:r>
              <w:rPr>
                <w:rFonts w:hint="eastAsia"/>
                <w:b/>
                <w:bCs/>
                <w:szCs w:val="32"/>
              </w:rPr>
              <w:t>1、1∶10000地质测量（草测）</w:t>
            </w:r>
            <w:bookmarkEnd w:id="3"/>
          </w:p>
          <w:p>
            <w:r>
              <w:t>选择布置2～3条主干路线，与实测剖面综合确定填图单位。填绘岩性～构造图，地层单位划分为岩性层或岩性组合，侵入岩要进行解体。</w:t>
            </w:r>
          </w:p>
          <w:p>
            <w:r>
              <w:t>线距一般100～200m，重要成矿地段可适当加密，大片掩盖区和地质构造简单区可适当放稀。点距根据实际情况而定，以能保证对地质界线和重要地质现象的控制，但点距不能大于线距，基本保证每km</w:t>
            </w:r>
            <w:r>
              <w:rPr>
                <w:vertAlign w:val="superscript"/>
              </w:rPr>
              <w:t>2</w:t>
            </w:r>
            <w:r>
              <w:t>地质点数达到30～35个。</w:t>
            </w:r>
          </w:p>
          <w:p>
            <w:r>
              <w:t>所有地质点必顺用手持GPS定位，在卫星信号弱的情况下可结合实际地形地物定位。</w:t>
            </w:r>
          </w:p>
          <w:p>
            <w:pPr>
              <w:ind w:firstLine="482"/>
              <w:rPr>
                <w:b/>
                <w:bCs/>
              </w:rPr>
            </w:pPr>
            <w:r>
              <w:rPr>
                <w:rFonts w:hint="eastAsia"/>
                <w:b/>
                <w:bCs/>
              </w:rPr>
              <w:t>2、1∶2000地质测量（草测）</w:t>
            </w:r>
          </w:p>
          <w:p>
            <w:r>
              <w:rPr>
                <w:rFonts w:hint="eastAsia"/>
              </w:rPr>
              <w:t>在1∶10000地质草测的基础上，在勘查区已发现铜矿化体分布区，以及地表磁异常分布区，圈定重点区，开展1∶2000地质测量工作。野外调查所用底图为实测的1∶2000地形图，以露头圈定法为主、配合地质界线追索法为辅的方法进行。填图原则上点距布局要合理，尽量使用有效地质观察点；综合考虑到饰面用花岗岩矿区岩性单一，地质观测点不少于200/km</w:t>
            </w:r>
            <w:r>
              <w:rPr>
                <w:rFonts w:hint="eastAsia"/>
                <w:vertAlign w:val="superscript"/>
              </w:rPr>
              <w:t>2</w:t>
            </w:r>
            <w:r>
              <w:rPr>
                <w:rFonts w:hint="eastAsia"/>
              </w:rPr>
              <w:t>。</w:t>
            </w:r>
          </w:p>
          <w:p>
            <w:pPr>
              <w:ind w:firstLine="482"/>
              <w:rPr>
                <w:b/>
                <w:bCs/>
                <w:szCs w:val="32"/>
              </w:rPr>
            </w:pPr>
            <w:r>
              <w:rPr>
                <w:rFonts w:hint="eastAsia"/>
                <w:b/>
                <w:bCs/>
                <w:szCs w:val="32"/>
              </w:rPr>
              <w:t>3</w:t>
            </w:r>
            <w:r>
              <w:rPr>
                <w:b/>
                <w:bCs/>
                <w:szCs w:val="32"/>
              </w:rPr>
              <w:t>.3</w:t>
            </w:r>
            <w:r>
              <w:rPr>
                <w:rFonts w:hint="eastAsia"/>
                <w:b/>
                <w:bCs/>
                <w:szCs w:val="32"/>
              </w:rPr>
              <w:t>物探</w:t>
            </w:r>
          </w:p>
          <w:p>
            <w:pPr>
              <w:ind w:firstLine="482"/>
              <w:rPr>
                <w:b/>
                <w:bCs/>
              </w:rPr>
            </w:pPr>
            <w:r>
              <w:rPr>
                <w:rFonts w:hint="eastAsia"/>
                <w:b/>
                <w:bCs/>
              </w:rPr>
              <w:t>1、激电中梯（短导线）剖面测量</w:t>
            </w:r>
          </w:p>
          <w:p>
            <w:r>
              <w:rPr>
                <w:rFonts w:hint="eastAsia"/>
              </w:rPr>
              <w:t>本次大功率激电测深拟采用重庆奔腾仪器厂生产的WDFZ-10型大功率激电测量系统。</w:t>
            </w:r>
            <w:r>
              <w:t>激电测深采用对称四极非等比装置</w:t>
            </w:r>
            <w:r>
              <w:rPr>
                <w:rFonts w:hint="eastAsia"/>
              </w:rPr>
              <w:t>。</w:t>
            </w:r>
          </w:p>
          <w:p>
            <w:pPr>
              <w:rPr>
                <w:color w:val="000000"/>
              </w:rPr>
            </w:pPr>
            <w:r>
              <w:rPr>
                <w:color w:val="000000"/>
              </w:rPr>
              <w:t>根据工作任务及本区地质情况，初步设计最大AB距为2000m，根据工作区目标岩体的高阻反映深度，可依实际情况调整极距。极距间隔取</w:t>
            </w:r>
            <w:r>
              <w:rPr>
                <w:rFonts w:hint="eastAsia"/>
                <w:color w:val="000000"/>
              </w:rPr>
              <w:t>20、40、80；电极距取40、80、160</w:t>
            </w:r>
            <w:r>
              <w:rPr>
                <w:color w:val="000000"/>
              </w:rPr>
              <w:t>作为供电极距。野外施测过程中,若多个工作组同时工作,为避免相互干扰，其垂向距离间隔应大于2000m。</w:t>
            </w:r>
          </w:p>
          <w:p>
            <w:pPr>
              <w:rPr>
                <w:color w:val="000000"/>
              </w:rPr>
            </w:pPr>
            <w:r>
              <w:rPr>
                <w:color w:val="000000"/>
              </w:rPr>
              <w:t>野外观测过程中,操作员和记录员应按规范要求进行读数回报、现场点画原始曲线,漏电检查及时监控。野外实测过程中，对曲线上畸变点进行重复读数。由于场地接地条件差,野外均采取加盐水等措施,保证野外施工质量。</w:t>
            </w:r>
          </w:p>
          <w:p>
            <w:pPr>
              <w:ind w:firstLine="482"/>
              <w:rPr>
                <w:b/>
                <w:bCs/>
                <w:szCs w:val="32"/>
              </w:rPr>
            </w:pPr>
            <w:r>
              <w:rPr>
                <w:rFonts w:hint="eastAsia"/>
                <w:b/>
                <w:bCs/>
                <w:szCs w:val="32"/>
              </w:rPr>
              <w:t>3</w:t>
            </w:r>
            <w:r>
              <w:rPr>
                <w:b/>
                <w:bCs/>
                <w:szCs w:val="32"/>
              </w:rPr>
              <w:t>.4</w:t>
            </w:r>
            <w:r>
              <w:rPr>
                <w:rFonts w:hint="eastAsia"/>
                <w:b/>
                <w:bCs/>
                <w:szCs w:val="32"/>
              </w:rPr>
              <w:t>水工环测量</w:t>
            </w:r>
          </w:p>
          <w:p>
            <w:pPr>
              <w:ind w:firstLine="482"/>
              <w:rPr>
                <w:b/>
                <w:bCs/>
                <w:color w:val="000000"/>
              </w:rPr>
            </w:pPr>
            <w:r>
              <w:rPr>
                <w:rFonts w:hint="eastAsia"/>
                <w:b/>
                <w:bCs/>
                <w:color w:val="000000"/>
              </w:rPr>
              <w:t>1、1:10000水工环地质测量</w:t>
            </w:r>
          </w:p>
          <w:p>
            <w:pPr>
              <w:rPr>
                <w:color w:val="000000"/>
              </w:rPr>
            </w:pPr>
            <w:r>
              <w:rPr>
                <w:rFonts w:hint="eastAsia"/>
                <w:color w:val="000000"/>
              </w:rPr>
              <w:t>收集区域和勘查区水、工、环地质信息，了解矿区水文地质、工程地质、环境地质条件，通过钻孔简易水文观测初步了解矿区地下水的补给、径流、排泄条件。</w:t>
            </w:r>
          </w:p>
          <w:p>
            <w:pPr>
              <w:rPr>
                <w:color w:val="000000"/>
              </w:rPr>
            </w:pPr>
            <w:r>
              <w:rPr>
                <w:rFonts w:hint="eastAsia"/>
                <w:color w:val="000000"/>
              </w:rPr>
              <w:t>1）收集区域水文、气象、地震资料，收集勘查区工程地质、环境地质资料。</w:t>
            </w:r>
          </w:p>
          <w:p>
            <w:pPr>
              <w:rPr>
                <w:color w:val="000000"/>
              </w:rPr>
            </w:pPr>
            <w:r>
              <w:rPr>
                <w:rFonts w:hint="eastAsia"/>
                <w:color w:val="000000"/>
              </w:rPr>
              <w:t>2）在地质填图基础上对区内民井、泉水、地表水体、民采老硐、基岩裂隙及与工程地质有关的现象（崩塌、滑坡、泥石流等）进行调查了解。</w:t>
            </w:r>
          </w:p>
          <w:p>
            <w:pPr>
              <w:rPr>
                <w:color w:val="000000"/>
              </w:rPr>
            </w:pPr>
            <w:r>
              <w:rPr>
                <w:rFonts w:hint="eastAsia"/>
                <w:color w:val="000000"/>
              </w:rPr>
              <w:t>3）对所有钻孔进行简易水文地质观测。</w:t>
            </w:r>
          </w:p>
          <w:p>
            <w:pPr>
              <w:ind w:firstLine="482"/>
              <w:rPr>
                <w:b/>
                <w:bCs/>
                <w:color w:val="000000"/>
              </w:rPr>
            </w:pPr>
            <w:r>
              <w:rPr>
                <w:rFonts w:hint="eastAsia"/>
                <w:b/>
                <w:bCs/>
                <w:color w:val="000000"/>
              </w:rPr>
              <w:t>2、1:2000水工环地质测量</w:t>
            </w:r>
          </w:p>
          <w:p>
            <w:pPr>
              <w:rPr>
                <w:color w:val="000000"/>
              </w:rPr>
            </w:pPr>
            <w:r>
              <w:rPr>
                <w:rFonts w:hint="eastAsia"/>
                <w:color w:val="000000"/>
              </w:rPr>
              <w:t>1）</w:t>
            </w:r>
            <w:r>
              <w:rPr>
                <w:color w:val="000000"/>
              </w:rPr>
              <w:t>水文地质工程地质剖面测量</w:t>
            </w:r>
          </w:p>
          <w:p>
            <w:pPr>
              <w:rPr>
                <w:color w:val="000000"/>
              </w:rPr>
            </w:pPr>
            <w:r>
              <w:rPr>
                <w:color w:val="000000"/>
              </w:rPr>
              <w:t>在开展水工环地质测量前，选择1条贯穿工作区的勘查线开展水工环地质剖面测量。勘查工作量及技术要求如下:</w:t>
            </w:r>
          </w:p>
          <w:p>
            <w:pPr>
              <w:rPr>
                <w:color w:val="000000"/>
              </w:rPr>
            </w:pPr>
            <w:r>
              <w:rPr>
                <w:rFonts w:hint="eastAsia"/>
                <w:color w:val="000000"/>
              </w:rPr>
              <w:t>2</w:t>
            </w:r>
            <w:r>
              <w:rPr>
                <w:color w:val="000000"/>
              </w:rPr>
              <w:t>）1</w:t>
            </w:r>
            <w:r>
              <w:rPr>
                <w:rFonts w:hint="eastAsia"/>
                <w:color w:val="000000"/>
              </w:rPr>
              <w:t>:</w:t>
            </w:r>
            <w:r>
              <w:rPr>
                <w:color w:val="000000"/>
              </w:rPr>
              <w:t>2000水文地质测量</w:t>
            </w:r>
          </w:p>
          <w:p>
            <w:pPr>
              <w:rPr>
                <w:color w:val="000000"/>
              </w:rPr>
            </w:pPr>
            <w:r>
              <w:rPr>
                <w:rFonts w:hint="eastAsia"/>
                <w:color w:val="000000"/>
              </w:rPr>
              <w:t>收集区域水文地质资料，尤其相邻矿区水文地质资料，进行调查、研究，为未来矿山建设水源地提供依据；对矿区供水水源地进行详细的地表水体调查，基本查明地表水水文地质特征；钻孔水文地质编录。本次设计2个水文地质孔，进行抽水或注水试验，以获得有关水文地质参数，为预测矿坑或露天采矿场涌水量提供依据。</w:t>
            </w:r>
          </w:p>
          <w:p>
            <w:pPr>
              <w:ind w:firstLine="482"/>
              <w:outlineLvl w:val="2"/>
              <w:rPr>
                <w:b/>
                <w:bCs/>
                <w:color w:val="000000"/>
              </w:rPr>
            </w:pPr>
            <w:r>
              <w:rPr>
                <w:b/>
                <w:bCs/>
                <w:color w:val="000000"/>
              </w:rPr>
              <w:t>3.5</w:t>
            </w:r>
            <w:r>
              <w:rPr>
                <w:rFonts w:hint="eastAsia"/>
                <w:b/>
                <w:bCs/>
                <w:color w:val="000000"/>
              </w:rPr>
              <w:t>钻探</w:t>
            </w:r>
          </w:p>
          <w:p>
            <w:pPr>
              <w:rPr>
                <w:color w:val="000000"/>
              </w:rPr>
            </w:pPr>
            <w:bookmarkStart w:id="4" w:name="_Toc140527751"/>
            <w:bookmarkStart w:id="5" w:name="_Toc156966662"/>
            <w:bookmarkStart w:id="6" w:name="_Toc156967790"/>
            <w:r>
              <w:t>共布设13个钻孔</w:t>
            </w:r>
            <w:r>
              <w:rPr>
                <w:rFonts w:hint="eastAsia"/>
              </w:rPr>
              <w:t>，钻探总工作量为3</w:t>
            </w:r>
            <w:r>
              <w:t>500m</w:t>
            </w:r>
            <w:r>
              <w:rPr>
                <w:rFonts w:hint="eastAsia"/>
              </w:rPr>
              <w:t>，其中</w:t>
            </w:r>
            <w:r>
              <w:t>机械岩心钻探工作量3000m</w:t>
            </w:r>
            <w:r>
              <w:rPr>
                <w:rFonts w:hint="eastAsia"/>
              </w:rPr>
              <w:t>，</w:t>
            </w:r>
            <w:r>
              <w:t>水文地质钻探工作量500m</w:t>
            </w:r>
            <w:r>
              <w:rPr>
                <w:rFonts w:hint="eastAsia"/>
              </w:rPr>
              <w:t>。</w:t>
            </w:r>
          </w:p>
          <w:p>
            <w:bookmarkStart w:id="7" w:name="_Toc157080420"/>
            <w:bookmarkStart w:id="8" w:name="_Toc157023960"/>
            <w:bookmarkStart w:id="9" w:name="_Toc157078149"/>
            <w:bookmarkStart w:id="10" w:name="_Toc163822246"/>
            <w:r>
              <w:t>（1）具体质量要求</w:t>
            </w:r>
            <w:bookmarkEnd w:id="7"/>
            <w:bookmarkEnd w:id="8"/>
            <w:bookmarkEnd w:id="9"/>
            <w:bookmarkEnd w:id="10"/>
          </w:p>
          <w:p>
            <w:pPr>
              <w:rPr>
                <w:color w:val="000000"/>
              </w:rPr>
            </w:pPr>
            <w:r>
              <w:rPr>
                <w:rFonts w:hint="eastAsia" w:ascii="宋体" w:hAnsi="宋体" w:cs="宋体"/>
                <w:color w:val="000000"/>
              </w:rPr>
              <w:t>①</w:t>
            </w:r>
            <w:r>
              <w:rPr>
                <w:color w:val="000000"/>
              </w:rPr>
              <w:t>岩矿心采取率</w:t>
            </w:r>
            <w:r>
              <w:rPr>
                <w:rFonts w:hint="eastAsia" w:ascii="宋体" w:hAnsi="宋体" w:cs="宋体"/>
                <w:color w:val="000000"/>
              </w:rPr>
              <w:t>：</w:t>
            </w:r>
            <w:r>
              <w:rPr>
                <w:color w:val="000000"/>
              </w:rPr>
              <w:t>矿化体采取率（包括顶、底板上和下5m范围内的岩石）不得低于85%；围岩岩心的分层采取率不得低于80%。</w:t>
            </w:r>
          </w:p>
          <w:p>
            <w:pPr>
              <w:rPr>
                <w:color w:val="000000"/>
              </w:rPr>
            </w:pPr>
            <w:r>
              <w:rPr>
                <w:rFonts w:hint="eastAsia" w:ascii="宋体" w:hAnsi="宋体" w:cs="宋体"/>
                <w:color w:val="000000"/>
              </w:rPr>
              <w:t>②</w:t>
            </w:r>
            <w:r>
              <w:rPr>
                <w:color w:val="000000"/>
              </w:rPr>
              <w:t>钻孔弯曲度测量在钻进过程中，应系统测量倾角和方位角。所有钻孔开孔后25m应测量一次倾角和方位角；直孔每钻进100m，应测1次倾角和方位角；矿体顶、底板应加测一次倾角和方位角。直孔施工中每100m顶角偏斜不应超过2°，超差时应检查原因，校正仪器后再重测；</w:t>
            </w:r>
          </w:p>
          <w:p>
            <w:pPr>
              <w:rPr>
                <w:color w:val="000000"/>
              </w:rPr>
            </w:pPr>
            <w:r>
              <w:rPr>
                <w:rFonts w:hint="eastAsia" w:ascii="宋体" w:hAnsi="宋体" w:cs="宋体"/>
                <w:color w:val="000000"/>
              </w:rPr>
              <w:t>③</w:t>
            </w:r>
            <w:r>
              <w:rPr>
                <w:color w:val="000000"/>
              </w:rPr>
              <w:t>孔深校正除主矿体（层）及终孔应进行孔深误差验证外，一般直孔每钻进100m，换层、见矿均应验证1次。</w:t>
            </w:r>
          </w:p>
          <w:p>
            <w:pPr>
              <w:rPr>
                <w:color w:val="000000"/>
              </w:rPr>
            </w:pPr>
            <w:r>
              <w:rPr>
                <w:rFonts w:hint="eastAsia" w:ascii="宋体" w:hAnsi="宋体" w:cs="宋体"/>
                <w:color w:val="000000"/>
              </w:rPr>
              <w:t>④</w:t>
            </w:r>
            <w:r>
              <w:rPr>
                <w:color w:val="000000"/>
              </w:rPr>
              <w:t>简易水文观测所有施工钻孔均应按规范要求进行简易水文观测。在钻进中如遇有老窿、大裂隙、钻具突然下落、漏水、返水、涌水和溶洞、破碎带、气体涌出、水温异常、严重坍塌、掉块等现象和处理方法、结果均应按要求详细记录。</w:t>
            </w:r>
          </w:p>
          <w:p>
            <w:pPr>
              <w:rPr>
                <w:color w:val="000000"/>
              </w:rPr>
            </w:pPr>
            <w:r>
              <w:rPr>
                <w:rFonts w:hint="eastAsia" w:ascii="宋体" w:hAnsi="宋体" w:cs="宋体"/>
                <w:color w:val="000000"/>
              </w:rPr>
              <w:t>⑤</w:t>
            </w:r>
            <w:r>
              <w:rPr>
                <w:color w:val="000000"/>
              </w:rPr>
              <w:t>原始报表及其他编录原始班报、岩芯挡板要清晰、准确。</w:t>
            </w:r>
          </w:p>
          <w:p>
            <w:pPr>
              <w:rPr>
                <w:color w:val="000000"/>
              </w:rPr>
            </w:pPr>
            <w:r>
              <w:rPr>
                <w:color w:val="000000"/>
              </w:rPr>
              <w:t>原始现场的编录由机台各班指定记录员编录和保管，记录员必须认真反映生产情况，及时填写，内容详细，数字准确清晰、整洁，报表填写一律用钢笔现场填写。</w:t>
            </w:r>
          </w:p>
          <w:p>
            <w:pPr>
              <w:rPr>
                <w:color w:val="000000"/>
              </w:rPr>
            </w:pPr>
            <w:r>
              <w:rPr>
                <w:rFonts w:hint="eastAsia"/>
                <w:color w:val="000000"/>
              </w:rPr>
              <w:t>⑥</w:t>
            </w:r>
            <w:r>
              <w:rPr>
                <w:color w:val="000000"/>
              </w:rPr>
              <w:t>封孔</w:t>
            </w:r>
          </w:p>
          <w:p>
            <w:pPr>
              <w:rPr>
                <w:color w:val="000000"/>
              </w:rPr>
            </w:pPr>
            <w:r>
              <w:rPr>
                <w:color w:val="000000"/>
              </w:rPr>
              <w:t>终孔时，地质人员，按地质、水文共同研究的封孔要求填写在封孔通知书上交与机台，机台按有关要求封孔，将封孔实际情况填写登记表中，各级人员签名后及时交给地质编录人员，终孔后要严格封孔并做好封孔记录。</w:t>
            </w:r>
          </w:p>
          <w:p>
            <w:pPr>
              <w:ind w:firstLine="482"/>
              <w:rPr>
                <w:color w:val="000000"/>
              </w:rPr>
            </w:pPr>
            <w:bookmarkStart w:id="11" w:name="_Toc1528"/>
            <w:bookmarkStart w:id="12" w:name="_Toc140527753"/>
            <w:bookmarkStart w:id="13" w:name="_Toc25436"/>
            <w:bookmarkStart w:id="14" w:name="_Toc140939805"/>
            <w:bookmarkStart w:id="15" w:name="_Toc180683156"/>
            <w:bookmarkStart w:id="16" w:name="_Toc140052696"/>
            <w:bookmarkStart w:id="17" w:name="_Toc948"/>
            <w:bookmarkStart w:id="18" w:name="_Toc140052621"/>
            <w:r>
              <w:rPr>
                <w:b/>
                <w:bCs/>
                <w:color w:val="000000"/>
                <w:lang w:bidi="ar"/>
              </w:rPr>
              <w:t>3.6槽探</w:t>
            </w:r>
            <w:bookmarkEnd w:id="11"/>
            <w:bookmarkEnd w:id="12"/>
            <w:bookmarkEnd w:id="13"/>
            <w:bookmarkEnd w:id="14"/>
            <w:bookmarkEnd w:id="15"/>
            <w:bookmarkEnd w:id="16"/>
            <w:bookmarkEnd w:id="17"/>
            <w:bookmarkEnd w:id="18"/>
          </w:p>
          <w:p>
            <w:bookmarkStart w:id="19" w:name="_Toc140527754"/>
            <w:r>
              <w:t>（1）布置与施工</w:t>
            </w:r>
            <w:bookmarkEnd w:id="19"/>
          </w:p>
          <w:p>
            <w:pPr>
              <w:rPr>
                <w:color w:val="000000"/>
              </w:rPr>
            </w:pPr>
            <w:r>
              <w:rPr>
                <w:rFonts w:hint="eastAsia"/>
              </w:rPr>
              <w:t>布设探槽</w:t>
            </w:r>
            <w:r>
              <w:t>13</w:t>
            </w:r>
            <w:r>
              <w:rPr>
                <w:rFonts w:hint="eastAsia"/>
              </w:rPr>
              <w:t>处，设计</w:t>
            </w:r>
            <w:r>
              <w:t>探槽工作量</w:t>
            </w:r>
            <w:r>
              <w:rPr>
                <w:szCs w:val="21"/>
              </w:rPr>
              <w:t>2000m</w:t>
            </w:r>
            <w:r>
              <w:rPr>
                <w:szCs w:val="21"/>
                <w:vertAlign w:val="superscript"/>
              </w:rPr>
              <w:t>3</w:t>
            </w:r>
            <w:r>
              <w:rPr>
                <w:szCs w:val="21"/>
              </w:rPr>
              <w:t>。</w:t>
            </w:r>
            <w:r>
              <w:rPr>
                <w:color w:val="000000"/>
                <w:lang w:bidi="ar"/>
              </w:rPr>
              <w:t>探槽尽量垂直矿带（体）或异常走向布置，间距不作具体划定，根据第四系掩盖程度、施工难易程度布置，以达到见矿最大效率为目的。施工顺序</w:t>
            </w:r>
            <w:r>
              <w:rPr>
                <w:rFonts w:hint="eastAsia" w:ascii="宋体" w:hAnsi="宋体" w:cs="宋体"/>
                <w:color w:val="000000"/>
                <w:lang w:bidi="ar"/>
              </w:rPr>
              <w:t>：</w:t>
            </w:r>
            <w:r>
              <w:rPr>
                <w:color w:val="000000"/>
                <w:lang w:bidi="ar"/>
              </w:rPr>
              <w:t>优先在见矿几率最大的部位，再沿见矿工程或矿化露头沿走向展开。开口宽度根据推测施工深度确定，一般不超过2.0m、底宽不低于0.8m，断面为倒梯形，底壁平整，深入基岩0.3—0.5m。在确保安全的前提下可酌情加深。探槽必须揭穿矿（化）体的顶、底板。</w:t>
            </w:r>
          </w:p>
          <w:p>
            <w:bookmarkStart w:id="20" w:name="_Toc140527755"/>
            <w:r>
              <w:rPr>
                <w:rFonts w:hint="eastAsia"/>
              </w:rPr>
              <w:t>（2）探槽编录</w:t>
            </w:r>
            <w:bookmarkEnd w:id="20"/>
          </w:p>
          <w:p>
            <w:pPr>
              <w:rPr>
                <w:rFonts w:ascii="宋体" w:hAnsi="宋体" w:cs="宋体"/>
                <w:color w:val="000000"/>
              </w:rPr>
            </w:pPr>
            <w:r>
              <w:rPr>
                <w:rFonts w:hint="eastAsia" w:ascii="宋体" w:hAnsi="宋体" w:cs="宋体"/>
                <w:color w:val="000000"/>
                <w:lang w:bidi="ar"/>
              </w:rPr>
              <w:t>槽探编录可采用野外编录系统（掌上机）直接编录，也可用传统的编录方法。</w:t>
            </w:r>
          </w:p>
          <w:bookmarkEnd w:id="4"/>
          <w:bookmarkEnd w:id="5"/>
          <w:bookmarkEnd w:id="6"/>
          <w:p>
            <w:pPr>
              <w:ind w:firstLine="482"/>
              <w:rPr>
                <w:b/>
                <w:bCs/>
                <w:color w:val="000000"/>
                <w:lang w:bidi="ar"/>
              </w:rPr>
            </w:pPr>
            <w:bookmarkStart w:id="21" w:name="_Toc140527756"/>
            <w:bookmarkStart w:id="22" w:name="_Toc180683157"/>
            <w:bookmarkStart w:id="23" w:name="_Toc9976"/>
            <w:bookmarkStart w:id="24" w:name="_Toc140052697"/>
            <w:bookmarkStart w:id="25" w:name="_Toc156966260"/>
            <w:bookmarkStart w:id="26" w:name="_Toc166330715"/>
            <w:bookmarkStart w:id="27" w:name="_Toc8133"/>
            <w:bookmarkStart w:id="28" w:name="_Toc140052622"/>
            <w:bookmarkStart w:id="29" w:name="_Toc27015"/>
            <w:r>
              <w:rPr>
                <w:b/>
                <w:bCs/>
                <w:color w:val="000000"/>
                <w:lang w:bidi="ar"/>
              </w:rPr>
              <w:t>3.7采样与测试</w:t>
            </w:r>
            <w:bookmarkEnd w:id="21"/>
            <w:bookmarkEnd w:id="22"/>
            <w:bookmarkEnd w:id="23"/>
            <w:bookmarkEnd w:id="24"/>
            <w:bookmarkEnd w:id="25"/>
            <w:bookmarkEnd w:id="26"/>
            <w:bookmarkEnd w:id="27"/>
            <w:bookmarkEnd w:id="28"/>
            <w:bookmarkEnd w:id="29"/>
          </w:p>
          <w:p>
            <w:pPr>
              <w:keepNext/>
              <w:keepLines/>
              <w:ind w:firstLine="482"/>
              <w:outlineLvl w:val="3"/>
              <w:rPr>
                <w:b/>
                <w:bCs/>
                <w:color w:val="000000"/>
              </w:rPr>
            </w:pPr>
            <w:r>
              <w:rPr>
                <w:b/>
                <w:bCs/>
                <w:color w:val="000000"/>
              </w:rPr>
              <w:t>1、水系沉积物样</w:t>
            </w:r>
          </w:p>
          <w:p>
            <w:pPr>
              <w:rPr>
                <w:color w:val="000000"/>
              </w:rPr>
            </w:pPr>
            <w:r>
              <w:rPr>
                <w:color w:val="000000"/>
              </w:rPr>
              <w:t>分析样品制备</w:t>
            </w:r>
            <w:r>
              <w:rPr>
                <w:rFonts w:hint="eastAsia"/>
                <w:color w:val="000000"/>
              </w:rPr>
              <w:t>：</w:t>
            </w:r>
            <w:r>
              <w:rPr>
                <w:color w:val="000000"/>
              </w:rPr>
              <w:t>水系沉积物和土壤样品采用无污染玛瑙球磨机细碎200目送作分析。</w:t>
            </w:r>
          </w:p>
          <w:p>
            <w:pPr>
              <w:rPr>
                <w:color w:val="000000"/>
              </w:rPr>
            </w:pPr>
            <w:r>
              <w:rPr>
                <w:color w:val="000000"/>
              </w:rPr>
              <w:t>水系沉积物样测试项目为</w:t>
            </w:r>
            <w:r>
              <w:rPr>
                <w:rFonts w:hint="eastAsia"/>
                <w:color w:val="000000"/>
              </w:rPr>
              <w:t>：</w:t>
            </w:r>
            <w:r>
              <w:rPr>
                <w:color w:val="000000"/>
              </w:rPr>
              <w:t>Au、Ag、Sn、Pb、Cu、Zn、Cr、Ni、Co、As、Sb、Bi、W、Mo、Li、Be。</w:t>
            </w:r>
          </w:p>
          <w:p>
            <w:pPr>
              <w:ind w:firstLine="482"/>
              <w:rPr>
                <w:b/>
                <w:bCs/>
                <w:color w:val="000000"/>
              </w:rPr>
            </w:pPr>
            <w:r>
              <w:rPr>
                <w:b/>
                <w:bCs/>
                <w:color w:val="000000"/>
              </w:rPr>
              <w:t>2、基本分析样</w:t>
            </w:r>
          </w:p>
          <w:p>
            <w:pPr>
              <w:rPr>
                <w:color w:val="000000"/>
              </w:rPr>
            </w:pPr>
            <w:r>
              <w:rPr>
                <w:color w:val="000000"/>
              </w:rPr>
              <w:t>基本分析样应在各项探矿工程中按矿体（分矿石类型、品级）、矿化带及夹石连续采取。样品要控制矿体、矿化带的顶底板界线，凡是矿化露头和探矿工程中揭露控制的矿体、矿化带及夹石、矿化带顶底板界线都应贯穿矿体全厚度连续采取基本分析样，对不同类型、不同品级的矿石应分段连续采取.以保证样品的代表性。</w:t>
            </w:r>
          </w:p>
          <w:p>
            <w:pPr>
              <w:ind w:firstLine="482"/>
              <w:rPr>
                <w:b/>
                <w:bCs/>
                <w:color w:val="000000"/>
              </w:rPr>
            </w:pPr>
            <w:r>
              <w:rPr>
                <w:b/>
                <w:bCs/>
                <w:color w:val="000000"/>
              </w:rPr>
              <w:t>3、组合分析样</w:t>
            </w:r>
          </w:p>
          <w:p>
            <w:pPr>
              <w:rPr>
                <w:color w:val="000000"/>
              </w:rPr>
            </w:pPr>
            <w:r>
              <w:rPr>
                <w:color w:val="000000"/>
              </w:rPr>
              <w:t>组合分析样品应按矿体从同一块段、一个或几个相邻探矿工程中提取若干个基本分析副样，分矿石类型（或品级）依样品长度的比例组合成一个样品。</w:t>
            </w:r>
          </w:p>
          <w:p>
            <w:pPr>
              <w:ind w:firstLine="482"/>
              <w:rPr>
                <w:b/>
                <w:bCs/>
                <w:color w:val="000000"/>
              </w:rPr>
            </w:pPr>
            <w:r>
              <w:rPr>
                <w:b/>
                <w:bCs/>
                <w:color w:val="000000"/>
              </w:rPr>
              <w:t>4、岩矿鉴定（光片、薄片样）</w:t>
            </w:r>
          </w:p>
          <w:p>
            <w:pPr>
              <w:rPr>
                <w:color w:val="000000"/>
              </w:rPr>
            </w:pPr>
            <w:r>
              <w:rPr>
                <w:color w:val="000000"/>
              </w:rPr>
              <w:t>光薄片鉴定样主要鉴定岩（矿）石结构、构造、矿物成分、含量、粒径、矿物生成顺序、变质变形等各种微观特征，结合野外宏观特征对岩（矿）石进行定名，为研究成矿条件提供依据。工作中要重视岩矿鉴定工作，加强微观研究，采用打块法采集有代表性的岩（矿）鉴定样品，</w:t>
            </w:r>
          </w:p>
          <w:p>
            <w:pPr>
              <w:rPr>
                <w:color w:val="000000"/>
              </w:rPr>
            </w:pPr>
            <w:r>
              <w:rPr>
                <w:color w:val="000000"/>
              </w:rPr>
              <w:t>样品规格一般为3×6×9mm，在岩心中采取时具体根据岩心大小而定，矿物标本不受规格限制。预计采集薄片20件，光片20件。</w:t>
            </w:r>
          </w:p>
          <w:p>
            <w:pPr>
              <w:ind w:firstLine="479" w:firstLineChars="199"/>
              <w:rPr>
                <w:b/>
                <w:bCs/>
                <w:color w:val="000000"/>
              </w:rPr>
            </w:pPr>
            <w:r>
              <w:rPr>
                <w:b/>
                <w:bCs/>
                <w:color w:val="000000"/>
              </w:rPr>
              <w:t>5、硅酸盐分析样（GS）</w:t>
            </w:r>
          </w:p>
          <w:p>
            <w:pPr>
              <w:rPr>
                <w:color w:val="000000"/>
              </w:rPr>
            </w:pPr>
            <w:r>
              <w:rPr>
                <w:color w:val="000000"/>
              </w:rPr>
              <w:t>样品布设在地质剖面、探槽工程上，针对侵入岩体和伟晶岩脉中配套采集。这类样品应选择具代表性的基岩露头上，以拣块法采集。所采样品要求避开、剥去风化面，新鲜、无蚀变和矿化。岩石硅酸盐样采集重量2千克～5千克。</w:t>
            </w:r>
          </w:p>
          <w:p>
            <w:pPr>
              <w:rPr>
                <w:color w:val="000000"/>
              </w:rPr>
            </w:pPr>
            <w:r>
              <w:rPr>
                <w:color w:val="000000"/>
              </w:rPr>
              <w:t>分析项目：SiO</w:t>
            </w:r>
            <w:r>
              <w:rPr>
                <w:color w:val="000000"/>
                <w:vertAlign w:val="subscript"/>
              </w:rPr>
              <w:t>2</w:t>
            </w:r>
            <w:r>
              <w:rPr>
                <w:color w:val="000000"/>
              </w:rPr>
              <w:t>、TiO</w:t>
            </w:r>
            <w:r>
              <w:rPr>
                <w:color w:val="000000"/>
                <w:vertAlign w:val="subscript"/>
              </w:rPr>
              <w:t>2</w:t>
            </w:r>
            <w:r>
              <w:rPr>
                <w:color w:val="000000"/>
              </w:rPr>
              <w:t>、Al</w:t>
            </w:r>
            <w:r>
              <w:rPr>
                <w:color w:val="000000"/>
                <w:vertAlign w:val="subscript"/>
              </w:rPr>
              <w:t>2</w:t>
            </w:r>
            <w:r>
              <w:rPr>
                <w:color w:val="000000"/>
              </w:rPr>
              <w:t>O</w:t>
            </w:r>
            <w:r>
              <w:rPr>
                <w:color w:val="000000"/>
                <w:vertAlign w:val="subscript"/>
              </w:rPr>
              <w:t>3</w:t>
            </w:r>
            <w:r>
              <w:rPr>
                <w:color w:val="000000"/>
              </w:rPr>
              <w:t>、Fe</w:t>
            </w:r>
            <w:r>
              <w:rPr>
                <w:color w:val="000000"/>
                <w:vertAlign w:val="subscript"/>
              </w:rPr>
              <w:t>2</w:t>
            </w:r>
            <w:r>
              <w:rPr>
                <w:color w:val="000000"/>
              </w:rPr>
              <w:t>O</w:t>
            </w:r>
            <w:r>
              <w:rPr>
                <w:color w:val="000000"/>
                <w:vertAlign w:val="subscript"/>
              </w:rPr>
              <w:t>3</w:t>
            </w:r>
            <w:r>
              <w:rPr>
                <w:color w:val="000000"/>
              </w:rPr>
              <w:t>、MnO、MgO、CaO、Na</w:t>
            </w:r>
            <w:r>
              <w:rPr>
                <w:color w:val="000000"/>
                <w:vertAlign w:val="subscript"/>
              </w:rPr>
              <w:t>2</w:t>
            </w:r>
            <w:r>
              <w:rPr>
                <w:color w:val="000000"/>
              </w:rPr>
              <w:t>O、K</w:t>
            </w:r>
            <w:r>
              <w:rPr>
                <w:color w:val="000000"/>
                <w:vertAlign w:val="subscript"/>
              </w:rPr>
              <w:t>2</w:t>
            </w:r>
            <w:r>
              <w:rPr>
                <w:color w:val="000000"/>
              </w:rPr>
              <w:t>O、P</w:t>
            </w:r>
            <w:r>
              <w:rPr>
                <w:color w:val="000000"/>
                <w:vertAlign w:val="subscript"/>
              </w:rPr>
              <w:t>2</w:t>
            </w:r>
            <w:r>
              <w:rPr>
                <w:color w:val="000000"/>
              </w:rPr>
              <w:t>O</w:t>
            </w:r>
            <w:r>
              <w:rPr>
                <w:color w:val="000000"/>
                <w:vertAlign w:val="subscript"/>
              </w:rPr>
              <w:t>5</w:t>
            </w:r>
            <w:r>
              <w:rPr>
                <w:color w:val="000000"/>
              </w:rPr>
              <w:t>、H</w:t>
            </w:r>
            <w:r>
              <w:rPr>
                <w:color w:val="000000"/>
                <w:vertAlign w:val="subscript"/>
              </w:rPr>
              <w:t>2</w:t>
            </w:r>
            <w:r>
              <w:rPr>
                <w:color w:val="000000"/>
              </w:rPr>
              <w:t>O</w:t>
            </w:r>
            <w:r>
              <w:rPr>
                <w:color w:val="000000"/>
                <w:vertAlign w:val="superscript"/>
              </w:rPr>
              <w:t>+</w:t>
            </w:r>
            <w:r>
              <w:rPr>
                <w:color w:val="000000"/>
              </w:rPr>
              <w:t>、烧失量等。</w:t>
            </w:r>
          </w:p>
          <w:p>
            <w:pPr>
              <w:ind w:firstLine="479" w:firstLineChars="199"/>
              <w:rPr>
                <w:b/>
                <w:bCs/>
                <w:color w:val="000000"/>
              </w:rPr>
            </w:pPr>
            <w:r>
              <w:rPr>
                <w:b/>
                <w:bCs/>
                <w:color w:val="000000"/>
              </w:rPr>
              <w:t>6、小体重样</w:t>
            </w:r>
          </w:p>
          <w:p>
            <w:pPr>
              <w:rPr>
                <w:color w:val="000000"/>
              </w:rPr>
            </w:pPr>
            <w:r>
              <w:rPr>
                <w:color w:val="000000"/>
              </w:rPr>
              <w:t>小体重样主要在矿区山地探矿工程中采取，用于资源量的估算。按不同的矿体、不同的矿石类型、品级、不同深度分别采取，小体重样捡块样品规格为4×5×6cm，岩心样品直径大于5cm。</w:t>
            </w:r>
          </w:p>
          <w:p>
            <w:pPr>
              <w:ind w:firstLine="479" w:firstLineChars="199"/>
              <w:rPr>
                <w:b/>
                <w:bCs/>
                <w:color w:val="000000"/>
              </w:rPr>
            </w:pPr>
            <w:r>
              <w:rPr>
                <w:b/>
                <w:bCs/>
                <w:color w:val="000000"/>
              </w:rPr>
              <w:t>7、大体重样</w:t>
            </w:r>
          </w:p>
          <w:p>
            <w:pPr>
              <w:rPr>
                <w:color w:val="000000"/>
              </w:rPr>
            </w:pPr>
            <w:r>
              <w:rPr>
                <w:color w:val="000000"/>
              </w:rPr>
              <w:t>对工作区内疏松或多裂隙孔洞的矿石（如氧化矿石、风化壳型矿石等）应按矿石类型或品级在探矿工程中各采取2件～5件大体重样品，测定大体重值。</w:t>
            </w:r>
          </w:p>
          <w:p>
            <w:pPr>
              <w:rPr>
                <w:color w:val="000000"/>
              </w:rPr>
            </w:pPr>
            <w:r>
              <w:rPr>
                <w:color w:val="000000"/>
              </w:rPr>
              <w:t>金属、非金属矿石大体重样品的体积一般不小于0.125m</w:t>
            </w:r>
            <w:r>
              <w:rPr>
                <w:color w:val="000000"/>
                <w:vertAlign w:val="superscript"/>
              </w:rPr>
              <w:t>3</w:t>
            </w:r>
            <w:r>
              <w:rPr>
                <w:color w:val="000000"/>
              </w:rPr>
              <w:t>。野外确实不具备采样条件时，体重样的数量可根据实际情况确定。</w:t>
            </w:r>
          </w:p>
          <w:p>
            <w:pPr>
              <w:ind w:firstLine="479" w:firstLineChars="199"/>
              <w:rPr>
                <w:b/>
                <w:bCs/>
                <w:color w:val="000000"/>
              </w:rPr>
            </w:pPr>
            <w:r>
              <w:rPr>
                <w:b/>
                <w:bCs/>
                <w:color w:val="000000"/>
              </w:rPr>
              <w:t>8、定性半定量全分析样</w:t>
            </w:r>
          </w:p>
          <w:p>
            <w:pPr>
              <w:rPr>
                <w:color w:val="000000"/>
              </w:rPr>
            </w:pPr>
            <w:r>
              <w:rPr>
                <w:color w:val="000000"/>
              </w:rPr>
              <w:t>样品可按矿石类型、品级和岩石类型从基本分析样品的副样中抽取，须具有代表性。每个矿体、每种矿石类型采集样品数量3～5个。</w:t>
            </w:r>
          </w:p>
          <w:p>
            <w:pPr>
              <w:ind w:firstLine="482"/>
              <w:rPr>
                <w:b/>
                <w:bCs/>
                <w:color w:val="000000"/>
              </w:rPr>
            </w:pPr>
            <w:r>
              <w:rPr>
                <w:b/>
                <w:bCs/>
                <w:color w:val="000000"/>
              </w:rPr>
              <w:t>9、化学全分析样</w:t>
            </w:r>
          </w:p>
          <w:p>
            <w:pPr>
              <w:rPr>
                <w:color w:val="000000"/>
              </w:rPr>
            </w:pPr>
            <w:r>
              <w:rPr>
                <w:color w:val="000000"/>
              </w:rPr>
              <w:t>用以查定各种岩矿石类型中主要元素及其他组分的含量，以确定矿石性质和特点。分析项目有SiO</w:t>
            </w:r>
            <w:r>
              <w:rPr>
                <w:color w:val="000000"/>
                <w:vertAlign w:val="subscript"/>
              </w:rPr>
              <w:t>2</w:t>
            </w:r>
            <w:r>
              <w:rPr>
                <w:color w:val="000000"/>
              </w:rPr>
              <w:t>、TiO</w:t>
            </w:r>
            <w:r>
              <w:rPr>
                <w:color w:val="000000"/>
                <w:vertAlign w:val="subscript"/>
              </w:rPr>
              <w:t>2</w:t>
            </w:r>
            <w:r>
              <w:rPr>
                <w:color w:val="000000"/>
              </w:rPr>
              <w:t>、Al</w:t>
            </w:r>
            <w:r>
              <w:rPr>
                <w:color w:val="000000"/>
                <w:vertAlign w:val="subscript"/>
              </w:rPr>
              <w:t>2</w:t>
            </w:r>
            <w:r>
              <w:rPr>
                <w:color w:val="000000"/>
              </w:rPr>
              <w:t>O</w:t>
            </w:r>
            <w:r>
              <w:rPr>
                <w:color w:val="000000"/>
                <w:vertAlign w:val="subscript"/>
              </w:rPr>
              <w:t>3</w:t>
            </w:r>
            <w:r>
              <w:rPr>
                <w:color w:val="000000"/>
              </w:rPr>
              <w:t>、Fe</w:t>
            </w:r>
            <w:r>
              <w:rPr>
                <w:color w:val="000000"/>
                <w:vertAlign w:val="subscript"/>
              </w:rPr>
              <w:t>2</w:t>
            </w:r>
            <w:r>
              <w:rPr>
                <w:color w:val="000000"/>
              </w:rPr>
              <w:t>O</w:t>
            </w:r>
            <w:r>
              <w:rPr>
                <w:color w:val="000000"/>
                <w:vertAlign w:val="subscript"/>
              </w:rPr>
              <w:t>3</w:t>
            </w:r>
            <w:r>
              <w:rPr>
                <w:color w:val="000000"/>
              </w:rPr>
              <w:t>、FeO、MnO、MgO、CaO、Na</w:t>
            </w:r>
            <w:r>
              <w:rPr>
                <w:color w:val="000000"/>
                <w:vertAlign w:val="subscript"/>
              </w:rPr>
              <w:t>2</w:t>
            </w:r>
            <w:r>
              <w:rPr>
                <w:color w:val="000000"/>
              </w:rPr>
              <w:t>O、K</w:t>
            </w:r>
            <w:r>
              <w:rPr>
                <w:color w:val="000000"/>
                <w:vertAlign w:val="subscript"/>
              </w:rPr>
              <w:t>2</w:t>
            </w:r>
            <w:r>
              <w:rPr>
                <w:color w:val="000000"/>
              </w:rPr>
              <w:t>O、P</w:t>
            </w:r>
            <w:r>
              <w:rPr>
                <w:color w:val="000000"/>
                <w:vertAlign w:val="subscript"/>
              </w:rPr>
              <w:t>2</w:t>
            </w:r>
            <w:r>
              <w:rPr>
                <w:color w:val="000000"/>
              </w:rPr>
              <w:t>O</w:t>
            </w:r>
            <w:r>
              <w:rPr>
                <w:color w:val="000000"/>
                <w:vertAlign w:val="subscript"/>
              </w:rPr>
              <w:t>5</w:t>
            </w:r>
            <w:r>
              <w:rPr>
                <w:color w:val="000000"/>
              </w:rPr>
              <w:t>、H</w:t>
            </w:r>
            <w:r>
              <w:rPr>
                <w:color w:val="000000"/>
                <w:vertAlign w:val="subscript"/>
              </w:rPr>
              <w:t>2</w:t>
            </w:r>
            <w:r>
              <w:rPr>
                <w:color w:val="000000"/>
              </w:rPr>
              <w:t>O</w:t>
            </w:r>
            <w:r>
              <w:rPr>
                <w:color w:val="000000"/>
                <w:vertAlign w:val="superscript"/>
              </w:rPr>
              <w:t>+</w:t>
            </w:r>
            <w:r>
              <w:rPr>
                <w:color w:val="000000"/>
              </w:rPr>
              <w:t>、烧失量等共13项。全分析样品必须是有代表性的样品，也可采用基本分析副样。采样时应与岩石薄片样相对应，样品由同一露头上的5块左右小岩块组合而成。样品要求要新鲜、纯净，样重大于2kg。野外可对样品进行破碎缩分，取50g送样。</w:t>
            </w:r>
          </w:p>
          <w:p>
            <w:pPr>
              <w:keepNext/>
              <w:keepLines/>
              <w:widowControl/>
              <w:ind w:firstLine="482"/>
              <w:jc w:val="left"/>
              <w:outlineLvl w:val="3"/>
              <w:rPr>
                <w:b/>
                <w:bCs/>
                <w:color w:val="000000"/>
              </w:rPr>
            </w:pPr>
            <w:r>
              <w:rPr>
                <w:b/>
                <w:bCs/>
                <w:color w:val="000000"/>
              </w:rPr>
              <w:t>10、微量元素分析样</w:t>
            </w:r>
          </w:p>
          <w:p>
            <w:pPr>
              <w:rPr>
                <w:color w:val="000000"/>
              </w:rPr>
            </w:pPr>
            <w:r>
              <w:rPr>
                <w:color w:val="000000"/>
              </w:rPr>
              <w:t>用于了解岩石、矿石中微量元素的种类及含量；了解成岩、成矿过程中元素的地球化学行为；划分对比地质体；为研究岩矿石的成因及温压条件提供信息。样品分析项目有Cr、Ni、Co、V、Nb、Zr、Sr、Ba、Rb、U、Th、Sn、W、Mo、Li、Be、Sc、Ta、Hf、Cs等共20项。</w:t>
            </w:r>
          </w:p>
          <w:p>
            <w:pPr>
              <w:rPr>
                <w:color w:val="000000"/>
              </w:rPr>
            </w:pPr>
            <w:r>
              <w:rPr>
                <w:color w:val="000000"/>
              </w:rPr>
              <w:t>采样时采样点应与岩石薄片样相对应，样品由同一露头上的5块左右小岩块组合而成，样品要求要新鲜、纯净，样品重量≥2kg。野外可对样品进行破碎缩分，取50g送样。</w:t>
            </w:r>
          </w:p>
          <w:p>
            <w:pPr>
              <w:keepNext/>
              <w:keepLines/>
              <w:widowControl/>
              <w:ind w:firstLine="482"/>
              <w:jc w:val="left"/>
              <w:outlineLvl w:val="3"/>
              <w:rPr>
                <w:b/>
                <w:bCs/>
                <w:color w:val="000000"/>
              </w:rPr>
            </w:pPr>
            <w:r>
              <w:rPr>
                <w:rFonts w:hint="eastAsia"/>
                <w:b/>
                <w:bCs/>
                <w:color w:val="000000"/>
              </w:rPr>
              <w:t>1</w:t>
            </w:r>
            <w:r>
              <w:rPr>
                <w:b/>
                <w:bCs/>
                <w:color w:val="000000"/>
              </w:rPr>
              <w:t>1</w:t>
            </w:r>
            <w:r>
              <w:rPr>
                <w:rFonts w:hint="eastAsia"/>
                <w:b/>
                <w:bCs/>
                <w:color w:val="000000"/>
              </w:rPr>
              <w:t>、</w:t>
            </w:r>
            <w:r>
              <w:rPr>
                <w:b/>
                <w:bCs/>
                <w:color w:val="000000"/>
              </w:rPr>
              <w:t>物相分析样</w:t>
            </w:r>
          </w:p>
          <w:p>
            <w:pPr>
              <w:rPr>
                <w:color w:val="000000"/>
              </w:rPr>
            </w:pPr>
            <w:r>
              <w:rPr>
                <w:color w:val="000000"/>
              </w:rPr>
              <w:t>物相分析样品可从基本分析副样中抽取。</w:t>
            </w:r>
          </w:p>
          <w:p>
            <w:pPr>
              <w:keepNext/>
              <w:keepLines/>
              <w:widowControl/>
              <w:ind w:firstLine="482"/>
              <w:jc w:val="left"/>
              <w:outlineLvl w:val="3"/>
              <w:rPr>
                <w:b/>
                <w:bCs/>
                <w:color w:val="000000"/>
              </w:rPr>
            </w:pPr>
            <w:r>
              <w:rPr>
                <w:rFonts w:hint="eastAsia"/>
                <w:b/>
                <w:bCs/>
                <w:color w:val="000000"/>
              </w:rPr>
              <w:t>1</w:t>
            </w:r>
            <w:r>
              <w:rPr>
                <w:b/>
                <w:bCs/>
                <w:color w:val="000000"/>
              </w:rPr>
              <w:t>2</w:t>
            </w:r>
            <w:r>
              <w:rPr>
                <w:rFonts w:hint="eastAsia"/>
                <w:b/>
                <w:bCs/>
                <w:color w:val="000000"/>
              </w:rPr>
              <w:t>、</w:t>
            </w:r>
            <w:r>
              <w:rPr>
                <w:b/>
                <w:bCs/>
                <w:color w:val="000000"/>
              </w:rPr>
              <w:t>基岩化探样</w:t>
            </w:r>
          </w:p>
          <w:p>
            <w:pPr>
              <w:rPr>
                <w:color w:val="000000"/>
              </w:rPr>
            </w:pPr>
            <w:r>
              <w:rPr>
                <w:color w:val="000000"/>
              </w:rPr>
              <w:t>采集于岩石地球化学剖面上，对不同的岩石类型分别采集样品，分析元素有Au、Ag、Cu、Pb、Zn、W、Mo、Bi、Sn、Li、Be、Nb、Ta、Tl等共14种，编制元素相关曲线图，了解矿化体和围岩中的成矿元素分布规律，指导矿床成因分析和成矿预测。</w:t>
            </w:r>
          </w:p>
          <w:p>
            <w:pPr>
              <w:keepNext/>
              <w:keepLines/>
              <w:widowControl/>
              <w:ind w:firstLine="482"/>
              <w:jc w:val="left"/>
              <w:outlineLvl w:val="3"/>
              <w:rPr>
                <w:b/>
                <w:bCs/>
                <w:color w:val="000000"/>
              </w:rPr>
            </w:pPr>
            <w:r>
              <w:rPr>
                <w:b/>
                <w:bCs/>
                <w:color w:val="000000"/>
              </w:rPr>
              <w:t>13</w:t>
            </w:r>
            <w:r>
              <w:rPr>
                <w:rFonts w:hint="eastAsia"/>
                <w:b/>
                <w:bCs/>
                <w:color w:val="000000"/>
              </w:rPr>
              <w:t>、</w:t>
            </w:r>
            <w:r>
              <w:rPr>
                <w:b/>
                <w:bCs/>
                <w:color w:val="000000"/>
              </w:rPr>
              <w:t>岩石力学样</w:t>
            </w:r>
          </w:p>
          <w:p>
            <w:pPr>
              <w:rPr>
                <w:color w:val="000000"/>
              </w:rPr>
            </w:pPr>
            <w:r>
              <w:rPr>
                <w:color w:val="000000"/>
              </w:rPr>
              <w:t>本次采集样品部位分别在矿体、夹层、近矿围岩。采样的目的是测定矿石、夹层、近矿围岩的物理力学性能，为研究矿床开采技术条件提供依据。</w:t>
            </w:r>
          </w:p>
          <w:p>
            <w:pPr>
              <w:keepNext/>
              <w:keepLines/>
              <w:widowControl/>
              <w:ind w:firstLine="482"/>
              <w:jc w:val="left"/>
              <w:outlineLvl w:val="3"/>
              <w:rPr>
                <w:b/>
                <w:bCs/>
                <w:color w:val="000000"/>
              </w:rPr>
            </w:pPr>
            <w:r>
              <w:rPr>
                <w:rFonts w:hint="eastAsia"/>
                <w:b/>
                <w:bCs/>
                <w:color w:val="000000"/>
              </w:rPr>
              <w:t>1</w:t>
            </w:r>
            <w:r>
              <w:rPr>
                <w:b/>
                <w:bCs/>
                <w:color w:val="000000"/>
              </w:rPr>
              <w:t>4</w:t>
            </w:r>
            <w:r>
              <w:rPr>
                <w:rFonts w:hint="eastAsia"/>
                <w:b/>
                <w:bCs/>
                <w:color w:val="000000"/>
              </w:rPr>
              <w:t>、</w:t>
            </w:r>
            <w:r>
              <w:rPr>
                <w:b/>
                <w:bCs/>
                <w:color w:val="000000"/>
              </w:rPr>
              <w:t>放射性核素样</w:t>
            </w:r>
          </w:p>
          <w:p>
            <w:pPr>
              <w:rPr>
                <w:color w:val="000000"/>
              </w:rPr>
            </w:pPr>
            <w:r>
              <w:rPr>
                <w:color w:val="000000"/>
              </w:rPr>
              <w:t>分别于槽探工程和钻探工程中选择代表性矿化体采取放射性核素样，样品重量2kg。测试项目为Ra226、Th232、K40。样品测试须由核检测资质的单位承担。</w:t>
            </w:r>
          </w:p>
          <w:p>
            <w:pPr>
              <w:keepNext/>
              <w:keepLines/>
              <w:widowControl/>
              <w:ind w:firstLine="482"/>
              <w:jc w:val="left"/>
              <w:outlineLvl w:val="3"/>
              <w:rPr>
                <w:b/>
                <w:bCs/>
                <w:color w:val="000000"/>
              </w:rPr>
            </w:pPr>
            <w:r>
              <w:rPr>
                <w:rFonts w:hint="eastAsia"/>
                <w:b/>
                <w:bCs/>
                <w:color w:val="000000"/>
              </w:rPr>
              <w:t>1</w:t>
            </w:r>
            <w:r>
              <w:rPr>
                <w:b/>
                <w:bCs/>
                <w:color w:val="000000"/>
              </w:rPr>
              <w:t>5</w:t>
            </w:r>
            <w:r>
              <w:rPr>
                <w:rFonts w:hint="eastAsia"/>
                <w:b/>
                <w:bCs/>
                <w:color w:val="000000"/>
              </w:rPr>
              <w:t>、</w:t>
            </w:r>
            <w:r>
              <w:rPr>
                <w:b/>
                <w:bCs/>
                <w:color w:val="000000"/>
              </w:rPr>
              <w:t>稀土分析样</w:t>
            </w:r>
          </w:p>
          <w:p>
            <w:pPr>
              <w:rPr>
                <w:color w:val="000000"/>
              </w:rPr>
            </w:pPr>
            <w:r>
              <w:rPr>
                <w:color w:val="000000"/>
              </w:rPr>
              <w:t>分别于槽探工程和钻探工程进行采集，采集重量1kg～2kg，分析方法以电感耦合等离子体发射光谱法（ICP法）和X射线荧光光谱法为主。</w:t>
            </w:r>
          </w:p>
          <w:p>
            <w:pPr>
              <w:keepNext/>
              <w:keepLines/>
              <w:widowControl/>
              <w:ind w:firstLine="482"/>
              <w:jc w:val="left"/>
              <w:outlineLvl w:val="3"/>
              <w:rPr>
                <w:b/>
                <w:bCs/>
                <w:color w:val="000000"/>
              </w:rPr>
            </w:pPr>
            <w:r>
              <w:rPr>
                <w:rFonts w:hint="eastAsia"/>
                <w:b/>
                <w:bCs/>
                <w:color w:val="000000"/>
              </w:rPr>
              <w:t>1</w:t>
            </w:r>
            <w:r>
              <w:rPr>
                <w:b/>
                <w:bCs/>
                <w:color w:val="000000"/>
              </w:rPr>
              <w:t>6</w:t>
            </w:r>
            <w:r>
              <w:rPr>
                <w:rFonts w:hint="eastAsia"/>
                <w:b/>
                <w:bCs/>
                <w:color w:val="000000"/>
              </w:rPr>
              <w:t>、</w:t>
            </w:r>
            <w:r>
              <w:rPr>
                <w:b/>
                <w:bCs/>
                <w:color w:val="000000"/>
              </w:rPr>
              <w:t>检查分析样</w:t>
            </w:r>
          </w:p>
          <w:p>
            <w:pPr>
              <w:rPr>
                <w:color w:val="000000"/>
              </w:rPr>
            </w:pPr>
            <w:r>
              <w:rPr>
                <w:color w:val="000000"/>
              </w:rPr>
              <w:t>内检样品应由送检单位在矿石各种自然类型、工业品级及含量在边界品位（包括综合工业指标中的边界品位）附近及以上样品的粗副样（＜0.84mm，即20目）中抽取，编密码送原测试单位进行复测。按原基本分析样品总数的10%抽取，编出密码后送原实验室进行复测。内检样合格率应达到90%。组合样品内检样品的数量应不少于组合分析总量的5%，物相分析内检样品数量根据需要确定。</w:t>
            </w:r>
          </w:p>
          <w:p>
            <w:pPr>
              <w:rPr>
                <w:color w:val="000000"/>
              </w:rPr>
            </w:pPr>
            <w:r>
              <w:rPr>
                <w:color w:val="000000"/>
              </w:rPr>
              <w:t>外检样数量按分析样品总数的5%抽取，不得少于30件。外检样合格率应达到80%。</w:t>
            </w:r>
          </w:p>
          <w:p>
            <w:pPr>
              <w:pStyle w:val="14"/>
              <w:ind w:firstLine="482" w:firstLineChars="200"/>
            </w:pPr>
            <w:r>
              <w:rPr>
                <w:rFonts w:hint="eastAsia"/>
              </w:rPr>
              <w:t>4</w:t>
            </w:r>
            <w:r>
              <w:t>.</w:t>
            </w:r>
            <w:r>
              <w:rPr>
                <w:rFonts w:hint="eastAsia"/>
              </w:rPr>
              <w:t>设计的主要实物工作量</w:t>
            </w:r>
          </w:p>
          <w:p>
            <w:r>
              <w:rPr>
                <w:rFonts w:hint="eastAsia"/>
              </w:rPr>
              <w:t>本次工作主要实物工作量以固体矿产地质勘查规范为依据，并结合矿区实际情况，设计工作手段有地形测量、地质测量、物探、化探、槽探、钻探等，各工作手段部署的工作量见表2</w:t>
            </w:r>
            <w:r>
              <w:t>-2。</w:t>
            </w:r>
          </w:p>
          <w:p>
            <w:pPr>
              <w:pStyle w:val="27"/>
              <w:spacing w:before="156"/>
            </w:pPr>
            <w:r>
              <w:rPr>
                <w:rFonts w:hint="eastAsia"/>
              </w:rPr>
              <w:t>表2-</w:t>
            </w:r>
            <w:r>
              <w:t xml:space="preserve">2  </w:t>
            </w:r>
            <w:r>
              <w:rPr>
                <w:rFonts w:hint="eastAsia"/>
              </w:rPr>
              <w:t>主要实物工作量一览表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2365"/>
              <w:gridCol w:w="2532"/>
              <w:gridCol w:w="553"/>
              <w:gridCol w:w="636"/>
              <w:gridCol w:w="9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5" w:hRule="exact"/>
                <w:tblHeader/>
                <w:jc w:val="center"/>
              </w:trPr>
              <w:tc>
                <w:tcPr>
                  <w:tcW w:w="286" w:type="pct"/>
                  <w:vAlign w:val="center"/>
                </w:tcPr>
                <w:p>
                  <w:pPr>
                    <w:widowControl/>
                    <w:spacing w:line="240" w:lineRule="auto"/>
                    <w:ind w:firstLine="0" w:firstLineChars="0"/>
                    <w:jc w:val="center"/>
                    <w:rPr>
                      <w:b/>
                      <w:bCs/>
                      <w:kern w:val="0"/>
                      <w:sz w:val="21"/>
                      <w:szCs w:val="21"/>
                    </w:rPr>
                  </w:pPr>
                  <w:r>
                    <w:rPr>
                      <w:b/>
                      <w:bCs/>
                      <w:kern w:val="0"/>
                      <w:sz w:val="21"/>
                      <w:szCs w:val="21"/>
                    </w:rPr>
                    <w:t>序号</w:t>
                  </w:r>
                </w:p>
              </w:tc>
              <w:tc>
                <w:tcPr>
                  <w:tcW w:w="1587" w:type="pct"/>
                  <w:vAlign w:val="center"/>
                </w:tcPr>
                <w:p>
                  <w:pPr>
                    <w:widowControl/>
                    <w:spacing w:line="240" w:lineRule="auto"/>
                    <w:ind w:firstLine="0" w:firstLineChars="0"/>
                    <w:jc w:val="center"/>
                    <w:rPr>
                      <w:b/>
                      <w:bCs/>
                      <w:kern w:val="0"/>
                      <w:sz w:val="21"/>
                      <w:szCs w:val="21"/>
                    </w:rPr>
                  </w:pPr>
                  <w:r>
                    <w:rPr>
                      <w:b/>
                      <w:bCs/>
                      <w:kern w:val="0"/>
                      <w:sz w:val="21"/>
                      <w:szCs w:val="21"/>
                    </w:rPr>
                    <w:t>工作手段</w:t>
                  </w:r>
                </w:p>
              </w:tc>
              <w:tc>
                <w:tcPr>
                  <w:tcW w:w="1686" w:type="pct"/>
                  <w:vAlign w:val="center"/>
                </w:tcPr>
                <w:p>
                  <w:pPr>
                    <w:widowControl/>
                    <w:spacing w:line="240" w:lineRule="auto"/>
                    <w:ind w:firstLine="0" w:firstLineChars="0"/>
                    <w:jc w:val="center"/>
                    <w:rPr>
                      <w:b/>
                      <w:bCs/>
                      <w:kern w:val="0"/>
                      <w:sz w:val="21"/>
                      <w:szCs w:val="21"/>
                    </w:rPr>
                  </w:pPr>
                  <w:r>
                    <w:rPr>
                      <w:b/>
                      <w:bCs/>
                      <w:kern w:val="0"/>
                      <w:sz w:val="21"/>
                      <w:szCs w:val="21"/>
                    </w:rPr>
                    <w:t>技术条件</w:t>
                  </w:r>
                </w:p>
              </w:tc>
              <w:tc>
                <w:tcPr>
                  <w:tcW w:w="370" w:type="pct"/>
                  <w:vAlign w:val="center"/>
                </w:tcPr>
                <w:p>
                  <w:pPr>
                    <w:widowControl/>
                    <w:spacing w:line="240" w:lineRule="auto"/>
                    <w:ind w:firstLine="0" w:firstLineChars="0"/>
                    <w:jc w:val="center"/>
                    <w:rPr>
                      <w:b/>
                      <w:bCs/>
                      <w:kern w:val="0"/>
                      <w:sz w:val="21"/>
                      <w:szCs w:val="21"/>
                    </w:rPr>
                  </w:pPr>
                  <w:r>
                    <w:rPr>
                      <w:b/>
                      <w:bCs/>
                      <w:kern w:val="0"/>
                      <w:sz w:val="21"/>
                      <w:szCs w:val="21"/>
                    </w:rPr>
                    <w:t>单位</w:t>
                  </w:r>
                </w:p>
              </w:tc>
              <w:tc>
                <w:tcPr>
                  <w:tcW w:w="424" w:type="pct"/>
                  <w:vAlign w:val="center"/>
                </w:tcPr>
                <w:p>
                  <w:pPr>
                    <w:widowControl/>
                    <w:spacing w:line="240" w:lineRule="auto"/>
                    <w:ind w:firstLine="0" w:firstLineChars="0"/>
                    <w:jc w:val="center"/>
                    <w:rPr>
                      <w:b/>
                      <w:bCs/>
                      <w:kern w:val="0"/>
                      <w:sz w:val="21"/>
                      <w:szCs w:val="21"/>
                    </w:rPr>
                  </w:pPr>
                  <w:r>
                    <w:rPr>
                      <w:b/>
                      <w:bCs/>
                      <w:kern w:val="0"/>
                      <w:sz w:val="21"/>
                      <w:szCs w:val="21"/>
                    </w:rPr>
                    <w:t>设计工作量</w:t>
                  </w:r>
                </w:p>
              </w:tc>
              <w:tc>
                <w:tcPr>
                  <w:tcW w:w="646" w:type="pct"/>
                  <w:vAlign w:val="center"/>
                </w:tcPr>
                <w:p>
                  <w:pPr>
                    <w:widowControl/>
                    <w:spacing w:line="240" w:lineRule="auto"/>
                    <w:ind w:firstLine="0" w:firstLineChars="0"/>
                    <w:jc w:val="center"/>
                    <w:rPr>
                      <w:b/>
                      <w:bCs/>
                      <w:kern w:val="0"/>
                      <w:sz w:val="21"/>
                      <w:szCs w:val="21"/>
                    </w:rPr>
                  </w:pPr>
                  <w:r>
                    <w:rPr>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6" w:type="pct"/>
                  <w:vAlign w:val="center"/>
                </w:tcPr>
                <w:p>
                  <w:pPr>
                    <w:widowControl/>
                    <w:spacing w:line="240" w:lineRule="auto"/>
                    <w:ind w:firstLine="0" w:firstLineChars="0"/>
                    <w:jc w:val="center"/>
                    <w:rPr>
                      <w:b/>
                      <w:bCs/>
                      <w:kern w:val="0"/>
                      <w:sz w:val="21"/>
                      <w:szCs w:val="21"/>
                    </w:rPr>
                  </w:pPr>
                  <w:r>
                    <w:rPr>
                      <w:b/>
                      <w:bCs/>
                      <w:kern w:val="0"/>
                      <w:sz w:val="21"/>
                      <w:szCs w:val="21"/>
                    </w:rPr>
                    <w:t>一</w:t>
                  </w:r>
                </w:p>
              </w:tc>
              <w:tc>
                <w:tcPr>
                  <w:tcW w:w="4714" w:type="pct"/>
                  <w:gridSpan w:val="5"/>
                  <w:vAlign w:val="center"/>
                </w:tcPr>
                <w:p>
                  <w:pPr>
                    <w:widowControl/>
                    <w:spacing w:line="240" w:lineRule="auto"/>
                    <w:ind w:firstLine="0" w:firstLineChars="0"/>
                    <w:jc w:val="center"/>
                    <w:rPr>
                      <w:b/>
                      <w:bCs/>
                      <w:kern w:val="0"/>
                      <w:sz w:val="21"/>
                      <w:szCs w:val="21"/>
                    </w:rPr>
                  </w:pPr>
                  <w:r>
                    <w:rPr>
                      <w:b/>
                      <w:bCs/>
                      <w:kern w:val="0"/>
                      <w:sz w:val="21"/>
                      <w:szCs w:val="21"/>
                    </w:rPr>
                    <w:t>地形测量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GPS控制点</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E级网</w:t>
                  </w:r>
                </w:p>
              </w:tc>
              <w:tc>
                <w:tcPr>
                  <w:tcW w:w="370" w:type="pct"/>
                  <w:vAlign w:val="center"/>
                </w:tcPr>
                <w:p>
                  <w:pPr>
                    <w:widowControl/>
                    <w:spacing w:line="240" w:lineRule="auto"/>
                    <w:ind w:firstLine="0" w:firstLineChars="0"/>
                    <w:jc w:val="center"/>
                    <w:rPr>
                      <w:kern w:val="0"/>
                      <w:sz w:val="21"/>
                      <w:szCs w:val="21"/>
                    </w:rPr>
                  </w:pPr>
                  <w:r>
                    <w:rPr>
                      <w:kern w:val="0"/>
                      <w:sz w:val="21"/>
                      <w:szCs w:val="21"/>
                    </w:rPr>
                    <w:t>点</w:t>
                  </w:r>
                </w:p>
              </w:tc>
              <w:tc>
                <w:tcPr>
                  <w:tcW w:w="424" w:type="pct"/>
                  <w:vAlign w:val="center"/>
                </w:tcPr>
                <w:p>
                  <w:pPr>
                    <w:widowControl/>
                    <w:spacing w:line="240" w:lineRule="auto"/>
                    <w:ind w:firstLine="0" w:firstLineChars="0"/>
                    <w:jc w:val="center"/>
                    <w:rPr>
                      <w:kern w:val="0"/>
                      <w:sz w:val="21"/>
                      <w:szCs w:val="21"/>
                    </w:rPr>
                  </w:pPr>
                  <w:r>
                    <w:rPr>
                      <w:kern w:val="0"/>
                      <w:sz w:val="21"/>
                      <w:szCs w:val="21"/>
                    </w:rPr>
                    <w:t>4</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1:10000地形测量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Ⅴ类</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3.66</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3</w:t>
                  </w:r>
                </w:p>
              </w:tc>
              <w:tc>
                <w:tcPr>
                  <w:tcW w:w="1587" w:type="pct"/>
                  <w:vAlign w:val="center"/>
                </w:tcPr>
                <w:p>
                  <w:pPr>
                    <w:widowControl/>
                    <w:spacing w:line="240" w:lineRule="auto"/>
                    <w:ind w:firstLine="0" w:firstLineChars="0"/>
                    <w:jc w:val="center"/>
                    <w:rPr>
                      <w:kern w:val="0"/>
                      <w:sz w:val="21"/>
                      <w:szCs w:val="21"/>
                    </w:rPr>
                  </w:pPr>
                  <w:r>
                    <w:rPr>
                      <w:kern w:val="0"/>
                      <w:sz w:val="21"/>
                      <w:szCs w:val="21"/>
                    </w:rPr>
                    <w:t>1:2000地形测量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Ⅴ类</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1.64</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4"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二</w:t>
                  </w:r>
                </w:p>
              </w:tc>
              <w:tc>
                <w:tcPr>
                  <w:tcW w:w="4714" w:type="pct"/>
                  <w:gridSpan w:val="5"/>
                  <w:vAlign w:val="center"/>
                </w:tcPr>
                <w:p>
                  <w:pPr>
                    <w:widowControl/>
                    <w:spacing w:line="240" w:lineRule="auto"/>
                    <w:ind w:firstLine="0" w:firstLineChars="0"/>
                    <w:jc w:val="center"/>
                    <w:rPr>
                      <w:b/>
                      <w:bCs/>
                      <w:kern w:val="0"/>
                      <w:sz w:val="21"/>
                      <w:szCs w:val="21"/>
                    </w:rPr>
                  </w:pPr>
                  <w:r>
                    <w:rPr>
                      <w:b/>
                      <w:bCs/>
                      <w:kern w:val="0"/>
                      <w:sz w:val="21"/>
                      <w:szCs w:val="21"/>
                    </w:rPr>
                    <w:t>地质测量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b/>
                      <w:bCs/>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cs="宋体"/>
                      <w:kern w:val="0"/>
                      <w:sz w:val="21"/>
                      <w:szCs w:val="21"/>
                    </w:rPr>
                    <w:t>∶</w:t>
                  </w:r>
                  <w:r>
                    <w:rPr>
                      <w:kern w:val="0"/>
                      <w:sz w:val="21"/>
                      <w:szCs w:val="21"/>
                    </w:rPr>
                    <w:t>10000地质测量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3.66</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cs="宋体"/>
                      <w:kern w:val="0"/>
                      <w:sz w:val="21"/>
                      <w:szCs w:val="21"/>
                    </w:rPr>
                    <w:t>∶</w:t>
                  </w:r>
                  <w:r>
                    <w:rPr>
                      <w:kern w:val="0"/>
                      <w:sz w:val="21"/>
                      <w:szCs w:val="21"/>
                    </w:rPr>
                    <w:t>2000地质测量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1.64</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3</w:t>
                  </w:r>
                </w:p>
              </w:tc>
              <w:tc>
                <w:tcPr>
                  <w:tcW w:w="1587" w:type="pct"/>
                  <w:vAlign w:val="center"/>
                </w:tcPr>
                <w:p>
                  <w:pPr>
                    <w:widowControl/>
                    <w:spacing w:line="240" w:lineRule="auto"/>
                    <w:ind w:firstLine="0" w:firstLineChars="0"/>
                    <w:jc w:val="center"/>
                    <w:rPr>
                      <w:kern w:val="0"/>
                      <w:sz w:val="21"/>
                      <w:szCs w:val="21"/>
                    </w:rPr>
                  </w:pPr>
                  <w:r>
                    <w:rPr>
                      <w:kern w:val="0"/>
                      <w:sz w:val="21"/>
                      <w:szCs w:val="21"/>
                    </w:rPr>
                    <w:t>1:10000地质剖面测量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4</w:t>
                  </w:r>
                </w:p>
              </w:tc>
              <w:tc>
                <w:tcPr>
                  <w:tcW w:w="1587" w:type="pct"/>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cs="宋体"/>
                      <w:kern w:val="0"/>
                      <w:sz w:val="21"/>
                      <w:szCs w:val="21"/>
                    </w:rPr>
                    <w:t>∶</w:t>
                  </w:r>
                  <w:r>
                    <w:rPr>
                      <w:kern w:val="0"/>
                      <w:sz w:val="21"/>
                      <w:szCs w:val="21"/>
                    </w:rPr>
                    <w:t>2000地质剖面测量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4</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5</w:t>
                  </w:r>
                </w:p>
              </w:tc>
              <w:tc>
                <w:tcPr>
                  <w:tcW w:w="1587" w:type="pct"/>
                  <w:vAlign w:val="center"/>
                </w:tcPr>
                <w:p>
                  <w:pPr>
                    <w:widowControl/>
                    <w:spacing w:line="240" w:lineRule="auto"/>
                    <w:ind w:firstLine="0" w:firstLineChars="0"/>
                    <w:jc w:val="center"/>
                    <w:rPr>
                      <w:kern w:val="0"/>
                      <w:sz w:val="21"/>
                      <w:szCs w:val="21"/>
                    </w:rPr>
                  </w:pPr>
                  <w:r>
                    <w:rPr>
                      <w:kern w:val="0"/>
                      <w:sz w:val="21"/>
                      <w:szCs w:val="21"/>
                    </w:rPr>
                    <w:t>1:10000专项水工环地质测量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3.66</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6</w:t>
                  </w:r>
                </w:p>
              </w:tc>
              <w:tc>
                <w:tcPr>
                  <w:tcW w:w="1587" w:type="pct"/>
                  <w:vAlign w:val="center"/>
                </w:tcPr>
                <w:p>
                  <w:pPr>
                    <w:widowControl/>
                    <w:spacing w:line="240" w:lineRule="auto"/>
                    <w:ind w:firstLine="0" w:firstLineChars="0"/>
                    <w:jc w:val="center"/>
                    <w:rPr>
                      <w:kern w:val="0"/>
                      <w:sz w:val="21"/>
                      <w:szCs w:val="21"/>
                    </w:rPr>
                  </w:pPr>
                  <w:r>
                    <w:rPr>
                      <w:kern w:val="0"/>
                      <w:sz w:val="21"/>
                      <w:szCs w:val="21"/>
                    </w:rPr>
                    <w:t>1:2000专项水工环地质测量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1.64</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6" w:type="pct"/>
                  <w:vAlign w:val="center"/>
                </w:tcPr>
                <w:p>
                  <w:pPr>
                    <w:widowControl/>
                    <w:spacing w:line="240" w:lineRule="auto"/>
                    <w:ind w:firstLine="0" w:firstLineChars="0"/>
                    <w:jc w:val="center"/>
                    <w:rPr>
                      <w:kern w:val="0"/>
                      <w:sz w:val="21"/>
                      <w:szCs w:val="21"/>
                    </w:rPr>
                  </w:pPr>
                  <w:r>
                    <w:rPr>
                      <w:b/>
                      <w:bCs/>
                      <w:kern w:val="0"/>
                      <w:sz w:val="21"/>
                      <w:szCs w:val="21"/>
                    </w:rPr>
                    <w:t>三</w:t>
                  </w:r>
                </w:p>
              </w:tc>
              <w:tc>
                <w:tcPr>
                  <w:tcW w:w="4714" w:type="pct"/>
                  <w:gridSpan w:val="5"/>
                  <w:vAlign w:val="center"/>
                </w:tcPr>
                <w:p>
                  <w:pPr>
                    <w:widowControl/>
                    <w:spacing w:line="240" w:lineRule="auto"/>
                    <w:ind w:firstLine="0" w:firstLineChars="0"/>
                    <w:jc w:val="center"/>
                    <w:rPr>
                      <w:b/>
                      <w:bCs/>
                      <w:kern w:val="0"/>
                      <w:sz w:val="21"/>
                      <w:szCs w:val="21"/>
                    </w:rPr>
                  </w:pPr>
                  <w:r>
                    <w:rPr>
                      <w:b/>
                      <w:bCs/>
                      <w:kern w:val="0"/>
                      <w:sz w:val="21"/>
                      <w:szCs w:val="21"/>
                    </w:rPr>
                    <w:t>物探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激电中梯（短导线）剖面测量</w:t>
                  </w:r>
                </w:p>
              </w:tc>
              <w:tc>
                <w:tcPr>
                  <w:tcW w:w="1686" w:type="pct"/>
                  <w:vAlign w:val="center"/>
                </w:tcPr>
                <w:p>
                  <w:pPr>
                    <w:widowControl/>
                    <w:spacing w:line="240" w:lineRule="auto"/>
                    <w:ind w:firstLine="0" w:firstLineChars="0"/>
                    <w:jc w:val="center"/>
                    <w:rPr>
                      <w:kern w:val="0"/>
                      <w:sz w:val="21"/>
                      <w:szCs w:val="21"/>
                    </w:rPr>
                  </w:pPr>
                  <w:r>
                    <w:rPr>
                      <w:kern w:val="0"/>
                      <w:sz w:val="21"/>
                      <w:szCs w:val="21"/>
                    </w:rPr>
                    <w:t>地形等级3.5，AB1200m，点距20m</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激电测深</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地形等级3.5，点距500m</w:t>
                  </w:r>
                </w:p>
              </w:tc>
              <w:tc>
                <w:tcPr>
                  <w:tcW w:w="370" w:type="pct"/>
                  <w:vAlign w:val="center"/>
                </w:tcPr>
                <w:p>
                  <w:pPr>
                    <w:widowControl/>
                    <w:spacing w:line="240" w:lineRule="auto"/>
                    <w:ind w:firstLine="0" w:firstLineChars="0"/>
                    <w:jc w:val="center"/>
                    <w:rPr>
                      <w:kern w:val="0"/>
                      <w:sz w:val="21"/>
                      <w:szCs w:val="21"/>
                    </w:rPr>
                  </w:pPr>
                  <w:r>
                    <w:rPr>
                      <w:kern w:val="0"/>
                      <w:sz w:val="21"/>
                      <w:szCs w:val="21"/>
                    </w:rPr>
                    <w:t>点</w:t>
                  </w:r>
                </w:p>
              </w:tc>
              <w:tc>
                <w:tcPr>
                  <w:tcW w:w="424" w:type="pct"/>
                  <w:vAlign w:val="center"/>
                </w:tcPr>
                <w:p>
                  <w:pPr>
                    <w:widowControl/>
                    <w:spacing w:line="240" w:lineRule="auto"/>
                    <w:ind w:firstLine="0" w:firstLineChars="0"/>
                    <w:jc w:val="center"/>
                    <w:rPr>
                      <w:kern w:val="0"/>
                      <w:sz w:val="21"/>
                      <w:szCs w:val="21"/>
                    </w:rPr>
                  </w:pPr>
                  <w:r>
                    <w:rPr>
                      <w:kern w:val="0"/>
                      <w:sz w:val="21"/>
                      <w:szCs w:val="21"/>
                    </w:rPr>
                    <w:t>80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6" w:type="pct"/>
                  <w:vAlign w:val="center"/>
                </w:tcPr>
                <w:p>
                  <w:pPr>
                    <w:widowControl/>
                    <w:spacing w:line="240" w:lineRule="auto"/>
                    <w:ind w:firstLine="0" w:firstLineChars="0"/>
                    <w:jc w:val="center"/>
                    <w:rPr>
                      <w:b/>
                      <w:bCs/>
                      <w:kern w:val="0"/>
                      <w:sz w:val="21"/>
                      <w:szCs w:val="21"/>
                    </w:rPr>
                  </w:pPr>
                  <w:r>
                    <w:rPr>
                      <w:b/>
                      <w:bCs/>
                      <w:kern w:val="0"/>
                      <w:sz w:val="21"/>
                      <w:szCs w:val="21"/>
                    </w:rPr>
                    <w:t>四</w:t>
                  </w:r>
                </w:p>
              </w:tc>
              <w:tc>
                <w:tcPr>
                  <w:tcW w:w="4714" w:type="pct"/>
                  <w:gridSpan w:val="5"/>
                  <w:vAlign w:val="center"/>
                </w:tcPr>
                <w:p>
                  <w:pPr>
                    <w:widowControl/>
                    <w:spacing w:line="240" w:lineRule="auto"/>
                    <w:ind w:firstLine="0" w:firstLineChars="0"/>
                    <w:jc w:val="center"/>
                    <w:rPr>
                      <w:b/>
                      <w:bCs/>
                      <w:kern w:val="0"/>
                      <w:sz w:val="21"/>
                      <w:szCs w:val="21"/>
                    </w:rPr>
                  </w:pPr>
                  <w:r>
                    <w:rPr>
                      <w:b/>
                      <w:bCs/>
                      <w:kern w:val="0"/>
                      <w:sz w:val="21"/>
                      <w:szCs w:val="21"/>
                    </w:rPr>
                    <w:t>化探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cs="宋体"/>
                      <w:kern w:val="0"/>
                      <w:sz w:val="21"/>
                      <w:szCs w:val="21"/>
                    </w:rPr>
                    <w:t>∶</w:t>
                  </w:r>
                  <w:r>
                    <w:rPr>
                      <w:kern w:val="0"/>
                      <w:sz w:val="21"/>
                      <w:szCs w:val="21"/>
                    </w:rPr>
                    <w:t>2.5水系沉积物测量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地形等级3.5</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3.66</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1:10000岩石测量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地形等级3.5，点距20m</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noWrap/>
                  <w:vAlign w:val="center"/>
                </w:tcPr>
                <w:p>
                  <w:pPr>
                    <w:widowControl/>
                    <w:spacing w:line="240" w:lineRule="auto"/>
                    <w:ind w:firstLine="0" w:firstLineChars="0"/>
                    <w:jc w:val="center"/>
                    <w:rPr>
                      <w:kern w:val="0"/>
                      <w:sz w:val="21"/>
                      <w:szCs w:val="21"/>
                    </w:rPr>
                  </w:pPr>
                  <w:r>
                    <w:rPr>
                      <w:kern w:val="0"/>
                      <w:sz w:val="21"/>
                      <w:szCs w:val="21"/>
                    </w:rPr>
                    <w:t>10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6" w:type="pct"/>
                  <w:vAlign w:val="center"/>
                </w:tcPr>
                <w:p>
                  <w:pPr>
                    <w:widowControl/>
                    <w:spacing w:line="240" w:lineRule="auto"/>
                    <w:ind w:firstLine="0" w:firstLineChars="0"/>
                    <w:jc w:val="center"/>
                    <w:rPr>
                      <w:b/>
                      <w:bCs/>
                      <w:kern w:val="0"/>
                      <w:sz w:val="21"/>
                      <w:szCs w:val="21"/>
                    </w:rPr>
                  </w:pPr>
                  <w:r>
                    <w:rPr>
                      <w:b/>
                      <w:bCs/>
                      <w:kern w:val="0"/>
                      <w:sz w:val="21"/>
                      <w:szCs w:val="21"/>
                    </w:rPr>
                    <w:t>五</w:t>
                  </w:r>
                </w:p>
              </w:tc>
              <w:tc>
                <w:tcPr>
                  <w:tcW w:w="4714" w:type="pct"/>
                  <w:gridSpan w:val="5"/>
                  <w:vAlign w:val="center"/>
                </w:tcPr>
                <w:p>
                  <w:pPr>
                    <w:widowControl/>
                    <w:spacing w:line="240" w:lineRule="auto"/>
                    <w:ind w:firstLine="0" w:firstLineChars="0"/>
                    <w:jc w:val="center"/>
                    <w:rPr>
                      <w:b/>
                      <w:bCs/>
                      <w:kern w:val="0"/>
                      <w:sz w:val="21"/>
                      <w:szCs w:val="21"/>
                    </w:rPr>
                  </w:pPr>
                  <w:r>
                    <w:rPr>
                      <w:b/>
                      <w:bCs/>
                      <w:kern w:val="0"/>
                      <w:sz w:val="21"/>
                      <w:szCs w:val="21"/>
                    </w:rPr>
                    <w:t>钻探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机械岩心钻探</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岩石级别Ⅷ</w:t>
                  </w:r>
                </w:p>
              </w:tc>
              <w:tc>
                <w:tcPr>
                  <w:tcW w:w="370" w:type="pct"/>
                  <w:vAlign w:val="center"/>
                </w:tcPr>
                <w:p>
                  <w:pPr>
                    <w:widowControl/>
                    <w:spacing w:line="240" w:lineRule="auto"/>
                    <w:ind w:firstLine="0" w:firstLineChars="0"/>
                    <w:jc w:val="center"/>
                    <w:rPr>
                      <w:kern w:val="0"/>
                      <w:sz w:val="21"/>
                      <w:szCs w:val="21"/>
                    </w:rPr>
                  </w:pPr>
                  <w:r>
                    <w:rPr>
                      <w:kern w:val="0"/>
                      <w:sz w:val="21"/>
                      <w:szCs w:val="21"/>
                    </w:rPr>
                    <w:t>m</w:t>
                  </w:r>
                </w:p>
              </w:tc>
              <w:tc>
                <w:tcPr>
                  <w:tcW w:w="424" w:type="pct"/>
                  <w:vAlign w:val="center"/>
                </w:tcPr>
                <w:p>
                  <w:pPr>
                    <w:widowControl/>
                    <w:spacing w:line="240" w:lineRule="auto"/>
                    <w:ind w:firstLine="0" w:firstLineChars="0"/>
                    <w:jc w:val="center"/>
                    <w:rPr>
                      <w:kern w:val="0"/>
                      <w:sz w:val="21"/>
                      <w:szCs w:val="21"/>
                    </w:rPr>
                  </w:pPr>
                  <w:r>
                    <w:rPr>
                      <w:kern w:val="0"/>
                      <w:sz w:val="21"/>
                      <w:szCs w:val="21"/>
                    </w:rPr>
                    <w:t>3000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水文地质钻探</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岩石级别Ⅶ</w:t>
                  </w:r>
                </w:p>
              </w:tc>
              <w:tc>
                <w:tcPr>
                  <w:tcW w:w="370" w:type="pct"/>
                  <w:vAlign w:val="center"/>
                </w:tcPr>
                <w:p>
                  <w:pPr>
                    <w:widowControl/>
                    <w:spacing w:line="240" w:lineRule="auto"/>
                    <w:ind w:firstLine="0" w:firstLineChars="0"/>
                    <w:jc w:val="center"/>
                    <w:rPr>
                      <w:kern w:val="0"/>
                      <w:sz w:val="21"/>
                      <w:szCs w:val="21"/>
                    </w:rPr>
                  </w:pPr>
                  <w:r>
                    <w:rPr>
                      <w:kern w:val="0"/>
                      <w:sz w:val="21"/>
                      <w:szCs w:val="21"/>
                    </w:rPr>
                    <w:t>m</w:t>
                  </w:r>
                </w:p>
              </w:tc>
              <w:tc>
                <w:tcPr>
                  <w:tcW w:w="424" w:type="pct"/>
                  <w:vAlign w:val="center"/>
                </w:tcPr>
                <w:p>
                  <w:pPr>
                    <w:widowControl/>
                    <w:spacing w:line="240" w:lineRule="auto"/>
                    <w:ind w:firstLine="0" w:firstLineChars="0"/>
                    <w:jc w:val="center"/>
                    <w:rPr>
                      <w:kern w:val="0"/>
                      <w:sz w:val="21"/>
                      <w:szCs w:val="21"/>
                    </w:rPr>
                  </w:pPr>
                  <w:r>
                    <w:rPr>
                      <w:kern w:val="0"/>
                      <w:sz w:val="21"/>
                      <w:szCs w:val="21"/>
                    </w:rPr>
                    <w:t>500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6" w:type="pct"/>
                  <w:vAlign w:val="center"/>
                </w:tcPr>
                <w:p>
                  <w:pPr>
                    <w:widowControl/>
                    <w:spacing w:line="240" w:lineRule="auto"/>
                    <w:ind w:firstLine="0" w:firstLineChars="0"/>
                    <w:jc w:val="center"/>
                    <w:rPr>
                      <w:b/>
                      <w:bCs/>
                      <w:kern w:val="0"/>
                      <w:sz w:val="21"/>
                      <w:szCs w:val="21"/>
                    </w:rPr>
                  </w:pPr>
                  <w:r>
                    <w:rPr>
                      <w:b/>
                      <w:bCs/>
                      <w:kern w:val="0"/>
                      <w:sz w:val="21"/>
                      <w:szCs w:val="21"/>
                    </w:rPr>
                    <w:t>六</w:t>
                  </w:r>
                </w:p>
              </w:tc>
              <w:tc>
                <w:tcPr>
                  <w:tcW w:w="4714" w:type="pct"/>
                  <w:gridSpan w:val="5"/>
                  <w:vAlign w:val="center"/>
                </w:tcPr>
                <w:p>
                  <w:pPr>
                    <w:widowControl/>
                    <w:spacing w:line="240" w:lineRule="auto"/>
                    <w:ind w:firstLine="0" w:firstLineChars="0"/>
                    <w:jc w:val="center"/>
                    <w:rPr>
                      <w:b/>
                      <w:bCs/>
                      <w:kern w:val="0"/>
                      <w:sz w:val="21"/>
                      <w:szCs w:val="21"/>
                    </w:rPr>
                  </w:pPr>
                  <w:r>
                    <w:rPr>
                      <w:b/>
                      <w:bCs/>
                      <w:kern w:val="0"/>
                      <w:sz w:val="21"/>
                      <w:szCs w:val="21"/>
                    </w:rPr>
                    <w:t>山地工程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b/>
                      <w:bCs/>
                      <w:kern w:val="0"/>
                      <w:sz w:val="21"/>
                      <w:szCs w:val="21"/>
                    </w:rPr>
                  </w:pPr>
                  <w:r>
                    <w:rPr>
                      <w:b/>
                      <w:bCs/>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坑探</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岩石级别Ⅷ</w:t>
                  </w:r>
                </w:p>
              </w:tc>
              <w:tc>
                <w:tcPr>
                  <w:tcW w:w="370" w:type="pct"/>
                  <w:vAlign w:val="center"/>
                </w:tcPr>
                <w:p>
                  <w:pPr>
                    <w:widowControl/>
                    <w:spacing w:line="240" w:lineRule="auto"/>
                    <w:ind w:firstLine="0" w:firstLineChars="0"/>
                    <w:jc w:val="center"/>
                    <w:rPr>
                      <w:kern w:val="0"/>
                      <w:sz w:val="21"/>
                      <w:szCs w:val="21"/>
                    </w:rPr>
                  </w:pPr>
                  <w:r>
                    <w:rPr>
                      <w:kern w:val="0"/>
                      <w:sz w:val="21"/>
                      <w:szCs w:val="21"/>
                    </w:rPr>
                    <w:t>m</w:t>
                  </w:r>
                </w:p>
              </w:tc>
              <w:tc>
                <w:tcPr>
                  <w:tcW w:w="424" w:type="pct"/>
                  <w:vAlign w:val="center"/>
                </w:tcPr>
                <w:p>
                  <w:pPr>
                    <w:widowControl/>
                    <w:spacing w:line="240" w:lineRule="auto"/>
                    <w:ind w:firstLine="0" w:firstLineChars="0"/>
                    <w:jc w:val="center"/>
                    <w:rPr>
                      <w:kern w:val="0"/>
                      <w:sz w:val="21"/>
                      <w:szCs w:val="21"/>
                    </w:rPr>
                  </w:pPr>
                  <w:r>
                    <w:rPr>
                      <w:kern w:val="0"/>
                      <w:sz w:val="21"/>
                      <w:szCs w:val="21"/>
                    </w:rPr>
                    <w:t>300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探槽</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0-1.5m，土石方</w:t>
                  </w:r>
                </w:p>
              </w:tc>
              <w:tc>
                <w:tcPr>
                  <w:tcW w:w="370" w:type="pct"/>
                  <w:vAlign w:val="center"/>
                </w:tcPr>
                <w:p>
                  <w:pPr>
                    <w:widowControl/>
                    <w:spacing w:line="240" w:lineRule="auto"/>
                    <w:ind w:firstLine="0" w:firstLineChars="0"/>
                    <w:jc w:val="center"/>
                    <w:rPr>
                      <w:color w:val="000000"/>
                      <w:kern w:val="0"/>
                      <w:sz w:val="21"/>
                      <w:szCs w:val="21"/>
                    </w:rPr>
                  </w:pPr>
                  <w:r>
                    <w:rPr>
                      <w:color w:val="000000"/>
                      <w:kern w:val="0"/>
                      <w:sz w:val="21"/>
                      <w:szCs w:val="21"/>
                    </w:rPr>
                    <w:t>m</w:t>
                  </w:r>
                  <w:r>
                    <w:rPr>
                      <w:kern w:val="0"/>
                      <w:sz w:val="21"/>
                      <w:szCs w:val="21"/>
                      <w:vertAlign w:val="superscript"/>
                    </w:rPr>
                    <w:t>3</w:t>
                  </w:r>
                </w:p>
              </w:tc>
              <w:tc>
                <w:tcPr>
                  <w:tcW w:w="424" w:type="pct"/>
                  <w:vAlign w:val="center"/>
                </w:tcPr>
                <w:p>
                  <w:pPr>
                    <w:widowControl/>
                    <w:spacing w:line="240" w:lineRule="auto"/>
                    <w:ind w:firstLine="0" w:firstLineChars="0"/>
                    <w:jc w:val="center"/>
                    <w:rPr>
                      <w:kern w:val="0"/>
                      <w:sz w:val="21"/>
                      <w:szCs w:val="21"/>
                    </w:rPr>
                  </w:pPr>
                  <w:r>
                    <w:rPr>
                      <w:kern w:val="0"/>
                      <w:sz w:val="21"/>
                      <w:szCs w:val="21"/>
                    </w:rPr>
                    <w:t>2000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6" w:type="pct"/>
                  <w:vAlign w:val="center"/>
                </w:tcPr>
                <w:p>
                  <w:pPr>
                    <w:widowControl/>
                    <w:spacing w:line="240" w:lineRule="auto"/>
                    <w:ind w:firstLine="0" w:firstLineChars="0"/>
                    <w:jc w:val="center"/>
                    <w:rPr>
                      <w:b/>
                      <w:bCs/>
                      <w:kern w:val="0"/>
                      <w:sz w:val="21"/>
                      <w:szCs w:val="21"/>
                    </w:rPr>
                  </w:pPr>
                  <w:r>
                    <w:rPr>
                      <w:b/>
                      <w:bCs/>
                      <w:kern w:val="0"/>
                      <w:sz w:val="21"/>
                      <w:szCs w:val="21"/>
                    </w:rPr>
                    <w:t>七</w:t>
                  </w:r>
                </w:p>
              </w:tc>
              <w:tc>
                <w:tcPr>
                  <w:tcW w:w="4714" w:type="pct"/>
                  <w:gridSpan w:val="5"/>
                  <w:vAlign w:val="center"/>
                </w:tcPr>
                <w:p>
                  <w:pPr>
                    <w:widowControl/>
                    <w:spacing w:line="240" w:lineRule="auto"/>
                    <w:ind w:firstLine="0" w:firstLineChars="0"/>
                    <w:jc w:val="center"/>
                    <w:rPr>
                      <w:b/>
                      <w:bCs/>
                      <w:kern w:val="0"/>
                      <w:sz w:val="21"/>
                      <w:szCs w:val="21"/>
                    </w:rPr>
                  </w:pPr>
                  <w:r>
                    <w:rPr>
                      <w:b/>
                      <w:bCs/>
                      <w:kern w:val="0"/>
                      <w:sz w:val="21"/>
                      <w:szCs w:val="21"/>
                    </w:rPr>
                    <w:t>岩矿测试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基本分析样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Au、Cu</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1200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微量元素分析样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ICP-AES</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3</w:t>
                  </w:r>
                </w:p>
              </w:tc>
              <w:tc>
                <w:tcPr>
                  <w:tcW w:w="1587" w:type="pct"/>
                  <w:vAlign w:val="center"/>
                </w:tcPr>
                <w:p>
                  <w:pPr>
                    <w:widowControl/>
                    <w:spacing w:line="240" w:lineRule="auto"/>
                    <w:ind w:firstLine="0" w:firstLineChars="0"/>
                    <w:jc w:val="center"/>
                    <w:rPr>
                      <w:kern w:val="0"/>
                      <w:sz w:val="21"/>
                      <w:szCs w:val="21"/>
                    </w:rPr>
                  </w:pPr>
                  <w:r>
                    <w:rPr>
                      <w:kern w:val="0"/>
                      <w:sz w:val="21"/>
                      <w:szCs w:val="21"/>
                    </w:rPr>
                    <w:t>稀土元素分析样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RE15项</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4</w:t>
                  </w:r>
                </w:p>
              </w:tc>
              <w:tc>
                <w:tcPr>
                  <w:tcW w:w="1587" w:type="pct"/>
                  <w:vAlign w:val="center"/>
                </w:tcPr>
                <w:p>
                  <w:pPr>
                    <w:widowControl/>
                    <w:spacing w:line="240" w:lineRule="auto"/>
                    <w:ind w:firstLine="0" w:firstLineChars="0"/>
                    <w:jc w:val="center"/>
                    <w:rPr>
                      <w:kern w:val="0"/>
                      <w:sz w:val="21"/>
                      <w:szCs w:val="21"/>
                    </w:rPr>
                  </w:pPr>
                  <w:r>
                    <w:rPr>
                      <w:kern w:val="0"/>
                      <w:sz w:val="21"/>
                      <w:szCs w:val="21"/>
                    </w:rPr>
                    <w:t>硅酸盐分析样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硅酸盐13项</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6</w:t>
                  </w:r>
                </w:p>
              </w:tc>
              <w:tc>
                <w:tcPr>
                  <w:tcW w:w="1587" w:type="pct"/>
                  <w:vAlign w:val="center"/>
                </w:tcPr>
                <w:p>
                  <w:pPr>
                    <w:widowControl/>
                    <w:spacing w:line="240" w:lineRule="auto"/>
                    <w:ind w:firstLine="0" w:firstLineChars="0"/>
                    <w:jc w:val="center"/>
                    <w:rPr>
                      <w:kern w:val="0"/>
                      <w:sz w:val="21"/>
                      <w:szCs w:val="21"/>
                    </w:rPr>
                  </w:pPr>
                  <w:r>
                    <w:rPr>
                      <w:kern w:val="0"/>
                      <w:sz w:val="21"/>
                      <w:szCs w:val="21"/>
                    </w:rPr>
                    <w:t>组合分析样</w:t>
                  </w:r>
                </w:p>
              </w:tc>
              <w:tc>
                <w:tcPr>
                  <w:tcW w:w="1686" w:type="pct"/>
                  <w:vAlign w:val="center"/>
                </w:tcPr>
                <w:p>
                  <w:pPr>
                    <w:widowControl/>
                    <w:spacing w:line="240" w:lineRule="auto"/>
                    <w:ind w:firstLine="0" w:firstLineChars="0"/>
                    <w:jc w:val="center"/>
                    <w:rPr>
                      <w:kern w:val="0"/>
                      <w:sz w:val="21"/>
                      <w:szCs w:val="21"/>
                    </w:rPr>
                  </w:pPr>
                  <w:r>
                    <w:rPr>
                      <w:kern w:val="0"/>
                      <w:sz w:val="21"/>
                      <w:szCs w:val="21"/>
                    </w:rPr>
                    <w:t>Au、Cu、Pb、Zn、WO</w:t>
                  </w:r>
                  <w:r>
                    <w:rPr>
                      <w:kern w:val="0"/>
                      <w:sz w:val="21"/>
                      <w:szCs w:val="21"/>
                      <w:vertAlign w:val="subscript"/>
                    </w:rPr>
                    <w:t>3</w:t>
                  </w:r>
                  <w:r>
                    <w:rPr>
                      <w:kern w:val="0"/>
                      <w:sz w:val="21"/>
                      <w:szCs w:val="21"/>
                    </w:rPr>
                    <w:t>、Sb、Mo、As、S、Co、Ag</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7</w:t>
                  </w:r>
                </w:p>
              </w:tc>
              <w:tc>
                <w:tcPr>
                  <w:tcW w:w="1587" w:type="pct"/>
                  <w:vAlign w:val="center"/>
                </w:tcPr>
                <w:p>
                  <w:pPr>
                    <w:widowControl/>
                    <w:spacing w:line="240" w:lineRule="auto"/>
                    <w:ind w:firstLine="0" w:firstLineChars="0"/>
                    <w:jc w:val="center"/>
                    <w:rPr>
                      <w:kern w:val="0"/>
                      <w:sz w:val="21"/>
                      <w:szCs w:val="21"/>
                    </w:rPr>
                  </w:pPr>
                  <w:r>
                    <w:rPr>
                      <w:kern w:val="0"/>
                      <w:sz w:val="21"/>
                      <w:szCs w:val="21"/>
                    </w:rPr>
                    <w:t>光谱全分析</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垂直电极法</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30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65"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8</w:t>
                  </w:r>
                </w:p>
              </w:tc>
              <w:tc>
                <w:tcPr>
                  <w:tcW w:w="1587" w:type="pct"/>
                  <w:vAlign w:val="center"/>
                </w:tcPr>
                <w:p>
                  <w:pPr>
                    <w:widowControl/>
                    <w:spacing w:line="240" w:lineRule="auto"/>
                    <w:ind w:firstLine="0" w:firstLineChars="0"/>
                    <w:jc w:val="center"/>
                    <w:rPr>
                      <w:kern w:val="0"/>
                      <w:sz w:val="21"/>
                      <w:szCs w:val="21"/>
                    </w:rPr>
                  </w:pPr>
                  <w:r>
                    <w:rPr>
                      <w:kern w:val="0"/>
                      <w:sz w:val="21"/>
                      <w:szCs w:val="21"/>
                    </w:rPr>
                    <w:t>岩、矿石全分析样</w:t>
                  </w:r>
                </w:p>
              </w:tc>
              <w:tc>
                <w:tcPr>
                  <w:tcW w:w="1686" w:type="pct"/>
                  <w:vAlign w:val="center"/>
                </w:tcPr>
                <w:p>
                  <w:pPr>
                    <w:widowControl/>
                    <w:spacing w:line="240" w:lineRule="auto"/>
                    <w:ind w:firstLine="0" w:firstLineChars="0"/>
                    <w:jc w:val="center"/>
                    <w:rPr>
                      <w:kern w:val="0"/>
                      <w:sz w:val="21"/>
                      <w:szCs w:val="21"/>
                    </w:rPr>
                  </w:pPr>
                  <w:r>
                    <w:rPr>
                      <w:kern w:val="0"/>
                      <w:sz w:val="21"/>
                      <w:szCs w:val="21"/>
                    </w:rPr>
                    <w:t>Pb、Zn、Mo、Co、WO、Sn、Ni、S、Bi、Au、Ag、Cu、Cd、Se、Te、Ga、Ge、Re、In、Tl</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5</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9</w:t>
                  </w:r>
                </w:p>
              </w:tc>
              <w:tc>
                <w:tcPr>
                  <w:tcW w:w="1587" w:type="pct"/>
                  <w:vAlign w:val="center"/>
                </w:tcPr>
                <w:p>
                  <w:pPr>
                    <w:widowControl/>
                    <w:spacing w:line="240" w:lineRule="auto"/>
                    <w:ind w:firstLine="0" w:firstLineChars="0"/>
                    <w:jc w:val="center"/>
                    <w:rPr>
                      <w:kern w:val="0"/>
                      <w:sz w:val="21"/>
                      <w:szCs w:val="21"/>
                    </w:rPr>
                  </w:pPr>
                  <w:r>
                    <w:rPr>
                      <w:kern w:val="0"/>
                      <w:sz w:val="21"/>
                      <w:szCs w:val="21"/>
                    </w:rPr>
                    <w:t>物相分析</w:t>
                  </w:r>
                </w:p>
              </w:tc>
              <w:tc>
                <w:tcPr>
                  <w:tcW w:w="1686" w:type="pct"/>
                  <w:noWrap/>
                  <w:vAlign w:val="center"/>
                </w:tcPr>
                <w:p>
                  <w:pPr>
                    <w:widowControl/>
                    <w:spacing w:line="240" w:lineRule="auto"/>
                    <w:ind w:firstLine="420"/>
                    <w:jc w:val="center"/>
                    <w:rPr>
                      <w:kern w:val="0"/>
                      <w:sz w:val="21"/>
                      <w:szCs w:val="21"/>
                    </w:rPr>
                  </w:pPr>
                  <w:r>
                    <w:rPr>
                      <w:kern w:val="0"/>
                      <w:sz w:val="21"/>
                      <w:szCs w:val="21"/>
                    </w:rPr>
                    <w:t>铜物相</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shd w:val="clear" w:color="auto" w:fill="auto"/>
                  <w:vAlign w:val="center"/>
                </w:tcPr>
                <w:p>
                  <w:pPr>
                    <w:widowControl/>
                    <w:spacing w:line="240" w:lineRule="auto"/>
                    <w:ind w:firstLine="0" w:firstLineChars="0"/>
                    <w:jc w:val="center"/>
                    <w:rPr>
                      <w:kern w:val="0"/>
                      <w:sz w:val="21"/>
                      <w:szCs w:val="21"/>
                    </w:rPr>
                  </w:pPr>
                  <w:r>
                    <w:rPr>
                      <w:kern w:val="0"/>
                      <w:sz w:val="21"/>
                      <w:szCs w:val="21"/>
                    </w:rPr>
                    <w:t>10</w:t>
                  </w:r>
                </w:p>
              </w:tc>
              <w:tc>
                <w:tcPr>
                  <w:tcW w:w="1587" w:type="pct"/>
                  <w:shd w:val="clear" w:color="000000" w:fill="FFFFFF"/>
                  <w:noWrap/>
                  <w:vAlign w:val="center"/>
                </w:tcPr>
                <w:p>
                  <w:pPr>
                    <w:widowControl/>
                    <w:spacing w:line="240" w:lineRule="auto"/>
                    <w:ind w:firstLine="0" w:firstLineChars="0"/>
                    <w:jc w:val="center"/>
                    <w:rPr>
                      <w:kern w:val="0"/>
                      <w:sz w:val="21"/>
                      <w:szCs w:val="21"/>
                    </w:rPr>
                  </w:pPr>
                  <w:r>
                    <w:rPr>
                      <w:kern w:val="0"/>
                      <w:sz w:val="21"/>
                      <w:szCs w:val="21"/>
                    </w:rPr>
                    <w:t>水系沉积物样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16种元素</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shd w:val="clear" w:color="auto" w:fill="auto"/>
                  <w:vAlign w:val="center"/>
                </w:tcPr>
                <w:p>
                  <w:pPr>
                    <w:widowControl/>
                    <w:spacing w:line="240" w:lineRule="auto"/>
                    <w:ind w:firstLine="0" w:firstLineChars="0"/>
                    <w:jc w:val="center"/>
                    <w:rPr>
                      <w:kern w:val="0"/>
                      <w:sz w:val="21"/>
                      <w:szCs w:val="21"/>
                    </w:rPr>
                  </w:pPr>
                  <w:r>
                    <w:rPr>
                      <w:kern w:val="0"/>
                      <w:sz w:val="21"/>
                      <w:szCs w:val="21"/>
                    </w:rPr>
                    <w:t>11</w:t>
                  </w:r>
                </w:p>
              </w:tc>
              <w:tc>
                <w:tcPr>
                  <w:tcW w:w="1587" w:type="pct"/>
                  <w:shd w:val="clear" w:color="000000" w:fill="FFFFFF"/>
                  <w:noWrap/>
                  <w:vAlign w:val="center"/>
                </w:tcPr>
                <w:p>
                  <w:pPr>
                    <w:widowControl/>
                    <w:spacing w:line="240" w:lineRule="auto"/>
                    <w:ind w:firstLine="0" w:firstLineChars="0"/>
                    <w:jc w:val="center"/>
                    <w:rPr>
                      <w:kern w:val="0"/>
                      <w:sz w:val="21"/>
                      <w:szCs w:val="21"/>
                    </w:rPr>
                  </w:pPr>
                  <w:r>
                    <w:rPr>
                      <w:kern w:val="0"/>
                      <w:sz w:val="21"/>
                      <w:szCs w:val="21"/>
                    </w:rPr>
                    <w:t>基岩（岩石）化探样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10种元素</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300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shd w:val="clear" w:color="auto" w:fill="auto"/>
                  <w:vAlign w:val="center"/>
                </w:tcPr>
                <w:p>
                  <w:pPr>
                    <w:widowControl/>
                    <w:spacing w:line="240" w:lineRule="auto"/>
                    <w:ind w:firstLine="0" w:firstLineChars="0"/>
                    <w:jc w:val="center"/>
                    <w:rPr>
                      <w:kern w:val="0"/>
                      <w:sz w:val="21"/>
                      <w:szCs w:val="21"/>
                    </w:rPr>
                  </w:pPr>
                  <w:r>
                    <w:rPr>
                      <w:kern w:val="0"/>
                      <w:sz w:val="21"/>
                      <w:szCs w:val="21"/>
                    </w:rPr>
                    <w:t>12</w:t>
                  </w:r>
                </w:p>
              </w:tc>
              <w:tc>
                <w:tcPr>
                  <w:tcW w:w="1587" w:type="pct"/>
                  <w:shd w:val="clear" w:color="000000" w:fill="FFFFFF"/>
                  <w:vAlign w:val="center"/>
                </w:tcPr>
                <w:p>
                  <w:pPr>
                    <w:widowControl/>
                    <w:spacing w:line="240" w:lineRule="auto"/>
                    <w:ind w:firstLine="0" w:firstLineChars="0"/>
                    <w:jc w:val="center"/>
                    <w:rPr>
                      <w:color w:val="000000"/>
                      <w:kern w:val="0"/>
                      <w:sz w:val="21"/>
                      <w:szCs w:val="21"/>
                    </w:rPr>
                  </w:pPr>
                  <w:r>
                    <w:rPr>
                      <w:color w:val="000000"/>
                      <w:kern w:val="0"/>
                      <w:sz w:val="21"/>
                      <w:szCs w:val="21"/>
                    </w:rPr>
                    <w:t>水质综合分析样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全分析、简分析</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7</w:t>
                  </w:r>
                </w:p>
              </w:tc>
              <w:tc>
                <w:tcPr>
                  <w:tcW w:w="646" w:type="pct"/>
                  <w:vAlign w:val="center"/>
                </w:tcPr>
                <w:p>
                  <w:pPr>
                    <w:widowControl/>
                    <w:spacing w:line="240" w:lineRule="auto"/>
                    <w:ind w:firstLine="0" w:firstLineChars="0"/>
                    <w:jc w:val="center"/>
                    <w:rPr>
                      <w:kern w:val="0"/>
                      <w:sz w:val="21"/>
                      <w:szCs w:val="21"/>
                    </w:rPr>
                  </w:pPr>
                  <w:r>
                    <w:rPr>
                      <w:kern w:val="0"/>
                      <w:sz w:val="21"/>
                      <w:szCs w:val="21"/>
                    </w:rPr>
                    <w:t>全分析、简分析各5件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vAlign w:val="center"/>
                </w:tcPr>
                <w:p>
                  <w:pPr>
                    <w:widowControl/>
                    <w:spacing w:line="240" w:lineRule="auto"/>
                    <w:ind w:firstLine="0" w:firstLineChars="0"/>
                    <w:jc w:val="center"/>
                    <w:rPr>
                      <w:kern w:val="0"/>
                      <w:sz w:val="21"/>
                      <w:szCs w:val="21"/>
                    </w:rPr>
                  </w:pPr>
                  <w:r>
                    <w:rPr>
                      <w:kern w:val="0"/>
                      <w:sz w:val="21"/>
                      <w:szCs w:val="21"/>
                    </w:rPr>
                    <w:t>13</w:t>
                  </w:r>
                </w:p>
              </w:tc>
              <w:tc>
                <w:tcPr>
                  <w:tcW w:w="1587" w:type="pct"/>
                  <w:vAlign w:val="center"/>
                </w:tcPr>
                <w:p>
                  <w:pPr>
                    <w:widowControl/>
                    <w:spacing w:line="240" w:lineRule="auto"/>
                    <w:ind w:firstLine="0" w:firstLineChars="0"/>
                    <w:jc w:val="center"/>
                    <w:rPr>
                      <w:kern w:val="0"/>
                      <w:sz w:val="21"/>
                      <w:szCs w:val="21"/>
                    </w:rPr>
                  </w:pPr>
                  <w:r>
                    <w:rPr>
                      <w:kern w:val="0"/>
                      <w:sz w:val="21"/>
                      <w:szCs w:val="21"/>
                    </w:rPr>
                    <w:t>水质单分析样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223Ra放射性、细菌总数</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4</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shd w:val="clear" w:color="auto" w:fill="auto"/>
                  <w:vAlign w:val="center"/>
                </w:tcPr>
                <w:p>
                  <w:pPr>
                    <w:widowControl/>
                    <w:spacing w:line="240" w:lineRule="auto"/>
                    <w:ind w:firstLine="0" w:firstLineChars="0"/>
                    <w:jc w:val="center"/>
                    <w:rPr>
                      <w:kern w:val="0"/>
                      <w:sz w:val="21"/>
                      <w:szCs w:val="21"/>
                    </w:rPr>
                  </w:pPr>
                  <w:r>
                    <w:rPr>
                      <w:kern w:val="0"/>
                      <w:sz w:val="21"/>
                      <w:szCs w:val="21"/>
                    </w:rPr>
                    <w:t>14</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薄片鉴定</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一般</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20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shd w:val="clear" w:color="auto" w:fill="auto"/>
                  <w:vAlign w:val="center"/>
                </w:tcPr>
                <w:p>
                  <w:pPr>
                    <w:widowControl/>
                    <w:spacing w:line="240" w:lineRule="auto"/>
                    <w:ind w:firstLine="0" w:firstLineChars="0"/>
                    <w:jc w:val="center"/>
                    <w:rPr>
                      <w:kern w:val="0"/>
                      <w:sz w:val="21"/>
                      <w:szCs w:val="21"/>
                    </w:rPr>
                  </w:pPr>
                  <w:r>
                    <w:rPr>
                      <w:kern w:val="0"/>
                      <w:sz w:val="21"/>
                      <w:szCs w:val="21"/>
                    </w:rPr>
                    <w:t>15</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光片鉴定</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一般</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20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shd w:val="clear" w:color="auto" w:fill="auto"/>
                  <w:vAlign w:val="center"/>
                </w:tcPr>
                <w:p>
                  <w:pPr>
                    <w:widowControl/>
                    <w:spacing w:line="240" w:lineRule="auto"/>
                    <w:ind w:firstLine="0" w:firstLineChars="0"/>
                    <w:jc w:val="center"/>
                    <w:rPr>
                      <w:kern w:val="0"/>
                      <w:sz w:val="21"/>
                      <w:szCs w:val="21"/>
                    </w:rPr>
                  </w:pPr>
                  <w:r>
                    <w:rPr>
                      <w:kern w:val="0"/>
                      <w:sz w:val="21"/>
                      <w:szCs w:val="21"/>
                    </w:rPr>
                    <w:t>16</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岩石力学样</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30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shd w:val="clear" w:color="auto" w:fill="auto"/>
                  <w:vAlign w:val="center"/>
                </w:tcPr>
                <w:p>
                  <w:pPr>
                    <w:widowControl/>
                    <w:spacing w:line="240" w:lineRule="auto"/>
                    <w:ind w:firstLine="0" w:firstLineChars="0"/>
                    <w:jc w:val="center"/>
                    <w:rPr>
                      <w:kern w:val="0"/>
                      <w:sz w:val="21"/>
                      <w:szCs w:val="21"/>
                    </w:rPr>
                  </w:pPr>
                  <w:r>
                    <w:rPr>
                      <w:kern w:val="0"/>
                      <w:sz w:val="21"/>
                      <w:szCs w:val="21"/>
                    </w:rPr>
                    <w:t>17</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小体重</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60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shd w:val="clear" w:color="auto" w:fill="auto"/>
                  <w:vAlign w:val="center"/>
                </w:tcPr>
                <w:p>
                  <w:pPr>
                    <w:widowControl/>
                    <w:spacing w:line="240" w:lineRule="auto"/>
                    <w:ind w:firstLine="0" w:firstLineChars="0"/>
                    <w:jc w:val="center"/>
                    <w:rPr>
                      <w:kern w:val="0"/>
                      <w:sz w:val="21"/>
                      <w:szCs w:val="21"/>
                    </w:rPr>
                  </w:pPr>
                  <w:r>
                    <w:rPr>
                      <w:kern w:val="0"/>
                      <w:sz w:val="21"/>
                      <w:szCs w:val="21"/>
                    </w:rPr>
                    <w:t>18</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试验室试验</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一般样</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shd w:val="clear" w:color="auto" w:fill="auto"/>
                  <w:vAlign w:val="center"/>
                </w:tcPr>
                <w:p>
                  <w:pPr>
                    <w:widowControl/>
                    <w:spacing w:line="240" w:lineRule="auto"/>
                    <w:ind w:firstLine="0" w:firstLineChars="0"/>
                    <w:jc w:val="center"/>
                    <w:rPr>
                      <w:kern w:val="0"/>
                      <w:sz w:val="21"/>
                      <w:szCs w:val="21"/>
                    </w:rPr>
                  </w:pPr>
                  <w:r>
                    <w:rPr>
                      <w:kern w:val="0"/>
                      <w:sz w:val="21"/>
                      <w:szCs w:val="21"/>
                    </w:rPr>
                    <w:t>19</w:t>
                  </w:r>
                </w:p>
              </w:tc>
              <w:tc>
                <w:tcPr>
                  <w:tcW w:w="1587" w:type="pct"/>
                  <w:shd w:val="clear" w:color="000000" w:fill="FFFFFF"/>
                  <w:noWrap/>
                  <w:vAlign w:val="center"/>
                </w:tcPr>
                <w:p>
                  <w:pPr>
                    <w:widowControl/>
                    <w:spacing w:line="240" w:lineRule="auto"/>
                    <w:ind w:firstLine="0" w:firstLineChars="0"/>
                    <w:jc w:val="center"/>
                    <w:rPr>
                      <w:kern w:val="0"/>
                      <w:sz w:val="21"/>
                      <w:szCs w:val="21"/>
                    </w:rPr>
                  </w:pPr>
                  <w:r>
                    <w:rPr>
                      <w:kern w:val="0"/>
                      <w:sz w:val="21"/>
                      <w:szCs w:val="21"/>
                    </w:rPr>
                    <w:t>工业指标论证</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份</w:t>
                  </w:r>
                </w:p>
              </w:tc>
              <w:tc>
                <w:tcPr>
                  <w:tcW w:w="424" w:type="pct"/>
                  <w:vAlign w:val="center"/>
                </w:tcPr>
                <w:p>
                  <w:pPr>
                    <w:widowControl/>
                    <w:spacing w:line="240" w:lineRule="auto"/>
                    <w:ind w:firstLine="0" w:firstLineChars="0"/>
                    <w:jc w:val="center"/>
                    <w:rPr>
                      <w:kern w:val="0"/>
                      <w:sz w:val="21"/>
                      <w:szCs w:val="21"/>
                    </w:rPr>
                  </w:pPr>
                  <w:r>
                    <w:rPr>
                      <w:kern w:val="0"/>
                      <w:sz w:val="21"/>
                      <w:szCs w:val="21"/>
                    </w:rPr>
                    <w:t>1</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6" w:type="pct"/>
                  <w:vAlign w:val="center"/>
                </w:tcPr>
                <w:p>
                  <w:pPr>
                    <w:widowControl/>
                    <w:spacing w:line="240" w:lineRule="auto"/>
                    <w:ind w:firstLine="0" w:firstLineChars="0"/>
                    <w:jc w:val="center"/>
                    <w:rPr>
                      <w:b/>
                      <w:bCs/>
                      <w:kern w:val="0"/>
                      <w:sz w:val="21"/>
                      <w:szCs w:val="21"/>
                    </w:rPr>
                  </w:pPr>
                  <w:r>
                    <w:rPr>
                      <w:b/>
                      <w:bCs/>
                      <w:kern w:val="0"/>
                      <w:sz w:val="21"/>
                      <w:szCs w:val="21"/>
                    </w:rPr>
                    <w:t>八</w:t>
                  </w:r>
                </w:p>
              </w:tc>
              <w:tc>
                <w:tcPr>
                  <w:tcW w:w="4714" w:type="pct"/>
                  <w:gridSpan w:val="5"/>
                  <w:vAlign w:val="center"/>
                </w:tcPr>
                <w:p>
                  <w:pPr>
                    <w:widowControl/>
                    <w:spacing w:line="240" w:lineRule="auto"/>
                    <w:ind w:firstLine="0" w:firstLineChars="0"/>
                    <w:jc w:val="center"/>
                    <w:rPr>
                      <w:b/>
                      <w:bCs/>
                      <w:kern w:val="0"/>
                      <w:sz w:val="21"/>
                      <w:szCs w:val="21"/>
                    </w:rPr>
                  </w:pPr>
                  <w:r>
                    <w:rPr>
                      <w:b/>
                      <w:bCs/>
                      <w:kern w:val="0"/>
                      <w:sz w:val="21"/>
                      <w:szCs w:val="21"/>
                    </w:rPr>
                    <w:t>其他地质工作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勘探剖面测量</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2</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工程点测量</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点</w:t>
                  </w:r>
                </w:p>
              </w:tc>
              <w:tc>
                <w:tcPr>
                  <w:tcW w:w="424" w:type="pct"/>
                  <w:vAlign w:val="center"/>
                </w:tcPr>
                <w:p>
                  <w:pPr>
                    <w:widowControl/>
                    <w:spacing w:line="240" w:lineRule="auto"/>
                    <w:ind w:firstLine="0" w:firstLineChars="0"/>
                    <w:jc w:val="center"/>
                    <w:rPr>
                      <w:kern w:val="0"/>
                      <w:sz w:val="21"/>
                      <w:szCs w:val="21"/>
                    </w:rPr>
                  </w:pPr>
                  <w:r>
                    <w:rPr>
                      <w:kern w:val="0"/>
                      <w:sz w:val="21"/>
                      <w:szCs w:val="21"/>
                    </w:rPr>
                    <w:t>20</w:t>
                  </w:r>
                </w:p>
              </w:tc>
              <w:tc>
                <w:tcPr>
                  <w:tcW w:w="646"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6"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剖面测量</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6" w:type="pct"/>
                  <w:vAlign w:val="center"/>
                </w:tcPr>
                <w:p>
                  <w:pPr>
                    <w:widowControl/>
                    <w:spacing w:line="240" w:lineRule="auto"/>
                    <w:ind w:firstLine="0" w:firstLineChars="0"/>
                    <w:jc w:val="center"/>
                    <w:rPr>
                      <w:kern w:val="0"/>
                      <w:sz w:val="21"/>
                      <w:szCs w:val="21"/>
                    </w:rPr>
                  </w:pPr>
                </w:p>
              </w:tc>
            </w:tr>
          </w:tbl>
          <w:p>
            <w:pPr>
              <w:pStyle w:val="14"/>
              <w:ind w:firstLine="482" w:firstLineChars="200"/>
            </w:pPr>
            <w:r>
              <w:rPr>
                <w:rFonts w:hint="eastAsia"/>
              </w:rPr>
              <w:t>5.主要勘察设备</w:t>
            </w:r>
          </w:p>
          <w:p>
            <w:r>
              <w:t>本项目主要勘查设备见表2-3。</w:t>
            </w:r>
          </w:p>
          <w:p>
            <w:pPr>
              <w:pStyle w:val="27"/>
              <w:spacing w:before="156"/>
            </w:pPr>
            <w:r>
              <w:rPr>
                <w:rFonts w:hint="eastAsia"/>
              </w:rPr>
              <w:t>表2</w:t>
            </w:r>
            <w:r>
              <w:t>-3  主要</w:t>
            </w:r>
            <w:r>
              <w:rPr>
                <w:rFonts w:hint="eastAsia"/>
              </w:rPr>
              <w:t>勘查</w:t>
            </w:r>
            <w:r>
              <w:t>设备一览表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3439"/>
              <w:gridCol w:w="11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blHeader/>
                <w:jc w:val="center"/>
              </w:trPr>
              <w:tc>
                <w:tcPr>
                  <w:tcW w:w="1922" w:type="pct"/>
                  <w:tcMar>
                    <w:left w:w="0" w:type="dxa"/>
                    <w:right w:w="0" w:type="dxa"/>
                  </w:tcMar>
                  <w:vAlign w:val="center"/>
                </w:tcPr>
                <w:p>
                  <w:pPr>
                    <w:spacing w:line="240" w:lineRule="exact"/>
                    <w:ind w:firstLine="0" w:firstLineChars="0"/>
                    <w:jc w:val="center"/>
                    <w:rPr>
                      <w:rFonts w:ascii="宋体" w:hAnsi="宋体" w:cs="宋体"/>
                      <w:b/>
                      <w:color w:val="000000"/>
                      <w:sz w:val="21"/>
                      <w:szCs w:val="21"/>
                    </w:rPr>
                  </w:pPr>
                  <w:r>
                    <w:rPr>
                      <w:rFonts w:hint="eastAsia" w:ascii="宋体" w:hAnsi="宋体" w:cs="宋体"/>
                      <w:b/>
                      <w:color w:val="000000"/>
                      <w:sz w:val="21"/>
                      <w:szCs w:val="21"/>
                      <w:lang w:bidi="ar"/>
                    </w:rPr>
                    <w:t>设备名称</w:t>
                  </w:r>
                </w:p>
              </w:tc>
              <w:tc>
                <w:tcPr>
                  <w:tcW w:w="2300" w:type="pct"/>
                  <w:tcMar>
                    <w:left w:w="0" w:type="dxa"/>
                    <w:right w:w="0" w:type="dxa"/>
                  </w:tcMar>
                  <w:vAlign w:val="center"/>
                </w:tcPr>
                <w:p>
                  <w:pPr>
                    <w:spacing w:line="240" w:lineRule="exact"/>
                    <w:ind w:firstLine="0" w:firstLineChars="0"/>
                    <w:jc w:val="center"/>
                    <w:rPr>
                      <w:rFonts w:ascii="宋体" w:hAnsi="宋体" w:cs="宋体"/>
                      <w:b/>
                      <w:color w:val="000000"/>
                      <w:sz w:val="21"/>
                      <w:szCs w:val="21"/>
                    </w:rPr>
                  </w:pPr>
                  <w:r>
                    <w:rPr>
                      <w:rFonts w:hint="eastAsia" w:ascii="宋体" w:hAnsi="宋体" w:cs="宋体"/>
                      <w:b/>
                      <w:color w:val="000000"/>
                      <w:sz w:val="21"/>
                      <w:szCs w:val="21"/>
                      <w:lang w:bidi="ar"/>
                    </w:rPr>
                    <w:t>型号</w:t>
                  </w:r>
                </w:p>
              </w:tc>
              <w:tc>
                <w:tcPr>
                  <w:tcW w:w="778" w:type="pct"/>
                  <w:tcMar>
                    <w:left w:w="0" w:type="dxa"/>
                    <w:right w:w="0" w:type="dxa"/>
                  </w:tcMar>
                  <w:vAlign w:val="center"/>
                </w:tcPr>
                <w:p>
                  <w:pPr>
                    <w:spacing w:line="240" w:lineRule="exact"/>
                    <w:ind w:firstLine="0" w:firstLineChars="0"/>
                    <w:jc w:val="center"/>
                    <w:rPr>
                      <w:rFonts w:ascii="宋体" w:hAnsi="宋体" w:cs="宋体"/>
                      <w:b/>
                      <w:color w:val="000000"/>
                      <w:sz w:val="21"/>
                      <w:szCs w:val="21"/>
                    </w:rPr>
                  </w:pPr>
                  <w:r>
                    <w:rPr>
                      <w:rFonts w:hint="eastAsia" w:ascii="宋体" w:hAnsi="宋体" w:cs="宋体"/>
                      <w:b/>
                      <w:color w:val="000000"/>
                      <w:sz w:val="21"/>
                      <w:szCs w:val="21"/>
                      <w:lang w:bidi="ar"/>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rPr>
                  </w:pPr>
                  <w:r>
                    <w:rPr>
                      <w:color w:val="000000"/>
                      <w:sz w:val="21"/>
                      <w:szCs w:val="21"/>
                      <w:lang w:bidi="ar"/>
                    </w:rPr>
                    <w:t>轻型越野车</w:t>
                  </w:r>
                </w:p>
              </w:tc>
              <w:tc>
                <w:tcPr>
                  <w:tcW w:w="2300" w:type="pct"/>
                  <w:tcMar>
                    <w:left w:w="0" w:type="dxa"/>
                    <w:right w:w="0" w:type="dxa"/>
                  </w:tcMar>
                  <w:vAlign w:val="center"/>
                </w:tcPr>
                <w:p>
                  <w:pPr>
                    <w:spacing w:line="240" w:lineRule="exact"/>
                    <w:ind w:firstLine="0" w:firstLineChars="0"/>
                    <w:jc w:val="center"/>
                    <w:rPr>
                      <w:color w:val="000000"/>
                      <w:sz w:val="21"/>
                      <w:szCs w:val="21"/>
                    </w:rPr>
                  </w:pPr>
                  <w:r>
                    <w:rPr>
                      <w:color w:val="000000"/>
                      <w:sz w:val="21"/>
                      <w:szCs w:val="21"/>
                      <w:lang w:bidi="ar"/>
                    </w:rPr>
                    <w:t>尼桑皮卡ZX6494HBG4</w:t>
                  </w:r>
                </w:p>
              </w:tc>
              <w:tc>
                <w:tcPr>
                  <w:tcW w:w="778" w:type="pct"/>
                  <w:tcMar>
                    <w:left w:w="0" w:type="dxa"/>
                    <w:right w:w="0" w:type="dxa"/>
                  </w:tcMar>
                  <w:vAlign w:val="center"/>
                </w:tcPr>
                <w:p>
                  <w:pPr>
                    <w:spacing w:line="240" w:lineRule="exact"/>
                    <w:ind w:firstLine="0" w:firstLineChars="0"/>
                    <w:jc w:val="center"/>
                    <w:rPr>
                      <w:color w:val="000000"/>
                      <w:sz w:val="21"/>
                      <w:szCs w:val="21"/>
                    </w:rPr>
                  </w:pPr>
                  <w:r>
                    <w:rPr>
                      <w:color w:val="000000"/>
                      <w:sz w:val="21"/>
                      <w:szCs w:val="21"/>
                      <w:lang w:bidi="ar"/>
                    </w:rPr>
                    <w:t>3</w:t>
                  </w:r>
                  <w:r>
                    <w:rPr>
                      <w:rFonts w:hint="eastAsia"/>
                      <w:color w:val="000000"/>
                      <w:sz w:val="21"/>
                      <w:szCs w:val="21"/>
                      <w:lang w:bidi="ar"/>
                    </w:rPr>
                    <w:t>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越野载重汽车</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东风DFS5160G2KT</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1</w:t>
                  </w:r>
                  <w:r>
                    <w:rPr>
                      <w:rFonts w:hint="eastAsia"/>
                      <w:color w:val="000000"/>
                      <w:sz w:val="21"/>
                      <w:szCs w:val="21"/>
                      <w:lang w:bidi="ar"/>
                    </w:rPr>
                    <w:t>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全液压岩心钻机</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HYDX-2</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柴油机</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S1125</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数字测井系统</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PSJ-2</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高精度测斜仪</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CX-1</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笔记本电脑</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联想</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10</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GPS卫星定位仪</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集思宝</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12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数码相机</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富士F50FD</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10</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便携式矿</w:t>
                  </w:r>
                </w:p>
                <w:p>
                  <w:pPr>
                    <w:spacing w:line="240" w:lineRule="exact"/>
                    <w:ind w:firstLine="0" w:firstLineChars="0"/>
                    <w:jc w:val="center"/>
                    <w:rPr>
                      <w:color w:val="000000"/>
                      <w:sz w:val="21"/>
                      <w:szCs w:val="21"/>
                      <w:lang w:bidi="ar"/>
                    </w:rPr>
                  </w:pPr>
                  <w:r>
                    <w:rPr>
                      <w:color w:val="000000"/>
                      <w:sz w:val="21"/>
                      <w:szCs w:val="21"/>
                      <w:lang w:bidi="ar"/>
                    </w:rPr>
                    <w:t>石元素分析仪</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NITONXL3T-500</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刻槽取样机</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14J</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岩芯切割机</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BS355</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对讲机</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KT-3207</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12</w:t>
                  </w:r>
                  <w:r>
                    <w:rPr>
                      <w:rFonts w:hint="eastAsia"/>
                      <w:sz w:val="21"/>
                      <w:szCs w:val="21"/>
                    </w:rPr>
                    <w:t>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车载电台</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好易通TM800</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3</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台式电脑</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联想</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卫星电话</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ISATPHMEPKO</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3</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激光打印机</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HP5200LXA3</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新飞冰柜</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BCD</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大棉帐篷</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5×6m</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5</w:t>
                  </w:r>
                  <w:r>
                    <w:rPr>
                      <w:rFonts w:hint="eastAsia"/>
                      <w:sz w:val="21"/>
                      <w:szCs w:val="21"/>
                    </w:rPr>
                    <w:t>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小棉帐篷</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3×4m</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顶</w:t>
                  </w:r>
                </w:p>
              </w:tc>
            </w:tr>
          </w:tbl>
          <w:p>
            <w:pPr>
              <w:pStyle w:val="14"/>
              <w:ind w:firstLine="482" w:firstLineChars="200"/>
            </w:pPr>
            <w:r>
              <w:t>6</w:t>
            </w:r>
            <w:r>
              <w:rPr>
                <w:rFonts w:hint="eastAsia"/>
              </w:rPr>
              <w:t>.主要</w:t>
            </w:r>
            <w:r>
              <w:t>原、辅材料</w:t>
            </w:r>
            <w:r>
              <w:rPr>
                <w:rFonts w:hint="eastAsia"/>
              </w:rPr>
              <w:t>用量</w:t>
            </w:r>
          </w:p>
          <w:p>
            <w:r>
              <w:t>本项目主要原辅材料</w:t>
            </w:r>
            <w:r>
              <w:rPr>
                <w:rFonts w:hint="eastAsia"/>
              </w:rPr>
              <w:t>消耗</w:t>
            </w:r>
            <w:r>
              <w:t>见表</w:t>
            </w:r>
            <w:r>
              <w:rPr>
                <w:rFonts w:hint="eastAsia"/>
              </w:rPr>
              <w:t>2</w:t>
            </w:r>
            <w:r>
              <w:t>-4</w:t>
            </w:r>
            <w:r>
              <w:rPr>
                <w:rFonts w:hint="eastAsia"/>
              </w:rPr>
              <w:t>。</w:t>
            </w:r>
          </w:p>
          <w:p>
            <w:pPr>
              <w:pStyle w:val="27"/>
              <w:spacing w:before="156"/>
              <w:rPr>
                <w:bCs/>
              </w:rPr>
            </w:pPr>
            <w:r>
              <w:rPr>
                <w:rFonts w:hint="eastAsia"/>
              </w:rPr>
              <w:t>表2</w:t>
            </w:r>
            <w:r>
              <w:t xml:space="preserve">-4  </w:t>
            </w:r>
            <w:r>
              <w:rPr>
                <w:rFonts w:hint="eastAsia"/>
              </w:rPr>
              <w:t>主要原、辅材料消耗一览表</w:t>
            </w:r>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1438"/>
              <w:gridCol w:w="1258"/>
              <w:gridCol w:w="1741"/>
              <w:gridCol w:w="2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tcPr>
                <w:p>
                  <w:pPr>
                    <w:pStyle w:val="28"/>
                  </w:pPr>
                  <w:r>
                    <w:t>序号</w:t>
                  </w:r>
                </w:p>
              </w:tc>
              <w:tc>
                <w:tcPr>
                  <w:tcW w:w="962" w:type="pct"/>
                  <w:tcBorders>
                    <w:tl2br w:val="nil"/>
                    <w:tr2bl w:val="nil"/>
                  </w:tcBorders>
                </w:tcPr>
                <w:p>
                  <w:pPr>
                    <w:pStyle w:val="28"/>
                  </w:pPr>
                  <w:r>
                    <w:t>名称</w:t>
                  </w:r>
                </w:p>
              </w:tc>
              <w:tc>
                <w:tcPr>
                  <w:tcW w:w="842" w:type="pct"/>
                  <w:tcBorders>
                    <w:tl2br w:val="nil"/>
                    <w:tr2bl w:val="nil"/>
                  </w:tcBorders>
                </w:tcPr>
                <w:p>
                  <w:pPr>
                    <w:pStyle w:val="28"/>
                  </w:pPr>
                  <w:r>
                    <w:t>用量</w:t>
                  </w:r>
                </w:p>
              </w:tc>
              <w:tc>
                <w:tcPr>
                  <w:tcW w:w="1165" w:type="pct"/>
                  <w:tcBorders>
                    <w:tl2br w:val="nil"/>
                    <w:tr2bl w:val="nil"/>
                  </w:tcBorders>
                </w:tcPr>
                <w:p>
                  <w:pPr>
                    <w:pStyle w:val="28"/>
                  </w:pPr>
                  <w:r>
                    <w:t>来源</w:t>
                  </w:r>
                </w:p>
              </w:tc>
              <w:tc>
                <w:tcPr>
                  <w:tcW w:w="1574" w:type="pct"/>
                  <w:tcBorders>
                    <w:tl2br w:val="nil"/>
                    <w:tr2bl w:val="nil"/>
                  </w:tcBorders>
                </w:tcPr>
                <w:p>
                  <w:pPr>
                    <w:pStyle w:val="28"/>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8"/>
                  </w:pPr>
                  <w:r>
                    <w:t>1</w:t>
                  </w:r>
                </w:p>
              </w:tc>
              <w:tc>
                <w:tcPr>
                  <w:tcW w:w="962" w:type="pct"/>
                  <w:tcBorders>
                    <w:tl2br w:val="nil"/>
                    <w:tr2bl w:val="nil"/>
                  </w:tcBorders>
                  <w:vAlign w:val="center"/>
                </w:tcPr>
                <w:p>
                  <w:pPr>
                    <w:pStyle w:val="28"/>
                  </w:pPr>
                  <w:r>
                    <w:rPr>
                      <w:rFonts w:hint="eastAsia"/>
                    </w:rPr>
                    <w:t>专用泥浆（润滑剂、增粘剂）</w:t>
                  </w:r>
                </w:p>
              </w:tc>
              <w:tc>
                <w:tcPr>
                  <w:tcW w:w="842" w:type="pct"/>
                  <w:tcBorders>
                    <w:tl2br w:val="nil"/>
                    <w:tr2bl w:val="nil"/>
                  </w:tcBorders>
                  <w:vAlign w:val="center"/>
                </w:tcPr>
                <w:p>
                  <w:pPr>
                    <w:pStyle w:val="28"/>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p>
              </w:tc>
              <w:tc>
                <w:tcPr>
                  <w:tcW w:w="1165" w:type="pct"/>
                  <w:tcBorders>
                    <w:tl2br w:val="nil"/>
                    <w:tr2bl w:val="nil"/>
                  </w:tcBorders>
                  <w:vAlign w:val="center"/>
                </w:tcPr>
                <w:p>
                  <w:pPr>
                    <w:pStyle w:val="28"/>
                  </w:pPr>
                  <w:r>
                    <w:rPr>
                      <w:rFonts w:hint="eastAsia"/>
                    </w:rPr>
                    <w:t>外购</w:t>
                  </w:r>
                </w:p>
              </w:tc>
              <w:tc>
                <w:tcPr>
                  <w:tcW w:w="1574" w:type="pct"/>
                  <w:tcBorders>
                    <w:tl2br w:val="nil"/>
                    <w:tr2bl w:val="nil"/>
                  </w:tcBorders>
                  <w:vAlign w:val="center"/>
                </w:tcPr>
                <w:p>
                  <w:pPr>
                    <w:pStyle w:val="28"/>
                  </w:pPr>
                  <w:r>
                    <w:rPr>
                      <w:rFonts w:hint="eastAsia"/>
                    </w:rPr>
                    <w:t>钻探辅料，采用水基非磺化泥浆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8"/>
                  </w:pPr>
                  <w:r>
                    <w:rPr>
                      <w:rFonts w:hint="eastAsia"/>
                    </w:rPr>
                    <w:t>2</w:t>
                  </w:r>
                </w:p>
              </w:tc>
              <w:tc>
                <w:tcPr>
                  <w:tcW w:w="962" w:type="pct"/>
                  <w:tcBorders>
                    <w:tl2br w:val="nil"/>
                    <w:tr2bl w:val="nil"/>
                  </w:tcBorders>
                  <w:vAlign w:val="center"/>
                </w:tcPr>
                <w:p>
                  <w:pPr>
                    <w:pStyle w:val="28"/>
                  </w:pPr>
                  <w:r>
                    <w:rPr>
                      <w:rFonts w:hint="eastAsia"/>
                    </w:rPr>
                    <w:t>膨润土</w:t>
                  </w:r>
                </w:p>
              </w:tc>
              <w:tc>
                <w:tcPr>
                  <w:tcW w:w="842" w:type="pct"/>
                  <w:tcBorders>
                    <w:tl2br w:val="nil"/>
                    <w:tr2bl w:val="nil"/>
                  </w:tcBorders>
                  <w:vAlign w:val="center"/>
                </w:tcPr>
                <w:p>
                  <w:pPr>
                    <w:pStyle w:val="28"/>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p>
              </w:tc>
              <w:tc>
                <w:tcPr>
                  <w:tcW w:w="1165" w:type="pct"/>
                  <w:tcBorders>
                    <w:tl2br w:val="nil"/>
                    <w:tr2bl w:val="nil"/>
                  </w:tcBorders>
                  <w:vAlign w:val="center"/>
                </w:tcPr>
                <w:p>
                  <w:pPr>
                    <w:pStyle w:val="28"/>
                  </w:pPr>
                  <w:r>
                    <w:rPr>
                      <w:rFonts w:hint="eastAsia"/>
                    </w:rPr>
                    <w:t>外购</w:t>
                  </w:r>
                </w:p>
              </w:tc>
              <w:tc>
                <w:tcPr>
                  <w:tcW w:w="1574" w:type="pct"/>
                  <w:tcBorders>
                    <w:tl2br w:val="nil"/>
                    <w:tr2bl w:val="nil"/>
                  </w:tcBorders>
                  <w:vAlign w:val="center"/>
                </w:tcPr>
                <w:p>
                  <w:pPr>
                    <w:pStyle w:val="28"/>
                  </w:pPr>
                  <w:r>
                    <w:rPr>
                      <w:rFonts w:hint="eastAsia"/>
                    </w:rPr>
                    <w:t>钻探辅料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8"/>
                  </w:pPr>
                  <w:r>
                    <w:rPr>
                      <w:rFonts w:hint="eastAsia"/>
                    </w:rPr>
                    <w:t>3</w:t>
                  </w:r>
                </w:p>
              </w:tc>
              <w:tc>
                <w:tcPr>
                  <w:tcW w:w="962" w:type="pct"/>
                  <w:tcBorders>
                    <w:tl2br w:val="nil"/>
                    <w:tr2bl w:val="nil"/>
                  </w:tcBorders>
                  <w:vAlign w:val="center"/>
                </w:tcPr>
                <w:p>
                  <w:pPr>
                    <w:pStyle w:val="28"/>
                  </w:pPr>
                  <w:r>
                    <w:rPr>
                      <w:rFonts w:hint="eastAsia"/>
                    </w:rPr>
                    <w:t>水泥</w:t>
                  </w:r>
                </w:p>
              </w:tc>
              <w:tc>
                <w:tcPr>
                  <w:tcW w:w="842" w:type="pct"/>
                  <w:tcBorders>
                    <w:tl2br w:val="nil"/>
                    <w:tr2bl w:val="nil"/>
                  </w:tcBorders>
                  <w:vAlign w:val="center"/>
                </w:tcPr>
                <w:p>
                  <w:pPr>
                    <w:pStyle w:val="28"/>
                    <w:rPr>
                      <w:color w:val="000000" w:themeColor="text1"/>
                      <w14:textFill>
                        <w14:solidFill>
                          <w14:schemeClr w14:val="tx1"/>
                        </w14:solidFill>
                      </w14:textFill>
                    </w:rPr>
                  </w:pPr>
                  <w:r>
                    <w:rPr>
                      <w:rFonts w:hint="eastAsia"/>
                      <w:color w:val="000000" w:themeColor="text1"/>
                      <w14:textFill>
                        <w14:solidFill>
                          <w14:schemeClr w14:val="tx1"/>
                        </w14:solidFill>
                      </w14:textFill>
                    </w:rPr>
                    <w:t>0.2t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p>
              </w:tc>
              <w:tc>
                <w:tcPr>
                  <w:tcW w:w="1165" w:type="pct"/>
                  <w:tcBorders>
                    <w:tl2br w:val="nil"/>
                    <w:tr2bl w:val="nil"/>
                  </w:tcBorders>
                  <w:vAlign w:val="center"/>
                </w:tcPr>
                <w:p>
                  <w:pPr>
                    <w:pStyle w:val="28"/>
                  </w:pPr>
                  <w:r>
                    <w:rPr>
                      <w:rFonts w:hint="eastAsia"/>
                    </w:rPr>
                    <w:t>外购</w:t>
                  </w:r>
                </w:p>
              </w:tc>
              <w:tc>
                <w:tcPr>
                  <w:tcW w:w="1574" w:type="pct"/>
                  <w:tcBorders>
                    <w:tl2br w:val="nil"/>
                    <w:tr2bl w:val="nil"/>
                  </w:tcBorders>
                  <w:vAlign w:val="center"/>
                </w:tcPr>
                <w:p>
                  <w:pPr>
                    <w:pStyle w:val="28"/>
                  </w:pPr>
                  <w:r>
                    <w:rPr>
                      <w:rFonts w:hint="eastAsia"/>
                    </w:rPr>
                    <w:t>用于为钻探后的孔封堵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8"/>
                  </w:pPr>
                  <w:r>
                    <w:rPr>
                      <w:rFonts w:hint="eastAsia"/>
                    </w:rPr>
                    <w:t>4</w:t>
                  </w:r>
                </w:p>
              </w:tc>
              <w:tc>
                <w:tcPr>
                  <w:tcW w:w="962" w:type="pct"/>
                  <w:tcBorders>
                    <w:tl2br w:val="nil"/>
                    <w:tr2bl w:val="nil"/>
                  </w:tcBorders>
                  <w:vAlign w:val="center"/>
                </w:tcPr>
                <w:p>
                  <w:pPr>
                    <w:pStyle w:val="28"/>
                  </w:pPr>
                  <w:r>
                    <w:t>水</w:t>
                  </w:r>
                </w:p>
              </w:tc>
              <w:tc>
                <w:tcPr>
                  <w:tcW w:w="842" w:type="pct"/>
                  <w:tcBorders>
                    <w:tl2br w:val="nil"/>
                    <w:tr2bl w:val="nil"/>
                  </w:tcBorders>
                  <w:vAlign w:val="center"/>
                </w:tcPr>
                <w:p>
                  <w:pPr>
                    <w:pStyle w:val="28"/>
                    <w:rPr>
                      <w:color w:val="000000" w:themeColor="text1"/>
                      <w14:textFill>
                        <w14:solidFill>
                          <w14:schemeClr w14:val="tx1"/>
                        </w14:solidFill>
                      </w14:textFill>
                    </w:rPr>
                  </w:pPr>
                  <w:r>
                    <w:rPr>
                      <w:color w:val="000000" w:themeColor="text1"/>
                      <w14:textFill>
                        <w14:solidFill>
                          <w14:schemeClr w14:val="tx1"/>
                        </w14:solidFill>
                      </w14:textFill>
                    </w:rPr>
                    <w:t>516</w:t>
                  </w:r>
                  <w:r>
                    <w:rPr>
                      <w:rFonts w:hint="eastAsia"/>
                      <w:color w:val="000000" w:themeColor="text1"/>
                      <w14:textFill>
                        <w14:solidFill>
                          <w14:schemeClr w14:val="tx1"/>
                        </w14:solidFill>
                      </w14:textFill>
                    </w:rPr>
                    <w:t>t/a</w:t>
                  </w:r>
                </w:p>
              </w:tc>
              <w:tc>
                <w:tcPr>
                  <w:tcW w:w="1165" w:type="pct"/>
                  <w:tcBorders>
                    <w:tl2br w:val="nil"/>
                    <w:tr2bl w:val="nil"/>
                  </w:tcBorders>
                  <w:vAlign w:val="center"/>
                </w:tcPr>
                <w:p>
                  <w:pPr>
                    <w:pStyle w:val="28"/>
                  </w:pPr>
                  <w:r>
                    <w:rPr>
                      <w:rFonts w:hint="eastAsia"/>
                    </w:rPr>
                    <w:t>钻探过程用水由附近城镇拉由水车拉运至勘探区工作人员用水自带的纯净水</w:t>
                  </w:r>
                </w:p>
              </w:tc>
              <w:tc>
                <w:tcPr>
                  <w:tcW w:w="1574" w:type="pct"/>
                  <w:tcBorders>
                    <w:tl2br w:val="nil"/>
                    <w:tr2bl w:val="nil"/>
                  </w:tcBorders>
                  <w:vAlign w:val="center"/>
                </w:tcPr>
                <w:p>
                  <w:pPr>
                    <w:pStyle w:val="28"/>
                  </w:pPr>
                  <w:r>
                    <w:t>生产用水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8"/>
                  </w:pPr>
                  <w:r>
                    <w:rPr>
                      <w:rFonts w:hint="eastAsia"/>
                    </w:rPr>
                    <w:t>5</w:t>
                  </w:r>
                </w:p>
              </w:tc>
              <w:tc>
                <w:tcPr>
                  <w:tcW w:w="962" w:type="pct"/>
                  <w:tcBorders>
                    <w:tl2br w:val="nil"/>
                    <w:tr2bl w:val="nil"/>
                  </w:tcBorders>
                  <w:vAlign w:val="center"/>
                </w:tcPr>
                <w:p>
                  <w:pPr>
                    <w:pStyle w:val="28"/>
                  </w:pPr>
                  <w:r>
                    <w:t>电</w:t>
                  </w:r>
                </w:p>
              </w:tc>
              <w:tc>
                <w:tcPr>
                  <w:tcW w:w="842" w:type="pct"/>
                  <w:tcBorders>
                    <w:tl2br w:val="nil"/>
                    <w:tr2bl w:val="nil"/>
                  </w:tcBorders>
                  <w:vAlign w:val="center"/>
                </w:tcPr>
                <w:p>
                  <w:pPr>
                    <w:pStyle w:val="28"/>
                  </w:pPr>
                  <w:r>
                    <w:rPr>
                      <w:rFonts w:hint="eastAsia"/>
                    </w:rPr>
                    <w:t>800</w:t>
                  </w:r>
                  <w:r>
                    <w:t>kW·h</w:t>
                  </w:r>
                </w:p>
              </w:tc>
              <w:tc>
                <w:tcPr>
                  <w:tcW w:w="1165" w:type="pct"/>
                  <w:tcBorders>
                    <w:tl2br w:val="nil"/>
                    <w:tr2bl w:val="nil"/>
                  </w:tcBorders>
                  <w:vAlign w:val="center"/>
                </w:tcPr>
                <w:p>
                  <w:pPr>
                    <w:pStyle w:val="28"/>
                  </w:pPr>
                  <w:r>
                    <w:rPr>
                      <w:rFonts w:hint="eastAsia"/>
                    </w:rPr>
                    <w:t>汽油</w:t>
                  </w:r>
                  <w:r>
                    <w:t>发电机</w:t>
                  </w:r>
                </w:p>
              </w:tc>
              <w:tc>
                <w:tcPr>
                  <w:tcW w:w="1574" w:type="pct"/>
                  <w:tcBorders>
                    <w:tl2br w:val="nil"/>
                    <w:tr2bl w:val="nil"/>
                  </w:tcBorders>
                  <w:vAlign w:val="center"/>
                </w:tcPr>
                <w:p>
                  <w:pPr>
                    <w:pStyle w:val="28"/>
                  </w:pPr>
                  <w:r>
                    <w:t>生产用电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blHeader/>
                <w:jc w:val="center"/>
              </w:trPr>
              <w:tc>
                <w:tcPr>
                  <w:tcW w:w="458" w:type="pct"/>
                  <w:tcBorders>
                    <w:tl2br w:val="nil"/>
                    <w:tr2bl w:val="nil"/>
                  </w:tcBorders>
                  <w:vAlign w:val="center"/>
                </w:tcPr>
                <w:p>
                  <w:pPr>
                    <w:pStyle w:val="28"/>
                  </w:pPr>
                  <w:r>
                    <w:rPr>
                      <w:rFonts w:hint="eastAsia"/>
                    </w:rPr>
                    <w:t>6</w:t>
                  </w:r>
                </w:p>
              </w:tc>
              <w:tc>
                <w:tcPr>
                  <w:tcW w:w="962" w:type="pct"/>
                  <w:tcBorders>
                    <w:tl2br w:val="nil"/>
                    <w:tr2bl w:val="nil"/>
                  </w:tcBorders>
                  <w:vAlign w:val="center"/>
                </w:tcPr>
                <w:p>
                  <w:pPr>
                    <w:pStyle w:val="28"/>
                  </w:pPr>
                  <w:r>
                    <w:rPr>
                      <w:rFonts w:hint="eastAsia"/>
                    </w:rPr>
                    <w:t>柴油</w:t>
                  </w:r>
                </w:p>
              </w:tc>
              <w:tc>
                <w:tcPr>
                  <w:tcW w:w="842" w:type="pct"/>
                  <w:tcBorders>
                    <w:tl2br w:val="nil"/>
                    <w:tr2bl w:val="nil"/>
                  </w:tcBorders>
                  <w:vAlign w:val="center"/>
                </w:tcPr>
                <w:p>
                  <w:pPr>
                    <w:pStyle w:val="28"/>
                  </w:pPr>
                  <w:r>
                    <w:t>25</w:t>
                  </w:r>
                  <w:r>
                    <w:rPr>
                      <w:rFonts w:hint="eastAsia"/>
                    </w:rPr>
                    <w:t>t/a</w:t>
                  </w:r>
                </w:p>
              </w:tc>
              <w:tc>
                <w:tcPr>
                  <w:tcW w:w="1165" w:type="pct"/>
                  <w:tcBorders>
                    <w:tl2br w:val="nil"/>
                    <w:tr2bl w:val="nil"/>
                  </w:tcBorders>
                  <w:vAlign w:val="center"/>
                </w:tcPr>
                <w:p>
                  <w:pPr>
                    <w:pStyle w:val="28"/>
                  </w:pPr>
                  <w:r>
                    <w:rPr>
                      <w:rFonts w:hint="eastAsia"/>
                    </w:rPr>
                    <w:t>外购</w:t>
                  </w:r>
                </w:p>
              </w:tc>
              <w:tc>
                <w:tcPr>
                  <w:tcW w:w="1574" w:type="pct"/>
                  <w:tcBorders>
                    <w:tl2br w:val="nil"/>
                    <w:tr2bl w:val="nil"/>
                  </w:tcBorders>
                  <w:vAlign w:val="center"/>
                </w:tcPr>
                <w:p>
                  <w:pPr>
                    <w:pStyle w:val="28"/>
                  </w:pPr>
                  <w:r>
                    <w:rPr>
                      <w:rFonts w:hint="eastAsia"/>
                    </w:rPr>
                    <w:t>柴油发电机</w:t>
                  </w:r>
                </w:p>
              </w:tc>
            </w:tr>
          </w:tbl>
          <w:p>
            <w:pPr>
              <w:pStyle w:val="14"/>
              <w:ind w:firstLine="482" w:firstLineChars="200"/>
            </w:pPr>
            <w:r>
              <w:rPr>
                <w:rFonts w:hint="eastAsia"/>
              </w:rPr>
              <w:t>7.公用工程</w:t>
            </w:r>
          </w:p>
          <w:p>
            <w:r>
              <w:rPr>
                <w:rFonts w:hint="eastAsia"/>
              </w:rPr>
              <w:t>（1）给水工程</w:t>
            </w:r>
          </w:p>
          <w:p>
            <w:r>
              <w:rPr>
                <w:rFonts w:hint="eastAsia"/>
              </w:rPr>
              <w:t>钻探过程用水由附近城镇拉由水车拉运至勘探区工作人员用水自带的纯净水。</w:t>
            </w:r>
          </w:p>
          <w:p>
            <w:r>
              <w:rPr>
                <w:rFonts w:hint="eastAsia"/>
              </w:rPr>
              <w:t>（2）排水工程</w:t>
            </w:r>
          </w:p>
          <w:p>
            <w:r>
              <w:rPr>
                <w:rFonts w:hint="eastAsia"/>
                <w:bCs/>
              </w:rPr>
              <w:t>项目生产废水进入沉淀池循环利用，不外排。</w:t>
            </w:r>
            <w:r>
              <w:rPr>
                <w:rFonts w:hint="eastAsia"/>
              </w:rPr>
              <w:t>生活污水进入防渗化粪池（10m</w:t>
            </w:r>
            <w:r>
              <w:rPr>
                <w:rFonts w:hint="eastAsia"/>
                <w:vertAlign w:val="superscript"/>
              </w:rPr>
              <w:t>3</w:t>
            </w:r>
            <w:r>
              <w:rPr>
                <w:rFonts w:hint="eastAsia"/>
              </w:rPr>
              <w:t>）处理后自然蒸发。</w:t>
            </w:r>
          </w:p>
          <w:p>
            <w:r>
              <w:rPr>
                <w:rFonts w:hint="eastAsia"/>
              </w:rPr>
              <w:t>（</w:t>
            </w:r>
            <w:r>
              <w:t>3</w:t>
            </w:r>
            <w:r>
              <w:rPr>
                <w:rFonts w:hint="eastAsia"/>
              </w:rPr>
              <w:t>）供电工程</w:t>
            </w:r>
          </w:p>
          <w:p>
            <w:r>
              <w:rPr>
                <w:rFonts w:hint="eastAsia"/>
                <w:bCs/>
              </w:rPr>
              <w:t>本项目生产用电来自项目自备的柴油发电机供电，</w:t>
            </w:r>
            <w:r>
              <w:rPr>
                <w:rFonts w:hint="eastAsia"/>
              </w:rPr>
              <w:t>项目不设置柴油储存场所，所有机械柴油均随买随用。</w:t>
            </w:r>
          </w:p>
          <w:p>
            <w:pPr>
              <w:pStyle w:val="14"/>
              <w:ind w:firstLine="482" w:firstLineChars="200"/>
            </w:pPr>
            <w:r>
              <w:t>8</w:t>
            </w:r>
            <w:r>
              <w:rPr>
                <w:rFonts w:hint="eastAsia"/>
              </w:rPr>
              <w:t>.土石方平衡分析</w:t>
            </w:r>
          </w:p>
          <w:p>
            <w:r>
              <w:rPr>
                <w:rFonts w:hint="eastAsia"/>
              </w:rPr>
              <w:t>本项目主要产生土石方的工程为钻探及槽探。</w:t>
            </w:r>
          </w:p>
          <w:p>
            <w:r>
              <w:t>本项目</w:t>
            </w:r>
            <w:r>
              <w:rPr>
                <w:rFonts w:hint="eastAsia"/>
              </w:rPr>
              <w:t>机械岩心钻探工作量为3</w:t>
            </w:r>
            <w:r>
              <w:t>000m</w:t>
            </w:r>
            <w:r>
              <w:rPr>
                <w:rFonts w:hint="eastAsia"/>
              </w:rPr>
              <w:t>，水文地质钻探工作量为5</w:t>
            </w:r>
            <w:r>
              <w:t>00m</w:t>
            </w:r>
            <w:r>
              <w:rPr>
                <w:rFonts w:hint="eastAsia"/>
              </w:rPr>
              <w:t>，钻探</w:t>
            </w:r>
            <w:r>
              <w:t>总</w:t>
            </w:r>
            <w:r>
              <w:rPr>
                <w:rFonts w:hint="eastAsia"/>
              </w:rPr>
              <w:t>工作</w:t>
            </w:r>
            <w:r>
              <w:t>量为3500m，钻探</w:t>
            </w:r>
            <w:r>
              <w:rPr>
                <w:rFonts w:hint="eastAsia"/>
              </w:rPr>
              <w:t>开孔直径不小于75</w:t>
            </w:r>
            <w:r>
              <w:t>mm</w:t>
            </w:r>
            <w:r>
              <w:rPr>
                <w:rFonts w:hint="eastAsia"/>
              </w:rPr>
              <w:t>，</w:t>
            </w:r>
            <w:r>
              <w:t>岩心产生的土方量为15.45m</w:t>
            </w:r>
            <w:r>
              <w:rPr>
                <w:vertAlign w:val="superscript"/>
              </w:rPr>
              <w:t>3</w:t>
            </w:r>
            <w:r>
              <w:t>(V=πr</w:t>
            </w:r>
            <w:r>
              <w:rPr>
                <w:vertAlign w:val="superscript"/>
              </w:rPr>
              <w:t>2</w:t>
            </w:r>
            <w:r>
              <w:t>×h)，全部带回实验室分析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w:t>
            </w:r>
            <w:r>
              <w:t>13</w:t>
            </w:r>
            <w:r>
              <w:rPr>
                <w:rFonts w:hint="eastAsia"/>
              </w:rPr>
              <w:t>个钻孔计，</w:t>
            </w:r>
            <w:r>
              <w:t>共计需剥离195m</w:t>
            </w:r>
            <w:r>
              <w:rPr>
                <w:vertAlign w:val="superscript"/>
              </w:rPr>
              <w:t>2</w:t>
            </w:r>
            <w:r>
              <w:t>，剥离厚度按20cm计算，每孔需剥离</w:t>
            </w:r>
            <w:r>
              <w:rPr>
                <w:rFonts w:hint="eastAsia"/>
              </w:rPr>
              <w:t>3</w:t>
            </w:r>
            <w:r>
              <w:t>m</w:t>
            </w:r>
            <w:r>
              <w:rPr>
                <w:vertAlign w:val="superscript"/>
              </w:rPr>
              <w:t>3</w:t>
            </w:r>
            <w:r>
              <w:t>，共需要堆放约39m</w:t>
            </w:r>
            <w:r>
              <w:rPr>
                <w:vertAlign w:val="superscript"/>
              </w:rPr>
              <w:t>3</w:t>
            </w:r>
            <w:r>
              <w:t>(松散系数k=1.3</w:t>
            </w:r>
            <w:r>
              <w:rPr>
                <w:rFonts w:hint="eastAsia"/>
              </w:rPr>
              <w:t>，</w:t>
            </w:r>
            <w:r>
              <w:t>剥离松</w:t>
            </w:r>
            <w:r>
              <w:rPr>
                <w:rFonts w:hint="eastAsia"/>
              </w:rPr>
              <w:t>散</w:t>
            </w:r>
            <w:r>
              <w:t>方50.7m</w:t>
            </w:r>
            <w:r>
              <w:rPr>
                <w:vertAlign w:val="superscript"/>
              </w:rPr>
              <w:t>3</w:t>
            </w:r>
            <w:r>
              <w:t>)</w:t>
            </w:r>
            <w:r>
              <w:rPr>
                <w:rFonts w:hint="eastAsia"/>
              </w:rPr>
              <w:t>；槽探总工作量为</w:t>
            </w:r>
            <w:r>
              <w:t>2000</w:t>
            </w:r>
            <w:r>
              <w:rPr>
                <w:rFonts w:hint="eastAsia"/>
              </w:rPr>
              <w:t>m</w:t>
            </w:r>
            <w:r>
              <w:rPr>
                <w:vertAlign w:val="superscript"/>
              </w:rPr>
              <w:t>3</w:t>
            </w:r>
            <w:r>
              <w:rPr>
                <w:rFonts w:hint="eastAsia"/>
              </w:rPr>
              <w:t>。</w:t>
            </w:r>
          </w:p>
          <w:p>
            <w:pPr>
              <w:pStyle w:val="27"/>
              <w:spacing w:before="156"/>
            </w:pPr>
            <w:r>
              <w:t>表</w:t>
            </w:r>
            <w:r>
              <w:rPr>
                <w:rFonts w:hint="eastAsia"/>
              </w:rPr>
              <w:t>2</w:t>
            </w:r>
            <w:r>
              <w:t xml:space="preserve">-5  </w:t>
            </w:r>
            <w:r>
              <w:rPr>
                <w:rFonts w:hint="eastAsia"/>
              </w:rPr>
              <w:t>土石方平衡</w:t>
            </w:r>
            <w:r>
              <w:t>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81"/>
              <w:gridCol w:w="1552"/>
              <w:gridCol w:w="1567"/>
              <w:gridCol w:w="974"/>
              <w:gridCol w:w="2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 w:hRule="atLeast"/>
                <w:tblHeader/>
                <w:jc w:val="center"/>
              </w:trPr>
              <w:tc>
                <w:tcPr>
                  <w:tcW w:w="790" w:type="pct"/>
                  <w:vMerge w:val="restart"/>
                  <w:tcBorders>
                    <w:tl2br w:val="nil"/>
                    <w:tr2bl w:val="nil"/>
                  </w:tcBorders>
                  <w:vAlign w:val="center"/>
                </w:tcPr>
                <w:p>
                  <w:pPr>
                    <w:pStyle w:val="25"/>
                  </w:pPr>
                  <w:r>
                    <w:rPr>
                      <w:rFonts w:hint="eastAsia"/>
                    </w:rPr>
                    <w:t>项目</w:t>
                  </w:r>
                </w:p>
              </w:tc>
              <w:tc>
                <w:tcPr>
                  <w:tcW w:w="1038" w:type="pct"/>
                  <w:vMerge w:val="restart"/>
                  <w:tcBorders>
                    <w:tl2br w:val="nil"/>
                    <w:tr2bl w:val="nil"/>
                  </w:tcBorders>
                  <w:vAlign w:val="center"/>
                </w:tcPr>
                <w:p>
                  <w:pPr>
                    <w:pStyle w:val="25"/>
                  </w:pPr>
                  <w:r>
                    <w:rPr>
                      <w:rFonts w:hint="eastAsia"/>
                    </w:rPr>
                    <w:t>挖方m</w:t>
                  </w:r>
                  <w:r>
                    <w:rPr>
                      <w:rFonts w:hint="eastAsia"/>
                      <w:vertAlign w:val="superscript"/>
                    </w:rPr>
                    <w:t>3</w:t>
                  </w:r>
                </w:p>
              </w:tc>
              <w:tc>
                <w:tcPr>
                  <w:tcW w:w="1048" w:type="pct"/>
                  <w:vMerge w:val="restart"/>
                  <w:tcBorders>
                    <w:tl2br w:val="nil"/>
                    <w:tr2bl w:val="nil"/>
                  </w:tcBorders>
                  <w:vAlign w:val="center"/>
                </w:tcPr>
                <w:p>
                  <w:pPr>
                    <w:pStyle w:val="25"/>
                  </w:pPr>
                  <w:r>
                    <w:rPr>
                      <w:rFonts w:hint="eastAsia"/>
                    </w:rPr>
                    <w:t>填方m</w:t>
                  </w:r>
                  <w:r>
                    <w:rPr>
                      <w:rFonts w:hint="eastAsia"/>
                      <w:vertAlign w:val="superscript"/>
                    </w:rPr>
                    <w:t>3</w:t>
                  </w:r>
                </w:p>
              </w:tc>
              <w:tc>
                <w:tcPr>
                  <w:tcW w:w="2125" w:type="pct"/>
                  <w:gridSpan w:val="2"/>
                  <w:tcBorders>
                    <w:tl2br w:val="nil"/>
                    <w:tr2bl w:val="nil"/>
                  </w:tcBorders>
                  <w:vAlign w:val="center"/>
                </w:tcPr>
                <w:p>
                  <w:pPr>
                    <w:pStyle w:val="25"/>
                  </w:pPr>
                  <w:r>
                    <w:rPr>
                      <w:rFonts w:hint="eastAsia"/>
                    </w:rPr>
                    <w:t>调出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 w:hRule="atLeast"/>
                <w:tblHeader/>
                <w:jc w:val="center"/>
              </w:trPr>
              <w:tc>
                <w:tcPr>
                  <w:tcW w:w="790" w:type="pct"/>
                  <w:vMerge w:val="continue"/>
                  <w:tcBorders>
                    <w:tl2br w:val="nil"/>
                    <w:tr2bl w:val="nil"/>
                  </w:tcBorders>
                  <w:vAlign w:val="center"/>
                </w:tcPr>
                <w:p>
                  <w:pPr>
                    <w:pStyle w:val="25"/>
                  </w:pPr>
                </w:p>
              </w:tc>
              <w:tc>
                <w:tcPr>
                  <w:tcW w:w="1038" w:type="pct"/>
                  <w:vMerge w:val="continue"/>
                  <w:tcBorders>
                    <w:tl2br w:val="nil"/>
                    <w:tr2bl w:val="nil"/>
                  </w:tcBorders>
                  <w:vAlign w:val="center"/>
                </w:tcPr>
                <w:p>
                  <w:pPr>
                    <w:pStyle w:val="25"/>
                  </w:pPr>
                </w:p>
              </w:tc>
              <w:tc>
                <w:tcPr>
                  <w:tcW w:w="1048" w:type="pct"/>
                  <w:vMerge w:val="continue"/>
                  <w:tcBorders>
                    <w:tl2br w:val="nil"/>
                    <w:tr2bl w:val="nil"/>
                  </w:tcBorders>
                  <w:vAlign w:val="center"/>
                </w:tcPr>
                <w:p>
                  <w:pPr>
                    <w:pStyle w:val="25"/>
                  </w:pPr>
                </w:p>
              </w:tc>
              <w:tc>
                <w:tcPr>
                  <w:tcW w:w="651" w:type="pct"/>
                  <w:tcBorders>
                    <w:tl2br w:val="nil"/>
                    <w:tr2bl w:val="nil"/>
                  </w:tcBorders>
                  <w:vAlign w:val="center"/>
                </w:tcPr>
                <w:p>
                  <w:pPr>
                    <w:pStyle w:val="25"/>
                  </w:pPr>
                  <w:r>
                    <w:rPr>
                      <w:rFonts w:hint="eastAsia"/>
                    </w:rPr>
                    <w:t>数量m</w:t>
                  </w:r>
                  <w:r>
                    <w:rPr>
                      <w:rFonts w:hint="eastAsia"/>
                      <w:vertAlign w:val="superscript"/>
                    </w:rPr>
                    <w:t>3</w:t>
                  </w:r>
                </w:p>
              </w:tc>
              <w:tc>
                <w:tcPr>
                  <w:tcW w:w="1474" w:type="pct"/>
                  <w:tcBorders>
                    <w:tl2br w:val="nil"/>
                    <w:tr2bl w:val="nil"/>
                  </w:tcBorders>
                  <w:vAlign w:val="center"/>
                </w:tcPr>
                <w:p>
                  <w:pPr>
                    <w:pStyle w:val="25"/>
                  </w:pPr>
                  <w:r>
                    <w:rPr>
                      <w:rFonts w:hint="eastAsia"/>
                    </w:rPr>
                    <w:t>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 w:hRule="atLeast"/>
                <w:tblHeader/>
                <w:jc w:val="center"/>
              </w:trPr>
              <w:tc>
                <w:tcPr>
                  <w:tcW w:w="790" w:type="pct"/>
                  <w:tcBorders>
                    <w:tl2br w:val="nil"/>
                    <w:tr2bl w:val="nil"/>
                  </w:tcBorders>
                  <w:vAlign w:val="center"/>
                </w:tcPr>
                <w:p>
                  <w:pPr>
                    <w:pStyle w:val="25"/>
                  </w:pPr>
                  <w:r>
                    <w:rPr>
                      <w:rFonts w:hint="eastAsia"/>
                    </w:rPr>
                    <w:t>钻探岩心</w:t>
                  </w:r>
                </w:p>
              </w:tc>
              <w:tc>
                <w:tcPr>
                  <w:tcW w:w="1038" w:type="pct"/>
                  <w:tcBorders>
                    <w:tl2br w:val="nil"/>
                    <w:tr2bl w:val="nil"/>
                  </w:tcBorders>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15.45</w:t>
                  </w:r>
                </w:p>
              </w:tc>
              <w:tc>
                <w:tcPr>
                  <w:tcW w:w="1048" w:type="pct"/>
                  <w:tcBorders>
                    <w:tl2br w:val="nil"/>
                    <w:tr2bl w:val="nil"/>
                  </w:tcBorders>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0</w:t>
                  </w:r>
                </w:p>
              </w:tc>
              <w:tc>
                <w:tcPr>
                  <w:tcW w:w="651" w:type="pct"/>
                  <w:tcBorders>
                    <w:tl2br w:val="nil"/>
                    <w:tr2bl w:val="nil"/>
                  </w:tcBorders>
                  <w:vAlign w:val="center"/>
                </w:tcPr>
                <w:p>
                  <w:pPr>
                    <w:pStyle w:val="25"/>
                    <w:rPr>
                      <w:color w:val="000000" w:themeColor="text1"/>
                      <w:kern w:val="0"/>
                      <w14:textFill>
                        <w14:solidFill>
                          <w14:schemeClr w14:val="tx1"/>
                        </w14:solidFill>
                      </w14:textFill>
                    </w:rPr>
                  </w:pPr>
                  <w:r>
                    <w:rPr>
                      <w:color w:val="000000" w:themeColor="text1"/>
                      <w14:textFill>
                        <w14:solidFill>
                          <w14:schemeClr w14:val="tx1"/>
                        </w14:solidFill>
                      </w14:textFill>
                    </w:rPr>
                    <w:t>15.45</w:t>
                  </w:r>
                </w:p>
              </w:tc>
              <w:tc>
                <w:tcPr>
                  <w:tcW w:w="1474" w:type="pct"/>
                  <w:tcBorders>
                    <w:tl2br w:val="nil"/>
                    <w:tr2bl w:val="nil"/>
                  </w:tcBorders>
                  <w:vAlign w:val="center"/>
                </w:tcPr>
                <w:p>
                  <w:pPr>
                    <w:pStyle w:val="25"/>
                  </w:pPr>
                  <w:r>
                    <w:rPr>
                      <w:rFonts w:hint="eastAsia"/>
                    </w:rPr>
                    <w:t>送至实验室分析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blHeader/>
                <w:jc w:val="center"/>
              </w:trPr>
              <w:tc>
                <w:tcPr>
                  <w:tcW w:w="790" w:type="pct"/>
                  <w:tcBorders>
                    <w:tl2br w:val="nil"/>
                    <w:tr2bl w:val="nil"/>
                  </w:tcBorders>
                  <w:vAlign w:val="center"/>
                </w:tcPr>
                <w:p>
                  <w:pPr>
                    <w:pStyle w:val="25"/>
                  </w:pPr>
                  <w:r>
                    <w:rPr>
                      <w:rFonts w:hint="eastAsia"/>
                    </w:rPr>
                    <w:t>钻探剥离</w:t>
                  </w:r>
                </w:p>
              </w:tc>
              <w:tc>
                <w:tcPr>
                  <w:tcW w:w="1038" w:type="pct"/>
                  <w:tcBorders>
                    <w:tl2br w:val="nil"/>
                    <w:tr2bl w:val="nil"/>
                  </w:tcBorders>
                  <w:vAlign w:val="center"/>
                </w:tcPr>
                <w:p>
                  <w:pPr>
                    <w:pStyle w:val="25"/>
                  </w:pPr>
                  <w:r>
                    <w:t>50.7</w:t>
                  </w:r>
                  <w:r>
                    <w:rPr>
                      <w:rFonts w:hint="eastAsia"/>
                    </w:rPr>
                    <w:t>（松散方）</w:t>
                  </w:r>
                </w:p>
              </w:tc>
              <w:tc>
                <w:tcPr>
                  <w:tcW w:w="1048" w:type="pct"/>
                  <w:tcBorders>
                    <w:tl2br w:val="nil"/>
                    <w:tr2bl w:val="nil"/>
                  </w:tcBorders>
                  <w:vAlign w:val="center"/>
                </w:tcPr>
                <w:p>
                  <w:pPr>
                    <w:pStyle w:val="25"/>
                    <w:rPr>
                      <w:b/>
                      <w:bCs/>
                    </w:rPr>
                  </w:pPr>
                  <w:r>
                    <w:t>50.7</w:t>
                  </w:r>
                  <w:r>
                    <w:rPr>
                      <w:rFonts w:hint="eastAsia"/>
                    </w:rPr>
                    <w:t>（松散方）</w:t>
                  </w:r>
                </w:p>
              </w:tc>
              <w:tc>
                <w:tcPr>
                  <w:tcW w:w="651" w:type="pct"/>
                  <w:tcBorders>
                    <w:tl2br w:val="nil"/>
                    <w:tr2bl w:val="nil"/>
                  </w:tcBorders>
                  <w:vAlign w:val="center"/>
                </w:tcPr>
                <w:p>
                  <w:pPr>
                    <w:pStyle w:val="25"/>
                  </w:pPr>
                  <w:r>
                    <w:rPr>
                      <w:rFonts w:hint="eastAsia"/>
                    </w:rPr>
                    <w:t>0</w:t>
                  </w:r>
                </w:p>
              </w:tc>
              <w:tc>
                <w:tcPr>
                  <w:tcW w:w="1474" w:type="pct"/>
                  <w:tcBorders>
                    <w:tl2br w:val="nil"/>
                    <w:tr2bl w:val="nil"/>
                  </w:tcBorders>
                  <w:vAlign w:val="center"/>
                </w:tcPr>
                <w:p>
                  <w:pPr>
                    <w:pStyle w:val="25"/>
                  </w:pPr>
                  <w:r>
                    <w:rPr>
                      <w:rFonts w:hint="eastAsia"/>
                    </w:rPr>
                    <w:t>钻孔周边剥离的表土回覆、绿化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blHeader/>
                <w:jc w:val="center"/>
              </w:trPr>
              <w:tc>
                <w:tcPr>
                  <w:tcW w:w="790" w:type="pct"/>
                  <w:tcBorders>
                    <w:tl2br w:val="nil"/>
                    <w:tr2bl w:val="nil"/>
                  </w:tcBorders>
                  <w:vAlign w:val="center"/>
                </w:tcPr>
                <w:p>
                  <w:pPr>
                    <w:pStyle w:val="25"/>
                  </w:pPr>
                  <w:r>
                    <w:rPr>
                      <w:rFonts w:hint="eastAsia"/>
                    </w:rPr>
                    <w:t>槽探</w:t>
                  </w:r>
                </w:p>
              </w:tc>
              <w:tc>
                <w:tcPr>
                  <w:tcW w:w="1038" w:type="pct"/>
                  <w:tcBorders>
                    <w:tl2br w:val="nil"/>
                    <w:tr2bl w:val="nil"/>
                  </w:tcBorders>
                  <w:vAlign w:val="center"/>
                </w:tcPr>
                <w:p>
                  <w:pPr>
                    <w:pStyle w:val="25"/>
                  </w:pPr>
                  <w:r>
                    <w:t>2000</w:t>
                  </w:r>
                </w:p>
              </w:tc>
              <w:tc>
                <w:tcPr>
                  <w:tcW w:w="1048" w:type="pct"/>
                  <w:tcBorders>
                    <w:tl2br w:val="nil"/>
                    <w:tr2bl w:val="nil"/>
                  </w:tcBorders>
                  <w:vAlign w:val="center"/>
                </w:tcPr>
                <w:p>
                  <w:pPr>
                    <w:pStyle w:val="25"/>
                  </w:pPr>
                  <w:r>
                    <w:t>2000</w:t>
                  </w:r>
                </w:p>
              </w:tc>
              <w:tc>
                <w:tcPr>
                  <w:tcW w:w="651" w:type="pct"/>
                  <w:tcBorders>
                    <w:tl2br w:val="nil"/>
                    <w:tr2bl w:val="nil"/>
                  </w:tcBorders>
                  <w:vAlign w:val="center"/>
                </w:tcPr>
                <w:p>
                  <w:pPr>
                    <w:pStyle w:val="25"/>
                  </w:pPr>
                  <w:r>
                    <w:rPr>
                      <w:rFonts w:hint="eastAsia"/>
                    </w:rPr>
                    <w:t>0</w:t>
                  </w:r>
                </w:p>
              </w:tc>
              <w:tc>
                <w:tcPr>
                  <w:tcW w:w="1474" w:type="pct"/>
                  <w:tcBorders>
                    <w:tl2br w:val="nil"/>
                    <w:tr2bl w:val="nil"/>
                  </w:tcBorders>
                  <w:vAlign w:val="center"/>
                </w:tcPr>
                <w:p>
                  <w:pPr>
                    <w:pStyle w:val="25"/>
                  </w:pPr>
                  <w:r>
                    <w:rPr>
                      <w:rFonts w:hint="eastAsia"/>
                    </w:rPr>
                    <w:t>堆放于探槽周边，用于回填及表层覆土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tblHeader/>
                <w:jc w:val="center"/>
              </w:trPr>
              <w:tc>
                <w:tcPr>
                  <w:tcW w:w="790" w:type="pct"/>
                  <w:tcBorders>
                    <w:tl2br w:val="nil"/>
                    <w:tr2bl w:val="nil"/>
                  </w:tcBorders>
                  <w:vAlign w:val="center"/>
                </w:tcPr>
                <w:p>
                  <w:pPr>
                    <w:pStyle w:val="25"/>
                  </w:pPr>
                  <w:r>
                    <w:rPr>
                      <w:rFonts w:hint="eastAsia"/>
                    </w:rPr>
                    <w:t>合计</w:t>
                  </w:r>
                </w:p>
              </w:tc>
              <w:tc>
                <w:tcPr>
                  <w:tcW w:w="1038" w:type="pct"/>
                  <w:tcBorders>
                    <w:tl2br w:val="nil"/>
                    <w:tr2bl w:val="nil"/>
                  </w:tcBorders>
                  <w:vAlign w:val="center"/>
                </w:tcPr>
                <w:p>
                  <w:pPr>
                    <w:pStyle w:val="25"/>
                  </w:pPr>
                  <w:r>
                    <w:t>2066.15</w:t>
                  </w:r>
                </w:p>
              </w:tc>
              <w:tc>
                <w:tcPr>
                  <w:tcW w:w="1048" w:type="pct"/>
                  <w:tcBorders>
                    <w:tl2br w:val="nil"/>
                    <w:tr2bl w:val="nil"/>
                  </w:tcBorders>
                  <w:vAlign w:val="center"/>
                </w:tcPr>
                <w:p>
                  <w:pPr>
                    <w:pStyle w:val="25"/>
                  </w:pPr>
                  <w:r>
                    <w:t>2066.15</w:t>
                  </w:r>
                </w:p>
              </w:tc>
              <w:tc>
                <w:tcPr>
                  <w:tcW w:w="651" w:type="pct"/>
                  <w:tcBorders>
                    <w:tl2br w:val="nil"/>
                    <w:tr2bl w:val="nil"/>
                  </w:tcBorders>
                  <w:vAlign w:val="center"/>
                </w:tcPr>
                <w:p>
                  <w:pPr>
                    <w:pStyle w:val="25"/>
                  </w:pPr>
                  <w:r>
                    <w:t>15.45</w:t>
                  </w:r>
                </w:p>
              </w:tc>
              <w:tc>
                <w:tcPr>
                  <w:tcW w:w="1474" w:type="pct"/>
                  <w:tcBorders>
                    <w:tl2br w:val="nil"/>
                    <w:tr2bl w:val="nil"/>
                  </w:tcBorders>
                  <w:vAlign w:val="center"/>
                </w:tcPr>
                <w:p>
                  <w:pPr>
                    <w:pStyle w:val="25"/>
                  </w:pPr>
                  <w:r>
                    <w:rPr>
                      <w:rFonts w:hint="eastAsia"/>
                    </w:rPr>
                    <w:t>/</w:t>
                  </w:r>
                </w:p>
              </w:tc>
            </w:tr>
          </w:tbl>
          <w:p>
            <w:pPr>
              <w:pStyle w:val="14"/>
              <w:ind w:firstLine="482" w:firstLineChars="200"/>
            </w:pPr>
            <w:r>
              <w:rPr>
                <w:rFonts w:hint="eastAsia"/>
              </w:rPr>
              <w:t>9.工作制度和职工人数</w:t>
            </w:r>
          </w:p>
          <w:p>
            <w:pPr>
              <w:rPr>
                <w:b/>
                <w:color w:val="000000"/>
                <w:szCs w:val="21"/>
              </w:rPr>
            </w:pPr>
            <w:r>
              <w:rPr>
                <w:rFonts w:hint="eastAsia"/>
              </w:rPr>
              <w:t>本项目工作人数12人，年工作200天，每天</w:t>
            </w:r>
            <w:r>
              <w:t>8</w:t>
            </w:r>
            <w:r>
              <w:rPr>
                <w:rFonts w:hint="eastAsia"/>
              </w:rPr>
              <w:t>小时，工作周期为</w:t>
            </w:r>
            <w:r>
              <w:t>2</w:t>
            </w:r>
            <w:r>
              <w:rPr>
                <w:rFonts w:hint="eastAsia"/>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8" w:type="pct"/>
            <w:vAlign w:val="center"/>
          </w:tcPr>
          <w:p>
            <w:pPr>
              <w:pStyle w:val="25"/>
            </w:pPr>
            <w:r>
              <w:rPr>
                <w:rFonts w:hint="eastAsia"/>
              </w:rPr>
              <w:t>总平面及现场布置</w:t>
            </w:r>
          </w:p>
        </w:tc>
        <w:tc>
          <w:tcPr>
            <w:tcW w:w="4531" w:type="pct"/>
          </w:tcPr>
          <w:p>
            <w:r>
              <w:rPr>
                <w:rFonts w:hint="eastAsia"/>
              </w:rPr>
              <w:t>本项目探矿方式采用钻探及槽探。</w:t>
            </w:r>
          </w:p>
          <w:p>
            <w:r>
              <w:rPr>
                <w:rFonts w:hint="eastAsia"/>
              </w:rPr>
              <w:t>钻探采用钻机，配合柴油发电机组对地表进行钻探，槽探采用挖掘机，设计探槽工作量</w:t>
            </w:r>
            <w:r>
              <w:t>2000</w:t>
            </w:r>
            <w:r>
              <w:rPr>
                <w:rFonts w:hint="eastAsia"/>
              </w:rPr>
              <w:t>m</w:t>
            </w:r>
            <w:r>
              <w:rPr>
                <w:vertAlign w:val="superscript"/>
              </w:rPr>
              <w:t>3</w:t>
            </w:r>
            <w:r>
              <w:rPr>
                <w:rFonts w:hint="eastAsia"/>
              </w:rPr>
              <w:t>，噪声源强在85~95dB（A），经距离衰减后，场界能够达到《工业企业厂界环境噪声排放标准》（GB12348-2008）中2类标准，对周边影响较小。本项目钻探产生的弃渣，堆放于各施工点附近，施工完成后进行土地恢复，对环境影响较小。</w:t>
            </w:r>
          </w:p>
          <w:p>
            <w:r>
              <w:rPr>
                <w:rFonts w:hint="eastAsia"/>
              </w:rPr>
              <w:t>总平面布置相对比较简单，主要包括：办公生活区、生产区和辅助生产区，在钻探、槽探附近各设置一个临时堆场，用于存放钻探和槽探过程挖出的废石，待施工期结束后用于回填。矿区内部存在简易道路，作为探矿期临时道路；本次探矿活动在探矿作业区内搭设临时帐篷，随工程施工点位移动，钻探过程用水由附近城镇拉由水车拉运至勘探区工作人员用水自带的纯净水。产生的生产废水循环使用，不外排。</w:t>
            </w:r>
          </w:p>
          <w:p>
            <w:r>
              <w:rPr>
                <w:rFonts w:hint="eastAsia"/>
              </w:rPr>
              <w:t>施工区域不占用耕地，无风景名胜区，无珍稀保护动、植物，对周边环境影响较小。由于本项目施工人员较少，施工人员居住在临时搭建的帐篷内，对周围环境影响较小。项目平面布置详见《附图2项目区工程布置图》和《附图3项目区影像图》。</w:t>
            </w:r>
          </w:p>
          <w:p>
            <w:r>
              <w:rPr>
                <w:rFonts w:hint="eastAsia"/>
              </w:rPr>
              <w:t>综上所述，项目各勘探活动影响范围内无自然保护区、风景名胜保护区、饮用水源地等敏感点。探矿范围内多为山区，主要为草地生态系统，矿区范围内无居民，无珍稀保护植物、未发现珍稀保护动物。在探矿过程中采取相应的保护措施后，对矿区生态环境影响较小。从环境保护角度分析项目选址是合理可行的，不存在制约性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68" w:type="pct"/>
            <w:vAlign w:val="center"/>
          </w:tcPr>
          <w:p>
            <w:pPr>
              <w:pStyle w:val="25"/>
            </w:pPr>
            <w:r>
              <w:rPr>
                <w:rFonts w:hint="eastAsia"/>
              </w:rPr>
              <w:t>施工方案</w:t>
            </w:r>
          </w:p>
        </w:tc>
        <w:tc>
          <w:tcPr>
            <w:tcW w:w="4531" w:type="pct"/>
          </w:tcPr>
          <w:p>
            <w:pPr>
              <w:ind w:firstLine="482"/>
              <w:rPr>
                <w:b/>
                <w:bCs/>
              </w:rPr>
            </w:pPr>
            <w:r>
              <w:rPr>
                <w:rFonts w:hint="eastAsia"/>
                <w:b/>
                <w:bCs/>
              </w:rPr>
              <w:t>（一）工艺流程</w:t>
            </w:r>
          </w:p>
          <w:p>
            <w:r>
              <w:rPr>
                <w:rFonts w:hint="eastAsia"/>
              </w:rPr>
              <w:t>本勘探项目产生环境影响的时段</w:t>
            </w:r>
            <w:r>
              <w:t>主要为野外勘探期。探矿工作主要包括地质测量</w:t>
            </w:r>
            <w:r>
              <w:rPr>
                <w:rFonts w:hint="eastAsia"/>
              </w:rPr>
              <w:t>、钻探及槽探</w:t>
            </w:r>
            <w:r>
              <w:t>，工程实施过程中主要的污染来</w:t>
            </w:r>
            <w:r>
              <w:rPr>
                <w:rFonts w:hint="eastAsia"/>
              </w:rPr>
              <w:t>钻探</w:t>
            </w:r>
            <w:r>
              <w:t>过程中扬尘、机械噪声、工程弃渣及工作人员在地质测量和生活过程中产生的生活污水和垃圾。</w:t>
            </w:r>
            <w:r>
              <w:rPr>
                <w:rFonts w:hint="eastAsia"/>
              </w:rPr>
              <w:t>本次评价对象为矿产资源勘探期间可能产生的“三废”污染及生态破坏、水土流失对项目周围的环境影响。</w:t>
            </w:r>
          </w:p>
          <w:p>
            <w:pPr>
              <w:ind w:firstLine="482"/>
              <w:rPr>
                <w:b/>
                <w:bCs/>
              </w:rPr>
            </w:pPr>
            <w:r>
              <w:rPr>
                <w:rFonts w:hint="eastAsia"/>
                <w:b/>
                <w:bCs/>
              </w:rPr>
              <w:t>1</w:t>
            </w:r>
            <w:r>
              <w:rPr>
                <w:b/>
                <w:bCs/>
              </w:rPr>
              <w:t>.</w:t>
            </w:r>
            <w:r>
              <w:rPr>
                <w:rFonts w:hint="eastAsia"/>
                <w:b/>
                <w:bCs/>
              </w:rPr>
              <w:t>钻探施工工艺及产污流程</w:t>
            </w:r>
          </w:p>
          <w:p>
            <w:pPr>
              <w:pStyle w:val="7"/>
              <w:ind w:firstLine="480"/>
              <w:jc w:val="both"/>
            </w:pPr>
            <w:r>
              <w:rPr>
                <w:rFonts w:hint="eastAsia"/>
              </w:rPr>
              <w:t>钻探是用钻机按一定设计角度和方向施工钻孔，通过钻孔采取岩芯（或矿芯）、岩屑，以探查地下岩层、矿体等分布及储量的一种探矿手段，在研究和分析相邻工程所见的地质体、构造、蚀变、矿化的空间分布的基础上，选择地表矿化较好的矿体进行深部验证钻探验证。</w:t>
            </w:r>
          </w:p>
          <w:p>
            <w:pPr>
              <w:pStyle w:val="7"/>
              <w:ind w:firstLine="480"/>
            </w:pPr>
            <w:r>
              <w:rPr>
                <w:rFonts w:hint="eastAsia"/>
              </w:rPr>
              <w:t>钻孔全部采用金刚石钻进、绳索取心工艺，采用75mm口径金刚石钻进，岩心采取率一般不低于70%，矿心采取率一般不低于80%，岩矿心取出后，按先后顺序排好，孔斜测量、孔深验证须及时，不得终孔一次进行，结果填写表格</w:t>
            </w:r>
            <w:r>
              <w:rPr>
                <w:rFonts w:ascii="宋体" w:hAnsi="宋体" w:cs="宋体"/>
              </w:rPr>
              <w:t>。</w:t>
            </w:r>
          </w:p>
          <w:p>
            <w:pPr>
              <w:ind w:firstLine="0" w:firstLineChars="0"/>
              <w:jc w:val="center"/>
            </w:pPr>
            <w:r>
              <w:drawing>
                <wp:inline distT="0" distB="0" distL="0" distR="0">
                  <wp:extent cx="4629150" cy="1143000"/>
                  <wp:effectExtent l="19050" t="19050" r="19050" b="19050"/>
                  <wp:docPr id="8" name="图片 2"/>
                  <wp:cNvGraphicFramePr/>
                  <a:graphic xmlns:a="http://schemas.openxmlformats.org/drawingml/2006/main">
                    <a:graphicData uri="http://schemas.openxmlformats.org/drawingml/2006/picture">
                      <pic:pic xmlns:pic="http://schemas.openxmlformats.org/drawingml/2006/picture">
                        <pic:nvPicPr>
                          <pic:cNvPr id="8" name="图片 2"/>
                          <pic:cNvPicPr/>
                        </pic:nvPicPr>
                        <pic:blipFill>
                          <a:blip r:embed="rId13"/>
                          <a:stretch>
                            <a:fillRect/>
                          </a:stretch>
                        </pic:blipFill>
                        <pic:spPr>
                          <a:xfrm>
                            <a:off x="0" y="0"/>
                            <a:ext cx="4629150" cy="1143000"/>
                          </a:xfrm>
                          <a:prstGeom prst="rect">
                            <a:avLst/>
                          </a:prstGeom>
                          <a:noFill/>
                          <a:ln w="9525" cap="flat" cmpd="sng">
                            <a:solidFill>
                              <a:srgbClr val="000000"/>
                            </a:solidFill>
                            <a:prstDash val="solid"/>
                            <a:miter/>
                            <a:headEnd type="none" w="med" len="med"/>
                            <a:tailEnd type="none" w="med" len="med"/>
                          </a:ln>
                        </pic:spPr>
                      </pic:pic>
                    </a:graphicData>
                  </a:graphic>
                </wp:inline>
              </w:drawing>
            </w:r>
          </w:p>
          <w:p>
            <w:pPr>
              <w:pStyle w:val="27"/>
              <w:spacing w:before="156"/>
            </w:pPr>
            <w:r>
              <w:rPr>
                <w:rFonts w:hint="eastAsia"/>
              </w:rPr>
              <w:t>图</w:t>
            </w:r>
            <w:r>
              <w:t>2-2  钻探工艺流程图</w:t>
            </w:r>
          </w:p>
          <w:p>
            <w:r>
              <w:rPr>
                <w:rFonts w:hint="eastAsia"/>
              </w:rPr>
              <w:t>工艺说明：</w:t>
            </w:r>
          </w:p>
          <w:p>
            <w:r>
              <w:rPr>
                <w:rFonts w:hint="eastAsia"/>
              </w:rPr>
              <w:t>（1）钻探</w:t>
            </w:r>
            <w:r>
              <w:rPr>
                <w:color w:val="000000"/>
              </w:rPr>
              <w:t>目的任务</w:t>
            </w:r>
          </w:p>
          <w:p>
            <w:r>
              <w:rPr>
                <w:rFonts w:hint="eastAsia"/>
              </w:rPr>
              <w:t>本次暂布置3</w:t>
            </w:r>
            <w:r>
              <w:t>500</w:t>
            </w:r>
            <w:r>
              <w:rPr>
                <w:rFonts w:hint="eastAsia"/>
              </w:rPr>
              <w:t>m钻探工作量。根据由表及里、由浅入深，在矿体上盘方向，贴近矿体露头，由近及远的原则逐渐施工。按照《实施方案》及设计图纸等资料，确定钻孔位置。</w:t>
            </w:r>
          </w:p>
          <w:p>
            <w:r>
              <w:rPr>
                <w:rFonts w:hint="eastAsia"/>
              </w:rPr>
              <w:t>（2）</w:t>
            </w:r>
            <w:r>
              <w:t>表土剥离</w:t>
            </w:r>
          </w:p>
          <w:p>
            <w:r>
              <w:t>本项目</w:t>
            </w:r>
            <w:r>
              <w:rPr>
                <w:rFonts w:hint="eastAsia"/>
              </w:rPr>
              <w:t>机械岩心钻探工作量为3</w:t>
            </w:r>
            <w:r>
              <w:t>000m</w:t>
            </w:r>
            <w:r>
              <w:rPr>
                <w:rFonts w:hint="eastAsia"/>
              </w:rPr>
              <w:t>，水文地质钻探工作量为5</w:t>
            </w:r>
            <w:r>
              <w:t>00m</w:t>
            </w:r>
            <w:r>
              <w:rPr>
                <w:rFonts w:hint="eastAsia"/>
              </w:rPr>
              <w:t>，钻探</w:t>
            </w:r>
            <w:r>
              <w:t>总</w:t>
            </w:r>
            <w:r>
              <w:rPr>
                <w:rFonts w:hint="eastAsia"/>
              </w:rPr>
              <w:t>工作</w:t>
            </w:r>
            <w:r>
              <w:t>量为3500m，钻探</w:t>
            </w:r>
            <w:r>
              <w:rPr>
                <w:rFonts w:hint="eastAsia"/>
              </w:rPr>
              <w:t>开孔直径不小于75</w:t>
            </w:r>
            <w:r>
              <w:t>mm</w:t>
            </w:r>
            <w:r>
              <w:rPr>
                <w:rFonts w:hint="eastAsia"/>
              </w:rPr>
              <w:t>，</w:t>
            </w:r>
            <w:r>
              <w:t>岩心产生的土方量为15.45m</w:t>
            </w:r>
            <w:r>
              <w:rPr>
                <w:vertAlign w:val="superscript"/>
              </w:rPr>
              <w:t>3</w:t>
            </w:r>
            <w:r>
              <w:t>(V=πr</w:t>
            </w:r>
            <w:r>
              <w:rPr>
                <w:vertAlign w:val="superscript"/>
              </w:rPr>
              <w:t>2</w:t>
            </w:r>
            <w:r>
              <w:t>×h)，全部带回实验室分析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w:t>
            </w:r>
            <w:r>
              <w:t>13</w:t>
            </w:r>
            <w:r>
              <w:rPr>
                <w:rFonts w:hint="eastAsia"/>
              </w:rPr>
              <w:t>个钻孔计，</w:t>
            </w:r>
            <w:r>
              <w:t>共计需剥离195m</w:t>
            </w:r>
            <w:r>
              <w:rPr>
                <w:vertAlign w:val="superscript"/>
              </w:rPr>
              <w:t>2</w:t>
            </w:r>
            <w:r>
              <w:t>，剥离厚度按20cm计算，每孔需剥离</w:t>
            </w:r>
            <w:r>
              <w:rPr>
                <w:rFonts w:hint="eastAsia"/>
              </w:rPr>
              <w:t>3</w:t>
            </w:r>
            <w:r>
              <w:t>m</w:t>
            </w:r>
            <w:r>
              <w:rPr>
                <w:vertAlign w:val="superscript"/>
              </w:rPr>
              <w:t>3</w:t>
            </w:r>
            <w:r>
              <w:t>，共需要堆放约39m</w:t>
            </w:r>
            <w:r>
              <w:rPr>
                <w:vertAlign w:val="superscript"/>
              </w:rPr>
              <w:t>3</w:t>
            </w:r>
            <w:r>
              <w:t>(松散系数k=1.3</w:t>
            </w:r>
            <w:r>
              <w:rPr>
                <w:rFonts w:hint="eastAsia"/>
              </w:rPr>
              <w:t>，</w:t>
            </w:r>
            <w:r>
              <w:t>剥离松</w:t>
            </w:r>
            <w:r>
              <w:rPr>
                <w:rFonts w:hint="eastAsia"/>
              </w:rPr>
              <w:t>散</w:t>
            </w:r>
            <w:r>
              <w:t>方50.7m</w:t>
            </w:r>
            <w:r>
              <w:rPr>
                <w:vertAlign w:val="superscript"/>
              </w:rPr>
              <w:t>3</w:t>
            </w:r>
            <w:r>
              <w:t>)。</w:t>
            </w:r>
          </w:p>
          <w:p>
            <w:r>
              <w:rPr>
                <w:rFonts w:hint="eastAsia"/>
              </w:rPr>
              <w:t>（3）钻孔施工</w:t>
            </w:r>
          </w:p>
          <w:p>
            <w:r>
              <w:rPr>
                <w:rFonts w:hint="eastAsia"/>
              </w:rPr>
              <w:t>钻机运至施工地点，剥离周边表土后即可架机开孔，钻孔设备均采用新设备、钻孔孔身结构设计采用多层套管。整个工程钻孔的废弃泥浆呈点状分布，本项目钻井过程中使用黄泥、膨润土和水，黄泥作用主要是防止钻孔时塌孔和清孔时将下面的沉渣反带上来，防止污染地下水。</w:t>
            </w:r>
          </w:p>
          <w:p>
            <w:r>
              <w:t>每1孔设置一座容积约5m³的沉淀池，钻孔过程中产生的泥浆水进入沉淀池进行沉降处理，上层清水可供钻孔机循环使用。沉淀池规格为：长×宽×高=3m×2m×1m，槽体采用厚度为50mm的复合人工防渗材料制成，分为两格，分别为污泥池和清水池，中间设置隔断。槽体就地挖坑固定，其防渗性能满足《一般工业固体废物贮存和填埋污染控制标准》（GB18599-2020）中对Ⅱ类一般工业固体废物贮存场所的防渗要求</w:t>
            </w:r>
            <w:r>
              <w:rPr>
                <w:rFonts w:hint="eastAsia"/>
              </w:rPr>
              <w:t>。</w:t>
            </w:r>
          </w:p>
          <w:p>
            <w:pPr>
              <w:pStyle w:val="38"/>
              <w:numPr>
                <w:ilvl w:val="0"/>
                <w:numId w:val="2"/>
              </w:numPr>
              <w:ind w:firstLineChars="0"/>
            </w:pPr>
            <w:r>
              <w:rPr>
                <w:rFonts w:hint="eastAsia"/>
              </w:rPr>
              <w:t>编录、取样</w:t>
            </w:r>
          </w:p>
          <w:p>
            <w:r>
              <w:rPr>
                <w:rFonts w:hint="eastAsia"/>
              </w:rPr>
              <w:t>原始现场的编录由机台各班指定记录员编录和保管，记录员必须认真反映生产情况，及时填写，内容详细，数字准确清晰、整洁，报表填写一律用钢笔现场填写。按有关规定填写岩芯标签、对岩芯和岩芯箱编号，岩芯牌一律用中性笔填写，岩芯箱用红色油漆和毛笔编写，对一些特殊易碎的矿化岩石（如蚀变带）需用塑料布包好放于岩芯箱中，岩芯长大于5cm应编号，编号要字迹清楚，防止脱落。岩芯标签、岩芯编号记录应与班报表记录一致，不得错编、漏编。</w:t>
            </w:r>
          </w:p>
          <w:p>
            <w:r>
              <w:rPr>
                <w:rFonts w:hint="eastAsia"/>
              </w:rPr>
              <w:t>地质编录取样前，施工人员必须对岩芯妥善保管好，钻进中取出的岩矿芯应由当班人员清洗，剔除掉块等杂物，严格依次装箱，编号，不得出现岩芯丢失、颠倒混乱错位、任意拉长的现象。岩芯在现场保管因管理不慎缺失及翻箱，也为原始编录不合格。按地质要求妥善保管好岩心，运送到指定的岩心存放地点。</w:t>
            </w:r>
          </w:p>
          <w:p>
            <w:r>
              <w:rPr>
                <w:rFonts w:hint="eastAsia"/>
              </w:rPr>
              <w:t>（5）封孔</w:t>
            </w:r>
          </w:p>
          <w:p>
            <w:r>
              <w:rPr>
                <w:rFonts w:hint="eastAsia"/>
              </w:rPr>
              <w:t>终孔时，地质人员，按地质、水文共同研究的封孔要求填写在封孔通知书上交与机台，机台按有关要求封孔，将封孔实际情况填写登记表中，各级人员签名后及时交给地质编录人员，终孔后要严格封孔并做好封孔记录。要求封孔水泥柱进入基岩的长度不应小于5m；矿体所在部位（或主要含水层，含水构造、破碎带顶、底板）、矿体顶板以上5m、底板以下5m均应用325号以上水泥封孔，水灰比要符合有关要求，如矿层不厚或矿层与矿层、矿层与含水层距离比较近时，可一并封孔。其它稳定地段用浓泥浆封孔，各层间以木桩架桥。</w:t>
            </w:r>
          </w:p>
          <w:p>
            <w:pPr>
              <w:rPr>
                <w:b/>
              </w:rPr>
            </w:pPr>
            <w:r>
              <w:rPr>
                <w:rFonts w:hint="eastAsia"/>
              </w:rPr>
              <w:t>封孔时不应从孔口一次性倒入水泥，应用水泵注入水泥浆，从下往上依次封孔。凡使用泥浆钻进的钻孔，应在洗涮封孔部位的泥皮后，再行封孔。钻孔终孔后应起拔井口管，并在孔口中心处设立埋深不小于5m的水泥标志桩（标志桩要高出地面50cm），并标明钻孔编号、孔深、施工日期等。钻探技术要求按行业标准DZT0227-2010《地质岩心钻探规程》、DZ/T0032-92《地质勘查钻探岩矿心管理通则》及《关于钻探工程质量标准的暂行规定》执行。</w:t>
            </w:r>
          </w:p>
          <w:p>
            <w:pPr>
              <w:ind w:firstLine="482"/>
              <w:rPr>
                <w:b/>
                <w:bCs/>
              </w:rPr>
            </w:pPr>
            <w:r>
              <w:rPr>
                <w:rFonts w:hint="eastAsia"/>
                <w:b/>
                <w:bCs/>
              </w:rPr>
              <w:t>2</w:t>
            </w:r>
            <w:r>
              <w:rPr>
                <w:b/>
                <w:bCs/>
              </w:rPr>
              <w:t>.</w:t>
            </w:r>
            <w:r>
              <w:rPr>
                <w:rFonts w:hint="eastAsia"/>
                <w:b/>
                <w:bCs/>
              </w:rPr>
              <w:t>槽探施工工艺及产污流程</w:t>
            </w:r>
          </w:p>
          <w:p>
            <w:r>
              <w:rPr>
                <w:rFonts w:hint="eastAsia"/>
              </w:rPr>
              <w:t>（1）布置与施工</w:t>
            </w:r>
          </w:p>
          <w:p>
            <w:r>
              <w:t>探槽尽量垂直矿带（体）或异常走向布置，间距不作具体划定，根据第四系掩盖程度、施工难易程度布置，以达到见矿最大效率为目的。施工顺序</w:t>
            </w:r>
            <w:r>
              <w:rPr>
                <w:rFonts w:hint="eastAsia" w:ascii="宋体" w:hAnsi="宋体" w:cs="宋体"/>
              </w:rPr>
              <w:t>∶</w:t>
            </w:r>
            <w:r>
              <w:t>优先在见矿几率最大的部位，再沿见矿工程或矿化露头沿走向展开。开口宽度根据推测施工深度确定，一般不超过2.0m、底宽不低于0.8m，断面为倒梯形，底壁平整，深入基岩0.3—0.5m。在确保安全的前提下可酌情加深。探槽必须揭穿矿（化）体的顶、底板。</w:t>
            </w:r>
          </w:p>
          <w:p>
            <w:r>
              <w:t>（2）探槽编录</w:t>
            </w:r>
          </w:p>
          <w:p>
            <w:pPr>
              <w:rPr>
                <w:color w:val="000000"/>
              </w:rPr>
            </w:pPr>
            <w:r>
              <w:rPr>
                <w:color w:val="000000"/>
                <w:lang w:bidi="ar"/>
              </w:rPr>
              <w:t>槽探编录可采用野外编录系统（掌上机）直接编录，也可用传统的编录方法。</w:t>
            </w:r>
          </w:p>
          <w:p>
            <w:pPr>
              <w:rPr>
                <w:color w:val="000000"/>
              </w:rPr>
            </w:pPr>
            <w:r>
              <w:rPr>
                <w:rFonts w:hint="eastAsia" w:ascii="宋体" w:hAnsi="宋体" w:cs="宋体"/>
                <w:color w:val="000000"/>
                <w:lang w:bidi="ar"/>
              </w:rPr>
              <w:t>①</w:t>
            </w:r>
            <w:r>
              <w:rPr>
                <w:color w:val="000000"/>
                <w:lang w:bidi="ar"/>
              </w:rPr>
              <w:t>基线应尽量平行于槽壁与槽底交界线，便于数据采集。当探槽过长或有拐弯时，应分段设置基点及基线。</w:t>
            </w:r>
          </w:p>
          <w:p>
            <w:pPr>
              <w:rPr>
                <w:color w:val="000000"/>
              </w:rPr>
            </w:pPr>
            <w:r>
              <w:rPr>
                <w:rFonts w:hint="eastAsia" w:ascii="宋体" w:hAnsi="宋体" w:cs="宋体"/>
                <w:color w:val="000000"/>
                <w:lang w:bidi="ar"/>
              </w:rPr>
              <w:t>②</w:t>
            </w:r>
            <w:r>
              <w:rPr>
                <w:color w:val="000000"/>
                <w:lang w:bidi="ar"/>
              </w:rPr>
              <w:t>只作一壁一底展开图。地质编录槽壁，槽底以壁投影。当两壁上基岩露头的地质现象可对应吻合时，东西向或大致东西向的探槽选北壁，南北向或大致南北向探槽选东壁。</w:t>
            </w:r>
          </w:p>
          <w:p>
            <w:pPr>
              <w:rPr>
                <w:color w:val="000000"/>
              </w:rPr>
            </w:pPr>
            <w:r>
              <w:rPr>
                <w:rFonts w:hint="eastAsia" w:ascii="宋体" w:hAnsi="宋体" w:cs="宋体"/>
                <w:color w:val="000000"/>
                <w:lang w:bidi="ar"/>
              </w:rPr>
              <w:t>③</w:t>
            </w:r>
            <w:r>
              <w:rPr>
                <w:color w:val="000000"/>
                <w:lang w:bidi="ar"/>
              </w:rPr>
              <w:t>编录前应对槽壁上出露的不同的岩石类型、不同的矿化层、不同矿石类型、不同工业品级的界线及较大构造进行划分。</w:t>
            </w:r>
          </w:p>
          <w:p>
            <w:pPr>
              <w:rPr>
                <w:color w:val="000000"/>
              </w:rPr>
            </w:pPr>
            <w:r>
              <w:rPr>
                <w:rFonts w:hint="eastAsia" w:ascii="宋体" w:hAnsi="宋体" w:cs="宋体"/>
                <w:color w:val="000000"/>
                <w:lang w:bidi="ar"/>
              </w:rPr>
              <w:t>④</w:t>
            </w:r>
            <w:r>
              <w:rPr>
                <w:color w:val="000000"/>
                <w:lang w:bidi="ar"/>
              </w:rPr>
              <w:t>素描图上宽度大于1mm的地质体、虽不足1mm但有特殊意义的矿化体或地质现象都应分层表示或放大表示。</w:t>
            </w:r>
          </w:p>
          <w:p>
            <w:pPr>
              <w:rPr>
                <w:color w:val="000000"/>
              </w:rPr>
            </w:pPr>
            <w:r>
              <w:rPr>
                <w:rFonts w:hint="eastAsia" w:ascii="宋体" w:hAnsi="宋体" w:cs="宋体"/>
                <w:color w:val="000000"/>
                <w:lang w:bidi="ar"/>
              </w:rPr>
              <w:t>⑤</w:t>
            </w:r>
            <w:r>
              <w:rPr>
                <w:color w:val="000000"/>
                <w:lang w:bidi="ar"/>
              </w:rPr>
              <w:t>在保证样品代表性及样槽规格的前提下，可在槽底与槽壁交界的槽底（推荐）或槽壁布样；刻槽样必须穿越矿（化）层连续布置，顶、底板有样探制；刻槽样单样长度代表的真厚度应不大于矿体的矿体可采厚度；同一矿（化）层需布两个样及以上时，应尽量保证各样品长度的均匀性。并用红油漆对所布样品标注清楚。</w:t>
            </w:r>
          </w:p>
          <w:p>
            <w:pPr>
              <w:rPr>
                <w:color w:val="000000"/>
              </w:rPr>
            </w:pPr>
            <w:r>
              <w:rPr>
                <w:rFonts w:hint="eastAsia" w:ascii="宋体" w:hAnsi="宋体" w:cs="宋体"/>
                <w:color w:val="000000"/>
                <w:lang w:bidi="ar"/>
              </w:rPr>
              <w:t>⑥</w:t>
            </w:r>
            <w:r>
              <w:rPr>
                <w:color w:val="000000"/>
                <w:lang w:bidi="ar"/>
              </w:rPr>
              <w:t>探槽方向变化的方位差小于15°时，在拐点处设基点，但槽壁及槽底均可连续素描；探槽方向变化的方位差大于等于15°时，采用裂开法素描；作大坡度探槽素描图时，槽壁可分段垂直上下移动，形成锯齿状（槽底仍然连续）。这时要注意各段之间的地质要素应严格扣合。</w:t>
            </w:r>
          </w:p>
          <w:p>
            <w:pPr>
              <w:rPr>
                <w:color w:val="000000"/>
              </w:rPr>
            </w:pPr>
            <w:r>
              <w:rPr>
                <w:rFonts w:hint="eastAsia" w:ascii="宋体" w:hAnsi="宋体" w:cs="宋体"/>
                <w:color w:val="000000"/>
                <w:lang w:bidi="ar"/>
              </w:rPr>
              <w:t>⑦</w:t>
            </w:r>
            <w:r>
              <w:rPr>
                <w:color w:val="000000"/>
                <w:lang w:bidi="ar"/>
              </w:rPr>
              <w:t>素描图表示内容</w:t>
            </w:r>
            <w:r>
              <w:rPr>
                <w:rFonts w:hint="eastAsia" w:ascii="宋体" w:hAnsi="宋体" w:cs="宋体"/>
                <w:color w:val="000000"/>
                <w:lang w:bidi="ar"/>
              </w:rPr>
              <w:t>：</w:t>
            </w:r>
            <w:r>
              <w:rPr>
                <w:color w:val="000000"/>
                <w:lang w:bidi="ar"/>
              </w:rPr>
              <w:t>图名、比例尺（线段比例尺）、素描图、样品分析结果表、图例、图签。野外绘制素描图要求真实、准确，内容包括有岩性分层界线、矿层（体）界线、蚀变带，断层及破碎带、样品位置及编号、产状等。素描图上不画矿体花纹，应根据分析结果用颜色表示矿（化）体。</w:t>
            </w:r>
          </w:p>
          <w:p>
            <w:pPr>
              <w:ind w:firstLine="0" w:firstLineChars="0"/>
            </w:pPr>
            <w:r>
              <w:drawing>
                <wp:inline distT="0" distB="0" distL="0" distR="0">
                  <wp:extent cx="4648200" cy="2305050"/>
                  <wp:effectExtent l="9525" t="9525" r="158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48200" cy="2305050"/>
                          </a:xfrm>
                          <a:prstGeom prst="rect">
                            <a:avLst/>
                          </a:prstGeom>
                          <a:ln>
                            <a:solidFill>
                              <a:schemeClr val="tx1"/>
                            </a:solidFill>
                          </a:ln>
                        </pic:spPr>
                      </pic:pic>
                    </a:graphicData>
                  </a:graphic>
                </wp:inline>
              </w:drawing>
            </w:r>
          </w:p>
          <w:p>
            <w:pPr>
              <w:ind w:firstLine="0" w:firstLineChars="0"/>
              <w:jc w:val="center"/>
              <w:rPr>
                <w:rFonts w:ascii="宋体" w:hAnsi="宋体"/>
              </w:rPr>
            </w:pPr>
            <w:r>
              <w:rPr>
                <w:rFonts w:hint="eastAsia"/>
                <w:b/>
                <w:kern w:val="0"/>
                <w:sz w:val="21"/>
                <w:szCs w:val="20"/>
              </w:rPr>
              <w:t>图</w:t>
            </w:r>
            <w:r>
              <w:rPr>
                <w:b/>
                <w:kern w:val="0"/>
                <w:sz w:val="21"/>
                <w:szCs w:val="20"/>
              </w:rPr>
              <w:t xml:space="preserve">2-3  </w:t>
            </w:r>
            <w:r>
              <w:rPr>
                <w:rFonts w:hint="eastAsia"/>
                <w:b/>
                <w:kern w:val="0"/>
                <w:sz w:val="21"/>
                <w:szCs w:val="20"/>
              </w:rPr>
              <w:t>槽探工艺流程及产污环节图</w:t>
            </w:r>
          </w:p>
          <w:p>
            <w:r>
              <w:rPr>
                <w:rFonts w:hint="eastAsia"/>
              </w:rPr>
              <w:t>3</w:t>
            </w:r>
            <w:r>
              <w:t>.</w:t>
            </w:r>
            <w:r>
              <w:rPr>
                <w:rFonts w:hint="eastAsia"/>
              </w:rPr>
              <w:t>施工时序</w:t>
            </w:r>
          </w:p>
          <w:p>
            <w:r>
              <w:rPr>
                <w:rFonts w:hint="eastAsia"/>
              </w:rPr>
              <w:t>施工顺序为：施工放样→地面掘除清理→地表平整压实→钻探/槽探施工。</w:t>
            </w:r>
          </w:p>
          <w:p>
            <w:r>
              <w:rPr>
                <w:rFonts w:hint="eastAsia"/>
              </w:rPr>
              <w:t>4</w:t>
            </w:r>
            <w:r>
              <w:t>.</w:t>
            </w:r>
            <w:r>
              <w:rPr>
                <w:rFonts w:hint="eastAsia"/>
              </w:rPr>
              <w:t>建设周期</w:t>
            </w:r>
          </w:p>
          <w:p>
            <w:r>
              <w:t>本工程施工总工期安排2</w:t>
            </w:r>
            <w:r>
              <w:rPr>
                <w:rFonts w:hint="eastAsia"/>
              </w:rPr>
              <w:t>年，根据天气情况具体安排施工时段，一年施工期200d，</w:t>
            </w:r>
            <w:r>
              <w:t>本项目施工高峰期劳动定员可达</w:t>
            </w:r>
            <w:r>
              <w:rPr>
                <w:rFonts w:hint="eastAsia"/>
              </w:rPr>
              <w:t>12</w:t>
            </w:r>
            <w:r>
              <w:t>人/天。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68" w:type="pct"/>
            <w:vAlign w:val="center"/>
          </w:tcPr>
          <w:p>
            <w:pPr>
              <w:pStyle w:val="25"/>
            </w:pPr>
            <w:r>
              <w:rPr>
                <w:rFonts w:hint="eastAsia"/>
              </w:rPr>
              <w:t>其他</w:t>
            </w:r>
          </w:p>
        </w:tc>
        <w:tc>
          <w:tcPr>
            <w:tcW w:w="4531" w:type="pct"/>
          </w:tcPr>
          <w:p/>
          <w:p/>
          <w:p/>
          <w:p>
            <w:pPr>
              <w:jc w:val="center"/>
            </w:pPr>
            <w:r>
              <w:rPr>
                <w:rFonts w:hint="eastAsia"/>
              </w:rPr>
              <w:t>无</w:t>
            </w:r>
          </w:p>
          <w:p/>
          <w:p>
            <w:pPr>
              <w:jc w:val="left"/>
            </w:pPr>
          </w:p>
          <w:p/>
          <w:p/>
        </w:tc>
      </w:tr>
    </w:tbl>
    <w:p>
      <w:pPr>
        <w:sectPr>
          <w:footerReference r:id="rId11" w:type="default"/>
          <w:pgSz w:w="11906" w:h="16838"/>
          <w:pgMar w:top="1440" w:right="1800" w:bottom="1440" w:left="1800" w:header="851" w:footer="992" w:gutter="0"/>
          <w:pgNumType w:start="1"/>
          <w:cols w:space="425" w:num="1"/>
          <w:docGrid w:type="lines" w:linePitch="312" w:charSpace="0"/>
        </w:sectPr>
      </w:pPr>
    </w:p>
    <w:p>
      <w:pPr>
        <w:pStyle w:val="3"/>
      </w:pPr>
      <w:r>
        <w:rPr>
          <w:rFonts w:hint="eastAsia"/>
        </w:rPr>
        <w:t>三、生态环境现状、保护目标及评价标准</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42" w:type="pct"/>
            <w:vAlign w:val="center"/>
          </w:tcPr>
          <w:p>
            <w:pPr>
              <w:pStyle w:val="25"/>
            </w:pPr>
            <w:r>
              <w:rPr>
                <w:rFonts w:hint="eastAsia"/>
              </w:rPr>
              <w:t>生态</w:t>
            </w:r>
          </w:p>
          <w:p>
            <w:pPr>
              <w:pStyle w:val="25"/>
            </w:pPr>
            <w:r>
              <w:rPr>
                <w:rFonts w:hint="eastAsia"/>
              </w:rPr>
              <w:t>环境</w:t>
            </w:r>
          </w:p>
          <w:p>
            <w:pPr>
              <w:pStyle w:val="25"/>
            </w:pPr>
            <w:r>
              <w:rPr>
                <w:rFonts w:hint="eastAsia"/>
              </w:rPr>
              <w:t>现状</w:t>
            </w:r>
          </w:p>
        </w:tc>
        <w:tc>
          <w:tcPr>
            <w:tcW w:w="4757" w:type="pct"/>
            <w:vAlign w:val="center"/>
          </w:tcPr>
          <w:p>
            <w:pPr>
              <w:pStyle w:val="14"/>
              <w:ind w:firstLine="482" w:firstLineChars="200"/>
            </w:pPr>
            <w:r>
              <w:rPr>
                <w:rFonts w:hint="eastAsia"/>
              </w:rPr>
              <w:t>1</w:t>
            </w:r>
            <w:r>
              <w:t>.</w:t>
            </w:r>
            <w:r>
              <w:rPr>
                <w:rFonts w:hint="eastAsia"/>
              </w:rPr>
              <w:t>与主体功能规划相符性</w:t>
            </w:r>
          </w:p>
          <w:p>
            <w:r>
              <w:t>根据《新疆维吾尔自治区主体功能区规划》，新疆主体功能区按开发方式，分为重点开发区域、限制开发区域和禁止开发区域；按开发内容，分为城市化地区、农产品主产区和重点生态功能区三类；按层级，分为国家和自治区级两个层面。</w:t>
            </w:r>
          </w:p>
          <w:p>
            <w:r>
              <w:t>项目区位于新疆和</w:t>
            </w:r>
            <w:r>
              <w:rPr>
                <w:color w:val="000000" w:themeColor="text1"/>
                <w14:textFill>
                  <w14:solidFill>
                    <w14:schemeClr w14:val="tx1"/>
                  </w14:solidFill>
                </w14:textFill>
              </w:rPr>
              <w:t>静县克尔古提乡西</w:t>
            </w:r>
            <w:r>
              <w:rPr>
                <w:rFonts w:hint="eastAsia"/>
                <w:color w:val="000000" w:themeColor="text1"/>
                <w14:textFill>
                  <w14:solidFill>
                    <w14:schemeClr w14:val="tx1"/>
                  </w14:solidFill>
                </w14:textFill>
              </w:rPr>
              <w:t>北</w:t>
            </w:r>
            <w:r>
              <w:rPr>
                <w:color w:val="000000" w:themeColor="text1"/>
                <w14:textFill>
                  <w14:solidFill>
                    <w14:schemeClr w14:val="tx1"/>
                  </w14:solidFill>
                </w14:textFill>
              </w:rPr>
              <w:t>约27</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°方向直距约</w:t>
            </w:r>
            <w:r>
              <w:rPr>
                <w:rFonts w:hint="eastAsia"/>
                <w:color w:val="000000" w:themeColor="text1"/>
                <w14:textFill>
                  <w14:solidFill>
                    <w14:schemeClr w14:val="tx1"/>
                  </w14:solidFill>
                </w14:textFill>
              </w:rPr>
              <w:t>41</w:t>
            </w:r>
            <w:r>
              <w:rPr>
                <w:color w:val="000000" w:themeColor="text1"/>
                <w14:textFill>
                  <w14:solidFill>
                    <w14:schemeClr w14:val="tx1"/>
                  </w14:solidFill>
                </w14:textFill>
              </w:rPr>
              <w:t>千米处</w:t>
            </w:r>
            <w:r>
              <w:t>，行政区划隶属新疆和静县管辖</w:t>
            </w:r>
            <w:r>
              <w:rPr>
                <w:lang w:val="zh-CN"/>
              </w:rPr>
              <w:t>。</w:t>
            </w:r>
            <w:r>
              <w:t>不属于主体功能区划中确定的国家和自治区层面的禁止开发区域。</w:t>
            </w:r>
          </w:p>
          <w:p>
            <w:pPr>
              <w:pStyle w:val="14"/>
              <w:ind w:firstLine="482" w:firstLineChars="200"/>
            </w:pPr>
            <w:r>
              <w:rPr>
                <w:rFonts w:hint="eastAsia"/>
              </w:rPr>
              <w:t>2生态环境现状调查</w:t>
            </w:r>
          </w:p>
          <w:p>
            <w:pPr>
              <w:pStyle w:val="14"/>
              <w:ind w:firstLine="482" w:firstLineChars="200"/>
            </w:pPr>
            <w:r>
              <w:t>2.1</w:t>
            </w:r>
            <w:r>
              <w:rPr>
                <w:rFonts w:hint="eastAsia"/>
              </w:rPr>
              <w:t>生态功能区划</w:t>
            </w:r>
          </w:p>
          <w:p>
            <w:r>
              <w:t>根据《新疆生态功能区划》，本项目评价区域属于</w:t>
            </w:r>
            <w:r>
              <w:fldChar w:fldCharType="begin"/>
            </w:r>
            <w:r>
              <w:instrText xml:space="preserve"> </w:instrText>
            </w:r>
            <w:r>
              <w:rPr>
                <w:rFonts w:hint="eastAsia"/>
              </w:rPr>
              <w:instrText xml:space="preserve">= 3 \* ROMAN</w:instrText>
            </w:r>
            <w:r>
              <w:instrText xml:space="preserve"> </w:instrText>
            </w:r>
            <w:r>
              <w:fldChar w:fldCharType="separate"/>
            </w:r>
            <w:r>
              <w:t>III</w:t>
            </w:r>
            <w:r>
              <w:fldChar w:fldCharType="end"/>
            </w:r>
            <w:r>
              <w:t>3</w:t>
            </w:r>
            <w:r>
              <w:rPr>
                <w:rFonts w:hint="eastAsia"/>
              </w:rPr>
              <w:t>天山南坡草原牧业、绿洲农业生态亚区-42．托木尔峰和天山南坡中段冰雪水源及生物多样性保护生态功能区</w:t>
            </w:r>
            <w:r>
              <w:t>。具体见表3-1。</w:t>
            </w:r>
          </w:p>
          <w:p>
            <w:pPr>
              <w:pStyle w:val="27"/>
              <w:spacing w:before="156"/>
            </w:pPr>
            <w:r>
              <w:t>表3-1</w:t>
            </w:r>
            <w:r>
              <w:rPr>
                <w:rFonts w:hint="eastAsia"/>
              </w:rPr>
              <w:t xml:space="preserve">  </w:t>
            </w:r>
            <w:r>
              <w:t>生态功能区划及主要环境问题和保护目标</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7"/>
              <w:gridCol w:w="1143"/>
              <w:gridCol w:w="1135"/>
              <w:gridCol w:w="1150"/>
              <w:gridCol w:w="1248"/>
              <w:gridCol w:w="894"/>
              <w:gridCol w:w="10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813" w:type="pct"/>
                  <w:shd w:val="clear" w:color="auto" w:fill="auto"/>
                  <w:vAlign w:val="center"/>
                </w:tcPr>
                <w:p>
                  <w:pPr>
                    <w:pStyle w:val="25"/>
                  </w:pPr>
                  <w:r>
                    <w:t>生态功能区名称</w:t>
                  </w:r>
                </w:p>
              </w:tc>
              <w:tc>
                <w:tcPr>
                  <w:tcW w:w="728" w:type="pct"/>
                  <w:shd w:val="clear" w:color="auto" w:fill="auto"/>
                  <w:vAlign w:val="center"/>
                </w:tcPr>
                <w:p>
                  <w:pPr>
                    <w:pStyle w:val="25"/>
                  </w:pPr>
                  <w:r>
                    <w:t>主要生态服务功能</w:t>
                  </w:r>
                </w:p>
              </w:tc>
              <w:tc>
                <w:tcPr>
                  <w:tcW w:w="723" w:type="pct"/>
                  <w:shd w:val="clear" w:color="auto" w:fill="auto"/>
                  <w:vAlign w:val="center"/>
                </w:tcPr>
                <w:p>
                  <w:pPr>
                    <w:pStyle w:val="25"/>
                  </w:pPr>
                  <w:r>
                    <w:t>主要生态环境问题</w:t>
                  </w:r>
                </w:p>
              </w:tc>
              <w:tc>
                <w:tcPr>
                  <w:tcW w:w="732" w:type="pct"/>
                  <w:shd w:val="clear" w:color="auto" w:fill="auto"/>
                  <w:vAlign w:val="center"/>
                </w:tcPr>
                <w:p>
                  <w:pPr>
                    <w:pStyle w:val="25"/>
                  </w:pPr>
                  <w:r>
                    <w:t>生态敏感因子敏感程度</w:t>
                  </w:r>
                </w:p>
              </w:tc>
              <w:tc>
                <w:tcPr>
                  <w:tcW w:w="795" w:type="pct"/>
                  <w:shd w:val="clear" w:color="auto" w:fill="auto"/>
                  <w:vAlign w:val="center"/>
                </w:tcPr>
                <w:p>
                  <w:pPr>
                    <w:pStyle w:val="25"/>
                  </w:pPr>
                  <w:r>
                    <w:t>保护目标</w:t>
                  </w:r>
                </w:p>
              </w:tc>
              <w:tc>
                <w:tcPr>
                  <w:tcW w:w="569" w:type="pct"/>
                  <w:shd w:val="clear" w:color="auto" w:fill="auto"/>
                  <w:vAlign w:val="center"/>
                </w:tcPr>
                <w:p>
                  <w:pPr>
                    <w:pStyle w:val="25"/>
                  </w:pPr>
                  <w:r>
                    <w:t>保护措施</w:t>
                  </w:r>
                </w:p>
              </w:tc>
              <w:tc>
                <w:tcPr>
                  <w:tcW w:w="639" w:type="pct"/>
                  <w:shd w:val="clear" w:color="auto" w:fill="auto"/>
                  <w:vAlign w:val="center"/>
                </w:tcPr>
                <w:p>
                  <w:pPr>
                    <w:pStyle w:val="25"/>
                  </w:pPr>
                  <w:r>
                    <w:t>发展方向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6" w:hRule="atLeast"/>
              </w:trPr>
              <w:tc>
                <w:tcPr>
                  <w:tcW w:w="813" w:type="pct"/>
                  <w:shd w:val="clear" w:color="auto" w:fill="auto"/>
                  <w:vAlign w:val="center"/>
                </w:tcPr>
                <w:p>
                  <w:pPr>
                    <w:pStyle w:val="25"/>
                  </w:pPr>
                  <w:r>
                    <w:rPr>
                      <w:rFonts w:hint="eastAsia"/>
                    </w:rPr>
                    <w:t>42．托木尔峰和天山南坡中段冰雪水源及生物多样性保护生态功能区</w:t>
                  </w:r>
                </w:p>
              </w:tc>
              <w:tc>
                <w:tcPr>
                  <w:tcW w:w="728" w:type="pct"/>
                  <w:shd w:val="clear" w:color="auto" w:fill="auto"/>
                  <w:vAlign w:val="center"/>
                </w:tcPr>
                <w:p>
                  <w:pPr>
                    <w:pStyle w:val="25"/>
                  </w:pPr>
                  <w:r>
                    <w:rPr>
                      <w:rFonts w:hint="eastAsia"/>
                    </w:rPr>
                    <w:t>水源补给、生物多样性维护、土壤保持</w:t>
                  </w:r>
                </w:p>
              </w:tc>
              <w:tc>
                <w:tcPr>
                  <w:tcW w:w="723" w:type="pct"/>
                  <w:shd w:val="clear" w:color="auto" w:fill="auto"/>
                  <w:vAlign w:val="center"/>
                </w:tcPr>
                <w:p>
                  <w:pPr>
                    <w:pStyle w:val="25"/>
                  </w:pPr>
                  <w:r>
                    <w:rPr>
                      <w:rFonts w:hint="eastAsia"/>
                    </w:rPr>
                    <w:t>水土流失、野生动物减少、土壤侵蚀、森林破坏</w:t>
                  </w:r>
                </w:p>
              </w:tc>
              <w:tc>
                <w:tcPr>
                  <w:tcW w:w="732" w:type="pct"/>
                  <w:shd w:val="clear" w:color="auto" w:fill="auto"/>
                  <w:vAlign w:val="center"/>
                </w:tcPr>
                <w:p>
                  <w:pPr>
                    <w:pStyle w:val="25"/>
                  </w:pPr>
                  <w:r>
                    <w:rPr>
                      <w:rFonts w:hint="eastAsia"/>
                    </w:rPr>
                    <w:t>生物多样性及其生境极度敏感，土壤侵蚀轻度敏感</w:t>
                  </w:r>
                </w:p>
              </w:tc>
              <w:tc>
                <w:tcPr>
                  <w:tcW w:w="795" w:type="pct"/>
                  <w:shd w:val="clear" w:color="auto" w:fill="auto"/>
                  <w:vAlign w:val="center"/>
                </w:tcPr>
                <w:p>
                  <w:pPr>
                    <w:pStyle w:val="25"/>
                  </w:pPr>
                  <w:r>
                    <w:rPr>
                      <w:rFonts w:hint="eastAsia"/>
                    </w:rPr>
                    <w:t>保护托木尔峰自然景观、保护高山冰川、保护野生动物、保护森林和草原</w:t>
                  </w:r>
                </w:p>
              </w:tc>
              <w:tc>
                <w:tcPr>
                  <w:tcW w:w="569" w:type="pct"/>
                  <w:shd w:val="clear" w:color="auto" w:fill="auto"/>
                  <w:vAlign w:val="center"/>
                </w:tcPr>
                <w:p>
                  <w:pPr>
                    <w:pStyle w:val="25"/>
                  </w:pPr>
                  <w:r>
                    <w:rPr>
                      <w:rFonts w:hint="eastAsia"/>
                    </w:rPr>
                    <w:t>草地减牧、森林禁伐、禁猎、加强保护区管理</w:t>
                  </w:r>
                </w:p>
              </w:tc>
              <w:tc>
                <w:tcPr>
                  <w:tcW w:w="639" w:type="pct"/>
                  <w:shd w:val="clear" w:color="auto" w:fill="auto"/>
                  <w:vAlign w:val="center"/>
                </w:tcPr>
                <w:p>
                  <w:pPr>
                    <w:pStyle w:val="25"/>
                  </w:pPr>
                  <w:r>
                    <w:rPr>
                      <w:rFonts w:hint="eastAsia"/>
                    </w:rPr>
                    <w:t>合理利用天然草地，维护自然景观和生物多样性</w:t>
                  </w:r>
                </w:p>
              </w:tc>
            </w:tr>
          </w:tbl>
          <w:p>
            <w:pPr>
              <w:ind w:firstLine="482"/>
              <w:rPr>
                <w:b/>
                <w:bCs/>
                <w:color w:val="000000"/>
              </w:rPr>
            </w:pPr>
            <w:r>
              <w:rPr>
                <w:b/>
                <w:bCs/>
                <w:color w:val="000000"/>
              </w:rPr>
              <w:t>2.</w:t>
            </w:r>
            <w:r>
              <w:rPr>
                <w:rFonts w:hint="eastAsia"/>
                <w:b/>
                <w:bCs/>
                <w:color w:val="000000"/>
              </w:rPr>
              <w:t>2</w:t>
            </w:r>
            <w:r>
              <w:rPr>
                <w:b/>
                <w:bCs/>
                <w:snapToGrid w:val="0"/>
              </w:rPr>
              <w:t>土地利用类型及分布现状</w:t>
            </w:r>
          </w:p>
          <w:p>
            <w:r>
              <w:t>根据收集的资料及现状调查，项目区域内土壤类型较简单，主要以棕漠土为主。</w:t>
            </w:r>
          </w:p>
          <w:p>
            <w:r>
              <w:t>棕漠土（brown--desert soil）也称棕色荒漠土，是暖温带漠境条件下发育的地带性土壤类型。土壤的形成过程完全受漠境水热条件所左右，碳酸钙、石膏与易溶盐的聚积作用普遍。地表通常为成片的黑色砾幂，全部表面由砾石或碎石组成。削面分化比较明显，腐殖含量极低，多小于0.3%，呈碱性反应，土壤代换量很小。</w:t>
            </w:r>
          </w:p>
          <w:p>
            <w:pPr>
              <w:widowControl/>
            </w:pPr>
            <w:r>
              <w:rPr>
                <w:color w:val="000000"/>
              </w:rPr>
              <w:t>项目区主要土壤类型为砾质戈壁棕漠土。其成土母质为砾质洪积冲积物，地面组成物质以砾石为主，0－60cm土层土壤砾石含量38%，土壤发育厚度很小，不到50cm，有发育不太明显的孔状荒漠结皮，由于生物作用微弱，表层有机质含量小于3%，腐殖含量极低，呈碱性反应，土壤代换量很小，水分和养分缺乏。</w:t>
            </w:r>
          </w:p>
          <w:p>
            <w:pPr>
              <w:pStyle w:val="14"/>
              <w:ind w:firstLine="482" w:firstLineChars="200"/>
            </w:pPr>
            <w:r>
              <w:rPr>
                <w:rFonts w:hint="eastAsia"/>
              </w:rPr>
              <w:t>2</w:t>
            </w:r>
            <w:r>
              <w:t>.3项目区主要植被类型</w:t>
            </w:r>
          </w:p>
          <w:p>
            <w:pPr>
              <w:rPr>
                <w:color w:val="000000"/>
                <w:kern w:val="0"/>
              </w:rPr>
            </w:pPr>
            <w:r>
              <w:rPr>
                <w:rFonts w:hint="eastAsia"/>
                <w:color w:val="000000"/>
                <w:kern w:val="0"/>
              </w:rPr>
              <w:t>矿区属于天山山脉南坡低山丘陵地貌，地势大致为北高南低，冲沟极为发育，海拔高程在+1670－+2118m之间。气候属大陆性干旱—半干旱，表现为夏季多阵雨、山洪，冬季少雪。</w:t>
            </w:r>
          </w:p>
          <w:p>
            <w:pPr>
              <w:rPr>
                <w:color w:val="000000"/>
                <w:kern w:val="0"/>
              </w:rPr>
            </w:pPr>
            <w:r>
              <w:rPr>
                <w:rFonts w:hint="eastAsia"/>
                <w:color w:val="000000"/>
                <w:kern w:val="0"/>
              </w:rPr>
              <w:t>根据查询相关资料及现场勘查，进行分析汇总可知该区位于南疆地区，属温性荒漠类，本地植物区系有明显的荒漠区系成分组成。根据现场调查和植被类型分布调查可知，项目所在区域目前主要植被类型为紫菀木（</w:t>
            </w:r>
            <w:r>
              <w:rPr>
                <w:rFonts w:hint="eastAsia"/>
                <w:i/>
                <w:iCs/>
                <w:color w:val="000000"/>
                <w:kern w:val="0"/>
              </w:rPr>
              <w:t>Asterothamnus alyssoides (Turcz.) Novopokr）、</w:t>
            </w:r>
            <w:r>
              <w:rPr>
                <w:rFonts w:hint="eastAsia"/>
                <w:color w:val="000000"/>
                <w:kern w:val="0"/>
              </w:rPr>
              <w:t>灌木亚菊</w:t>
            </w:r>
            <w:r>
              <w:rPr>
                <w:rFonts w:hint="eastAsia"/>
                <w:i/>
                <w:iCs/>
                <w:color w:val="000000"/>
                <w:kern w:val="0"/>
              </w:rPr>
              <w:t>（Ajania fruticulosa (Ledeb.) Poljak）、</w:t>
            </w:r>
            <w:r>
              <w:rPr>
                <w:rFonts w:hint="eastAsia"/>
                <w:color w:val="000000"/>
                <w:kern w:val="0"/>
              </w:rPr>
              <w:t>沙生针矛茅</w:t>
            </w:r>
            <w:r>
              <w:rPr>
                <w:rFonts w:hint="eastAsia"/>
                <w:i/>
                <w:iCs/>
                <w:color w:val="000000"/>
                <w:kern w:val="0"/>
              </w:rPr>
              <w:t>（Stipa glareosa P.A. Smirn）</w:t>
            </w:r>
            <w:r>
              <w:rPr>
                <w:rFonts w:hint="eastAsia"/>
                <w:color w:val="000000"/>
                <w:kern w:val="0"/>
              </w:rPr>
              <w:t>等，用地现状主要为草地。项目区用地不涉及国家及地方公益林。</w:t>
            </w:r>
          </w:p>
          <w:p>
            <w:pPr>
              <w:rPr>
                <w:color w:val="000000"/>
                <w:kern w:val="0"/>
              </w:rPr>
            </w:pPr>
            <w:r>
              <w:rPr>
                <w:rFonts w:hint="eastAsia"/>
                <w:color w:val="000000"/>
                <w:kern w:val="0"/>
              </w:rPr>
              <w:t>由于本区域的气候土壤特殊性，决定了本区域荒漠植被种类贫乏、群落稀疏、植被类型简单，基本无利用价值，原始的自然植被较少。</w:t>
            </w:r>
          </w:p>
          <w:p>
            <w:pPr>
              <w:rPr>
                <w:color w:val="000000"/>
                <w:kern w:val="0"/>
              </w:rPr>
            </w:pPr>
            <w:r>
              <w:rPr>
                <w:rFonts w:hint="eastAsia"/>
                <w:color w:val="000000"/>
                <w:kern w:val="0"/>
              </w:rPr>
              <w:t>本项目矿区占地</w:t>
            </w:r>
            <w:r>
              <w:rPr>
                <w:rFonts w:hint="eastAsia"/>
                <w:color w:val="000000"/>
              </w:rPr>
              <w:t>为草地</w:t>
            </w:r>
            <w:r>
              <w:rPr>
                <w:rFonts w:hint="eastAsia"/>
                <w:color w:val="000000"/>
                <w:kern w:val="0"/>
              </w:rPr>
              <w:t>，矿区土地利用未涉及耕地、基本农田保护区。项目所在区域评价范围内零星分布着耐旱植被，项目区主要分布紫菀木、灌木亚菊、沙生针矛茅等无高大乔木分布，植被覆盖度低，约为5%。根据《国家重点保护野生植物名录》和《新疆维吾尔自治区重点保护野生植物名录》（2024）等名录，项目区内未发现重点保护植物</w:t>
            </w:r>
          </w:p>
          <w:p>
            <w:pPr>
              <w:pStyle w:val="14"/>
              <w:ind w:firstLine="482" w:firstLineChars="200"/>
            </w:pPr>
            <w:r>
              <w:rPr>
                <w:rFonts w:hint="eastAsia"/>
              </w:rPr>
              <w:t>2</w:t>
            </w:r>
            <w:r>
              <w:t>.4野生动物现状调查</w:t>
            </w:r>
          </w:p>
          <w:p>
            <w:r>
              <w:rPr>
                <w:rFonts w:hint="eastAsia"/>
              </w:rPr>
              <w:t>项目区及周边地区由于人类活动，野生动物稀少，场址所在区域植物种类较少，动物食源少，因此该区动物组成较为单一，野生动物的分布种类和种群数量也较少，已无大型哺乳动物活动，仅有一些常见的鸟类和鼠类，无国家及自治区级保护野生动物。根据《国家重点保护野生动物名录（2021年版）》、《新疆国家重点保护野生动物名录》（2021年07月28日发布），项目区没有保护野生动物分布。</w:t>
            </w:r>
          </w:p>
          <w:p>
            <w:pPr>
              <w:pStyle w:val="14"/>
              <w:ind w:firstLine="482" w:firstLineChars="200"/>
            </w:pPr>
            <w:r>
              <w:rPr>
                <w:rFonts w:hint="eastAsia"/>
              </w:rPr>
              <w:t>2.5生物量损失分析</w:t>
            </w:r>
          </w:p>
          <w:p>
            <w:r>
              <w:t>生物损失量核算：</w:t>
            </w:r>
          </w:p>
          <w:p>
            <w:r>
              <w:t>本工程临时占地0.142526hm</w:t>
            </w:r>
            <w:r>
              <w:rPr>
                <w:vertAlign w:val="superscript"/>
              </w:rPr>
              <w:t>2</w:t>
            </w:r>
            <w:r>
              <w:t>，主要为矿山勘探、车辆运输等人为活动。临时用地会导致生物量损失。生物量损失按下式计算：</w:t>
            </w:r>
          </w:p>
          <w:p>
            <w:pPr>
              <w:pStyle w:val="22"/>
              <w:rPr>
                <w:rFonts w:ascii="Times New Roman"/>
              </w:rPr>
            </w:pPr>
            <m:oMathPara>
              <m:oMath>
                <m:r>
                  <m:rPr>
                    <m:sty m:val="p"/>
                  </m:rPr>
                  <w:rPr>
                    <w:rFonts w:ascii="Cambria Math" w:hAnsi="Cambria Math"/>
                  </w:rPr>
                  <m:t>Y=Si·Wi</m:t>
                </m:r>
              </m:oMath>
            </m:oMathPara>
          </w:p>
          <w:p>
            <w:r>
              <w:t>Y———</w:t>
            </w:r>
            <w:r>
              <w:rPr>
                <w:color w:val="000000"/>
              </w:rPr>
              <w:t>永久性生物量损失，t；</w:t>
            </w:r>
          </w:p>
          <w:p>
            <w:r>
              <w:t>Si———占地面积，hm²；</w:t>
            </w:r>
          </w:p>
          <w:p>
            <w:r>
              <w:t>Wi———单位面积生物量，t/hm²；</w:t>
            </w:r>
          </w:p>
          <w:p>
            <w:r>
              <w:rPr>
                <w:rFonts w:hint="eastAsia"/>
                <w:color w:val="000000"/>
              </w:rPr>
              <w:t>勘查区范围内无重要交通要道或建筑设施，无自然保护区及旅游景区，占地类型草地</w:t>
            </w:r>
            <w:r>
              <w:rPr>
                <w:color w:val="000000"/>
                <w:kern w:val="0"/>
                <w:lang w:bidi="ar"/>
              </w:rPr>
              <w:t>，植被覆盖率约为5</w:t>
            </w:r>
            <w:r>
              <w:rPr>
                <w:rFonts w:hint="eastAsia"/>
                <w:color w:val="000000"/>
                <w:kern w:val="0"/>
                <w:lang w:bidi="ar"/>
              </w:rPr>
              <w:t>~</w:t>
            </w:r>
            <w:r>
              <w:rPr>
                <w:color w:val="000000"/>
                <w:kern w:val="0"/>
                <w:lang w:bidi="ar"/>
              </w:rPr>
              <w:t>10%，平均生物量0.3t/hm²，工程的实施，将造成的0.04t临时植被损失。</w:t>
            </w:r>
          </w:p>
          <w:p>
            <w:r>
              <w:rPr>
                <w:rFonts w:hint="eastAsia"/>
              </w:rPr>
              <w:t>项目探矿期结束后，其所在区域的生态环境可以基本得到恢复，而且由于地方优势草类的共同生长，会发育形成良好的共栖共生环境而增加该地区的物种多样性</w:t>
            </w:r>
            <w:r>
              <w:t>。</w:t>
            </w:r>
          </w:p>
          <w:p>
            <w:pPr>
              <w:pStyle w:val="14"/>
              <w:ind w:firstLine="482" w:firstLineChars="200"/>
            </w:pPr>
            <w:r>
              <w:t>3.</w:t>
            </w:r>
            <w:r>
              <w:rPr>
                <w:rFonts w:hint="eastAsia"/>
              </w:rPr>
              <w:t>环境空气质量评价</w:t>
            </w:r>
          </w:p>
          <w:p>
            <w:r>
              <w:t>根据《</w:t>
            </w:r>
            <w:r>
              <w:rPr>
                <w:rFonts w:hint="eastAsia"/>
              </w:rPr>
              <w:t>巴音郭楞蒙古自治州2024年生态环境状况公报</w:t>
            </w:r>
            <w:r>
              <w:t>》，</w:t>
            </w:r>
            <w:r>
              <w:rPr>
                <w:rFonts w:hint="eastAsia"/>
              </w:rPr>
              <w:t>2024年，全州空气质量综合指数为5.22，同比下降7.9%，空气质量明显好于2023年。全州平均优良天数比例为62%，同比增加15.7%，PM</w:t>
            </w:r>
            <w:r>
              <w:rPr>
                <w:rFonts w:hint="eastAsia"/>
                <w:vertAlign w:val="subscript"/>
              </w:rPr>
              <w:t>10</w:t>
            </w:r>
            <w:r>
              <w:rPr>
                <w:rFonts w:hint="eastAsia"/>
              </w:rPr>
              <w:t>为首要污染物，未出现PM</w:t>
            </w:r>
            <w:r>
              <w:rPr>
                <w:rFonts w:hint="eastAsia"/>
                <w:vertAlign w:val="subscript"/>
              </w:rPr>
              <w:t>2.5</w:t>
            </w:r>
            <w:r>
              <w:rPr>
                <w:rFonts w:hint="eastAsia"/>
              </w:rPr>
              <w:t>、O</w:t>
            </w:r>
            <w:r>
              <w:rPr>
                <w:rFonts w:hint="eastAsia"/>
                <w:vertAlign w:val="subscript"/>
              </w:rPr>
              <w:t>3</w:t>
            </w:r>
            <w:r>
              <w:rPr>
                <w:rFonts w:hint="eastAsia"/>
              </w:rPr>
              <w:t>-8H、SO</w:t>
            </w:r>
            <w:r>
              <w:rPr>
                <w:rFonts w:hint="eastAsia"/>
                <w:vertAlign w:val="subscript"/>
              </w:rPr>
              <w:t>2</w:t>
            </w:r>
            <w:r>
              <w:rPr>
                <w:rFonts w:hint="eastAsia"/>
              </w:rPr>
              <w:t>、NO</w:t>
            </w:r>
            <w:r>
              <w:rPr>
                <w:rFonts w:hint="eastAsia"/>
                <w:vertAlign w:val="subscript"/>
              </w:rPr>
              <w:t>2</w:t>
            </w:r>
            <w:r>
              <w:rPr>
                <w:rFonts w:hint="eastAsia"/>
              </w:rPr>
              <w:t>、CO为首要污染物的超标天</w:t>
            </w:r>
            <w:r>
              <w:t>。</w:t>
            </w:r>
          </w:p>
          <w:p>
            <w:r>
              <w:t>根据《</w:t>
            </w:r>
            <w:r>
              <w:rPr>
                <w:rFonts w:hint="eastAsia"/>
              </w:rPr>
              <w:t>巴音郭楞蒙古自治州2024年生态环境状况公报</w:t>
            </w:r>
            <w:r>
              <w:t>》结论，项目所在区域</w:t>
            </w:r>
            <w:r>
              <w:rPr>
                <w:rFonts w:hint="eastAsia"/>
              </w:rPr>
              <w:t>PM</w:t>
            </w:r>
            <w:r>
              <w:rPr>
                <w:rFonts w:hint="eastAsia"/>
                <w:vertAlign w:val="subscript"/>
              </w:rPr>
              <w:t>2.5</w:t>
            </w:r>
            <w:r>
              <w:rPr>
                <w:rFonts w:hint="eastAsia"/>
              </w:rPr>
              <w:t>、O</w:t>
            </w:r>
            <w:r>
              <w:rPr>
                <w:rFonts w:hint="eastAsia"/>
                <w:vertAlign w:val="subscript"/>
              </w:rPr>
              <w:t>3</w:t>
            </w:r>
            <w:r>
              <w:rPr>
                <w:rFonts w:hint="eastAsia"/>
              </w:rPr>
              <w:t>-8H、SO</w:t>
            </w:r>
            <w:r>
              <w:rPr>
                <w:rFonts w:hint="eastAsia"/>
                <w:vertAlign w:val="subscript"/>
              </w:rPr>
              <w:t>2</w:t>
            </w:r>
            <w:r>
              <w:rPr>
                <w:rFonts w:hint="eastAsia"/>
              </w:rPr>
              <w:t>、NO</w:t>
            </w:r>
            <w:r>
              <w:rPr>
                <w:rFonts w:hint="eastAsia"/>
                <w:vertAlign w:val="subscript"/>
              </w:rPr>
              <w:t>2</w:t>
            </w:r>
            <w:r>
              <w:rPr>
                <w:rFonts w:hint="eastAsia"/>
              </w:rPr>
              <w:t>、CO</w:t>
            </w:r>
            <w:r>
              <w:t>均浓度均满足《环境空气质量标准》（GB3095-2012）的二级标准要求；</w:t>
            </w:r>
            <w:r>
              <w:rPr>
                <w:kern w:val="0"/>
              </w:rPr>
              <w:t>受沙尘天气影响PM</w:t>
            </w:r>
            <w:r>
              <w:rPr>
                <w:kern w:val="0"/>
                <w:vertAlign w:val="subscript"/>
              </w:rPr>
              <w:t>10</w:t>
            </w:r>
            <w:r>
              <w:rPr>
                <w:kern w:val="0"/>
              </w:rPr>
              <w:t>年均值浓度超过《环境空气质量标准》（GB3095-2012）的二级标准要求，本项目所在区域为非达标区域</w:t>
            </w:r>
            <w:r>
              <w:rPr>
                <w:rFonts w:hint="eastAsia"/>
                <w:kern w:val="0"/>
              </w:rPr>
              <w:t>。</w:t>
            </w:r>
          </w:p>
          <w:p>
            <w:pPr>
              <w:rPr>
                <w:kern w:val="0"/>
              </w:rPr>
            </w:pPr>
            <w:r>
              <w:t>对于环境空气质量不达标区域需提交《大气环境不达标区域削减方案》，根据关</w:t>
            </w:r>
            <w:r>
              <w:rPr>
                <w:kern w:val="0"/>
              </w:rPr>
              <w:t>于将巴音郭楞蒙古自治州吐鲁番市哈密市纳入执行《环境影响评价技术导则大气环境（HJ2.2-2018）》差别化政策范围的复函（环办环评函</w:t>
            </w:r>
            <w:r>
              <w:rPr>
                <w:rFonts w:hint="eastAsia"/>
                <w:kern w:val="0"/>
              </w:rPr>
              <w:t>〔2020〕</w:t>
            </w:r>
            <w:r>
              <w:rPr>
                <w:kern w:val="0"/>
              </w:rPr>
              <w:t>341号），本地区新建项目可不提供颗粒物区域削减方案。</w:t>
            </w:r>
          </w:p>
          <w:p>
            <w:pPr>
              <w:pStyle w:val="14"/>
              <w:ind w:firstLine="482" w:firstLineChars="200"/>
            </w:pPr>
            <w:r>
              <w:t>4.</w:t>
            </w:r>
            <w:r>
              <w:rPr>
                <w:rFonts w:hint="eastAsia"/>
              </w:rPr>
              <w:t>声环境质量现状</w:t>
            </w:r>
          </w:p>
          <w:p>
            <w:r>
              <w:t>根据《声环境功能区划分技术规范》（GB/T15190-2014），本项目属于声环境功能区2类区域，声环境执行《声环境质量标准》（GB3096-2008）的2类声环境功能限值。</w:t>
            </w:r>
          </w:p>
          <w:p>
            <w:r>
              <w:rPr>
                <w:rFonts w:hint="eastAsia"/>
              </w:rPr>
              <w:t>项目厂界外周边5</w:t>
            </w:r>
            <w:r>
              <w:t>0</w:t>
            </w:r>
            <w:r>
              <w:rPr>
                <w:rFonts w:hint="eastAsia"/>
              </w:rPr>
              <w:t>米范围内不存在声环境保护目标，因此对项目不进行声环境监测。</w:t>
            </w:r>
          </w:p>
          <w:p>
            <w:pPr>
              <w:pStyle w:val="14"/>
              <w:ind w:firstLine="482" w:firstLineChars="200"/>
            </w:pPr>
            <w:bookmarkStart w:id="30" w:name="_Toc29722417"/>
            <w:bookmarkStart w:id="31" w:name="_Toc240865444"/>
            <w:r>
              <w:t>5.</w:t>
            </w:r>
            <w:r>
              <w:rPr>
                <w:rFonts w:hint="eastAsia"/>
              </w:rPr>
              <w:t>地表水环境质量现状</w:t>
            </w:r>
            <w:bookmarkEnd w:id="30"/>
          </w:p>
          <w:bookmarkEnd w:id="31"/>
          <w:p>
            <w:r>
              <w:t>根据《巴音郭楞蒙古自治州2024年生态环境状况公报》，2024年，全州地表水监测的31个考核断面（点位）中，Ⅰ~Ⅲ类优良水质断面（点位）占比90.3%，无Ⅳ类水质。6条主要河流19个监测断面中Ⅰ~Ⅲ类优良水质断面占100%，3个重要湖泊（水库）12个监测点位中Ⅰ~Ⅲ类优良水质断面占75%，无劣Ⅴ类水体，湖泊水质影响因子为化学需氧量。</w:t>
            </w:r>
          </w:p>
          <w:p>
            <w:r>
              <w:rPr>
                <w:bCs/>
              </w:rPr>
              <w:t>距离本项目最近水体为本项目探矿区西南侧2.7km处的乌拉斯塔河，</w:t>
            </w:r>
            <w:r>
              <w:t>属于开都河流域，</w:t>
            </w:r>
            <w:r>
              <w:rPr>
                <w:color w:val="000000"/>
              </w:rPr>
              <w:t>根据《巴音郭楞蒙古自治州2024年生态环境状况公报》，6条主要河流19个监测断面中Ⅰ~Ⅲ类优良水质断面占100%，水质状况良好</w:t>
            </w:r>
            <w:r>
              <w:t>。开都河水环境质量可达到《地表水环境质量标准》（GB3838—2002）Ⅰ类水质标准。</w:t>
            </w:r>
          </w:p>
          <w:p>
            <w:pPr>
              <w:ind w:firstLine="482"/>
              <w:rPr>
                <w:b/>
              </w:rPr>
            </w:pPr>
            <w:r>
              <w:rPr>
                <w:b/>
              </w:rPr>
              <w:t>6.</w:t>
            </w:r>
            <w:r>
              <w:rPr>
                <w:rFonts w:hint="eastAsia"/>
                <w:b/>
              </w:rPr>
              <w:t>地下水、土壤环境现状调查</w:t>
            </w:r>
          </w:p>
          <w:p>
            <w:pPr>
              <w:rPr>
                <w:b/>
                <w:kern w:val="0"/>
              </w:rPr>
            </w:pPr>
            <w:r>
              <w:rPr>
                <w:rFonts w:hint="eastAsia"/>
                <w:bCs/>
              </w:rPr>
              <w:t>本项目不涉及重金属、持久性难降解有机污染物排放，且各污染物产生量较小，故本次评价不进行土壤环境现状调查</w:t>
            </w:r>
            <w:r>
              <w:rPr>
                <w:kern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tcMar>
              <w:left w:w="28" w:type="dxa"/>
              <w:right w:w="28" w:type="dxa"/>
            </w:tcMar>
            <w:vAlign w:val="center"/>
          </w:tcPr>
          <w:p>
            <w:pPr>
              <w:pStyle w:val="25"/>
            </w:pPr>
            <w:r>
              <w:t>与项目有关的原有</w:t>
            </w:r>
            <w:r>
              <w:rPr>
                <w:rFonts w:hint="eastAsia"/>
              </w:rPr>
              <w:t>环境</w:t>
            </w:r>
            <w:r>
              <w:t>污染</w:t>
            </w:r>
            <w:r>
              <w:rPr>
                <w:rFonts w:hint="eastAsia"/>
              </w:rPr>
              <w:t>和生态破坏</w:t>
            </w:r>
            <w:r>
              <w:t>问题</w:t>
            </w:r>
          </w:p>
        </w:tc>
        <w:tc>
          <w:tcPr>
            <w:tcW w:w="4757" w:type="pct"/>
            <w:vAlign w:val="center"/>
          </w:tcPr>
          <w:p>
            <w:pPr>
              <w:rPr>
                <w:rFonts w:ascii="宋体" w:hAnsi="宋体" w:cs="宋体"/>
                <w:kern w:val="0"/>
                <w:szCs w:val="21"/>
              </w:rPr>
            </w:pPr>
            <w:r>
              <w:rPr>
                <w:rFonts w:hint="eastAsia"/>
              </w:rPr>
              <w:t>项目区位于</w:t>
            </w:r>
            <w:r>
              <w:t>新疆和</w:t>
            </w:r>
            <w:r>
              <w:rPr>
                <w:color w:val="000000" w:themeColor="text1"/>
                <w14:textFill>
                  <w14:solidFill>
                    <w14:schemeClr w14:val="tx1"/>
                  </w14:solidFill>
                </w14:textFill>
              </w:rPr>
              <w:t>静县克尔古提乡西</w:t>
            </w:r>
            <w:r>
              <w:rPr>
                <w:rFonts w:hint="eastAsia"/>
                <w:color w:val="000000" w:themeColor="text1"/>
                <w14:textFill>
                  <w14:solidFill>
                    <w14:schemeClr w14:val="tx1"/>
                  </w14:solidFill>
                </w14:textFill>
              </w:rPr>
              <w:t>北</w:t>
            </w:r>
            <w:r>
              <w:rPr>
                <w:color w:val="000000" w:themeColor="text1"/>
                <w14:textFill>
                  <w14:solidFill>
                    <w14:schemeClr w14:val="tx1"/>
                  </w14:solidFill>
                </w14:textFill>
              </w:rPr>
              <w:t>约27</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°方向直距约</w:t>
            </w:r>
            <w:r>
              <w:rPr>
                <w:rFonts w:hint="eastAsia"/>
                <w:color w:val="000000" w:themeColor="text1"/>
                <w14:textFill>
                  <w14:solidFill>
                    <w14:schemeClr w14:val="tx1"/>
                  </w14:solidFill>
                </w14:textFill>
              </w:rPr>
              <w:t>41</w:t>
            </w:r>
            <w:r>
              <w:rPr>
                <w:color w:val="000000" w:themeColor="text1"/>
                <w14:textFill>
                  <w14:solidFill>
                    <w14:schemeClr w14:val="tx1"/>
                  </w14:solidFill>
                </w14:textFill>
              </w:rPr>
              <w:t>千米处</w:t>
            </w:r>
            <w:r>
              <w:rPr>
                <w:rFonts w:hint="eastAsia"/>
              </w:rPr>
              <w:t>，行政区划隶属新疆和静县管辖</w:t>
            </w:r>
            <w:r>
              <w:rPr>
                <w:rFonts w:hint="eastAsia"/>
                <w:color w:val="000000"/>
                <w:kern w:val="0"/>
              </w:rPr>
              <w:t>，</w:t>
            </w:r>
            <w:r>
              <w:rPr>
                <w:rFonts w:hint="eastAsia" w:ascii="宋体" w:hAnsi="宋体"/>
                <w:color w:val="000000"/>
              </w:rPr>
              <w:t>属于</w:t>
            </w:r>
            <w:r>
              <w:rPr>
                <w:rFonts w:ascii="宋体" w:hAnsi="宋体"/>
                <w:color w:val="000000"/>
              </w:rPr>
              <w:t>新建</w:t>
            </w:r>
            <w:r>
              <w:rPr>
                <w:rFonts w:hint="eastAsia" w:ascii="宋体" w:hAnsi="宋体"/>
                <w:color w:val="000000"/>
              </w:rPr>
              <w:t>项目</w:t>
            </w:r>
            <w:r>
              <w:rPr>
                <w:rFonts w:ascii="宋体" w:hAnsi="宋体"/>
                <w:color w:val="000000"/>
              </w:rPr>
              <w:t>，无原有污染情况</w:t>
            </w:r>
            <w:r>
              <w:rPr>
                <w:rFonts w:hint="eastAsia" w:ascii="宋体" w:hAnsi="宋体"/>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242" w:type="pct"/>
            <w:vAlign w:val="center"/>
          </w:tcPr>
          <w:p>
            <w:pPr>
              <w:pStyle w:val="25"/>
            </w:pPr>
            <w:r>
              <w:rPr>
                <w:rFonts w:hint="eastAsia"/>
              </w:rPr>
              <w:t>生态环境保护目标</w:t>
            </w:r>
          </w:p>
        </w:tc>
        <w:tc>
          <w:tcPr>
            <w:tcW w:w="4757" w:type="pct"/>
            <w:vAlign w:val="center"/>
          </w:tcPr>
          <w:p>
            <w:pPr>
              <w:pStyle w:val="14"/>
              <w:ind w:firstLine="482" w:firstLineChars="200"/>
            </w:pPr>
            <w:bookmarkStart w:id="32" w:name="_Hlk124255559"/>
            <w:r>
              <w:rPr>
                <w:rFonts w:hint="eastAsia"/>
              </w:rPr>
              <w:t>1.大气环境</w:t>
            </w:r>
          </w:p>
          <w:p>
            <w:r>
              <w:t>本项目场界外500m范围内无自然保护区、风景名胜区、居住区、文化区和农村地区中人群较集中的区域等大气环境保护目标；</w:t>
            </w:r>
          </w:p>
          <w:p>
            <w:pPr>
              <w:pStyle w:val="14"/>
              <w:ind w:firstLine="482" w:firstLineChars="200"/>
            </w:pPr>
            <w:r>
              <w:rPr>
                <w:rFonts w:hint="eastAsia"/>
              </w:rPr>
              <w:t>2</w:t>
            </w:r>
            <w:r>
              <w:t>.</w:t>
            </w:r>
            <w:r>
              <w:rPr>
                <w:rFonts w:hint="eastAsia"/>
              </w:rPr>
              <w:t>声环境</w:t>
            </w:r>
          </w:p>
          <w:p>
            <w:r>
              <w:t>根据《环境影响评价技术导则声环境》(</w:t>
            </w:r>
            <w:r>
              <w:rPr>
                <w:rFonts w:hint="eastAsia"/>
              </w:rPr>
              <w:t>HJ2.4-2021</w:t>
            </w:r>
            <w:r>
              <w:t>)，声环境敏感目标指医院、学校、机关、科研单位、住宅、自然保护区等对噪声敏感的建筑物或区域。本项目场界外50m范围内无声环境</w:t>
            </w:r>
            <w:r>
              <w:rPr>
                <w:rFonts w:hint="eastAsia"/>
              </w:rPr>
              <w:t>敏感</w:t>
            </w:r>
            <w:r>
              <w:t>保护目标；</w:t>
            </w:r>
          </w:p>
          <w:p>
            <w:pPr>
              <w:pStyle w:val="14"/>
              <w:ind w:firstLine="482" w:firstLineChars="200"/>
            </w:pPr>
            <w:r>
              <w:rPr>
                <w:rFonts w:hint="eastAsia"/>
              </w:rPr>
              <w:t>3</w:t>
            </w:r>
            <w:r>
              <w:t>.</w:t>
            </w:r>
            <w:r>
              <w:rPr>
                <w:rFonts w:hint="eastAsia"/>
              </w:rPr>
              <w:t>生态环境</w:t>
            </w:r>
          </w:p>
          <w:p>
            <w:r>
              <w:rPr>
                <w:rFonts w:hint="eastAsia"/>
              </w:rPr>
              <w:t>根据现场踏勘，项目区位于</w:t>
            </w:r>
            <w:r>
              <w:t>新疆和</w:t>
            </w:r>
            <w:r>
              <w:rPr>
                <w:color w:val="000000" w:themeColor="text1"/>
                <w14:textFill>
                  <w14:solidFill>
                    <w14:schemeClr w14:val="tx1"/>
                  </w14:solidFill>
                </w14:textFill>
              </w:rPr>
              <w:t>静县克尔古提乡西</w:t>
            </w:r>
            <w:r>
              <w:rPr>
                <w:rFonts w:hint="eastAsia"/>
                <w:color w:val="000000" w:themeColor="text1"/>
                <w14:textFill>
                  <w14:solidFill>
                    <w14:schemeClr w14:val="tx1"/>
                  </w14:solidFill>
                </w14:textFill>
              </w:rPr>
              <w:t>北</w:t>
            </w:r>
            <w:r>
              <w:rPr>
                <w:color w:val="000000" w:themeColor="text1"/>
                <w14:textFill>
                  <w14:solidFill>
                    <w14:schemeClr w14:val="tx1"/>
                  </w14:solidFill>
                </w14:textFill>
              </w:rPr>
              <w:t>约27</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°方向直距约</w:t>
            </w:r>
            <w:r>
              <w:rPr>
                <w:rFonts w:hint="eastAsia"/>
                <w:color w:val="000000" w:themeColor="text1"/>
                <w14:textFill>
                  <w14:solidFill>
                    <w14:schemeClr w14:val="tx1"/>
                  </w14:solidFill>
                </w14:textFill>
              </w:rPr>
              <w:t>41</w:t>
            </w:r>
            <w:r>
              <w:rPr>
                <w:color w:val="000000" w:themeColor="text1"/>
                <w14:textFill>
                  <w14:solidFill>
                    <w14:schemeClr w14:val="tx1"/>
                  </w14:solidFill>
                </w14:textFill>
              </w:rPr>
              <w:t>千米处</w:t>
            </w:r>
            <w:r>
              <w:rPr>
                <w:rFonts w:hint="eastAsia"/>
              </w:rPr>
              <w:t>，行政区划隶属新疆和静县管辖，项目矿权范围内不涉及</w:t>
            </w:r>
            <w:r>
              <w:rPr>
                <w:rFonts w:hint="eastAsia"/>
                <w:bCs/>
              </w:rPr>
              <w:t>生态保护红线、饮用水水源保护区、风景名胜区、文物古迹等生态敏感区，区域内无珍稀濒危野生动植物存在。</w:t>
            </w:r>
          </w:p>
          <w:p>
            <w:pPr>
              <w:rPr>
                <w:bCs/>
              </w:rPr>
            </w:pPr>
            <w:r>
              <w:rPr>
                <w:rFonts w:hint="eastAsia"/>
              </w:rPr>
              <w:t>本项目属于地质勘探工程，生产活动较少，采取有效的污染防治措施后</w:t>
            </w:r>
            <w:r>
              <w:rPr>
                <w:rFonts w:hint="eastAsia"/>
                <w:bCs/>
              </w:rPr>
              <w:t>对天山水源涵养与生物多样性维护生态保护红线区基本无影响。</w:t>
            </w:r>
            <w:bookmarkEnd w:id="3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242" w:type="pct"/>
            <w:vAlign w:val="center"/>
          </w:tcPr>
          <w:p>
            <w:pPr>
              <w:pStyle w:val="25"/>
            </w:pPr>
            <w:r>
              <w:rPr>
                <w:rFonts w:hint="eastAsia"/>
              </w:rPr>
              <w:t>评价标准</w:t>
            </w:r>
          </w:p>
        </w:tc>
        <w:tc>
          <w:tcPr>
            <w:tcW w:w="4757" w:type="pct"/>
            <w:vAlign w:val="center"/>
          </w:tcPr>
          <w:p>
            <w:pPr>
              <w:pStyle w:val="14"/>
              <w:ind w:firstLine="482" w:firstLineChars="200"/>
            </w:pPr>
            <w:r>
              <w:rPr>
                <w:rFonts w:hint="eastAsia"/>
              </w:rPr>
              <w:t>1.环境质量标准</w:t>
            </w:r>
          </w:p>
          <w:p>
            <w:pPr>
              <w:pStyle w:val="14"/>
              <w:ind w:firstLine="482" w:firstLineChars="200"/>
            </w:pPr>
            <w:r>
              <w:t>1.1环境空气</w:t>
            </w:r>
          </w:p>
          <w:p>
            <w:r>
              <w:t>环境空气质量执行《环境空气质量标准》（GB3095-2012）中的二级标准</w:t>
            </w:r>
            <w:r>
              <w:rPr>
                <w:bCs/>
              </w:rPr>
              <w:t>。</w:t>
            </w:r>
          </w:p>
          <w:p>
            <w:pPr>
              <w:pStyle w:val="14"/>
              <w:ind w:firstLine="482" w:firstLineChars="200"/>
            </w:pPr>
            <w:r>
              <w:rPr>
                <w:rFonts w:hint="eastAsia"/>
              </w:rPr>
              <w:t>1</w:t>
            </w:r>
            <w:r>
              <w:t>.2声环境</w:t>
            </w:r>
          </w:p>
          <w:p>
            <w:r>
              <w:t>项目区声环境质量执行《声环境质量标准》（GB3096-2008）2类标准，即昼间≤60dB(A)，夜间≤50dB(A)。</w:t>
            </w:r>
          </w:p>
          <w:p>
            <w:pPr>
              <w:pStyle w:val="14"/>
              <w:ind w:firstLine="482" w:firstLineChars="200"/>
            </w:pPr>
            <w:r>
              <w:t>2</w:t>
            </w:r>
            <w:r>
              <w:rPr>
                <w:rFonts w:hint="eastAsia"/>
              </w:rPr>
              <w:t>.污染物排放标准</w:t>
            </w:r>
          </w:p>
          <w:p>
            <w:pPr>
              <w:pStyle w:val="14"/>
              <w:ind w:firstLine="482" w:firstLineChars="200"/>
            </w:pPr>
            <w:r>
              <w:rPr>
                <w:rFonts w:hint="eastAsia"/>
              </w:rPr>
              <w:t>2</w:t>
            </w:r>
            <w:r>
              <w:t>.1废气</w:t>
            </w:r>
          </w:p>
          <w:p>
            <w:r>
              <w:rPr>
                <w:rFonts w:hint="eastAsia"/>
              </w:rPr>
              <w:t>项目勘探期扬尘</w:t>
            </w:r>
            <w:r>
              <w:t>执行《大气污染物综合排放标准》（GB16297-</w:t>
            </w:r>
            <w:r>
              <w:rPr>
                <w:rFonts w:hint="eastAsia"/>
              </w:rPr>
              <w:t>19</w:t>
            </w:r>
            <w:r>
              <w:t>96）</w:t>
            </w:r>
            <w:r>
              <w:rPr>
                <w:rFonts w:hint="eastAsia"/>
              </w:rPr>
              <w:t>中无组织排放监控浓度限值，</w:t>
            </w:r>
            <w:r>
              <w:t>详见表</w:t>
            </w:r>
            <w:r>
              <w:rPr>
                <w:rFonts w:hint="eastAsia"/>
              </w:rPr>
              <w:t>3-</w:t>
            </w:r>
            <w:r>
              <w:t>2。</w:t>
            </w:r>
          </w:p>
          <w:p>
            <w:pPr>
              <w:pStyle w:val="27"/>
              <w:spacing w:before="156"/>
              <w:rPr>
                <w:vertAlign w:val="superscript"/>
              </w:rPr>
            </w:pPr>
            <w:r>
              <w:t>表3-2  大气污染物综合排放标准</w:t>
            </w:r>
            <w:r>
              <w:rPr>
                <w:rFonts w:hint="eastAsia"/>
              </w:rPr>
              <w:t>（摘录）</w:t>
            </w:r>
            <w:r>
              <w:t>单位：mg/m</w:t>
            </w:r>
            <w:r>
              <w:rPr>
                <w:vertAlign w:val="superscript"/>
              </w:rPr>
              <w:t>3</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4"/>
              <w:gridCol w:w="2194"/>
              <w:gridCol w:w="43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5"/>
                  </w:pPr>
                  <w:r>
                    <w:rPr>
                      <w:rFonts w:hint="eastAsia"/>
                    </w:rPr>
                    <w:t>序号</w:t>
                  </w:r>
                </w:p>
              </w:tc>
              <w:tc>
                <w:tcPr>
                  <w:tcW w:w="1397" w:type="pct"/>
                  <w:vAlign w:val="center"/>
                </w:tcPr>
                <w:p>
                  <w:pPr>
                    <w:pStyle w:val="25"/>
                  </w:pPr>
                  <w:r>
                    <w:rPr>
                      <w:rFonts w:hint="eastAsia"/>
                    </w:rPr>
                    <w:t>污染物</w:t>
                  </w:r>
                </w:p>
              </w:tc>
              <w:tc>
                <w:tcPr>
                  <w:tcW w:w="2797" w:type="pct"/>
                  <w:vAlign w:val="center"/>
                </w:tcPr>
                <w:p>
                  <w:pPr>
                    <w:pStyle w:val="25"/>
                  </w:pPr>
                  <w:r>
                    <w:rPr>
                      <w:rFonts w:hint="eastAsia"/>
                    </w:rPr>
                    <w:t>无组织排放监控浓度限值（</w:t>
                  </w:r>
                  <w:r>
                    <w:t>mg/m</w:t>
                  </w:r>
                  <w:r>
                    <w:rPr>
                      <w:vertAlign w:val="superscript"/>
                    </w:rPr>
                    <w:t>3</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5"/>
                    <w:rPr>
                      <w:lang w:val="pt-BR"/>
                    </w:rPr>
                  </w:pPr>
                  <w:r>
                    <w:rPr>
                      <w:rFonts w:hint="eastAsia"/>
                      <w:lang w:val="pt-BR"/>
                    </w:rPr>
                    <w:t>1</w:t>
                  </w:r>
                </w:p>
              </w:tc>
              <w:tc>
                <w:tcPr>
                  <w:tcW w:w="1397" w:type="pct"/>
                  <w:vAlign w:val="center"/>
                </w:tcPr>
                <w:p>
                  <w:pPr>
                    <w:pStyle w:val="25"/>
                  </w:pPr>
                  <w:r>
                    <w:rPr>
                      <w:rFonts w:hint="eastAsia"/>
                    </w:rPr>
                    <w:t>颗粒物</w:t>
                  </w:r>
                </w:p>
              </w:tc>
              <w:tc>
                <w:tcPr>
                  <w:tcW w:w="2797" w:type="pct"/>
                  <w:vAlign w:val="center"/>
                </w:tcPr>
                <w:p>
                  <w:pPr>
                    <w:pStyle w:val="25"/>
                  </w:pPr>
                  <w:r>
                    <w:t>1.0</w:t>
                  </w:r>
                </w:p>
              </w:tc>
            </w:tr>
          </w:tbl>
          <w:p>
            <w:r>
              <w:t>2014年5月16日，</w:t>
            </w:r>
            <w:r>
              <w:rPr>
                <w:rFonts w:hint="eastAsia"/>
              </w:rPr>
              <w:t>生态环境部</w:t>
            </w:r>
            <w:r>
              <w:t>及国家质量监督检验检疫总局联合发布了《非道路移动机械用柴油机排气污染物排放限值及测量方法（中国第三、四阶段）》（GB20891-2014），标准规定了非道路移动机械用柴油机（含额定净功率不超过37k</w:t>
            </w:r>
            <w:r>
              <w:rPr>
                <w:rFonts w:hint="eastAsia"/>
              </w:rPr>
              <w:t>w</w:t>
            </w:r>
            <w:r>
              <w:t>的船用柴油机）和在道路上用于载人（货）的车辆装用的第二台柴油机排气污染物排放限值及测量方法，因此本项目所使用柴油发电机执行该标准中表2的第</w:t>
            </w:r>
            <w:r>
              <w:rPr>
                <w:rFonts w:hint="eastAsia"/>
              </w:rPr>
              <w:t>四</w:t>
            </w:r>
            <w:r>
              <w:t>阶段限值要求。</w:t>
            </w:r>
          </w:p>
          <w:p>
            <w:pPr>
              <w:pStyle w:val="27"/>
              <w:spacing w:before="156"/>
            </w:pPr>
            <w:r>
              <w:rPr>
                <w:rFonts w:hint="eastAsia"/>
              </w:rPr>
              <w:t>表</w:t>
            </w:r>
            <w:r>
              <w:t xml:space="preserve">3-3  </w:t>
            </w:r>
            <w:r>
              <w:rPr>
                <w:rFonts w:hint="eastAsia"/>
              </w:rPr>
              <w:t>非道路移动机械用柴油机排气污染物排放限值及测量方法</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5"/>
              <w:gridCol w:w="1717"/>
              <w:gridCol w:w="1360"/>
              <w:gridCol w:w="1962"/>
              <w:gridCol w:w="17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3" w:hRule="atLeast"/>
                <w:jc w:val="center"/>
              </w:trPr>
              <w:tc>
                <w:tcPr>
                  <w:tcW w:w="678" w:type="pct"/>
                  <w:vAlign w:val="center"/>
                </w:tcPr>
                <w:p>
                  <w:pPr>
                    <w:spacing w:line="240" w:lineRule="auto"/>
                    <w:ind w:firstLine="0" w:firstLineChars="0"/>
                    <w:jc w:val="center"/>
                    <w:rPr>
                      <w:sz w:val="21"/>
                      <w:szCs w:val="21"/>
                    </w:rPr>
                  </w:pPr>
                  <w:r>
                    <w:rPr>
                      <w:sz w:val="21"/>
                      <w:szCs w:val="21"/>
                    </w:rPr>
                    <w:t>阶段</w:t>
                  </w:r>
                </w:p>
              </w:tc>
              <w:tc>
                <w:tcPr>
                  <w:tcW w:w="1093" w:type="pct"/>
                  <w:vAlign w:val="center"/>
                </w:tcPr>
                <w:p>
                  <w:pPr>
                    <w:spacing w:line="240" w:lineRule="auto"/>
                    <w:ind w:firstLine="0" w:firstLineChars="0"/>
                    <w:jc w:val="center"/>
                    <w:rPr>
                      <w:sz w:val="21"/>
                      <w:szCs w:val="21"/>
                    </w:rPr>
                  </w:pPr>
                  <w:r>
                    <w:rPr>
                      <w:sz w:val="21"/>
                      <w:szCs w:val="21"/>
                    </w:rPr>
                    <w:t>额定定功率</w:t>
                  </w:r>
                </w:p>
              </w:tc>
              <w:tc>
                <w:tcPr>
                  <w:tcW w:w="866" w:type="pct"/>
                  <w:vAlign w:val="center"/>
                </w:tcPr>
                <w:p>
                  <w:pPr>
                    <w:spacing w:line="240" w:lineRule="auto"/>
                    <w:ind w:firstLine="0" w:firstLineChars="0"/>
                    <w:jc w:val="center"/>
                    <w:rPr>
                      <w:sz w:val="21"/>
                      <w:szCs w:val="21"/>
                    </w:rPr>
                  </w:pPr>
                  <w:r>
                    <w:rPr>
                      <w:sz w:val="21"/>
                      <w:szCs w:val="21"/>
                    </w:rPr>
                    <w:t>CO(g/kWh)</w:t>
                  </w:r>
                </w:p>
              </w:tc>
              <w:tc>
                <w:tcPr>
                  <w:tcW w:w="1249" w:type="pct"/>
                  <w:vAlign w:val="center"/>
                </w:tcPr>
                <w:p>
                  <w:pPr>
                    <w:spacing w:line="240" w:lineRule="auto"/>
                    <w:ind w:firstLine="0" w:firstLineChars="0"/>
                    <w:jc w:val="center"/>
                    <w:rPr>
                      <w:sz w:val="21"/>
                      <w:szCs w:val="21"/>
                    </w:rPr>
                  </w:pPr>
                  <w:r>
                    <w:rPr>
                      <w:sz w:val="21"/>
                      <w:szCs w:val="21"/>
                    </w:rPr>
                    <w:t>CH+NOx(g/kWh)</w:t>
                  </w:r>
                </w:p>
              </w:tc>
              <w:tc>
                <w:tcPr>
                  <w:tcW w:w="1111" w:type="pct"/>
                  <w:vAlign w:val="center"/>
                </w:tcPr>
                <w:p>
                  <w:pPr>
                    <w:spacing w:line="240" w:lineRule="auto"/>
                    <w:ind w:firstLine="0" w:firstLineChars="0"/>
                    <w:jc w:val="center"/>
                    <w:rPr>
                      <w:sz w:val="21"/>
                      <w:szCs w:val="21"/>
                    </w:rPr>
                  </w:pPr>
                  <w:r>
                    <w:rPr>
                      <w:sz w:val="21"/>
                      <w:szCs w:val="21"/>
                    </w:rPr>
                    <w:t>PM(g/kWh)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78" w:type="pct"/>
                  <w:vAlign w:val="center"/>
                </w:tcPr>
                <w:p>
                  <w:pPr>
                    <w:spacing w:line="240" w:lineRule="auto"/>
                    <w:ind w:firstLine="0" w:firstLineChars="0"/>
                    <w:jc w:val="center"/>
                    <w:rPr>
                      <w:sz w:val="21"/>
                      <w:szCs w:val="21"/>
                    </w:rPr>
                  </w:pPr>
                  <w:r>
                    <w:rPr>
                      <w:sz w:val="21"/>
                      <w:szCs w:val="21"/>
                    </w:rPr>
                    <w:t>第四阶段</w:t>
                  </w:r>
                </w:p>
              </w:tc>
              <w:tc>
                <w:tcPr>
                  <w:tcW w:w="1093" w:type="pct"/>
                  <w:vAlign w:val="center"/>
                </w:tcPr>
                <w:p>
                  <w:pPr>
                    <w:spacing w:line="240" w:lineRule="auto"/>
                    <w:ind w:firstLine="0" w:firstLineChars="0"/>
                    <w:jc w:val="center"/>
                    <w:rPr>
                      <w:sz w:val="21"/>
                      <w:szCs w:val="21"/>
                    </w:rPr>
                  </w:pPr>
                  <w:r>
                    <w:rPr>
                      <w:sz w:val="21"/>
                      <w:szCs w:val="21"/>
                    </w:rPr>
                    <w:t>130≤Pmax≤560</w:t>
                  </w:r>
                </w:p>
              </w:tc>
              <w:tc>
                <w:tcPr>
                  <w:tcW w:w="866" w:type="pct"/>
                  <w:vAlign w:val="center"/>
                </w:tcPr>
                <w:p>
                  <w:pPr>
                    <w:spacing w:line="240" w:lineRule="auto"/>
                    <w:ind w:firstLine="420"/>
                    <w:rPr>
                      <w:sz w:val="21"/>
                      <w:szCs w:val="21"/>
                    </w:rPr>
                  </w:pPr>
                  <w:r>
                    <w:rPr>
                      <w:sz w:val="21"/>
                      <w:szCs w:val="21"/>
                    </w:rPr>
                    <w:t>3.5</w:t>
                  </w:r>
                </w:p>
              </w:tc>
              <w:tc>
                <w:tcPr>
                  <w:tcW w:w="1249" w:type="pct"/>
                  <w:vAlign w:val="center"/>
                </w:tcPr>
                <w:p>
                  <w:pPr>
                    <w:spacing w:line="240" w:lineRule="auto"/>
                    <w:ind w:firstLine="420"/>
                    <w:rPr>
                      <w:sz w:val="21"/>
                      <w:szCs w:val="21"/>
                    </w:rPr>
                  </w:pPr>
                  <w:r>
                    <w:rPr>
                      <w:sz w:val="21"/>
                      <w:szCs w:val="21"/>
                    </w:rPr>
                    <w:t>6.4</w:t>
                  </w:r>
                </w:p>
              </w:tc>
              <w:tc>
                <w:tcPr>
                  <w:tcW w:w="1111" w:type="pct"/>
                  <w:vAlign w:val="center"/>
                </w:tcPr>
                <w:p>
                  <w:pPr>
                    <w:spacing w:line="240" w:lineRule="auto"/>
                    <w:ind w:firstLine="420"/>
                    <w:rPr>
                      <w:sz w:val="21"/>
                      <w:szCs w:val="21"/>
                    </w:rPr>
                  </w:pPr>
                  <w:r>
                    <w:rPr>
                      <w:sz w:val="21"/>
                      <w:szCs w:val="21"/>
                    </w:rPr>
                    <w:t>0.2</w:t>
                  </w:r>
                </w:p>
              </w:tc>
            </w:tr>
          </w:tbl>
          <w:p>
            <w:pPr>
              <w:pStyle w:val="14"/>
              <w:ind w:firstLine="482" w:firstLineChars="200"/>
            </w:pPr>
            <w:r>
              <w:rPr>
                <w:rFonts w:hint="eastAsia"/>
              </w:rPr>
              <w:t>2</w:t>
            </w:r>
            <w:r>
              <w:t>.2噪声</w:t>
            </w:r>
          </w:p>
          <w:p>
            <w:pPr>
              <w:rPr>
                <w:b/>
              </w:rPr>
            </w:pPr>
            <w:r>
              <w:rPr>
                <w:rFonts w:hint="eastAsia"/>
              </w:rPr>
              <w:t>项目勘探期噪声执行</w:t>
            </w:r>
            <w:r>
              <w:t>《</w:t>
            </w:r>
            <w:r>
              <w:rPr>
                <w:rFonts w:hint="eastAsia"/>
              </w:rPr>
              <w:t>工业企业厂界环境噪声排放标准</w:t>
            </w:r>
            <w:r>
              <w:t>》（GB</w:t>
            </w:r>
            <w:r>
              <w:rPr>
                <w:rFonts w:hint="eastAsia"/>
              </w:rPr>
              <w:t>12348</w:t>
            </w:r>
            <w:r>
              <w:t>-2008）中的</w:t>
            </w:r>
            <w:r>
              <w:rPr>
                <w:rFonts w:hint="eastAsia"/>
              </w:rPr>
              <w:t>2类</w:t>
            </w:r>
            <w:r>
              <w:t>标准，</w:t>
            </w:r>
            <w:r>
              <w:rPr>
                <w:rFonts w:hint="eastAsia"/>
              </w:rPr>
              <w:t>具体标准值见下表。</w:t>
            </w:r>
          </w:p>
          <w:p>
            <w:pPr>
              <w:pStyle w:val="27"/>
              <w:spacing w:before="156"/>
            </w:pPr>
            <w:r>
              <w:rPr>
                <w:rFonts w:hint="eastAsia"/>
              </w:rPr>
              <w:t>表</w:t>
            </w:r>
            <w:r>
              <w:t>3-4</w:t>
            </w:r>
            <w:r>
              <w:rPr>
                <w:rFonts w:hint="eastAsia"/>
              </w:rPr>
              <w:t>工业企业厂界环境噪声排放标准</w:t>
            </w:r>
            <w:r>
              <w:t>（摘录）单位：dB（A）</w:t>
            </w:r>
          </w:p>
          <w:tbl>
            <w:tblPr>
              <w:tblStyle w:val="18"/>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2681"/>
              <w:gridCol w:w="2681"/>
              <w:gridCol w:w="24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27" w:hRule="atLeast"/>
                <w:jc w:val="center"/>
              </w:trPr>
              <w:tc>
                <w:tcPr>
                  <w:tcW w:w="1708" w:type="pct"/>
                  <w:vAlign w:val="center"/>
                </w:tcPr>
                <w:p>
                  <w:pPr>
                    <w:pStyle w:val="25"/>
                  </w:pPr>
                  <w:r>
                    <w:t>类别</w:t>
                  </w:r>
                </w:p>
              </w:tc>
              <w:tc>
                <w:tcPr>
                  <w:tcW w:w="1708" w:type="pct"/>
                  <w:vAlign w:val="center"/>
                </w:tcPr>
                <w:p>
                  <w:pPr>
                    <w:pStyle w:val="25"/>
                  </w:pPr>
                  <w:r>
                    <w:t>昼间</w:t>
                  </w:r>
                </w:p>
              </w:tc>
              <w:tc>
                <w:tcPr>
                  <w:tcW w:w="1583" w:type="pct"/>
                  <w:vAlign w:val="center"/>
                </w:tcPr>
                <w:p>
                  <w:pPr>
                    <w:pStyle w:val="25"/>
                  </w:pPr>
                  <w:r>
                    <w:t>夜间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90" w:hRule="atLeast"/>
                <w:jc w:val="center"/>
              </w:trPr>
              <w:tc>
                <w:tcPr>
                  <w:tcW w:w="1708" w:type="pct"/>
                  <w:vAlign w:val="center"/>
                </w:tcPr>
                <w:p>
                  <w:pPr>
                    <w:pStyle w:val="25"/>
                  </w:pPr>
                  <w:r>
                    <w:rPr>
                      <w:rFonts w:hint="eastAsia"/>
                    </w:rPr>
                    <w:t>2</w:t>
                  </w:r>
                  <w:r>
                    <w:t>类</w:t>
                  </w:r>
                </w:p>
              </w:tc>
              <w:tc>
                <w:tcPr>
                  <w:tcW w:w="1708" w:type="pct"/>
                  <w:vAlign w:val="center"/>
                </w:tcPr>
                <w:p>
                  <w:pPr>
                    <w:pStyle w:val="25"/>
                  </w:pPr>
                  <w:r>
                    <w:t>6</w:t>
                  </w:r>
                  <w:r>
                    <w:rPr>
                      <w:rFonts w:hint="eastAsia"/>
                    </w:rPr>
                    <w:t>0</w:t>
                  </w:r>
                </w:p>
              </w:tc>
              <w:tc>
                <w:tcPr>
                  <w:tcW w:w="1583" w:type="pct"/>
                  <w:vAlign w:val="center"/>
                </w:tcPr>
                <w:p>
                  <w:pPr>
                    <w:pStyle w:val="25"/>
                  </w:pPr>
                  <w:r>
                    <w:t>5</w:t>
                  </w:r>
                  <w:r>
                    <w:rPr>
                      <w:rFonts w:hint="eastAsia"/>
                    </w:rPr>
                    <w:t>0</w:t>
                  </w:r>
                </w:p>
              </w:tc>
            </w:tr>
          </w:tbl>
          <w:p>
            <w:pPr>
              <w:pStyle w:val="14"/>
              <w:ind w:firstLine="482" w:firstLineChars="200"/>
            </w:pPr>
            <w:r>
              <w:rPr>
                <w:rFonts w:hint="eastAsia"/>
              </w:rPr>
              <w:t>2</w:t>
            </w:r>
            <w:r>
              <w:t>.3</w:t>
            </w:r>
            <w:r>
              <w:rPr>
                <w:rFonts w:hint="eastAsia"/>
              </w:rPr>
              <w:t>固体废弃物</w:t>
            </w:r>
          </w:p>
          <w:p>
            <w:r>
              <w:rPr>
                <w:rFonts w:hint="eastAsia"/>
              </w:rPr>
              <w:t>一</w:t>
            </w:r>
            <w:r>
              <w:t>般废物按照《中华人民共和国固体废物污染环境防治法》要求处置，各类固体废物妥善处置，不得形成二次污染，一般工业固废厂区内暂存执行《一般工业固体废物贮存和填埋污染控制标准》(GB18599-2020)中的“其贮存过程应满足相应防渗漏、防雨淋、防扬尘等环境保护要求”</w:t>
            </w:r>
            <w:r>
              <w:rPr>
                <w:rFonts w:hint="eastAsia"/>
              </w:rPr>
              <w:t>。危险废物执行《危险废物贮存污染控制标准》（</w:t>
            </w:r>
            <w:r>
              <w:t>GB12897-2023</w:t>
            </w:r>
            <w:r>
              <w:rPr>
                <w:rFonts w:hint="eastAsia"/>
              </w:rPr>
              <w:t>）中相关要求。</w:t>
            </w:r>
          </w:p>
          <w:p>
            <w:pPr>
              <w:pStyle w:val="14"/>
              <w:ind w:firstLine="482" w:firstLineChars="200"/>
            </w:pPr>
            <w:r>
              <w:rPr>
                <w:rFonts w:hint="eastAsia"/>
              </w:rPr>
              <w:t>2</w:t>
            </w:r>
            <w:r>
              <w:t>.4生态</w:t>
            </w:r>
            <w:r>
              <w:rPr>
                <w:rFonts w:hint="eastAsia"/>
              </w:rPr>
              <w:t>环境</w:t>
            </w:r>
          </w:p>
          <w:p>
            <w:pPr>
              <w:rPr>
                <w:b/>
                <w:bCs/>
              </w:rPr>
            </w:pPr>
            <w:r>
              <w:rPr>
                <w:rFonts w:hint="eastAsia"/>
              </w:rPr>
              <w:t>根据</w:t>
            </w:r>
            <w:r>
              <w:t>《环境影响评价技术导则生态影响》（HJ19-2022）</w:t>
            </w:r>
            <w:r>
              <w:rPr>
                <w:rFonts w:hint="eastAsia"/>
              </w:rPr>
              <w:t>，</w:t>
            </w:r>
            <w:r>
              <w:t>以不减少区域内濒危珍稀动植物种类和不破坏生态系统完整性为目标。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242" w:type="pct"/>
            <w:vAlign w:val="center"/>
          </w:tcPr>
          <w:p>
            <w:pPr>
              <w:pStyle w:val="25"/>
            </w:pPr>
            <w:r>
              <w:rPr>
                <w:rFonts w:hint="eastAsia"/>
              </w:rPr>
              <w:t>其他</w:t>
            </w:r>
          </w:p>
        </w:tc>
        <w:tc>
          <w:tcPr>
            <w:tcW w:w="4757" w:type="pct"/>
            <w:vAlign w:val="center"/>
          </w:tcPr>
          <w:p>
            <w:pPr>
              <w:ind w:firstLine="0" w:firstLineChars="0"/>
              <w:jc w:val="center"/>
            </w:pPr>
            <w:r>
              <w:rPr>
                <w:rFonts w:hint="eastAsia"/>
              </w:rPr>
              <w:t>无</w:t>
            </w:r>
          </w:p>
        </w:tc>
      </w:tr>
    </w:tbl>
    <w:p>
      <w:pPr>
        <w:sectPr>
          <w:pgSz w:w="11906" w:h="16838"/>
          <w:pgMar w:top="1440" w:right="1800" w:bottom="1440" w:left="1800" w:header="851" w:footer="992" w:gutter="0"/>
          <w:cols w:space="425" w:num="1"/>
          <w:docGrid w:type="lines" w:linePitch="312" w:charSpace="0"/>
        </w:sectPr>
      </w:pPr>
    </w:p>
    <w:p>
      <w:pPr>
        <w:pStyle w:val="3"/>
      </w:pPr>
      <w:r>
        <w:rPr>
          <w:rFonts w:hint="eastAsia"/>
        </w:rPr>
        <w:t>四、生态环境影响分析</w:t>
      </w:r>
    </w:p>
    <w:tbl>
      <w:tblPr>
        <w:tblStyle w:val="18"/>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79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431" w:type="pct"/>
            <w:tcMar>
              <w:left w:w="28" w:type="dxa"/>
              <w:right w:w="28" w:type="dxa"/>
            </w:tcMar>
            <w:vAlign w:val="center"/>
          </w:tcPr>
          <w:p>
            <w:pPr>
              <w:pStyle w:val="25"/>
            </w:pPr>
            <w:bookmarkStart w:id="33" w:name="_Hlk69138538"/>
            <w:r>
              <w:rPr>
                <w:rFonts w:hint="eastAsia"/>
              </w:rPr>
              <w:t>施工期生态环境影响分析</w:t>
            </w:r>
          </w:p>
        </w:tc>
        <w:tc>
          <w:tcPr>
            <w:tcW w:w="4568" w:type="pct"/>
            <w:vAlign w:val="center"/>
          </w:tcPr>
          <w:p>
            <w:r>
              <w:rPr>
                <w:rFonts w:hint="eastAsia"/>
              </w:rPr>
              <w:t>本项目探矿期间主要的环境影响为探矿过程产生的废水、废气、噪声、固体废物排放对环境的影响及生态保护措施。</w:t>
            </w:r>
          </w:p>
          <w:p>
            <w:pPr>
              <w:pStyle w:val="14"/>
              <w:ind w:firstLine="482" w:firstLineChars="200"/>
            </w:pPr>
            <w:r>
              <w:rPr>
                <w:rFonts w:hint="eastAsia"/>
              </w:rPr>
              <w:t>1.大气环境影响分析</w:t>
            </w:r>
          </w:p>
          <w:p>
            <w:r>
              <w:rPr>
                <w:rFonts w:hint="eastAsia"/>
              </w:rPr>
              <w:t>结合项目施工特点及施工内容，本项目施工期大气污染源主要来自于钻探、槽探等工程中产生的扬尘以及运输车辆、柴油发电机废气和施工机械等产生的燃油烟气。</w:t>
            </w:r>
          </w:p>
          <w:p>
            <w:pPr>
              <w:pStyle w:val="14"/>
              <w:ind w:firstLine="482" w:firstLineChars="200"/>
            </w:pPr>
            <w:r>
              <w:rPr>
                <w:rFonts w:hint="eastAsia"/>
              </w:rPr>
              <w:t>1.1扬尘</w:t>
            </w:r>
          </w:p>
          <w:p>
            <w:r>
              <w:rPr>
                <w:rFonts w:hint="eastAsia"/>
              </w:rPr>
              <w:t>在勘查过程中，扬尘污染主要来源于：钻探工程产生的扬尘，土石方堆放时因风力作用产生的扬尘以及运输扬尘。</w:t>
            </w:r>
          </w:p>
          <w:p>
            <w:r>
              <w:rPr>
                <w:rFonts w:hint="eastAsia" w:ascii="宋体" w:hAnsi="宋体" w:cs="宋体"/>
              </w:rPr>
              <w:t>①</w:t>
            </w:r>
            <w:r>
              <w:t>钻</w:t>
            </w:r>
            <w:r>
              <w:rPr>
                <w:rFonts w:hint="eastAsia"/>
              </w:rPr>
              <w:t>探、槽探</w:t>
            </w:r>
            <w:r>
              <w:t>粉尘</w:t>
            </w:r>
          </w:p>
          <w:p>
            <w:r>
              <w:t>据有关研究，在不设置围</w:t>
            </w:r>
            <w:r>
              <w:rPr>
                <w:rFonts w:hint="eastAsia"/>
              </w:rPr>
              <w:t>挡</w:t>
            </w:r>
            <w:r>
              <w:t>时，扬尘影响主要在下风向距离250m范围内；有围</w:t>
            </w:r>
            <w:r>
              <w:rPr>
                <w:rFonts w:hint="eastAsia"/>
              </w:rPr>
              <w:t>挡</w:t>
            </w:r>
            <w:r>
              <w:t>时，扬尘影响主要在下风向距离200m范围内。因此，在对作业场界设置</w:t>
            </w:r>
            <w:r>
              <w:rPr>
                <w:rFonts w:hint="eastAsia"/>
              </w:rPr>
              <w:t>围挡</w:t>
            </w:r>
            <w:r>
              <w:t>并辅以现场洒水抑尘等措施，抑尘效率70%～80%，能有效减少扬尘的影响。</w:t>
            </w:r>
          </w:p>
          <w:p>
            <w:r>
              <w:t>本项目各作业点施工量较小，且均在山区进行，周边有山体和植被作为天然防尘屏障，同时，加强作业区洒水抑尘的情况下，扬尘影响主要集中在施工场地内，对外环境影响较小。但为确保工人身体健康，须佩戴防护口罩。</w:t>
            </w:r>
          </w:p>
          <w:p>
            <w:r>
              <w:rPr>
                <w:rFonts w:hint="eastAsia"/>
              </w:rPr>
              <w:t>②渣土堆放扬尘</w:t>
            </w:r>
          </w:p>
          <w:p>
            <w:r>
              <w:rPr>
                <w:rFonts w:hint="eastAsia"/>
              </w:rPr>
              <w:t>对临时堆放的渣土表面进行压实，必要时设置塑料薄膜加以覆盖，并辅以洒水抑尘，可有效控制尘源，进一步减轻对环境的影响。</w:t>
            </w:r>
          </w:p>
          <w:p>
            <w:r>
              <w:rPr>
                <w:rFonts w:hint="eastAsia" w:ascii="宋体" w:hAnsi="宋体" w:cs="宋体"/>
              </w:rPr>
              <w:t>③</w:t>
            </w:r>
            <w:r>
              <w:rPr>
                <w:rFonts w:hint="eastAsia"/>
              </w:rPr>
              <w:t>运输道路扬尘</w:t>
            </w:r>
          </w:p>
          <w:p>
            <w:r>
              <w:rPr>
                <w:rFonts w:hint="eastAsia"/>
              </w:rPr>
              <w:t>前期矿区内部道路平整过程以及车辆运输样品及生活用品时会产生一定扬尘，施工扬尘的污染程度与风速、粉尘颗粒、粉尘含水量和汽车行驶速度等因素有关，汽车行驶速度和风速增大，产生的起尘量呈正比或级数增加，粉尘污染范围相应扩大。粉尘含水量增大，粉尘污染范围相应减小。施工扬尘会造成局部地段降尘量增多，对施工现场周围的大气环境会产生一定的影响。但这种污染是局部的、短期的，工程完成之后这种影响就会消失。</w:t>
            </w:r>
          </w:p>
          <w:p>
            <w:r>
              <w:rPr>
                <w:rFonts w:hint="eastAsia"/>
              </w:rPr>
              <w:t>经查阅资料，施工扬尘对施工区周围15m内的范围影响最大，15m之外的降尘浓度衰减较快，到200m处达到平衡点。据现场踏勘，项目200m内均无居民点，项目各施工段均不会对项目周围的居民点居民生活环境造成明显影响。</w:t>
            </w:r>
          </w:p>
          <w:p>
            <w:r>
              <w:rPr>
                <w:rFonts w:hint="eastAsia"/>
              </w:rPr>
              <w:t>要求与建议：</w:t>
            </w:r>
          </w:p>
          <w:p>
            <w:r>
              <w:t>a.</w:t>
            </w:r>
            <w:r>
              <w:rPr>
                <w:rFonts w:hint="eastAsia"/>
              </w:rPr>
              <w:t>原材料运输、堆放要求遮盖；</w:t>
            </w:r>
          </w:p>
          <w:p>
            <w:r>
              <w:t>b.</w:t>
            </w:r>
            <w:r>
              <w:rPr>
                <w:rFonts w:hint="eastAsia"/>
              </w:rPr>
              <w:t>及时清理场地弃渣料，不能及时清运的要求采取覆盖，洒水抑尘等措施；</w:t>
            </w:r>
          </w:p>
          <w:p>
            <w:r>
              <w:rPr>
                <w:rFonts w:hint="eastAsia"/>
              </w:rPr>
              <w:t>c.尽量缩短施工期，干燥、大风天气施工必须采取洒水抑尘措施；</w:t>
            </w:r>
          </w:p>
          <w:p>
            <w:r>
              <w:rPr>
                <w:rFonts w:hint="eastAsia"/>
              </w:rPr>
              <w:t>d.运输道路要定时进行清扫、洒水；</w:t>
            </w:r>
          </w:p>
          <w:p>
            <w:r>
              <w:rPr>
                <w:rFonts w:hint="eastAsia"/>
              </w:rPr>
              <w:t>治理措施：在工作中建议施工人员</w:t>
            </w:r>
            <w:r>
              <w:t>戴口罩、防尘面罩等劳动防护装备</w:t>
            </w:r>
            <w:r>
              <w:rPr>
                <w:rFonts w:hint="eastAsia"/>
              </w:rPr>
              <w:t>，同时</w:t>
            </w:r>
            <w:r>
              <w:t>避开大风天气作业</w:t>
            </w:r>
            <w:r>
              <w:rPr>
                <w:rFonts w:hint="eastAsia"/>
              </w:rPr>
              <w:t>，矿区内部道路限速行驶</w:t>
            </w:r>
            <w:r>
              <w:t>。</w:t>
            </w:r>
            <w:r>
              <w:rPr>
                <w:rFonts w:hint="eastAsia"/>
              </w:rPr>
              <w:t>对于钻探剥离的土石方，</w:t>
            </w:r>
            <w:r>
              <w:rPr>
                <w:rFonts w:hint="eastAsia"/>
                <w:bCs/>
              </w:rPr>
              <w:t>要求采用竹席或篷布覆盖，可有效减少扬尘的产生，</w:t>
            </w:r>
            <w:r>
              <w:rPr>
                <w:rFonts w:hint="eastAsia"/>
              </w:rPr>
              <w:t>由于挖方量较小，所以扬尘产生量较小。</w:t>
            </w:r>
          </w:p>
          <w:p>
            <w:pPr>
              <w:pStyle w:val="14"/>
              <w:ind w:firstLine="482" w:firstLineChars="200"/>
            </w:pPr>
            <w:r>
              <w:rPr>
                <w:rFonts w:hint="eastAsia"/>
              </w:rPr>
              <w:t>1.2燃油废气</w:t>
            </w:r>
          </w:p>
          <w:p>
            <w:pPr>
              <w:ind w:firstLine="482"/>
            </w:pPr>
            <w:r>
              <w:rPr>
                <w:b/>
                <w:bCs/>
              </w:rPr>
              <w:t>产生情况：</w:t>
            </w:r>
            <w:r>
              <w:t>本工程采用柴油机械作业，柴油燃烧废气中含有：CO、SO</w:t>
            </w:r>
            <w:r>
              <w:rPr>
                <w:vertAlign w:val="subscript"/>
              </w:rPr>
              <w:t>2</w:t>
            </w:r>
            <w:r>
              <w:t>、NOx、烃类等。参考有关国内柴油燃烧污染物产生系数：燃烧1t柴油，排放2000×S%kg的SO</w:t>
            </w:r>
            <w:r>
              <w:rPr>
                <w:vertAlign w:val="subscript"/>
              </w:rPr>
              <w:t>2</w:t>
            </w:r>
            <w:r>
              <w:t>，1.2万m³废气，排放1kg烟尘，排放8.4kg一氧化碳，排放氮氧化物9.0kg，排放烃类6.0kg，排放。据有关经验，本项目使用柴油含硫率不超过0.2%的机械，根据建设单位提供资料，本项目柴油消耗量约为25t/a（柴油不在项目区内储存，依</w:t>
            </w:r>
            <w:r>
              <w:rPr>
                <w:rFonts w:hint="eastAsia"/>
              </w:rPr>
              <w:t>柴油分期从和静县城购买</w:t>
            </w:r>
            <w:r>
              <w:t>），则本项目</w:t>
            </w:r>
            <w:r>
              <w:rPr>
                <w:rFonts w:hint="eastAsia"/>
              </w:rPr>
              <w:t>施工</w:t>
            </w:r>
            <w:r>
              <w:t>期间机械设备的尾气产生情况见表4-1。</w:t>
            </w:r>
          </w:p>
          <w:p>
            <w:pPr>
              <w:pStyle w:val="27"/>
              <w:spacing w:before="156"/>
            </w:pPr>
            <w:r>
              <w:rPr>
                <w:rFonts w:hint="eastAsia"/>
              </w:rPr>
              <w:t>表4-1  发电机</w:t>
            </w:r>
            <w:r>
              <w:t>产排污情况一览表</w:t>
            </w:r>
          </w:p>
          <w:tbl>
            <w:tblPr>
              <w:tblStyle w:val="18"/>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7"/>
              <w:gridCol w:w="1455"/>
              <w:gridCol w:w="1785"/>
              <w:gridCol w:w="1785"/>
              <w:gridCol w:w="17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599" w:type="pct"/>
                  <w:tcBorders>
                    <w:tl2br w:val="nil"/>
                    <w:tr2bl w:val="nil"/>
                  </w:tcBorders>
                  <w:shd w:val="clear" w:color="auto" w:fill="auto"/>
                  <w:vAlign w:val="center"/>
                </w:tcPr>
                <w:p>
                  <w:pPr>
                    <w:pStyle w:val="25"/>
                    <w:rPr>
                      <w:szCs w:val="21"/>
                    </w:rPr>
                  </w:pPr>
                  <w:r>
                    <w:rPr>
                      <w:szCs w:val="21"/>
                    </w:rPr>
                    <w:t>序号</w:t>
                  </w:r>
                </w:p>
              </w:tc>
              <w:tc>
                <w:tcPr>
                  <w:tcW w:w="940" w:type="pct"/>
                  <w:tcBorders>
                    <w:tl2br w:val="nil"/>
                    <w:tr2bl w:val="nil"/>
                  </w:tcBorders>
                  <w:shd w:val="clear" w:color="auto" w:fill="auto"/>
                  <w:vAlign w:val="center"/>
                </w:tcPr>
                <w:p>
                  <w:pPr>
                    <w:pStyle w:val="25"/>
                    <w:rPr>
                      <w:szCs w:val="21"/>
                    </w:rPr>
                  </w:pPr>
                  <w:r>
                    <w:rPr>
                      <w:szCs w:val="21"/>
                    </w:rPr>
                    <w:t>污染物</w:t>
                  </w:r>
                </w:p>
              </w:tc>
              <w:tc>
                <w:tcPr>
                  <w:tcW w:w="1153" w:type="pct"/>
                  <w:tcBorders>
                    <w:tl2br w:val="nil"/>
                    <w:tr2bl w:val="nil"/>
                  </w:tcBorders>
                  <w:shd w:val="clear" w:color="auto" w:fill="auto"/>
                  <w:vAlign w:val="center"/>
                </w:tcPr>
                <w:p>
                  <w:pPr>
                    <w:pStyle w:val="25"/>
                    <w:rPr>
                      <w:szCs w:val="21"/>
                    </w:rPr>
                  </w:pPr>
                  <w:r>
                    <w:rPr>
                      <w:szCs w:val="21"/>
                    </w:rPr>
                    <w:t>燃烧产污系数</w:t>
                  </w:r>
                </w:p>
              </w:tc>
              <w:tc>
                <w:tcPr>
                  <w:tcW w:w="1153" w:type="pct"/>
                  <w:tcBorders>
                    <w:tl2br w:val="nil"/>
                    <w:tr2bl w:val="nil"/>
                  </w:tcBorders>
                  <w:shd w:val="clear" w:color="auto" w:fill="auto"/>
                  <w:vAlign w:val="center"/>
                </w:tcPr>
                <w:p>
                  <w:pPr>
                    <w:pStyle w:val="25"/>
                    <w:rPr>
                      <w:szCs w:val="21"/>
                    </w:rPr>
                  </w:pPr>
                  <w:r>
                    <w:rPr>
                      <w:szCs w:val="21"/>
                    </w:rPr>
                    <w:t>污染物产生量</w:t>
                  </w:r>
                </w:p>
              </w:tc>
              <w:tc>
                <w:tcPr>
                  <w:tcW w:w="1153" w:type="pct"/>
                  <w:tcBorders>
                    <w:tl2br w:val="nil"/>
                    <w:tr2bl w:val="nil"/>
                  </w:tcBorders>
                  <w:shd w:val="clear" w:color="auto" w:fill="auto"/>
                  <w:vAlign w:val="center"/>
                </w:tcPr>
                <w:p>
                  <w:pPr>
                    <w:pStyle w:val="25"/>
                    <w:rPr>
                      <w:szCs w:val="21"/>
                    </w:rPr>
                  </w:pPr>
                  <w:r>
                    <w:rPr>
                      <w:szCs w:val="21"/>
                    </w:rPr>
                    <w:t>污染物排放量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599" w:type="pct"/>
                  <w:tcBorders>
                    <w:tl2br w:val="nil"/>
                    <w:tr2bl w:val="nil"/>
                  </w:tcBorders>
                  <w:shd w:val="clear" w:color="auto" w:fill="auto"/>
                  <w:vAlign w:val="center"/>
                </w:tcPr>
                <w:p>
                  <w:pPr>
                    <w:pStyle w:val="25"/>
                    <w:rPr>
                      <w:szCs w:val="21"/>
                    </w:rPr>
                  </w:pPr>
                  <w:r>
                    <w:rPr>
                      <w:szCs w:val="21"/>
                    </w:rPr>
                    <w:t>1</w:t>
                  </w:r>
                </w:p>
              </w:tc>
              <w:tc>
                <w:tcPr>
                  <w:tcW w:w="940" w:type="pct"/>
                  <w:tcBorders>
                    <w:tl2br w:val="nil"/>
                    <w:tr2bl w:val="nil"/>
                  </w:tcBorders>
                  <w:shd w:val="clear" w:color="auto" w:fill="auto"/>
                  <w:vAlign w:val="center"/>
                </w:tcPr>
                <w:p>
                  <w:pPr>
                    <w:pStyle w:val="25"/>
                    <w:rPr>
                      <w:szCs w:val="21"/>
                    </w:rPr>
                  </w:pPr>
                  <w:r>
                    <w:rPr>
                      <w:szCs w:val="21"/>
                    </w:rPr>
                    <w:t>烟气量</w:t>
                  </w:r>
                </w:p>
              </w:tc>
              <w:tc>
                <w:tcPr>
                  <w:tcW w:w="1153" w:type="pct"/>
                  <w:tcBorders>
                    <w:tl2br w:val="nil"/>
                    <w:tr2bl w:val="nil"/>
                  </w:tcBorders>
                  <w:shd w:val="clear" w:color="auto" w:fill="auto"/>
                  <w:vAlign w:val="center"/>
                </w:tcPr>
                <w:p>
                  <w:pPr>
                    <w:pStyle w:val="25"/>
                    <w:rPr>
                      <w:szCs w:val="21"/>
                    </w:rPr>
                  </w:pPr>
                  <w:r>
                    <w:rPr>
                      <w:szCs w:val="21"/>
                    </w:rPr>
                    <w:t>1.2万N</w:t>
                  </w:r>
                  <w:r>
                    <w:rPr>
                      <w:szCs w:val="21"/>
                      <w:shd w:val="clear" w:color="auto" w:fill="FFFFFF"/>
                    </w:rPr>
                    <w:t>m</w:t>
                  </w:r>
                  <w:r>
                    <w:rPr>
                      <w:szCs w:val="21"/>
                      <w:shd w:val="clear" w:color="auto" w:fill="FFFFFF"/>
                      <w:vertAlign w:val="superscript"/>
                    </w:rPr>
                    <w:t>3</w:t>
                  </w:r>
                  <w:r>
                    <w:rPr>
                      <w:szCs w:val="21"/>
                      <w:shd w:val="clear" w:color="auto" w:fill="FFFFFF"/>
                    </w:rPr>
                    <w:t>/t</w:t>
                  </w:r>
                </w:p>
              </w:tc>
              <w:tc>
                <w:tcPr>
                  <w:tcW w:w="1153" w:type="pct"/>
                  <w:tcBorders>
                    <w:tl2br w:val="nil"/>
                    <w:tr2bl w:val="nil"/>
                  </w:tcBorders>
                  <w:shd w:val="clear" w:color="auto" w:fill="auto"/>
                  <w:vAlign w:val="center"/>
                </w:tcPr>
                <w:p>
                  <w:pPr>
                    <w:pStyle w:val="25"/>
                    <w:rPr>
                      <w:szCs w:val="21"/>
                    </w:rPr>
                  </w:pPr>
                  <w:r>
                    <w:rPr>
                      <w:szCs w:val="21"/>
                    </w:rPr>
                    <w:t>30万N</w:t>
                  </w:r>
                  <w:r>
                    <w:rPr>
                      <w:szCs w:val="21"/>
                      <w:shd w:val="clear" w:color="auto" w:fill="FFFFFF"/>
                    </w:rPr>
                    <w:t>m</w:t>
                  </w:r>
                  <w:r>
                    <w:rPr>
                      <w:szCs w:val="21"/>
                      <w:shd w:val="clear" w:color="auto" w:fill="FFFFFF"/>
                      <w:vertAlign w:val="superscript"/>
                    </w:rPr>
                    <w:t>3</w:t>
                  </w:r>
                  <w:r>
                    <w:rPr>
                      <w:szCs w:val="21"/>
                      <w:shd w:val="clear" w:color="auto" w:fill="FFFFFF"/>
                    </w:rPr>
                    <w:t>/a</w:t>
                  </w:r>
                </w:p>
              </w:tc>
              <w:tc>
                <w:tcPr>
                  <w:tcW w:w="1723" w:type="dxa"/>
                  <w:tcBorders>
                    <w:tl2br w:val="nil"/>
                    <w:tr2bl w:val="nil"/>
                  </w:tcBorders>
                  <w:shd w:val="clear" w:color="auto" w:fill="auto"/>
                  <w:vAlign w:val="center"/>
                </w:tcPr>
                <w:p>
                  <w:pPr>
                    <w:pStyle w:val="25"/>
                    <w:rPr>
                      <w:szCs w:val="21"/>
                    </w:rPr>
                  </w:pPr>
                  <w:r>
                    <w:rPr>
                      <w:szCs w:val="21"/>
                    </w:rPr>
                    <w:t>30万N</w:t>
                  </w:r>
                  <w:r>
                    <w:rPr>
                      <w:szCs w:val="21"/>
                      <w:shd w:val="clear" w:color="auto" w:fill="FFFFFF"/>
                    </w:rPr>
                    <w:t>m</w:t>
                  </w:r>
                  <w:r>
                    <w:rPr>
                      <w:szCs w:val="21"/>
                      <w:shd w:val="clear" w:color="auto" w:fill="FFFFFF"/>
                      <w:vertAlign w:val="superscript"/>
                    </w:rPr>
                    <w:t>3</w:t>
                  </w:r>
                  <w:r>
                    <w:rPr>
                      <w:szCs w:val="21"/>
                      <w:shd w:val="clear" w:color="auto" w:fill="FFFFFF"/>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599" w:type="pct"/>
                  <w:tcBorders>
                    <w:tl2br w:val="nil"/>
                    <w:tr2bl w:val="nil"/>
                  </w:tcBorders>
                  <w:shd w:val="clear" w:color="auto" w:fill="auto"/>
                  <w:vAlign w:val="center"/>
                </w:tcPr>
                <w:p>
                  <w:pPr>
                    <w:pStyle w:val="25"/>
                    <w:rPr>
                      <w:szCs w:val="21"/>
                    </w:rPr>
                  </w:pPr>
                  <w:r>
                    <w:rPr>
                      <w:szCs w:val="21"/>
                    </w:rPr>
                    <w:t>2</w:t>
                  </w:r>
                </w:p>
              </w:tc>
              <w:tc>
                <w:tcPr>
                  <w:tcW w:w="940" w:type="pct"/>
                  <w:tcBorders>
                    <w:tl2br w:val="nil"/>
                    <w:tr2bl w:val="nil"/>
                  </w:tcBorders>
                  <w:shd w:val="clear" w:color="auto" w:fill="auto"/>
                  <w:vAlign w:val="center"/>
                </w:tcPr>
                <w:p>
                  <w:pPr>
                    <w:pStyle w:val="25"/>
                    <w:rPr>
                      <w:szCs w:val="21"/>
                    </w:rPr>
                  </w:pPr>
                  <w:r>
                    <w:rPr>
                      <w:snapToGrid w:val="0"/>
                      <w:szCs w:val="21"/>
                    </w:rPr>
                    <w:t>SO</w:t>
                  </w:r>
                  <w:r>
                    <w:rPr>
                      <w:snapToGrid w:val="0"/>
                      <w:szCs w:val="21"/>
                      <w:vertAlign w:val="subscript"/>
                    </w:rPr>
                    <w:t>2</w:t>
                  </w:r>
                </w:p>
              </w:tc>
              <w:tc>
                <w:tcPr>
                  <w:tcW w:w="1153" w:type="pct"/>
                  <w:tcBorders>
                    <w:tl2br w:val="nil"/>
                    <w:tr2bl w:val="nil"/>
                  </w:tcBorders>
                  <w:shd w:val="clear" w:color="auto" w:fill="auto"/>
                  <w:vAlign w:val="center"/>
                </w:tcPr>
                <w:p>
                  <w:pPr>
                    <w:pStyle w:val="25"/>
                    <w:rPr>
                      <w:szCs w:val="21"/>
                    </w:rPr>
                  </w:pPr>
                  <w:r>
                    <w:rPr>
                      <w:szCs w:val="21"/>
                    </w:rPr>
                    <w:t>2000×S%kg/t</w:t>
                  </w:r>
                </w:p>
              </w:tc>
              <w:tc>
                <w:tcPr>
                  <w:tcW w:w="1153" w:type="pct"/>
                  <w:tcBorders>
                    <w:tl2br w:val="nil"/>
                    <w:tr2bl w:val="nil"/>
                  </w:tcBorders>
                  <w:shd w:val="clear" w:color="auto" w:fill="auto"/>
                  <w:vAlign w:val="center"/>
                </w:tcPr>
                <w:p>
                  <w:pPr>
                    <w:pStyle w:val="25"/>
                    <w:rPr>
                      <w:szCs w:val="21"/>
                    </w:rPr>
                  </w:pPr>
                  <w:r>
                    <w:rPr>
                      <w:szCs w:val="21"/>
                    </w:rPr>
                    <w:t>0.1t/</w:t>
                  </w:r>
                  <w:r>
                    <w:rPr>
                      <w:rFonts w:hint="eastAsia"/>
                      <w:szCs w:val="21"/>
                    </w:rPr>
                    <w:t>a</w:t>
                  </w:r>
                </w:p>
              </w:tc>
              <w:tc>
                <w:tcPr>
                  <w:tcW w:w="1723" w:type="dxa"/>
                  <w:tcBorders>
                    <w:tl2br w:val="nil"/>
                    <w:tr2bl w:val="nil"/>
                  </w:tcBorders>
                  <w:shd w:val="clear" w:color="auto" w:fill="auto"/>
                  <w:vAlign w:val="center"/>
                </w:tcPr>
                <w:p>
                  <w:pPr>
                    <w:pStyle w:val="25"/>
                    <w:rPr>
                      <w:szCs w:val="21"/>
                    </w:rPr>
                  </w:pPr>
                  <w:r>
                    <w:rPr>
                      <w:szCs w:val="21"/>
                    </w:rPr>
                    <w:t>0.1t/</w:t>
                  </w:r>
                  <w:r>
                    <w:rPr>
                      <w:rFonts w:hint="eastAsia"/>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599" w:type="pct"/>
                  <w:tcBorders>
                    <w:tl2br w:val="nil"/>
                    <w:tr2bl w:val="nil"/>
                  </w:tcBorders>
                  <w:shd w:val="clear" w:color="auto" w:fill="auto"/>
                  <w:vAlign w:val="center"/>
                </w:tcPr>
                <w:p>
                  <w:pPr>
                    <w:pStyle w:val="25"/>
                    <w:rPr>
                      <w:szCs w:val="21"/>
                    </w:rPr>
                  </w:pPr>
                  <w:r>
                    <w:rPr>
                      <w:szCs w:val="21"/>
                    </w:rPr>
                    <w:t>3</w:t>
                  </w:r>
                </w:p>
              </w:tc>
              <w:tc>
                <w:tcPr>
                  <w:tcW w:w="940" w:type="pct"/>
                  <w:tcBorders>
                    <w:tl2br w:val="nil"/>
                    <w:tr2bl w:val="nil"/>
                  </w:tcBorders>
                  <w:shd w:val="clear" w:color="auto" w:fill="auto"/>
                  <w:vAlign w:val="center"/>
                </w:tcPr>
                <w:p>
                  <w:pPr>
                    <w:pStyle w:val="25"/>
                    <w:rPr>
                      <w:szCs w:val="21"/>
                    </w:rPr>
                  </w:pPr>
                  <w:r>
                    <w:rPr>
                      <w:snapToGrid w:val="0"/>
                      <w:szCs w:val="21"/>
                    </w:rPr>
                    <w:t>NO</w:t>
                  </w:r>
                  <w:r>
                    <w:rPr>
                      <w:snapToGrid w:val="0"/>
                      <w:szCs w:val="21"/>
                      <w:vertAlign w:val="subscript"/>
                    </w:rPr>
                    <w:t>x</w:t>
                  </w:r>
                </w:p>
              </w:tc>
              <w:tc>
                <w:tcPr>
                  <w:tcW w:w="1153" w:type="pct"/>
                  <w:tcBorders>
                    <w:tl2br w:val="nil"/>
                    <w:tr2bl w:val="nil"/>
                  </w:tcBorders>
                  <w:shd w:val="clear" w:color="auto" w:fill="auto"/>
                  <w:vAlign w:val="center"/>
                </w:tcPr>
                <w:p>
                  <w:pPr>
                    <w:pStyle w:val="25"/>
                    <w:rPr>
                      <w:szCs w:val="21"/>
                    </w:rPr>
                  </w:pPr>
                  <w:r>
                    <w:rPr>
                      <w:szCs w:val="21"/>
                    </w:rPr>
                    <w:t>9.0kg</w:t>
                  </w:r>
                  <w:r>
                    <w:rPr>
                      <w:rFonts w:hint="eastAsia"/>
                      <w:szCs w:val="21"/>
                    </w:rPr>
                    <w:t>/t</w:t>
                  </w:r>
                </w:p>
              </w:tc>
              <w:tc>
                <w:tcPr>
                  <w:tcW w:w="1153" w:type="pct"/>
                  <w:tcBorders>
                    <w:tl2br w:val="nil"/>
                    <w:tr2bl w:val="nil"/>
                  </w:tcBorders>
                  <w:shd w:val="clear" w:color="auto" w:fill="auto"/>
                  <w:vAlign w:val="center"/>
                </w:tcPr>
                <w:p>
                  <w:pPr>
                    <w:pStyle w:val="25"/>
                    <w:rPr>
                      <w:szCs w:val="21"/>
                    </w:rPr>
                  </w:pPr>
                  <w:r>
                    <w:rPr>
                      <w:szCs w:val="21"/>
                    </w:rPr>
                    <w:t>0.225t/</w:t>
                  </w:r>
                  <w:r>
                    <w:rPr>
                      <w:rFonts w:hint="eastAsia"/>
                      <w:szCs w:val="21"/>
                    </w:rPr>
                    <w:t>a</w:t>
                  </w:r>
                </w:p>
              </w:tc>
              <w:tc>
                <w:tcPr>
                  <w:tcW w:w="1723" w:type="dxa"/>
                  <w:tcBorders>
                    <w:tl2br w:val="nil"/>
                    <w:tr2bl w:val="nil"/>
                  </w:tcBorders>
                  <w:shd w:val="clear" w:color="auto" w:fill="auto"/>
                  <w:vAlign w:val="center"/>
                </w:tcPr>
                <w:p>
                  <w:pPr>
                    <w:pStyle w:val="25"/>
                    <w:rPr>
                      <w:szCs w:val="21"/>
                    </w:rPr>
                  </w:pPr>
                  <w:r>
                    <w:rPr>
                      <w:szCs w:val="21"/>
                    </w:rPr>
                    <w:t>0.225t/</w:t>
                  </w:r>
                  <w:r>
                    <w:rPr>
                      <w:rFonts w:hint="eastAsia"/>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599" w:type="pct"/>
                  <w:tcBorders>
                    <w:tl2br w:val="nil"/>
                    <w:tr2bl w:val="nil"/>
                  </w:tcBorders>
                  <w:shd w:val="clear" w:color="auto" w:fill="auto"/>
                  <w:vAlign w:val="center"/>
                </w:tcPr>
                <w:p>
                  <w:pPr>
                    <w:pStyle w:val="25"/>
                    <w:rPr>
                      <w:szCs w:val="21"/>
                    </w:rPr>
                  </w:pPr>
                  <w:r>
                    <w:rPr>
                      <w:szCs w:val="21"/>
                    </w:rPr>
                    <w:t>4</w:t>
                  </w:r>
                </w:p>
              </w:tc>
              <w:tc>
                <w:tcPr>
                  <w:tcW w:w="940" w:type="pct"/>
                  <w:tcBorders>
                    <w:tl2br w:val="nil"/>
                    <w:tr2bl w:val="nil"/>
                  </w:tcBorders>
                  <w:shd w:val="clear" w:color="auto" w:fill="auto"/>
                  <w:vAlign w:val="center"/>
                </w:tcPr>
                <w:p>
                  <w:pPr>
                    <w:pStyle w:val="25"/>
                    <w:rPr>
                      <w:szCs w:val="21"/>
                    </w:rPr>
                  </w:pPr>
                  <w:r>
                    <w:rPr>
                      <w:szCs w:val="21"/>
                    </w:rPr>
                    <w:t>烟尘</w:t>
                  </w:r>
                </w:p>
              </w:tc>
              <w:tc>
                <w:tcPr>
                  <w:tcW w:w="1153" w:type="pct"/>
                  <w:tcBorders>
                    <w:tl2br w:val="nil"/>
                    <w:tr2bl w:val="nil"/>
                  </w:tcBorders>
                  <w:shd w:val="clear" w:color="auto" w:fill="auto"/>
                  <w:vAlign w:val="center"/>
                </w:tcPr>
                <w:p>
                  <w:pPr>
                    <w:pStyle w:val="25"/>
                    <w:rPr>
                      <w:szCs w:val="21"/>
                    </w:rPr>
                  </w:pPr>
                  <w:r>
                    <w:rPr>
                      <w:szCs w:val="21"/>
                    </w:rPr>
                    <w:t>1kg/</w:t>
                  </w:r>
                  <w:r>
                    <w:rPr>
                      <w:rFonts w:hint="eastAsia"/>
                      <w:szCs w:val="21"/>
                    </w:rPr>
                    <w:t>t</w:t>
                  </w:r>
                </w:p>
              </w:tc>
              <w:tc>
                <w:tcPr>
                  <w:tcW w:w="1153" w:type="pct"/>
                  <w:tcBorders>
                    <w:tl2br w:val="nil"/>
                    <w:tr2bl w:val="nil"/>
                  </w:tcBorders>
                  <w:shd w:val="clear" w:color="auto" w:fill="auto"/>
                  <w:vAlign w:val="center"/>
                </w:tcPr>
                <w:p>
                  <w:pPr>
                    <w:pStyle w:val="25"/>
                    <w:rPr>
                      <w:szCs w:val="21"/>
                    </w:rPr>
                  </w:pPr>
                  <w:r>
                    <w:rPr>
                      <w:szCs w:val="21"/>
                    </w:rPr>
                    <w:t>0.025t/</w:t>
                  </w:r>
                  <w:r>
                    <w:rPr>
                      <w:rFonts w:hint="eastAsia"/>
                      <w:szCs w:val="21"/>
                    </w:rPr>
                    <w:t>a</w:t>
                  </w:r>
                </w:p>
              </w:tc>
              <w:tc>
                <w:tcPr>
                  <w:tcW w:w="1723" w:type="dxa"/>
                  <w:tcBorders>
                    <w:tl2br w:val="nil"/>
                    <w:tr2bl w:val="nil"/>
                  </w:tcBorders>
                  <w:shd w:val="clear" w:color="auto" w:fill="auto"/>
                  <w:vAlign w:val="center"/>
                </w:tcPr>
                <w:p>
                  <w:pPr>
                    <w:pStyle w:val="25"/>
                    <w:rPr>
                      <w:szCs w:val="21"/>
                    </w:rPr>
                  </w:pPr>
                  <w:r>
                    <w:rPr>
                      <w:szCs w:val="21"/>
                    </w:rPr>
                    <w:t>0.025t/</w:t>
                  </w:r>
                  <w:r>
                    <w:rPr>
                      <w:rFonts w:hint="eastAsia"/>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599" w:type="pct"/>
                  <w:tcBorders>
                    <w:tl2br w:val="nil"/>
                    <w:tr2bl w:val="nil"/>
                  </w:tcBorders>
                  <w:shd w:val="clear" w:color="auto" w:fill="auto"/>
                  <w:vAlign w:val="center"/>
                </w:tcPr>
                <w:p>
                  <w:pPr>
                    <w:pStyle w:val="25"/>
                    <w:rPr>
                      <w:szCs w:val="21"/>
                    </w:rPr>
                  </w:pPr>
                  <w:r>
                    <w:rPr>
                      <w:szCs w:val="21"/>
                    </w:rPr>
                    <w:t>5</w:t>
                  </w:r>
                </w:p>
              </w:tc>
              <w:tc>
                <w:tcPr>
                  <w:tcW w:w="940" w:type="pct"/>
                  <w:tcBorders>
                    <w:tl2br w:val="nil"/>
                    <w:tr2bl w:val="nil"/>
                  </w:tcBorders>
                  <w:shd w:val="clear" w:color="auto" w:fill="auto"/>
                  <w:vAlign w:val="center"/>
                </w:tcPr>
                <w:p>
                  <w:pPr>
                    <w:pStyle w:val="25"/>
                    <w:rPr>
                      <w:szCs w:val="21"/>
                    </w:rPr>
                  </w:pPr>
                  <w:r>
                    <w:rPr>
                      <w:szCs w:val="21"/>
                    </w:rPr>
                    <w:t>烃类</w:t>
                  </w:r>
                </w:p>
              </w:tc>
              <w:tc>
                <w:tcPr>
                  <w:tcW w:w="1153" w:type="pct"/>
                  <w:tcBorders>
                    <w:tl2br w:val="nil"/>
                    <w:tr2bl w:val="nil"/>
                  </w:tcBorders>
                  <w:shd w:val="clear" w:color="auto" w:fill="auto"/>
                  <w:vAlign w:val="center"/>
                </w:tcPr>
                <w:p>
                  <w:pPr>
                    <w:pStyle w:val="25"/>
                    <w:rPr>
                      <w:szCs w:val="21"/>
                    </w:rPr>
                  </w:pPr>
                  <w:r>
                    <w:rPr>
                      <w:szCs w:val="21"/>
                    </w:rPr>
                    <w:t>6.0kg/</w:t>
                  </w:r>
                  <w:r>
                    <w:rPr>
                      <w:rFonts w:hint="eastAsia"/>
                      <w:szCs w:val="21"/>
                    </w:rPr>
                    <w:t>t</w:t>
                  </w:r>
                </w:p>
              </w:tc>
              <w:tc>
                <w:tcPr>
                  <w:tcW w:w="1153" w:type="pct"/>
                  <w:tcBorders>
                    <w:tl2br w:val="nil"/>
                    <w:tr2bl w:val="nil"/>
                  </w:tcBorders>
                  <w:shd w:val="clear" w:color="auto" w:fill="auto"/>
                  <w:vAlign w:val="center"/>
                </w:tcPr>
                <w:p>
                  <w:pPr>
                    <w:pStyle w:val="25"/>
                    <w:rPr>
                      <w:szCs w:val="21"/>
                    </w:rPr>
                  </w:pPr>
                  <w:r>
                    <w:rPr>
                      <w:szCs w:val="21"/>
                    </w:rPr>
                    <w:t>0.15t/</w:t>
                  </w:r>
                  <w:r>
                    <w:rPr>
                      <w:rFonts w:hint="eastAsia"/>
                      <w:szCs w:val="21"/>
                    </w:rPr>
                    <w:t>a</w:t>
                  </w:r>
                </w:p>
              </w:tc>
              <w:tc>
                <w:tcPr>
                  <w:tcW w:w="1723" w:type="dxa"/>
                  <w:tcBorders>
                    <w:tl2br w:val="nil"/>
                    <w:tr2bl w:val="nil"/>
                  </w:tcBorders>
                  <w:shd w:val="clear" w:color="auto" w:fill="auto"/>
                  <w:vAlign w:val="center"/>
                </w:tcPr>
                <w:p>
                  <w:pPr>
                    <w:pStyle w:val="25"/>
                    <w:rPr>
                      <w:szCs w:val="21"/>
                    </w:rPr>
                  </w:pPr>
                  <w:r>
                    <w:rPr>
                      <w:szCs w:val="21"/>
                    </w:rPr>
                    <w:t>0.15t/</w:t>
                  </w:r>
                  <w:r>
                    <w:rPr>
                      <w:rFonts w:hint="eastAsia"/>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599" w:type="pct"/>
                  <w:tcBorders>
                    <w:tl2br w:val="nil"/>
                    <w:tr2bl w:val="nil"/>
                  </w:tcBorders>
                  <w:shd w:val="clear" w:color="auto" w:fill="auto"/>
                  <w:vAlign w:val="center"/>
                </w:tcPr>
                <w:p>
                  <w:pPr>
                    <w:pStyle w:val="25"/>
                    <w:rPr>
                      <w:szCs w:val="21"/>
                    </w:rPr>
                  </w:pPr>
                  <w:r>
                    <w:rPr>
                      <w:szCs w:val="21"/>
                    </w:rPr>
                    <w:t>6</w:t>
                  </w:r>
                </w:p>
              </w:tc>
              <w:tc>
                <w:tcPr>
                  <w:tcW w:w="940" w:type="pct"/>
                  <w:tcBorders>
                    <w:tl2br w:val="nil"/>
                    <w:tr2bl w:val="nil"/>
                  </w:tcBorders>
                  <w:shd w:val="clear" w:color="auto" w:fill="auto"/>
                  <w:vAlign w:val="center"/>
                </w:tcPr>
                <w:p>
                  <w:pPr>
                    <w:pStyle w:val="25"/>
                    <w:rPr>
                      <w:szCs w:val="21"/>
                    </w:rPr>
                  </w:pPr>
                  <w:r>
                    <w:rPr>
                      <w:szCs w:val="21"/>
                    </w:rPr>
                    <w:t>CO</w:t>
                  </w:r>
                </w:p>
              </w:tc>
              <w:tc>
                <w:tcPr>
                  <w:tcW w:w="1153" w:type="pct"/>
                  <w:tcBorders>
                    <w:tl2br w:val="nil"/>
                    <w:tr2bl w:val="nil"/>
                  </w:tcBorders>
                  <w:shd w:val="clear" w:color="auto" w:fill="auto"/>
                  <w:vAlign w:val="center"/>
                </w:tcPr>
                <w:p>
                  <w:pPr>
                    <w:pStyle w:val="25"/>
                    <w:rPr>
                      <w:szCs w:val="21"/>
                    </w:rPr>
                  </w:pPr>
                  <w:r>
                    <w:rPr>
                      <w:szCs w:val="21"/>
                    </w:rPr>
                    <w:t>8.4kg/</w:t>
                  </w:r>
                  <w:r>
                    <w:rPr>
                      <w:rFonts w:hint="eastAsia"/>
                      <w:szCs w:val="21"/>
                    </w:rPr>
                    <w:t>t</w:t>
                  </w:r>
                </w:p>
              </w:tc>
              <w:tc>
                <w:tcPr>
                  <w:tcW w:w="1153" w:type="pct"/>
                  <w:tcBorders>
                    <w:tl2br w:val="nil"/>
                    <w:tr2bl w:val="nil"/>
                  </w:tcBorders>
                  <w:shd w:val="clear" w:color="auto" w:fill="auto"/>
                  <w:vAlign w:val="center"/>
                </w:tcPr>
                <w:p>
                  <w:pPr>
                    <w:pStyle w:val="25"/>
                    <w:rPr>
                      <w:szCs w:val="21"/>
                    </w:rPr>
                  </w:pPr>
                  <w:r>
                    <w:rPr>
                      <w:szCs w:val="21"/>
                    </w:rPr>
                    <w:t>0.21t/</w:t>
                  </w:r>
                  <w:r>
                    <w:rPr>
                      <w:rFonts w:hint="eastAsia"/>
                      <w:szCs w:val="21"/>
                    </w:rPr>
                    <w:t>a</w:t>
                  </w:r>
                </w:p>
              </w:tc>
              <w:tc>
                <w:tcPr>
                  <w:tcW w:w="1723" w:type="dxa"/>
                  <w:tcBorders>
                    <w:tl2br w:val="nil"/>
                    <w:tr2bl w:val="nil"/>
                  </w:tcBorders>
                  <w:shd w:val="clear" w:color="auto" w:fill="auto"/>
                  <w:vAlign w:val="center"/>
                </w:tcPr>
                <w:p>
                  <w:pPr>
                    <w:pStyle w:val="25"/>
                    <w:rPr>
                      <w:szCs w:val="21"/>
                    </w:rPr>
                  </w:pPr>
                  <w:r>
                    <w:rPr>
                      <w:szCs w:val="21"/>
                    </w:rPr>
                    <w:t>0.21t/</w:t>
                  </w:r>
                  <w:r>
                    <w:rPr>
                      <w:rFonts w:hint="eastAsia"/>
                      <w:szCs w:val="21"/>
                    </w:rPr>
                    <w:t>a</w:t>
                  </w:r>
                </w:p>
              </w:tc>
            </w:tr>
          </w:tbl>
          <w:p>
            <w:r>
              <w:rPr>
                <w:rFonts w:hint="eastAsia"/>
              </w:rPr>
              <w:t>柴油发电机</w:t>
            </w:r>
            <w:r>
              <w:t>燃烧废气</w:t>
            </w:r>
            <w:r>
              <w:rPr>
                <w:rFonts w:hint="eastAsia"/>
              </w:rPr>
              <w:t>各污染物</w:t>
            </w:r>
            <w:r>
              <w:t>排放浓度</w:t>
            </w:r>
            <w:r>
              <w:rPr>
                <w:rFonts w:hint="eastAsia"/>
              </w:rPr>
              <w:t>能够</w:t>
            </w:r>
            <w:r>
              <w:t>满足《非道路移动机械用柴油机排气污染物排放限值及测量方法（中国第三、四阶段）》（GB20891-2014）</w:t>
            </w:r>
            <w:r>
              <w:rPr>
                <w:rFonts w:hint="eastAsia"/>
              </w:rPr>
              <w:t>中排放标准要求。</w:t>
            </w:r>
          </w:p>
          <w:p>
            <w:pPr>
              <w:pStyle w:val="14"/>
              <w:ind w:firstLine="482" w:firstLineChars="200"/>
            </w:pPr>
            <w:r>
              <w:rPr>
                <w:rFonts w:hint="eastAsia"/>
              </w:rPr>
              <w:t>2.地表水环境影响分析</w:t>
            </w:r>
          </w:p>
          <w:p>
            <w:r>
              <w:rPr>
                <w:rFonts w:hint="eastAsia"/>
              </w:rPr>
              <w:t>勘探作业期间产生的废水分为生产废水和生活废水，其中生产废水为钻探废水。</w:t>
            </w:r>
          </w:p>
          <w:p>
            <w:pPr>
              <w:pStyle w:val="14"/>
              <w:ind w:firstLine="482" w:firstLineChars="200"/>
            </w:pPr>
            <w:r>
              <w:rPr>
                <w:rFonts w:hint="eastAsia"/>
              </w:rPr>
              <w:t>1.1生产废水</w:t>
            </w:r>
          </w:p>
          <w:p>
            <w:pPr>
              <w:ind w:firstLine="482"/>
              <w:rPr>
                <w:color w:val="000000" w:themeColor="text1"/>
                <w14:textFill>
                  <w14:solidFill>
                    <w14:schemeClr w14:val="tx1"/>
                  </w14:solidFill>
                </w14:textFill>
              </w:rPr>
            </w:pPr>
            <w:r>
              <w:rPr>
                <w:b/>
                <w:bCs/>
              </w:rPr>
              <w:t>产</w:t>
            </w:r>
            <w:r>
              <w:rPr>
                <w:b/>
                <w:bCs/>
                <w:color w:val="000000" w:themeColor="text1"/>
                <w14:textFill>
                  <w14:solidFill>
                    <w14:schemeClr w14:val="tx1"/>
                  </w14:solidFill>
                </w14:textFill>
              </w:rPr>
              <w:t>生情况：</w:t>
            </w:r>
            <w:r>
              <w:t>钻探过程中会产生一定量的钻探废水，预计为4m</w:t>
            </w:r>
            <w:r>
              <w:rPr>
                <w:vertAlign w:val="superscript"/>
              </w:rPr>
              <w:t>3</w:t>
            </w:r>
            <w:r>
              <w:t>/d，该废水主要污染物为SS。本项目在每个钻孔附近设置1个5m</w:t>
            </w:r>
            <w:r>
              <w:rPr>
                <w:vertAlign w:val="superscript"/>
              </w:rPr>
              <w:t>3</w:t>
            </w:r>
            <w:r>
              <w:t>的沉淀池收集废水，废水沉淀后回用于</w:t>
            </w:r>
            <w:r>
              <w:rPr>
                <w:rFonts w:hint="eastAsia"/>
              </w:rPr>
              <w:t>钻探</w:t>
            </w:r>
            <w:r>
              <w:t>，不外排。钻探废水损耗量按10%计，每日需补充新鲜水0.4m</w:t>
            </w:r>
            <w:r>
              <w:rPr>
                <w:vertAlign w:val="superscript"/>
              </w:rPr>
              <w:t>3</w:t>
            </w:r>
            <w:r>
              <w:t>。废水中SS的浓度一般约为2000mg/L，则SS产生量约为0.0008t/d（0.16t/a）</w:t>
            </w:r>
            <w:r>
              <w:rPr>
                <w:color w:val="000000" w:themeColor="text1"/>
                <w14:textFill>
                  <w14:solidFill>
                    <w14:schemeClr w14:val="tx1"/>
                  </w14:solidFill>
                </w14:textFill>
              </w:rPr>
              <w:t>。</w:t>
            </w:r>
          </w:p>
          <w:p>
            <w:pPr>
              <w:ind w:firstLine="482"/>
            </w:pPr>
            <w:r>
              <w:rPr>
                <w:rFonts w:hint="eastAsia"/>
                <w:b/>
                <w:bCs/>
                <w:color w:val="000000" w:themeColor="text1"/>
                <w14:textFill>
                  <w14:solidFill>
                    <w14:schemeClr w14:val="tx1"/>
                  </w14:solidFill>
                </w14:textFill>
              </w:rPr>
              <w:t>治理措施：</w:t>
            </w:r>
            <w:r>
              <w:rPr>
                <w:rFonts w:hint="eastAsia"/>
                <w:color w:val="000000" w:themeColor="text1"/>
                <w14:textFill>
                  <w14:solidFill>
                    <w14:schemeClr w14:val="tx1"/>
                  </w14:solidFill>
                </w14:textFill>
              </w:rPr>
              <w:t>本项目共有1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个钻孔，每孔钻井设置</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个沉淀池（设计容积5m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），采用防渗膜塑料布及支架组装，循环使用定期补充，不外排，在所有钻探工</w:t>
            </w:r>
            <w:r>
              <w:rPr>
                <w:rFonts w:hint="eastAsia"/>
              </w:rPr>
              <w:t>作完成后，最终产生的废泥浆（主要成分为SS，不含有毒有害成分）进行固化后无害化处理，措施可行。</w:t>
            </w:r>
          </w:p>
          <w:p>
            <w:pPr>
              <w:pStyle w:val="14"/>
              <w:ind w:firstLine="482" w:firstLineChars="200"/>
            </w:pPr>
            <w:r>
              <w:rPr>
                <w:rFonts w:hint="eastAsia"/>
              </w:rPr>
              <w:t>1</w:t>
            </w:r>
            <w:r>
              <w:t>.2</w:t>
            </w:r>
            <w:r>
              <w:rPr>
                <w:rFonts w:hint="eastAsia"/>
              </w:rPr>
              <w:t>洒水降尘</w:t>
            </w:r>
          </w:p>
          <w:p>
            <w:r>
              <w:t>为减少临时道路及钻探工作区建设过程中的扬尘，本环评提出采用洒水抑尘的方法控制扬尘。根据同类型报告</w:t>
            </w:r>
            <w:r>
              <w:rPr>
                <w:rFonts w:hint="eastAsia"/>
                <w:color w:val="000000"/>
              </w:rPr>
              <w:t>，洒水用水量为</w:t>
            </w:r>
            <w:r>
              <w:rPr>
                <w:rFonts w:ascii="TimesNewRomanPSMT" w:hAnsi="TimesNewRomanPSMT"/>
                <w:color w:val="000000"/>
              </w:rPr>
              <w:t>2m³/d</w:t>
            </w:r>
            <w:r>
              <w:rPr>
                <w:rFonts w:hint="eastAsia"/>
                <w:color w:val="000000"/>
              </w:rPr>
              <w:t>，</w:t>
            </w:r>
            <w:r>
              <w:rPr>
                <w:rFonts w:ascii="TimesNewRomanPSMT" w:hAnsi="TimesNewRomanPSMT"/>
                <w:color w:val="000000"/>
              </w:rPr>
              <w:t>400m³/a</w:t>
            </w:r>
            <w:r>
              <w:rPr>
                <w:rFonts w:hint="eastAsia"/>
                <w:color w:val="000000"/>
              </w:rPr>
              <w:t>。此部分水全部蒸发损耗。</w:t>
            </w:r>
          </w:p>
          <w:p>
            <w:pPr>
              <w:pStyle w:val="14"/>
              <w:ind w:firstLine="482" w:firstLineChars="200"/>
            </w:pPr>
            <w:r>
              <w:rPr>
                <w:rFonts w:hint="eastAsia"/>
              </w:rPr>
              <w:t>1.</w:t>
            </w:r>
            <w:r>
              <w:t>3</w:t>
            </w:r>
            <w:r>
              <w:rPr>
                <w:rFonts w:hint="eastAsia"/>
              </w:rPr>
              <w:t>生活污水</w:t>
            </w:r>
          </w:p>
          <w:p>
            <w:r>
              <w:rPr>
                <w:rFonts w:hint="eastAsia"/>
              </w:rPr>
              <w:t>本项目探矿期间在工作区域生活用水较少，生活用水水仅为洗手用水，用水量按15L/人·d计，年生产200天，本项目按照最大施工人员12人计算，排污按照80%计算，则项目生活水量为0.18m</w:t>
            </w:r>
            <w:r>
              <w:rPr>
                <w:rFonts w:hint="eastAsia"/>
                <w:vertAlign w:val="superscript"/>
              </w:rPr>
              <w:t>3</w:t>
            </w:r>
            <w:r>
              <w:rPr>
                <w:rFonts w:hint="eastAsia"/>
              </w:rPr>
              <w:t>/d、36</w:t>
            </w:r>
            <w:r>
              <w:t>m</w:t>
            </w:r>
            <w:r>
              <w:rPr>
                <w:vertAlign w:val="superscript"/>
              </w:rPr>
              <w:t>3</w:t>
            </w:r>
            <w:r>
              <w:t>/a</w:t>
            </w:r>
            <w:r>
              <w:rPr>
                <w:rFonts w:hint="eastAsia"/>
              </w:rPr>
              <w:t>，废水产生量为0.144m</w:t>
            </w:r>
            <w:r>
              <w:rPr>
                <w:rFonts w:hint="eastAsia"/>
                <w:vertAlign w:val="superscript"/>
              </w:rPr>
              <w:t>3</w:t>
            </w:r>
            <w:r>
              <w:rPr>
                <w:rFonts w:hint="eastAsia"/>
              </w:rPr>
              <w:t>/d、28.8</w:t>
            </w:r>
            <w:r>
              <w:t>m</w:t>
            </w:r>
            <w:r>
              <w:rPr>
                <w:vertAlign w:val="superscript"/>
              </w:rPr>
              <w:t>3</w:t>
            </w:r>
            <w:r>
              <w:t>/a</w:t>
            </w:r>
            <w:r>
              <w:rPr>
                <w:rFonts w:hint="eastAsia"/>
              </w:rPr>
              <w:t>。</w:t>
            </w:r>
          </w:p>
          <w:p>
            <w:pPr>
              <w:ind w:firstLine="482"/>
              <w:rPr>
                <w:b/>
                <w:bCs/>
              </w:rPr>
            </w:pPr>
            <w:r>
              <w:rPr>
                <w:rFonts w:hint="eastAsia"/>
                <w:b/>
                <w:bCs/>
              </w:rPr>
              <w:t>生活污水治理措施：</w:t>
            </w:r>
          </w:p>
          <w:p>
            <w:r>
              <w:rPr>
                <w:rFonts w:hint="eastAsia"/>
              </w:rPr>
              <w:t>生活污水进入防渗化粪池（10m</w:t>
            </w:r>
            <w:r>
              <w:rPr>
                <w:rFonts w:hint="eastAsia"/>
                <w:vertAlign w:val="superscript"/>
              </w:rPr>
              <w:t>3</w:t>
            </w:r>
            <w:r>
              <w:rPr>
                <w:rFonts w:hint="eastAsia"/>
              </w:rPr>
              <w:t>）处理后自然蒸发。</w:t>
            </w:r>
          </w:p>
          <w:p>
            <w:pPr>
              <w:ind w:firstLine="482"/>
              <w:rPr>
                <w:b/>
                <w:bCs/>
              </w:rPr>
            </w:pPr>
            <w:r>
              <w:rPr>
                <w:rFonts w:hint="eastAsia"/>
                <w:b/>
                <w:bCs/>
              </w:rPr>
              <w:t>生活污水防治措施可行性分析：</w:t>
            </w:r>
          </w:p>
          <w:p>
            <w:r>
              <w:rPr>
                <w:rFonts w:hint="eastAsia"/>
                <w:szCs w:val="22"/>
              </w:rPr>
              <w:t>项目区</w:t>
            </w:r>
            <w:r>
              <w:rPr>
                <w:rFonts w:ascii="宋体" w:hAnsi="宋体" w:cs="宋体"/>
                <w:color w:val="000000"/>
              </w:rPr>
              <w:t>属温暖带大陆性干旱季风气候，蒸发量大于降水量。由于蒸发量大，污水中的水分可以较快地自然蒸发，减少污水积累。化粪池使用混凝土和防腐材料做防渗处理，防止污水渗入地下造成污染。此外，本项目生活污水产生量较少，水质相对简单，对环境污染影响不大</w:t>
            </w:r>
            <w:r>
              <w:rPr>
                <w:rFonts w:hint="eastAsia"/>
              </w:rPr>
              <w:t>。</w:t>
            </w:r>
          </w:p>
          <w:p>
            <w:r>
              <w:rPr>
                <w:rFonts w:hint="eastAsia"/>
              </w:rPr>
              <w:t>本项目用水一览表见表4-2。</w:t>
            </w:r>
          </w:p>
          <w:p>
            <w:pPr>
              <w:pStyle w:val="27"/>
              <w:spacing w:before="156"/>
            </w:pPr>
            <w:r>
              <w:rPr>
                <w:rFonts w:hint="eastAsia"/>
              </w:rPr>
              <w:t>表4-2</w:t>
            </w:r>
            <w:r>
              <w:t xml:space="preserve">  </w:t>
            </w:r>
            <w:r>
              <w:rPr>
                <w:rFonts w:hint="eastAsia"/>
              </w:rPr>
              <w:t>项目用水情况一览表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92"/>
              <w:gridCol w:w="2479"/>
              <w:gridCol w:w="1706"/>
              <w:gridCol w:w="2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76" w:type="pct"/>
                  <w:tcBorders>
                    <w:tl2br w:val="nil"/>
                    <w:tr2bl w:val="nil"/>
                  </w:tcBorders>
                  <w:shd w:val="clear" w:color="auto" w:fill="auto"/>
                  <w:vAlign w:val="center"/>
                </w:tcPr>
                <w:p>
                  <w:pPr>
                    <w:pStyle w:val="25"/>
                  </w:pPr>
                  <w:r>
                    <w:t>序号</w:t>
                  </w:r>
                </w:p>
              </w:tc>
              <w:tc>
                <w:tcPr>
                  <w:tcW w:w="1601" w:type="pct"/>
                  <w:tcBorders>
                    <w:tl2br w:val="nil"/>
                    <w:tr2bl w:val="nil"/>
                  </w:tcBorders>
                  <w:shd w:val="clear" w:color="auto" w:fill="auto"/>
                  <w:vAlign w:val="center"/>
                </w:tcPr>
                <w:p>
                  <w:pPr>
                    <w:pStyle w:val="25"/>
                  </w:pPr>
                  <w:r>
                    <w:t>用水位置</w:t>
                  </w:r>
                </w:p>
              </w:tc>
              <w:tc>
                <w:tcPr>
                  <w:tcW w:w="1102" w:type="pct"/>
                  <w:tcBorders>
                    <w:tl2br w:val="nil"/>
                    <w:tr2bl w:val="nil"/>
                  </w:tcBorders>
                  <w:shd w:val="clear" w:color="auto" w:fill="auto"/>
                  <w:vAlign w:val="center"/>
                </w:tcPr>
                <w:p>
                  <w:pPr>
                    <w:pStyle w:val="25"/>
                  </w:pPr>
                  <w:r>
                    <w:t>用水方式</w:t>
                  </w:r>
                </w:p>
              </w:tc>
              <w:tc>
                <w:tcPr>
                  <w:tcW w:w="1720" w:type="pct"/>
                  <w:tcBorders>
                    <w:tl2br w:val="nil"/>
                    <w:tr2bl w:val="nil"/>
                  </w:tcBorders>
                  <w:shd w:val="clear" w:color="auto" w:fill="auto"/>
                  <w:vAlign w:val="center"/>
                </w:tcPr>
                <w:p>
                  <w:pPr>
                    <w:pStyle w:val="25"/>
                  </w:pPr>
                  <w:r>
                    <w:t>用水量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76" w:type="pct"/>
                  <w:tcBorders>
                    <w:tl2br w:val="nil"/>
                    <w:tr2bl w:val="nil"/>
                  </w:tcBorders>
                  <w:shd w:val="clear" w:color="auto" w:fill="auto"/>
                  <w:vAlign w:val="center"/>
                </w:tcPr>
                <w:p>
                  <w:pPr>
                    <w:pStyle w:val="25"/>
                  </w:pPr>
                  <w:r>
                    <w:t>1</w:t>
                  </w:r>
                </w:p>
              </w:tc>
              <w:tc>
                <w:tcPr>
                  <w:tcW w:w="1601" w:type="pct"/>
                  <w:tcBorders>
                    <w:tl2br w:val="nil"/>
                    <w:tr2bl w:val="nil"/>
                  </w:tcBorders>
                  <w:shd w:val="clear" w:color="auto" w:fill="auto"/>
                  <w:vAlign w:val="center"/>
                </w:tcPr>
                <w:p>
                  <w:pPr>
                    <w:pStyle w:val="25"/>
                  </w:pPr>
                  <w:r>
                    <w:t>钻探</w:t>
                  </w:r>
                </w:p>
              </w:tc>
              <w:tc>
                <w:tcPr>
                  <w:tcW w:w="1102" w:type="pct"/>
                  <w:tcBorders>
                    <w:tl2br w:val="nil"/>
                    <w:tr2bl w:val="nil"/>
                  </w:tcBorders>
                  <w:shd w:val="clear" w:color="auto" w:fill="auto"/>
                  <w:vAlign w:val="center"/>
                </w:tcPr>
                <w:p>
                  <w:pPr>
                    <w:pStyle w:val="25"/>
                  </w:pPr>
                  <w:r>
                    <w:t>钻探废水</w:t>
                  </w:r>
                </w:p>
              </w:tc>
              <w:tc>
                <w:tcPr>
                  <w:tcW w:w="1720" w:type="pct"/>
                  <w:tcBorders>
                    <w:tl2br w:val="nil"/>
                    <w:tr2bl w:val="nil"/>
                  </w:tcBorders>
                  <w:shd w:val="clear" w:color="auto" w:fill="auto"/>
                  <w:vAlign w:val="center"/>
                </w:tcPr>
                <w:p>
                  <w:pPr>
                    <w:pStyle w:val="25"/>
                  </w:pPr>
                  <w:r>
                    <w:rPr>
                      <w:rFonts w:hint="eastAsia"/>
                    </w:rPr>
                    <w:t>0.</w:t>
                  </w:r>
                  <w:r>
                    <w:t>4m</w:t>
                  </w:r>
                  <w:r>
                    <w:rPr>
                      <w:vertAlign w:val="superscript"/>
                    </w:rPr>
                    <w:t>3</w:t>
                  </w:r>
                  <w:r>
                    <w:t>/d</w:t>
                  </w:r>
                  <w:r>
                    <w:rPr>
                      <w:rFonts w:hint="eastAsia"/>
                    </w:rPr>
                    <w:t>，80</w:t>
                  </w:r>
                  <w:r>
                    <w:t>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76" w:type="pct"/>
                  <w:tcBorders>
                    <w:tl2br w:val="nil"/>
                    <w:tr2bl w:val="nil"/>
                  </w:tcBorders>
                  <w:shd w:val="clear" w:color="auto" w:fill="auto"/>
                  <w:vAlign w:val="center"/>
                </w:tcPr>
                <w:p>
                  <w:pPr>
                    <w:pStyle w:val="25"/>
                  </w:pPr>
                  <w:r>
                    <w:t>2</w:t>
                  </w:r>
                </w:p>
              </w:tc>
              <w:tc>
                <w:tcPr>
                  <w:tcW w:w="1601" w:type="pct"/>
                  <w:tcBorders>
                    <w:tl2br w:val="nil"/>
                    <w:tr2bl w:val="nil"/>
                  </w:tcBorders>
                  <w:shd w:val="clear" w:color="auto" w:fill="auto"/>
                  <w:vAlign w:val="center"/>
                </w:tcPr>
                <w:p>
                  <w:pPr>
                    <w:pStyle w:val="25"/>
                  </w:pPr>
                  <w:r>
                    <w:rPr>
                      <w:rFonts w:hint="eastAsia"/>
                    </w:rPr>
                    <w:t>临时堆场</w:t>
                  </w:r>
                  <w:r>
                    <w:t>、便道</w:t>
                  </w:r>
                </w:p>
              </w:tc>
              <w:tc>
                <w:tcPr>
                  <w:tcW w:w="1102" w:type="pct"/>
                  <w:tcBorders>
                    <w:tl2br w:val="nil"/>
                    <w:tr2bl w:val="nil"/>
                  </w:tcBorders>
                  <w:shd w:val="clear" w:color="auto" w:fill="auto"/>
                  <w:vAlign w:val="center"/>
                </w:tcPr>
                <w:p>
                  <w:pPr>
                    <w:pStyle w:val="25"/>
                  </w:pPr>
                  <w:r>
                    <w:t>抑尘废水</w:t>
                  </w:r>
                </w:p>
              </w:tc>
              <w:tc>
                <w:tcPr>
                  <w:tcW w:w="1720" w:type="pct"/>
                  <w:tcBorders>
                    <w:tl2br w:val="nil"/>
                    <w:tr2bl w:val="nil"/>
                  </w:tcBorders>
                  <w:shd w:val="clear" w:color="auto" w:fill="auto"/>
                  <w:vAlign w:val="center"/>
                </w:tcPr>
                <w:p>
                  <w:pPr>
                    <w:pStyle w:val="25"/>
                  </w:pPr>
                  <w:r>
                    <w:t>2m</w:t>
                  </w:r>
                  <w:r>
                    <w:rPr>
                      <w:vertAlign w:val="superscript"/>
                    </w:rPr>
                    <w:t>3</w:t>
                  </w:r>
                  <w:r>
                    <w:t>/d，4</w:t>
                  </w:r>
                  <w:r>
                    <w:rPr>
                      <w:rFonts w:hint="eastAsia"/>
                    </w:rPr>
                    <w:t>00</w:t>
                  </w:r>
                  <w:r>
                    <w:t>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576" w:type="pct"/>
                  <w:tcBorders>
                    <w:tl2br w:val="nil"/>
                    <w:tr2bl w:val="nil"/>
                  </w:tcBorders>
                  <w:shd w:val="clear" w:color="auto" w:fill="auto"/>
                  <w:vAlign w:val="center"/>
                </w:tcPr>
                <w:p>
                  <w:pPr>
                    <w:pStyle w:val="25"/>
                  </w:pPr>
                  <w:r>
                    <w:t>3</w:t>
                  </w:r>
                </w:p>
              </w:tc>
              <w:tc>
                <w:tcPr>
                  <w:tcW w:w="1601" w:type="pct"/>
                  <w:tcBorders>
                    <w:tl2br w:val="nil"/>
                    <w:tr2bl w:val="nil"/>
                  </w:tcBorders>
                  <w:shd w:val="clear" w:color="auto" w:fill="auto"/>
                  <w:vAlign w:val="center"/>
                </w:tcPr>
                <w:p>
                  <w:pPr>
                    <w:pStyle w:val="25"/>
                  </w:pPr>
                  <w:r>
                    <w:t>生活区</w:t>
                  </w:r>
                </w:p>
              </w:tc>
              <w:tc>
                <w:tcPr>
                  <w:tcW w:w="1102" w:type="pct"/>
                  <w:tcBorders>
                    <w:tl2br w:val="nil"/>
                    <w:tr2bl w:val="nil"/>
                  </w:tcBorders>
                  <w:shd w:val="clear" w:color="auto" w:fill="auto"/>
                  <w:vAlign w:val="center"/>
                </w:tcPr>
                <w:p>
                  <w:pPr>
                    <w:pStyle w:val="25"/>
                  </w:pPr>
                  <w:r>
                    <w:t>生活废水</w:t>
                  </w:r>
                </w:p>
              </w:tc>
              <w:tc>
                <w:tcPr>
                  <w:tcW w:w="1720" w:type="pct"/>
                  <w:tcBorders>
                    <w:tl2br w:val="nil"/>
                    <w:tr2bl w:val="nil"/>
                  </w:tcBorders>
                  <w:shd w:val="clear" w:color="auto" w:fill="auto"/>
                  <w:vAlign w:val="center"/>
                </w:tcPr>
                <w:p>
                  <w:pPr>
                    <w:pStyle w:val="25"/>
                  </w:pPr>
                  <w:r>
                    <w:rPr>
                      <w:rFonts w:hint="eastAsia"/>
                      <w:bCs/>
                    </w:rPr>
                    <w:t>0.036</w:t>
                  </w:r>
                  <w:r>
                    <w:rPr>
                      <w:bCs/>
                    </w:rPr>
                    <w:t>m</w:t>
                  </w:r>
                  <w:r>
                    <w:rPr>
                      <w:bCs/>
                      <w:vertAlign w:val="superscript"/>
                    </w:rPr>
                    <w:t>3</w:t>
                  </w:r>
                  <w:r>
                    <w:rPr>
                      <w:bCs/>
                    </w:rPr>
                    <w:t>/d</w:t>
                  </w:r>
                  <w:r>
                    <w:t>，</w:t>
                  </w:r>
                  <w:r>
                    <w:rPr>
                      <w:rFonts w:hint="eastAsia"/>
                    </w:rPr>
                    <w:t>7.2</w:t>
                  </w:r>
                  <w:r>
                    <w:t>m</w:t>
                  </w:r>
                  <w:r>
                    <w:rPr>
                      <w:vertAlign w:val="superscript"/>
                    </w:rPr>
                    <w:t>3</w:t>
                  </w:r>
                  <w:r>
                    <w:t>/a</w:t>
                  </w:r>
                </w:p>
              </w:tc>
            </w:tr>
          </w:tbl>
          <w:p>
            <w:pPr>
              <w:ind w:firstLine="0" w:firstLineChars="0"/>
            </w:pPr>
            <w:r>
              <w:drawing>
                <wp:inline distT="0" distB="0" distL="0" distR="0">
                  <wp:extent cx="4897755" cy="2145665"/>
                  <wp:effectExtent l="19050" t="19050" r="17145" b="260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903355" cy="2148243"/>
                          </a:xfrm>
                          <a:prstGeom prst="rect">
                            <a:avLst/>
                          </a:prstGeom>
                          <a:ln>
                            <a:solidFill>
                              <a:schemeClr val="tx1"/>
                            </a:solidFill>
                          </a:ln>
                        </pic:spPr>
                      </pic:pic>
                    </a:graphicData>
                  </a:graphic>
                </wp:inline>
              </w:drawing>
            </w:r>
          </w:p>
          <w:p>
            <w:pPr>
              <w:pStyle w:val="27"/>
              <w:spacing w:before="156"/>
            </w:pPr>
            <w:r>
              <w:rPr>
                <w:rFonts w:hint="eastAsia"/>
              </w:rPr>
              <w:t>图4</w:t>
            </w:r>
            <w:r>
              <w:t xml:space="preserve">-1  </w:t>
            </w:r>
            <w:r>
              <w:rPr>
                <w:rFonts w:hint="eastAsia"/>
              </w:rPr>
              <w:t>本项目水平衡图单位：m</w:t>
            </w:r>
            <w:r>
              <w:rPr>
                <w:rFonts w:hint="eastAsia"/>
                <w:vertAlign w:val="superscript"/>
              </w:rPr>
              <w:t>3</w:t>
            </w:r>
            <w:r>
              <w:rPr>
                <w:rFonts w:hint="eastAsia"/>
              </w:rPr>
              <w:t>/a</w:t>
            </w:r>
          </w:p>
          <w:p>
            <w:r>
              <w:rPr>
                <w:rFonts w:hint="eastAsia"/>
              </w:rPr>
              <w:t>因此，本项目施工期间废水产生量较小，水质较为简单，采取上述措施后施工期间产生的废水能够全部做到综合利用不外排。本次评价认为，项目施工期基本不对周边地表水环境产生污染影响。</w:t>
            </w:r>
          </w:p>
          <w:p>
            <w:pPr>
              <w:pStyle w:val="14"/>
              <w:ind w:firstLine="482" w:firstLineChars="200"/>
            </w:pPr>
            <w:r>
              <w:rPr>
                <w:rFonts w:hint="eastAsia"/>
              </w:rPr>
              <w:t>3.施工期噪声影响分析</w:t>
            </w:r>
          </w:p>
          <w:p>
            <w:pPr>
              <w:rPr>
                <w:b/>
              </w:rPr>
            </w:pPr>
            <w:r>
              <w:t>本项目噪声来源包括运输车辆噪声</w:t>
            </w:r>
            <w:r>
              <w:rPr>
                <w:rFonts w:hint="eastAsia"/>
              </w:rPr>
              <w:t>以及作业</w:t>
            </w:r>
            <w:r>
              <w:t>机械噪声，如</w:t>
            </w:r>
            <w:r>
              <w:rPr>
                <w:rFonts w:hint="eastAsia"/>
              </w:rPr>
              <w:t>空压机、钻探设备、柴油发电机</w:t>
            </w:r>
            <w:r>
              <w:t>等</w:t>
            </w:r>
            <w:r>
              <w:rPr>
                <w:rFonts w:hint="eastAsia"/>
              </w:rPr>
              <w:t>。</w:t>
            </w:r>
            <w:r>
              <w:t>噪声源强约</w:t>
            </w:r>
            <w:r>
              <w:rPr>
                <w:rFonts w:hint="eastAsia"/>
              </w:rPr>
              <w:t>85~1</w:t>
            </w:r>
            <w:r>
              <w:t>0</w:t>
            </w:r>
            <w:r>
              <w:rPr>
                <w:rFonts w:hint="eastAsia"/>
              </w:rPr>
              <w:t>0</w:t>
            </w:r>
            <w:r>
              <w:t>dB</w:t>
            </w:r>
            <w:r>
              <w:rPr>
                <w:rFonts w:hint="eastAsia"/>
              </w:rPr>
              <w:t>(</w:t>
            </w:r>
            <w:r>
              <w:t>A)</w:t>
            </w:r>
            <w:r>
              <w:rPr>
                <w:rFonts w:hint="eastAsia"/>
              </w:rPr>
              <w:t>。</w:t>
            </w:r>
            <w:r>
              <w:t>主要噪声源及声级详见表</w:t>
            </w:r>
            <w:r>
              <w:rPr>
                <w:rFonts w:hint="eastAsia"/>
              </w:rPr>
              <w:t>4-</w:t>
            </w:r>
            <w:r>
              <w:t>3</w:t>
            </w:r>
            <w:r>
              <w:rPr>
                <w:b/>
              </w:rPr>
              <w:t>：</w:t>
            </w:r>
          </w:p>
          <w:p>
            <w:pPr>
              <w:pStyle w:val="27"/>
              <w:spacing w:before="156"/>
            </w:pPr>
            <w:r>
              <w:rPr>
                <w:rFonts w:hint="eastAsia"/>
              </w:rPr>
              <w:t>表4-</w:t>
            </w:r>
            <w:r>
              <w:t xml:space="preserve">3  </w:t>
            </w:r>
            <w:r>
              <w:rPr>
                <w:rFonts w:hint="eastAsia"/>
              </w:rPr>
              <w:t>主要噪声源及声级一览表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8"/>
              <w:gridCol w:w="1273"/>
              <w:gridCol w:w="2255"/>
              <w:gridCol w:w="782"/>
              <w:gridCol w:w="1113"/>
              <w:gridCol w:w="1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367" w:type="pct"/>
                  <w:tcBorders>
                    <w:tl2br w:val="nil"/>
                    <w:tr2bl w:val="nil"/>
                  </w:tcBorders>
                  <w:vAlign w:val="center"/>
                </w:tcPr>
                <w:p>
                  <w:pPr>
                    <w:pStyle w:val="25"/>
                  </w:pPr>
                  <w:r>
                    <w:t>序号</w:t>
                  </w:r>
                </w:p>
              </w:tc>
              <w:tc>
                <w:tcPr>
                  <w:tcW w:w="822" w:type="pct"/>
                  <w:tcBorders>
                    <w:tl2br w:val="nil"/>
                    <w:tr2bl w:val="nil"/>
                  </w:tcBorders>
                  <w:vAlign w:val="center"/>
                </w:tcPr>
                <w:p>
                  <w:pPr>
                    <w:pStyle w:val="25"/>
                  </w:pPr>
                  <w:r>
                    <w:t>声源名称</w:t>
                  </w:r>
                </w:p>
              </w:tc>
              <w:tc>
                <w:tcPr>
                  <w:tcW w:w="1456" w:type="pct"/>
                  <w:tcBorders>
                    <w:tl2br w:val="nil"/>
                    <w:tr2bl w:val="nil"/>
                  </w:tcBorders>
                  <w:vAlign w:val="center"/>
                </w:tcPr>
                <w:p>
                  <w:pPr>
                    <w:pStyle w:val="25"/>
                  </w:pPr>
                  <w:r>
                    <w:t>噪声级dB</w:t>
                  </w:r>
                  <w:r>
                    <w:rPr>
                      <w:rFonts w:hint="eastAsia"/>
                    </w:rPr>
                    <w:t>(</w:t>
                  </w:r>
                  <w:r>
                    <w:t>A)</w:t>
                  </w:r>
                </w:p>
              </w:tc>
              <w:tc>
                <w:tcPr>
                  <w:tcW w:w="505" w:type="pct"/>
                  <w:tcBorders>
                    <w:tl2br w:val="nil"/>
                    <w:tr2bl w:val="nil"/>
                  </w:tcBorders>
                  <w:vAlign w:val="center"/>
                </w:tcPr>
                <w:p>
                  <w:pPr>
                    <w:pStyle w:val="25"/>
                  </w:pPr>
                  <w:r>
                    <w:rPr>
                      <w:rFonts w:hint="eastAsia"/>
                    </w:rPr>
                    <w:t>数量</w:t>
                  </w:r>
                </w:p>
              </w:tc>
              <w:tc>
                <w:tcPr>
                  <w:tcW w:w="719" w:type="pct"/>
                  <w:tcBorders>
                    <w:tl2br w:val="nil"/>
                    <w:tr2bl w:val="nil"/>
                  </w:tcBorders>
                  <w:vAlign w:val="center"/>
                </w:tcPr>
                <w:p>
                  <w:pPr>
                    <w:pStyle w:val="25"/>
                  </w:pPr>
                  <w:r>
                    <w:t>距声源</w:t>
                  </w:r>
                </w:p>
              </w:tc>
              <w:tc>
                <w:tcPr>
                  <w:tcW w:w="1129" w:type="pct"/>
                  <w:tcBorders>
                    <w:tl2br w:val="nil"/>
                    <w:tr2bl w:val="nil"/>
                  </w:tcBorders>
                  <w:vAlign w:val="center"/>
                </w:tcPr>
                <w:p>
                  <w:pPr>
                    <w:pStyle w:val="25"/>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7" w:type="pct"/>
                  <w:tcBorders>
                    <w:tl2br w:val="nil"/>
                    <w:tr2bl w:val="nil"/>
                  </w:tcBorders>
                  <w:vAlign w:val="center"/>
                </w:tcPr>
                <w:p>
                  <w:pPr>
                    <w:pStyle w:val="25"/>
                  </w:pPr>
                  <w:r>
                    <w:rPr>
                      <w:rFonts w:hint="eastAsia"/>
                    </w:rPr>
                    <w:t>1</w:t>
                  </w:r>
                </w:p>
              </w:tc>
              <w:tc>
                <w:tcPr>
                  <w:tcW w:w="822" w:type="pct"/>
                  <w:tcBorders>
                    <w:tl2br w:val="nil"/>
                    <w:tr2bl w:val="nil"/>
                  </w:tcBorders>
                  <w:vAlign w:val="center"/>
                </w:tcPr>
                <w:p>
                  <w:pPr>
                    <w:pStyle w:val="25"/>
                  </w:pPr>
                  <w:r>
                    <w:t>空压机</w:t>
                  </w:r>
                </w:p>
              </w:tc>
              <w:tc>
                <w:tcPr>
                  <w:tcW w:w="1456" w:type="pct"/>
                  <w:tcBorders>
                    <w:tl2br w:val="nil"/>
                    <w:tr2bl w:val="nil"/>
                  </w:tcBorders>
                  <w:vAlign w:val="center"/>
                </w:tcPr>
                <w:p>
                  <w:pPr>
                    <w:pStyle w:val="25"/>
                  </w:pPr>
                  <w:r>
                    <w:t>90</w:t>
                  </w:r>
                </w:p>
              </w:tc>
              <w:tc>
                <w:tcPr>
                  <w:tcW w:w="505" w:type="pct"/>
                  <w:tcBorders>
                    <w:tl2br w:val="nil"/>
                    <w:tr2bl w:val="nil"/>
                  </w:tcBorders>
                  <w:vAlign w:val="center"/>
                </w:tcPr>
                <w:p>
                  <w:pPr>
                    <w:pStyle w:val="25"/>
                  </w:pPr>
                  <w:r>
                    <w:rPr>
                      <w:rFonts w:hint="eastAsia"/>
                    </w:rPr>
                    <w:t>1</w:t>
                  </w:r>
                </w:p>
              </w:tc>
              <w:tc>
                <w:tcPr>
                  <w:tcW w:w="719" w:type="pct"/>
                  <w:tcBorders>
                    <w:tl2br w:val="nil"/>
                    <w:tr2bl w:val="nil"/>
                  </w:tcBorders>
                  <w:vAlign w:val="center"/>
                </w:tcPr>
                <w:p>
                  <w:pPr>
                    <w:pStyle w:val="25"/>
                  </w:pPr>
                  <w:r>
                    <w:t>1m</w:t>
                  </w:r>
                </w:p>
              </w:tc>
              <w:tc>
                <w:tcPr>
                  <w:tcW w:w="1129" w:type="pct"/>
                  <w:tcBorders>
                    <w:tl2br w:val="nil"/>
                    <w:tr2bl w:val="nil"/>
                  </w:tcBorders>
                  <w:vAlign w:val="center"/>
                </w:tcPr>
                <w:p>
                  <w:pPr>
                    <w:pStyle w:val="25"/>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7" w:type="pct"/>
                  <w:tcBorders>
                    <w:tl2br w:val="nil"/>
                    <w:tr2bl w:val="nil"/>
                  </w:tcBorders>
                  <w:vAlign w:val="center"/>
                </w:tcPr>
                <w:p>
                  <w:pPr>
                    <w:pStyle w:val="25"/>
                  </w:pPr>
                  <w:r>
                    <w:rPr>
                      <w:rFonts w:hint="eastAsia"/>
                    </w:rPr>
                    <w:t>2</w:t>
                  </w:r>
                </w:p>
              </w:tc>
              <w:tc>
                <w:tcPr>
                  <w:tcW w:w="822" w:type="pct"/>
                  <w:tcBorders>
                    <w:tl2br w:val="nil"/>
                    <w:tr2bl w:val="nil"/>
                  </w:tcBorders>
                  <w:vAlign w:val="center"/>
                </w:tcPr>
                <w:p>
                  <w:pPr>
                    <w:pStyle w:val="25"/>
                    <w:rPr>
                      <w:szCs w:val="24"/>
                    </w:rPr>
                  </w:pPr>
                  <w:r>
                    <w:rPr>
                      <w:rFonts w:hint="eastAsia"/>
                    </w:rPr>
                    <w:t>钻探设备</w:t>
                  </w:r>
                </w:p>
              </w:tc>
              <w:tc>
                <w:tcPr>
                  <w:tcW w:w="1456" w:type="pct"/>
                  <w:tcBorders>
                    <w:tl2br w:val="nil"/>
                    <w:tr2bl w:val="nil"/>
                  </w:tcBorders>
                  <w:vAlign w:val="center"/>
                </w:tcPr>
                <w:p>
                  <w:pPr>
                    <w:pStyle w:val="25"/>
                    <w:rPr>
                      <w:szCs w:val="24"/>
                    </w:rPr>
                  </w:pPr>
                  <w:r>
                    <w:rPr>
                      <w:rFonts w:hint="eastAsia"/>
                    </w:rPr>
                    <w:t>90~100</w:t>
                  </w:r>
                </w:p>
              </w:tc>
              <w:tc>
                <w:tcPr>
                  <w:tcW w:w="505" w:type="pct"/>
                  <w:tcBorders>
                    <w:tl2br w:val="nil"/>
                    <w:tr2bl w:val="nil"/>
                  </w:tcBorders>
                  <w:vAlign w:val="center"/>
                </w:tcPr>
                <w:p>
                  <w:pPr>
                    <w:pStyle w:val="25"/>
                    <w:rPr>
                      <w:szCs w:val="24"/>
                    </w:rPr>
                  </w:pPr>
                  <w:r>
                    <w:rPr>
                      <w:rFonts w:hint="eastAsia"/>
                    </w:rPr>
                    <w:t>2</w:t>
                  </w:r>
                </w:p>
              </w:tc>
              <w:tc>
                <w:tcPr>
                  <w:tcW w:w="719" w:type="pct"/>
                  <w:tcBorders>
                    <w:tl2br w:val="nil"/>
                    <w:tr2bl w:val="nil"/>
                  </w:tcBorders>
                  <w:vAlign w:val="center"/>
                </w:tcPr>
                <w:p>
                  <w:pPr>
                    <w:pStyle w:val="25"/>
                    <w:rPr>
                      <w:szCs w:val="24"/>
                    </w:rPr>
                  </w:pPr>
                  <w:r>
                    <w:rPr>
                      <w:rFonts w:hint="eastAsia"/>
                    </w:rPr>
                    <w:t>5m</w:t>
                  </w:r>
                </w:p>
              </w:tc>
              <w:tc>
                <w:tcPr>
                  <w:tcW w:w="1129" w:type="pct"/>
                  <w:tcBorders>
                    <w:tl2br w:val="nil"/>
                    <w:tr2bl w:val="nil"/>
                  </w:tcBorders>
                  <w:vAlign w:val="center"/>
                </w:tcPr>
                <w:p>
                  <w:pPr>
                    <w:pStyle w:val="25"/>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7" w:type="pct"/>
                  <w:tcBorders>
                    <w:tl2br w:val="nil"/>
                    <w:tr2bl w:val="nil"/>
                  </w:tcBorders>
                  <w:vAlign w:val="center"/>
                </w:tcPr>
                <w:p>
                  <w:pPr>
                    <w:pStyle w:val="25"/>
                  </w:pPr>
                  <w:r>
                    <w:rPr>
                      <w:rFonts w:hint="eastAsia"/>
                    </w:rPr>
                    <w:t>3</w:t>
                  </w:r>
                </w:p>
              </w:tc>
              <w:tc>
                <w:tcPr>
                  <w:tcW w:w="822" w:type="pct"/>
                  <w:tcBorders>
                    <w:tl2br w:val="nil"/>
                    <w:tr2bl w:val="nil"/>
                  </w:tcBorders>
                  <w:vAlign w:val="center"/>
                </w:tcPr>
                <w:p>
                  <w:pPr>
                    <w:pStyle w:val="25"/>
                    <w:rPr>
                      <w:szCs w:val="24"/>
                    </w:rPr>
                  </w:pPr>
                  <w:r>
                    <w:rPr>
                      <w:rFonts w:hint="eastAsia"/>
                    </w:rPr>
                    <w:t>发电机</w:t>
                  </w:r>
                </w:p>
              </w:tc>
              <w:tc>
                <w:tcPr>
                  <w:tcW w:w="1456" w:type="pct"/>
                  <w:tcBorders>
                    <w:tl2br w:val="nil"/>
                    <w:tr2bl w:val="nil"/>
                  </w:tcBorders>
                  <w:vAlign w:val="center"/>
                </w:tcPr>
                <w:p>
                  <w:pPr>
                    <w:pStyle w:val="25"/>
                    <w:rPr>
                      <w:szCs w:val="24"/>
                    </w:rPr>
                  </w:pPr>
                  <w:r>
                    <w:rPr>
                      <w:rFonts w:hint="eastAsia"/>
                    </w:rPr>
                    <w:t>85~90</w:t>
                  </w:r>
                </w:p>
              </w:tc>
              <w:tc>
                <w:tcPr>
                  <w:tcW w:w="505" w:type="pct"/>
                  <w:tcBorders>
                    <w:tl2br w:val="nil"/>
                    <w:tr2bl w:val="nil"/>
                  </w:tcBorders>
                  <w:vAlign w:val="center"/>
                </w:tcPr>
                <w:p>
                  <w:pPr>
                    <w:pStyle w:val="25"/>
                    <w:rPr>
                      <w:szCs w:val="24"/>
                    </w:rPr>
                  </w:pPr>
                  <w:r>
                    <w:rPr>
                      <w:rFonts w:hint="eastAsia"/>
                    </w:rPr>
                    <w:t>2</w:t>
                  </w:r>
                </w:p>
              </w:tc>
              <w:tc>
                <w:tcPr>
                  <w:tcW w:w="719" w:type="pct"/>
                  <w:tcBorders>
                    <w:tl2br w:val="nil"/>
                    <w:tr2bl w:val="nil"/>
                  </w:tcBorders>
                  <w:vAlign w:val="center"/>
                </w:tcPr>
                <w:p>
                  <w:pPr>
                    <w:pStyle w:val="25"/>
                    <w:rPr>
                      <w:szCs w:val="24"/>
                    </w:rPr>
                  </w:pPr>
                  <w:r>
                    <w:rPr>
                      <w:rFonts w:hint="eastAsia"/>
                    </w:rPr>
                    <w:t>5m</w:t>
                  </w:r>
                </w:p>
              </w:tc>
              <w:tc>
                <w:tcPr>
                  <w:tcW w:w="1129" w:type="pct"/>
                  <w:tcBorders>
                    <w:tl2br w:val="nil"/>
                    <w:tr2bl w:val="nil"/>
                  </w:tcBorders>
                  <w:vAlign w:val="center"/>
                </w:tcPr>
                <w:p>
                  <w:pPr>
                    <w:pStyle w:val="25"/>
                  </w:pPr>
                  <w:r>
                    <w:rPr>
                      <w:rFonts w:hint="eastAsia"/>
                    </w:rPr>
                    <w:t>/</w:t>
                  </w:r>
                </w:p>
              </w:tc>
            </w:tr>
          </w:tbl>
          <w:p>
            <w:r>
              <w:rPr>
                <w:rFonts w:hint="eastAsia"/>
              </w:rPr>
              <w:t>防治措施：合理布设施工场地，使用低噪声设备，加强钻探设备、凿岩机、空压机、柴油发电机设备的维护保养工作，保持其良好工况，夜间禁止施工。而且要对连续接触高噪声源的操作人员，采取相应防护措施。</w:t>
            </w:r>
          </w:p>
          <w:p>
            <w:pPr>
              <w:pStyle w:val="14"/>
              <w:ind w:firstLine="482" w:firstLineChars="200"/>
              <w:rPr>
                <w:szCs w:val="24"/>
              </w:rPr>
            </w:pPr>
            <w:r>
              <w:rPr>
                <w:rFonts w:hint="eastAsia"/>
                <w:szCs w:val="24"/>
              </w:rPr>
              <w:t>4.施工期固体废物</w:t>
            </w:r>
          </w:p>
          <w:p>
            <w:pPr>
              <w:rPr>
                <w:color w:val="FF0000"/>
              </w:rPr>
            </w:pPr>
            <w:r>
              <w:t>本项目固体废物</w:t>
            </w:r>
            <w:r>
              <w:rPr>
                <w:rFonts w:hint="eastAsia"/>
              </w:rPr>
              <w:t>分为一般固体废物和危险废物。一般固体废物</w:t>
            </w:r>
            <w:r>
              <w:t>主要为</w:t>
            </w:r>
            <w:r>
              <w:rPr>
                <w:rFonts w:hint="eastAsia"/>
              </w:rPr>
              <w:t>钻探</w:t>
            </w:r>
            <w:r>
              <w:t>产生的临时土石方</w:t>
            </w:r>
            <w:r>
              <w:rPr>
                <w:rFonts w:hint="eastAsia"/>
              </w:rPr>
              <w:t>、钻探泥浆、化粪池污泥及施工人员产生的生活垃圾。危险废物包括废机油。</w:t>
            </w:r>
          </w:p>
          <w:p>
            <w:pPr>
              <w:pStyle w:val="14"/>
              <w:ind w:firstLine="482" w:firstLineChars="200"/>
            </w:pPr>
            <w:r>
              <w:rPr>
                <w:rFonts w:hint="eastAsia"/>
              </w:rPr>
              <w:t>4.1固体废物</w:t>
            </w:r>
          </w:p>
          <w:p>
            <w:pPr>
              <w:rPr>
                <w:snapToGrid w:val="0"/>
              </w:rPr>
            </w:pPr>
            <w:r>
              <w:rPr>
                <w:rFonts w:hint="eastAsia"/>
                <w:snapToGrid w:val="0"/>
              </w:rPr>
              <w:t>①土石方</w:t>
            </w:r>
          </w:p>
          <w:p>
            <w:r>
              <w:t>本项目</w:t>
            </w:r>
            <w:r>
              <w:rPr>
                <w:rFonts w:hint="eastAsia"/>
              </w:rPr>
              <w:t>机械岩心钻探工作量为3</w:t>
            </w:r>
            <w:r>
              <w:t>000m</w:t>
            </w:r>
            <w:r>
              <w:rPr>
                <w:rFonts w:hint="eastAsia"/>
              </w:rPr>
              <w:t>，水文地质钻探工作量为5</w:t>
            </w:r>
            <w:r>
              <w:t>00m</w:t>
            </w:r>
            <w:r>
              <w:rPr>
                <w:rFonts w:hint="eastAsia"/>
              </w:rPr>
              <w:t>，钻探</w:t>
            </w:r>
            <w:r>
              <w:t>总</w:t>
            </w:r>
            <w:r>
              <w:rPr>
                <w:rFonts w:hint="eastAsia"/>
              </w:rPr>
              <w:t>工作</w:t>
            </w:r>
            <w:r>
              <w:t>量为3500m，钻探</w:t>
            </w:r>
            <w:r>
              <w:rPr>
                <w:rFonts w:hint="eastAsia"/>
              </w:rPr>
              <w:t>开孔直径不小于75</w:t>
            </w:r>
            <w:r>
              <w:t>mm</w:t>
            </w:r>
            <w:r>
              <w:rPr>
                <w:rFonts w:hint="eastAsia"/>
              </w:rPr>
              <w:t>，</w:t>
            </w:r>
            <w:r>
              <w:t>岩心产生的土方量为15.45m</w:t>
            </w:r>
            <w:r>
              <w:rPr>
                <w:vertAlign w:val="superscript"/>
              </w:rPr>
              <w:t>3</w:t>
            </w:r>
            <w:r>
              <w:t>(V=πr</w:t>
            </w:r>
            <w:r>
              <w:rPr>
                <w:vertAlign w:val="superscript"/>
              </w:rPr>
              <w:t>2</w:t>
            </w:r>
            <w:r>
              <w:t>×h)，全部带回实验室分析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w:t>
            </w:r>
            <w:r>
              <w:t>13</w:t>
            </w:r>
            <w:r>
              <w:rPr>
                <w:rFonts w:hint="eastAsia"/>
              </w:rPr>
              <w:t>个钻孔计，</w:t>
            </w:r>
            <w:r>
              <w:t>共计需剥离195m</w:t>
            </w:r>
            <w:r>
              <w:rPr>
                <w:vertAlign w:val="superscript"/>
              </w:rPr>
              <w:t>2</w:t>
            </w:r>
            <w:r>
              <w:t>，剥离厚度按20cm计算，每孔需剥离</w:t>
            </w:r>
            <w:r>
              <w:rPr>
                <w:rFonts w:hint="eastAsia"/>
              </w:rPr>
              <w:t>3</w:t>
            </w:r>
            <w:r>
              <w:t>m</w:t>
            </w:r>
            <w:r>
              <w:rPr>
                <w:vertAlign w:val="superscript"/>
              </w:rPr>
              <w:t>3</w:t>
            </w:r>
            <w:r>
              <w:t>，共需要堆放约39m</w:t>
            </w:r>
            <w:r>
              <w:rPr>
                <w:vertAlign w:val="superscript"/>
              </w:rPr>
              <w:t>3</w:t>
            </w:r>
            <w:r>
              <w:t>(松散系数k=1.3</w:t>
            </w:r>
            <w:r>
              <w:rPr>
                <w:rFonts w:hint="eastAsia"/>
              </w:rPr>
              <w:t>，</w:t>
            </w:r>
            <w:r>
              <w:t>剥离松</w:t>
            </w:r>
            <w:r>
              <w:rPr>
                <w:rFonts w:hint="eastAsia"/>
              </w:rPr>
              <w:t>散</w:t>
            </w:r>
            <w:r>
              <w:t>方50.7m</w:t>
            </w:r>
            <w:r>
              <w:rPr>
                <w:vertAlign w:val="superscript"/>
              </w:rPr>
              <w:t>3</w:t>
            </w:r>
            <w:r>
              <w:t>)</w:t>
            </w:r>
            <w:r>
              <w:rPr>
                <w:rFonts w:hint="eastAsia"/>
              </w:rPr>
              <w:t>；槽探总工作量为</w:t>
            </w:r>
            <w:r>
              <w:t>2000</w:t>
            </w:r>
            <w:r>
              <w:rPr>
                <w:rFonts w:hint="eastAsia"/>
              </w:rPr>
              <w:t>m</w:t>
            </w:r>
            <w:r>
              <w:rPr>
                <w:vertAlign w:val="superscript"/>
              </w:rPr>
              <w:t>3</w:t>
            </w:r>
            <w:r>
              <w:rPr>
                <w:rFonts w:hint="eastAsia"/>
              </w:rPr>
              <w:t>。详见表2-</w:t>
            </w:r>
            <w:r>
              <w:t>5</w:t>
            </w:r>
            <w:r>
              <w:rPr>
                <w:rFonts w:hint="eastAsia"/>
              </w:rPr>
              <w:t>土石方平衡一览表。由于本项目产生的土石方量较少，因此不单独设置废石场，废石与剥离的表土分类暂存于个钻孔附近的临时表土堆放场，用于回填</w:t>
            </w:r>
            <w:r>
              <w:t>。</w:t>
            </w:r>
          </w:p>
          <w:p>
            <w:pPr>
              <w:rPr>
                <w:snapToGrid w:val="0"/>
              </w:rPr>
            </w:pPr>
            <w:r>
              <w:rPr>
                <w:rFonts w:hint="eastAsia"/>
                <w:snapToGrid w:val="0"/>
              </w:rPr>
              <w:t>②钻探泥浆</w:t>
            </w:r>
          </w:p>
          <w:p>
            <w:r>
              <w:rPr>
                <w:rFonts w:hint="eastAsia"/>
              </w:rPr>
              <w:t>钻探使用的泥浆采用水基非磺化泥浆，从钻孔孔口返回后引至沉淀池，通过沉淀处理后，上清液循环使用，不外排。该类固废含水率</w:t>
            </w:r>
            <w:r>
              <w:t>90%</w:t>
            </w:r>
            <w:r>
              <w:rPr>
                <w:rFonts w:hint="eastAsia"/>
              </w:rPr>
              <w:t>。主要为岩屑胶结水团与泥沙混合物，属于一般固体废物，根据业主提供的施工经验数据，在现有施工机具及环境条件下产生泥浆</w:t>
            </w:r>
            <w:r>
              <w:t>0.5t/100m</w:t>
            </w:r>
            <w:r>
              <w:rPr>
                <w:rFonts w:hint="eastAsia"/>
              </w:rPr>
              <w:t>。本项目钻探工作量为</w:t>
            </w:r>
            <w:r>
              <w:t>3500m</w:t>
            </w:r>
            <w:r>
              <w:rPr>
                <w:rFonts w:hint="eastAsia"/>
              </w:rPr>
              <w:t>，则整个探矿期泥浆产生量约为</w:t>
            </w:r>
            <w:r>
              <w:t>17.5t</w:t>
            </w:r>
            <w:r>
              <w:rPr>
                <w:rFonts w:hint="eastAsia"/>
              </w:rPr>
              <w:t>。最终产生的废泥浆无任何添加剂成分，泥浆主要成分为SS，属于一般固体废物，钻探泥浆完工后，将钻探泥浆填入沉淀池内，并采用水泥固化填埋。本项目对钻探泥浆采取固化处理措施合理可行。</w:t>
            </w:r>
          </w:p>
          <w:p>
            <w:r>
              <w:rPr>
                <w:snapToGrid w:val="0"/>
              </w:rPr>
              <w:fldChar w:fldCharType="begin"/>
            </w:r>
            <w:r>
              <w:rPr>
                <w:snapToGrid w:val="0"/>
              </w:rPr>
              <w:instrText xml:space="preserve"> = 3 \* GB3 \* MERGEFORMAT </w:instrText>
            </w:r>
            <w:r>
              <w:rPr>
                <w:snapToGrid w:val="0"/>
              </w:rPr>
              <w:fldChar w:fldCharType="separate"/>
            </w:r>
            <w:r>
              <w:rPr>
                <w:rFonts w:hint="eastAsia" w:ascii="宋体" w:hAnsi="宋体" w:cs="宋体"/>
                <w:snapToGrid w:val="0"/>
              </w:rPr>
              <w:t>③</w:t>
            </w:r>
            <w:r>
              <w:rPr>
                <w:snapToGrid w:val="0"/>
              </w:rPr>
              <w:fldChar w:fldCharType="end"/>
            </w:r>
            <w:r>
              <w:rPr>
                <w:rFonts w:hint="eastAsia"/>
              </w:rPr>
              <w:t>钻孔岩屑</w:t>
            </w:r>
          </w:p>
          <w:p>
            <w:pPr>
              <w:rPr>
                <w:color w:val="000000"/>
              </w:rPr>
            </w:pPr>
            <w:r>
              <w:rPr>
                <w:rFonts w:hint="eastAsia"/>
                <w:color w:val="000000"/>
              </w:rPr>
              <w:t>钻孔岩屑是在钻孔过程中钻头切屑地层岩石而产生的碎屑，并通过钻井泥浆带出至地面，主要成分为岩石（屑）。每个钻孔完毕后，</w:t>
            </w:r>
            <w:r>
              <w:rPr>
                <w:rFonts w:hint="eastAsia"/>
              </w:rPr>
              <w:t>钻孔岩屑</w:t>
            </w:r>
            <w:r>
              <w:rPr>
                <w:rFonts w:hint="eastAsia"/>
                <w:color w:val="000000"/>
              </w:rPr>
              <w:t>用于封孔，对钻孔进行密封。</w:t>
            </w:r>
          </w:p>
          <w:p>
            <w:pPr>
              <w:rPr>
                <w:color w:val="000000"/>
              </w:rPr>
            </w:pPr>
            <w:r>
              <w:rPr>
                <w:color w:val="000000"/>
              </w:rPr>
              <w:t>钻屑产生量参考同类型项目经验公式进行计算：</w:t>
            </w:r>
          </w:p>
          <w:p>
            <w:pPr>
              <w:jc w:val="center"/>
            </w:pPr>
            <w:r>
              <w:t>V=πr</w:t>
            </w:r>
            <w:r>
              <w:rPr>
                <w:vertAlign w:val="superscript"/>
              </w:rPr>
              <w:t>2</w:t>
            </w:r>
            <w:r>
              <w:t>×h×k</w:t>
            </w:r>
          </w:p>
          <w:p>
            <w:pPr>
              <w:rPr>
                <w:color w:val="000000"/>
              </w:rPr>
            </w:pPr>
            <w:r>
              <w:rPr>
                <w:color w:val="000000"/>
              </w:rPr>
              <w:t>其中：V——钻屑体积，m</w:t>
            </w:r>
            <w:r>
              <w:rPr>
                <w:color w:val="000000"/>
                <w:vertAlign w:val="superscript"/>
              </w:rPr>
              <w:t>3</w:t>
            </w:r>
            <w:r>
              <w:rPr>
                <w:color w:val="000000"/>
              </w:rPr>
              <w:t>；</w:t>
            </w:r>
          </w:p>
          <w:p>
            <w:pPr>
              <w:rPr>
                <w:color w:val="000000"/>
              </w:rPr>
            </w:pPr>
            <w:r>
              <w:rPr>
                <w:color w:val="000000"/>
              </w:rPr>
              <w:t>π——圆周率，圆的周长与直径的比值，本次取3.14；</w:t>
            </w:r>
          </w:p>
          <w:p>
            <w:pPr>
              <w:rPr>
                <w:color w:val="000000"/>
              </w:rPr>
            </w:pPr>
            <w:r>
              <w:rPr>
                <w:color w:val="000000"/>
              </w:rPr>
              <w:t>r—钻井半径，m，0.075m；</w:t>
            </w:r>
          </w:p>
          <w:p>
            <w:pPr>
              <w:rPr>
                <w:color w:val="000000"/>
              </w:rPr>
            </w:pPr>
            <w:r>
              <w:rPr>
                <w:color w:val="000000"/>
              </w:rPr>
              <w:t>h——最大钻孔深度，300m；</w:t>
            </w:r>
          </w:p>
          <w:p>
            <w:pPr>
              <w:rPr>
                <w:color w:val="000000"/>
              </w:rPr>
            </w:pPr>
            <w:r>
              <w:rPr>
                <w:color w:val="000000"/>
              </w:rPr>
              <w:t>k——井眼扩大率，本次取，10%。</w:t>
            </w:r>
          </w:p>
          <w:p>
            <w:r>
              <w:rPr>
                <w:color w:val="000000"/>
              </w:rPr>
              <w:t>经计算，整个钻孔其钻屑V产生量为0.53m³，每个钻孔完毕后，钻屑用于封孔</w:t>
            </w:r>
            <w:r>
              <w:rPr>
                <w:rFonts w:hint="eastAsia"/>
                <w:color w:val="000000"/>
              </w:rPr>
              <w:t>。</w:t>
            </w:r>
          </w:p>
          <w:p>
            <w:pPr>
              <w:rPr>
                <w:snapToGrid w:val="0"/>
              </w:rPr>
            </w:pPr>
            <w:r>
              <w:rPr>
                <w:snapToGrid w:val="0"/>
              </w:rPr>
              <w:fldChar w:fldCharType="begin"/>
            </w:r>
            <w:r>
              <w:rPr>
                <w:snapToGrid w:val="0"/>
              </w:rPr>
              <w:instrText xml:space="preserve"> = 4 \* GB3 </w:instrText>
            </w:r>
            <w:r>
              <w:rPr>
                <w:snapToGrid w:val="0"/>
              </w:rPr>
              <w:fldChar w:fldCharType="separate"/>
            </w:r>
            <w:r>
              <w:rPr>
                <w:rFonts w:hint="eastAsia"/>
                <w:snapToGrid w:val="0"/>
              </w:rPr>
              <w:t>④</w:t>
            </w:r>
            <w:r>
              <w:rPr>
                <w:snapToGrid w:val="0"/>
              </w:rPr>
              <w:fldChar w:fldCharType="end"/>
            </w:r>
            <w:r>
              <w:rPr>
                <w:rFonts w:hint="eastAsia"/>
                <w:snapToGrid w:val="0"/>
              </w:rPr>
              <w:t>生活垃圾</w:t>
            </w:r>
          </w:p>
          <w:p>
            <w:r>
              <w:rPr>
                <w:rFonts w:hint="eastAsia"/>
              </w:rPr>
              <w:t>生活垃圾来自探矿人员日常生活，以纸张、塑料瓶为主。本项目野外探矿作业人员为12人，按每人每天产生0.35kg生活垃圾计算，则生活垃圾产生量为4.2kg/d，整个探矿期生活垃圾产生量约为0.84t，集中收集后统一拉运到垃圾填埋场进行填埋。工作人员严禁将生活垃圾遗弃在矿区内。</w:t>
            </w:r>
          </w:p>
          <w:p>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化粪池污泥</w:t>
            </w:r>
          </w:p>
          <w:p>
            <w:pPr>
              <w:rPr>
                <w:rFonts w:ascii="宋体" w:hAnsi="宋体" w:cs="宋体"/>
                <w:bCs/>
              </w:rPr>
            </w:pPr>
            <w:r>
              <w:rPr>
                <w:rFonts w:hint="eastAsia" w:ascii="宋体" w:hAnsi="宋体"/>
                <w:kern w:val="0"/>
                <w:lang w:bidi="ar"/>
              </w:rPr>
              <w:t>化粪池污泥</w:t>
            </w:r>
            <w:r>
              <w:rPr>
                <w:rFonts w:hint="eastAsia" w:ascii="宋体" w:hAnsi="宋体" w:cs="宋体"/>
                <w:bCs/>
              </w:rPr>
              <w:t>定期清掏后委托周边农户做为农肥消耗</w:t>
            </w:r>
            <w:r>
              <w:rPr>
                <w:rFonts w:ascii="宋体" w:hAnsi="宋体" w:cs="宋体"/>
                <w:bCs/>
              </w:rPr>
              <w:t>。</w:t>
            </w:r>
          </w:p>
          <w:p>
            <w:pPr>
              <w:rPr>
                <w:rFonts w:ascii="宋体" w:hAnsi="宋体" w:cs="宋体"/>
                <w:bCs/>
              </w:rPr>
            </w:pPr>
            <w:r>
              <w:rPr>
                <w:rFonts w:ascii="宋体" w:hAnsi="宋体" w:cs="宋体"/>
                <w:bCs/>
              </w:rPr>
              <w:fldChar w:fldCharType="begin"/>
            </w:r>
            <w:r>
              <w:rPr>
                <w:rFonts w:ascii="宋体" w:hAnsi="宋体" w:cs="宋体"/>
                <w:bCs/>
              </w:rPr>
              <w:instrText xml:space="preserve"> </w:instrText>
            </w:r>
            <w:r>
              <w:rPr>
                <w:rFonts w:hint="eastAsia" w:ascii="宋体" w:hAnsi="宋体" w:cs="宋体"/>
                <w:bCs/>
              </w:rPr>
              <w:instrText xml:space="preserve">= 6 \* GB3</w:instrText>
            </w:r>
            <w:r>
              <w:rPr>
                <w:rFonts w:ascii="宋体" w:hAnsi="宋体" w:cs="宋体"/>
                <w:bCs/>
              </w:rPr>
              <w:instrText xml:space="preserve"> </w:instrText>
            </w:r>
            <w:r>
              <w:rPr>
                <w:rFonts w:ascii="宋体" w:hAnsi="宋体" w:cs="宋体"/>
                <w:bCs/>
              </w:rPr>
              <w:fldChar w:fldCharType="separate"/>
            </w:r>
            <w:r>
              <w:rPr>
                <w:rFonts w:hint="eastAsia" w:ascii="宋体" w:hAnsi="宋体" w:cs="宋体"/>
                <w:bCs/>
              </w:rPr>
              <w:t>⑥</w:t>
            </w:r>
            <w:r>
              <w:rPr>
                <w:rFonts w:ascii="宋体" w:hAnsi="宋体" w:cs="宋体"/>
                <w:bCs/>
              </w:rPr>
              <w:fldChar w:fldCharType="end"/>
            </w:r>
            <w:r>
              <w:rPr>
                <w:rFonts w:hint="eastAsia" w:ascii="宋体" w:hAnsi="宋体" w:cs="宋体"/>
                <w:bCs/>
              </w:rPr>
              <w:t>岩心</w:t>
            </w:r>
          </w:p>
          <w:p>
            <w:r>
              <w:t>岩心产生的土方量为15.45m</w:t>
            </w:r>
            <w:r>
              <w:rPr>
                <w:vertAlign w:val="superscript"/>
              </w:rPr>
              <w:t>3</w:t>
            </w:r>
            <w:r>
              <w:rPr>
                <w:rFonts w:hint="eastAsia"/>
              </w:rPr>
              <w:t>，岩心委托第三方进行分析，分析完成后由第三方妥善保存在专门的岩心库中。用于长期存档，以便将来复查或进一步研究。</w:t>
            </w:r>
          </w:p>
          <w:p>
            <w:pPr>
              <w:pStyle w:val="14"/>
              <w:ind w:firstLine="482" w:firstLineChars="200"/>
            </w:pPr>
            <w:r>
              <w:rPr>
                <w:rFonts w:hint="eastAsia"/>
              </w:rPr>
              <w:t>4.2危险废物</w:t>
            </w:r>
          </w:p>
          <w:p>
            <w:r>
              <w:rPr>
                <w:rFonts w:hint="eastAsia"/>
              </w:rPr>
              <w:t>本项目工作中使用柴油发电机及钻机，会定期更换机油而产生的少量废机油。根据《国家</w:t>
            </w:r>
            <w:r>
              <w:t>危险废物名录</w:t>
            </w:r>
            <w:r>
              <w:rPr>
                <w:rFonts w:hint="eastAsia"/>
              </w:rPr>
              <w:t>》（2</w:t>
            </w:r>
            <w:r>
              <w:t>025</w:t>
            </w:r>
            <w:r>
              <w:rPr>
                <w:rFonts w:hint="eastAsia"/>
              </w:rPr>
              <w:t>年版），</w:t>
            </w:r>
            <w:r>
              <w:t>废机油</w:t>
            </w:r>
            <w:r>
              <w:rPr>
                <w:rFonts w:hint="eastAsia"/>
              </w:rPr>
              <w:t>废物</w:t>
            </w:r>
            <w:r>
              <w:t>类别为HW08</w:t>
            </w:r>
            <w:r>
              <w:rPr>
                <w:rFonts w:hint="eastAsia"/>
              </w:rPr>
              <w:t>废矿物油与含矿物，废物</w:t>
            </w:r>
            <w:r>
              <w:t>代码为900-214-08</w:t>
            </w:r>
            <w:r>
              <w:rPr>
                <w:rFonts w:hint="eastAsia"/>
              </w:rPr>
              <w:t>。探矿期产生量约为0.01t，柴油发电机及钻机在设备商家处更换机油，其废机油由商家处置，最终由有危废处置资质单位处理，日常维修产生的废机油暂存于</w:t>
            </w:r>
            <w:r>
              <w:t>危废暂存间，</w:t>
            </w:r>
            <w:r>
              <w:rPr>
                <w:rFonts w:hint="eastAsia"/>
              </w:rPr>
              <w:t>最终</w:t>
            </w:r>
            <w:r>
              <w:t>交由有危废处置资质单位处理</w:t>
            </w:r>
            <w:r>
              <w:rPr>
                <w:rFonts w:hint="eastAsia"/>
              </w:rPr>
              <w:t>。</w:t>
            </w:r>
          </w:p>
          <w:p>
            <w:r>
              <w:rPr>
                <w:rFonts w:hint="eastAsia"/>
              </w:rPr>
              <w:t>综上，本项目产生的固废均能够妥善处置。</w:t>
            </w:r>
          </w:p>
          <w:p>
            <w:r>
              <w:rPr>
                <w:rFonts w:hint="eastAsia"/>
              </w:rPr>
              <w:t>根据《建设项目危险废物环境影响评价指南》危险废物污染防治措施情况详见表4-</w:t>
            </w:r>
            <w:r>
              <w:t>4</w:t>
            </w:r>
            <w:r>
              <w:rPr>
                <w:rFonts w:hint="eastAsia"/>
              </w:rPr>
              <w:t>：</w:t>
            </w:r>
          </w:p>
          <w:p>
            <w:pPr>
              <w:pStyle w:val="27"/>
              <w:spacing w:before="156"/>
            </w:pPr>
            <w:r>
              <w:rPr>
                <w:rFonts w:hint="eastAsia"/>
              </w:rPr>
              <w:t>表4-</w:t>
            </w:r>
            <w:r>
              <w:t xml:space="preserve">4  </w:t>
            </w:r>
            <w:r>
              <w:rPr>
                <w:rFonts w:hint="eastAsia"/>
              </w:rPr>
              <w:t>危险废物产生及处置情况汇总表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566"/>
              <w:gridCol w:w="776"/>
              <w:gridCol w:w="1196"/>
              <w:gridCol w:w="584"/>
              <w:gridCol w:w="648"/>
              <w:gridCol w:w="426"/>
              <w:gridCol w:w="535"/>
              <w:gridCol w:w="535"/>
              <w:gridCol w:w="538"/>
              <w:gridCol w:w="555"/>
              <w:gridCol w:w="9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67" w:type="pct"/>
                  <w:vAlign w:val="center"/>
                </w:tcPr>
                <w:p>
                  <w:pPr>
                    <w:pStyle w:val="25"/>
                  </w:pPr>
                  <w:r>
                    <w:t>序号</w:t>
                  </w:r>
                </w:p>
              </w:tc>
              <w:tc>
                <w:tcPr>
                  <w:tcW w:w="377" w:type="pct"/>
                  <w:vAlign w:val="center"/>
                </w:tcPr>
                <w:p>
                  <w:pPr>
                    <w:pStyle w:val="25"/>
                  </w:pPr>
                  <w:r>
                    <w:t>危险废物名称</w:t>
                  </w:r>
                </w:p>
              </w:tc>
              <w:tc>
                <w:tcPr>
                  <w:tcW w:w="487" w:type="pct"/>
                  <w:vAlign w:val="center"/>
                </w:tcPr>
                <w:p>
                  <w:pPr>
                    <w:pStyle w:val="25"/>
                  </w:pPr>
                  <w:r>
                    <w:t>危险废物类别</w:t>
                  </w:r>
                </w:p>
              </w:tc>
              <w:tc>
                <w:tcPr>
                  <w:tcW w:w="751" w:type="pct"/>
                  <w:vAlign w:val="center"/>
                </w:tcPr>
                <w:p>
                  <w:pPr>
                    <w:pStyle w:val="25"/>
                  </w:pPr>
                  <w:r>
                    <w:t>危险废物代码</w:t>
                  </w:r>
                </w:p>
              </w:tc>
              <w:tc>
                <w:tcPr>
                  <w:tcW w:w="367" w:type="pct"/>
                  <w:vAlign w:val="center"/>
                </w:tcPr>
                <w:p>
                  <w:pPr>
                    <w:pStyle w:val="25"/>
                  </w:pPr>
                  <w:r>
                    <w:t>产生量t/a</w:t>
                  </w:r>
                </w:p>
              </w:tc>
              <w:tc>
                <w:tcPr>
                  <w:tcW w:w="430" w:type="pct"/>
                  <w:vAlign w:val="center"/>
                </w:tcPr>
                <w:p>
                  <w:pPr>
                    <w:pStyle w:val="25"/>
                  </w:pPr>
                  <w:r>
                    <w:t>产生工序及装置</w:t>
                  </w:r>
                </w:p>
              </w:tc>
              <w:tc>
                <w:tcPr>
                  <w:tcW w:w="267" w:type="pct"/>
                  <w:vAlign w:val="center"/>
                </w:tcPr>
                <w:p>
                  <w:pPr>
                    <w:pStyle w:val="25"/>
                  </w:pPr>
                  <w:r>
                    <w:t>形态</w:t>
                  </w:r>
                </w:p>
              </w:tc>
              <w:tc>
                <w:tcPr>
                  <w:tcW w:w="357" w:type="pct"/>
                  <w:vAlign w:val="center"/>
                </w:tcPr>
                <w:p>
                  <w:pPr>
                    <w:pStyle w:val="25"/>
                  </w:pPr>
                  <w:r>
                    <w:t>主要成分</w:t>
                  </w:r>
                </w:p>
              </w:tc>
              <w:tc>
                <w:tcPr>
                  <w:tcW w:w="357" w:type="pct"/>
                  <w:vAlign w:val="center"/>
                </w:tcPr>
                <w:p>
                  <w:pPr>
                    <w:pStyle w:val="25"/>
                  </w:pPr>
                  <w:r>
                    <w:t>有害成分</w:t>
                  </w:r>
                </w:p>
              </w:tc>
              <w:tc>
                <w:tcPr>
                  <w:tcW w:w="359" w:type="pct"/>
                  <w:vAlign w:val="center"/>
                </w:tcPr>
                <w:p>
                  <w:pPr>
                    <w:pStyle w:val="25"/>
                  </w:pPr>
                  <w:r>
                    <w:t>产废周期</w:t>
                  </w:r>
                </w:p>
              </w:tc>
              <w:tc>
                <w:tcPr>
                  <w:tcW w:w="349" w:type="pct"/>
                  <w:vAlign w:val="center"/>
                </w:tcPr>
                <w:p>
                  <w:pPr>
                    <w:pStyle w:val="25"/>
                  </w:pPr>
                  <w:r>
                    <w:t>危险</w:t>
                  </w:r>
                </w:p>
                <w:p>
                  <w:pPr>
                    <w:pStyle w:val="25"/>
                  </w:pPr>
                  <w:r>
                    <w:t>特性</w:t>
                  </w:r>
                </w:p>
              </w:tc>
              <w:tc>
                <w:tcPr>
                  <w:tcW w:w="627" w:type="pct"/>
                  <w:vAlign w:val="center"/>
                </w:tcPr>
                <w:p>
                  <w:pPr>
                    <w:pStyle w:val="25"/>
                  </w:pPr>
                  <w:r>
                    <w:t>污染防治措施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4" w:hRule="atLeast"/>
                <w:jc w:val="center"/>
              </w:trPr>
              <w:tc>
                <w:tcPr>
                  <w:tcW w:w="267" w:type="pct"/>
                  <w:vAlign w:val="center"/>
                </w:tcPr>
                <w:p>
                  <w:pPr>
                    <w:pStyle w:val="25"/>
                  </w:pPr>
                  <w:r>
                    <w:t>1</w:t>
                  </w:r>
                </w:p>
              </w:tc>
              <w:tc>
                <w:tcPr>
                  <w:tcW w:w="377" w:type="pct"/>
                  <w:vAlign w:val="center"/>
                </w:tcPr>
                <w:p>
                  <w:pPr>
                    <w:pStyle w:val="25"/>
                  </w:pPr>
                  <w:r>
                    <w:t>废机油</w:t>
                  </w:r>
                </w:p>
              </w:tc>
              <w:tc>
                <w:tcPr>
                  <w:tcW w:w="487" w:type="pct"/>
                  <w:vAlign w:val="center"/>
                </w:tcPr>
                <w:p>
                  <w:pPr>
                    <w:pStyle w:val="25"/>
                  </w:pPr>
                  <w:r>
                    <w:t>HW08</w:t>
                  </w:r>
                  <w:r>
                    <w:rPr>
                      <w:rFonts w:hint="eastAsia"/>
                    </w:rPr>
                    <w:t>废矿物油与含矿物油废物</w:t>
                  </w:r>
                </w:p>
              </w:tc>
              <w:tc>
                <w:tcPr>
                  <w:tcW w:w="751" w:type="pct"/>
                  <w:vAlign w:val="center"/>
                </w:tcPr>
                <w:p>
                  <w:pPr>
                    <w:pStyle w:val="25"/>
                  </w:pPr>
                  <w:r>
                    <w:t>900-214-08</w:t>
                  </w:r>
                </w:p>
              </w:tc>
              <w:tc>
                <w:tcPr>
                  <w:tcW w:w="367" w:type="pct"/>
                  <w:vAlign w:val="center"/>
                </w:tcPr>
                <w:p>
                  <w:pPr>
                    <w:pStyle w:val="25"/>
                  </w:pPr>
                  <w:r>
                    <w:t>0.01</w:t>
                  </w:r>
                </w:p>
              </w:tc>
              <w:tc>
                <w:tcPr>
                  <w:tcW w:w="430" w:type="pct"/>
                  <w:vAlign w:val="center"/>
                </w:tcPr>
                <w:p>
                  <w:pPr>
                    <w:pStyle w:val="25"/>
                  </w:pPr>
                  <w:r>
                    <w:t>设备保养</w:t>
                  </w:r>
                </w:p>
              </w:tc>
              <w:tc>
                <w:tcPr>
                  <w:tcW w:w="267" w:type="pct"/>
                  <w:vAlign w:val="center"/>
                </w:tcPr>
                <w:p>
                  <w:pPr>
                    <w:pStyle w:val="25"/>
                  </w:pPr>
                  <w:r>
                    <w:t>液态</w:t>
                  </w:r>
                </w:p>
              </w:tc>
              <w:tc>
                <w:tcPr>
                  <w:tcW w:w="357" w:type="pct"/>
                  <w:vAlign w:val="center"/>
                </w:tcPr>
                <w:p>
                  <w:pPr>
                    <w:pStyle w:val="25"/>
                  </w:pPr>
                  <w:r>
                    <w:t>烃类</w:t>
                  </w:r>
                </w:p>
              </w:tc>
              <w:tc>
                <w:tcPr>
                  <w:tcW w:w="357" w:type="pct"/>
                  <w:vAlign w:val="center"/>
                </w:tcPr>
                <w:p>
                  <w:pPr>
                    <w:pStyle w:val="25"/>
                  </w:pPr>
                  <w:r>
                    <w:t>烃类</w:t>
                  </w:r>
                </w:p>
              </w:tc>
              <w:tc>
                <w:tcPr>
                  <w:tcW w:w="359" w:type="pct"/>
                  <w:vAlign w:val="center"/>
                </w:tcPr>
                <w:p>
                  <w:pPr>
                    <w:pStyle w:val="25"/>
                  </w:pPr>
                  <w:r>
                    <w:t>一年</w:t>
                  </w:r>
                </w:p>
              </w:tc>
              <w:tc>
                <w:tcPr>
                  <w:tcW w:w="349" w:type="pct"/>
                  <w:vAlign w:val="center"/>
                </w:tcPr>
                <w:p>
                  <w:pPr>
                    <w:pStyle w:val="25"/>
                  </w:pPr>
                  <w:r>
                    <w:t>T，I</w:t>
                  </w:r>
                </w:p>
              </w:tc>
              <w:tc>
                <w:tcPr>
                  <w:tcW w:w="627" w:type="pct"/>
                </w:tcPr>
                <w:p>
                  <w:pPr>
                    <w:pStyle w:val="25"/>
                    <w:rPr>
                      <w:bCs/>
                    </w:rPr>
                  </w:pPr>
                  <w:r>
                    <w:rPr>
                      <w:rFonts w:hint="eastAsia"/>
                    </w:rPr>
                    <w:t>日常维修产生的废机油暂存于</w:t>
                  </w:r>
                  <w:r>
                    <w:t>危废暂存间，</w:t>
                  </w:r>
                  <w:r>
                    <w:rPr>
                      <w:rFonts w:hint="eastAsia"/>
                    </w:rPr>
                    <w:t>最终</w:t>
                  </w:r>
                  <w:r>
                    <w:t>交由有危废处置资质单位处理</w:t>
                  </w:r>
                </w:p>
              </w:tc>
            </w:tr>
          </w:tbl>
          <w:p>
            <w:pPr>
              <w:pStyle w:val="14"/>
              <w:ind w:firstLine="482" w:firstLineChars="200"/>
            </w:pPr>
            <w:r>
              <w:rPr>
                <w:rFonts w:hint="eastAsia"/>
              </w:rPr>
              <w:t>4</w:t>
            </w:r>
            <w:r>
              <w:t>.3</w:t>
            </w:r>
            <w:r>
              <w:rPr>
                <w:rFonts w:hint="eastAsia"/>
              </w:rPr>
              <w:t>环境管理要求</w:t>
            </w:r>
          </w:p>
          <w:p>
            <w:pPr>
              <w:widowControl/>
              <w:adjustRightInd w:val="0"/>
              <w:snapToGrid w:val="0"/>
              <w:ind w:firstLine="482"/>
              <w:jc w:val="left"/>
              <w:rPr>
                <w:rFonts w:ascii="宋体" w:hAnsi="宋体" w:cs="宋体"/>
                <w:b/>
              </w:rPr>
            </w:pPr>
            <w:r>
              <w:rPr>
                <w:rFonts w:hint="eastAsia" w:ascii="宋体" w:hAnsi="宋体" w:cs="宋体"/>
                <w:b/>
                <w:color w:val="000000"/>
                <w:kern w:val="0"/>
                <w:lang w:bidi="ar"/>
              </w:rPr>
              <w:t>（1）一般固体废物暂存间建设及管理要求：</w:t>
            </w:r>
          </w:p>
          <w:p>
            <w:pPr>
              <w:widowControl/>
              <w:adjustRightInd w:val="0"/>
              <w:snapToGrid w:val="0"/>
              <w:rPr>
                <w:color w:val="000000"/>
                <w:kern w:val="0"/>
                <w:lang w:bidi="ar"/>
              </w:rPr>
            </w:pPr>
            <w:r>
              <w:rPr>
                <w:color w:val="000000"/>
                <w:kern w:val="0"/>
                <w:lang w:bidi="ar"/>
              </w:rPr>
              <w:t>1）一般固体废物暂存区按照《一般工业固体废物贮存和填埋污染物控制指标》(GB18599-2020)中标准要求进行管理；</w:t>
            </w:r>
          </w:p>
          <w:p>
            <w:pPr>
              <w:widowControl/>
              <w:adjustRightInd w:val="0"/>
              <w:snapToGrid w:val="0"/>
              <w:rPr>
                <w:color w:val="000000"/>
                <w:kern w:val="0"/>
                <w:lang w:bidi="ar"/>
              </w:rPr>
            </w:pPr>
            <w:r>
              <w:rPr>
                <w:rFonts w:hint="eastAsia"/>
                <w:color w:val="000000"/>
                <w:kern w:val="0"/>
                <w:lang w:bidi="ar"/>
              </w:rPr>
              <w:t>2）</w:t>
            </w:r>
            <w:r>
              <w:rPr>
                <w:color w:val="000000"/>
                <w:kern w:val="0"/>
                <w:lang w:bidi="ar"/>
              </w:rPr>
              <w:t>对固体废物实行从产生、收集、运输、贮存直至最终处理实行全过程管理，按照有关法律、法规的要求，对固体废弃物全过程管理应报当地生态环境行政主管部门等批准。</w:t>
            </w:r>
          </w:p>
          <w:p>
            <w:pPr>
              <w:widowControl/>
              <w:adjustRightInd w:val="0"/>
              <w:snapToGrid w:val="0"/>
              <w:rPr>
                <w:color w:val="000000"/>
                <w:kern w:val="0"/>
                <w:lang w:bidi="ar"/>
              </w:rPr>
            </w:pPr>
            <w:r>
              <w:rPr>
                <w:rFonts w:hint="eastAsia"/>
                <w:color w:val="000000"/>
                <w:kern w:val="0"/>
                <w:lang w:bidi="ar"/>
              </w:rPr>
              <w:t>3）</w:t>
            </w:r>
            <w:r>
              <w:rPr>
                <w:color w:val="000000"/>
                <w:kern w:val="0"/>
                <w:lang w:bidi="ar"/>
              </w:rPr>
              <w:t>加强固体废物规范化管理，固体废物分类定点堆放，堆放场所远离办公区</w:t>
            </w:r>
            <w:r>
              <w:rPr>
                <w:rFonts w:hint="eastAsia"/>
                <w:color w:val="000000"/>
                <w:kern w:val="0"/>
                <w:lang w:bidi="ar"/>
              </w:rPr>
              <w:t>。</w:t>
            </w:r>
          </w:p>
          <w:p>
            <w:pPr>
              <w:widowControl/>
              <w:adjustRightInd w:val="0"/>
              <w:snapToGrid w:val="0"/>
              <w:jc w:val="left"/>
              <w:rPr>
                <w:color w:val="000000"/>
                <w:kern w:val="0"/>
                <w:lang w:bidi="ar"/>
              </w:rPr>
            </w:pPr>
            <w:r>
              <w:rPr>
                <w:rFonts w:hint="eastAsia"/>
                <w:color w:val="000000"/>
                <w:kern w:val="0"/>
                <w:lang w:bidi="ar"/>
              </w:rPr>
              <w:t>4）</w:t>
            </w:r>
            <w:r>
              <w:rPr>
                <w:color w:val="000000"/>
                <w:kern w:val="0"/>
                <w:lang w:bidi="ar"/>
              </w:rPr>
              <w:t>固体废物要及时清运，避免产生二次污染。</w:t>
            </w:r>
          </w:p>
          <w:p>
            <w:r>
              <w:rPr>
                <w:color w:val="000000"/>
                <w:kern w:val="0"/>
                <w:lang w:bidi="ar"/>
              </w:rPr>
              <w:t>一般工业固体废物贮存、处置场，禁止危险废物和生活垃圾混入。贮存、处置场使用单位，应建立检查维护制度。发现有损坏可能或异常，应及时采取必要措施，以保障正常运行。贮存、处置场的使用单位，应建立档案制度。应将入场的一般工业固体废物的种类和数量以及下列资料，详细记录在案，长期保存，供随时查阅。贮存、处置场的环境保护图形标志，应按相关规定进行检查和维护</w:t>
            </w:r>
            <w:r>
              <w:t>。</w:t>
            </w:r>
          </w:p>
          <w:p>
            <w:pPr>
              <w:ind w:firstLine="482"/>
              <w:rPr>
                <w:b/>
                <w:bCs/>
              </w:rPr>
            </w:pPr>
            <w:r>
              <w:rPr>
                <w:rFonts w:hint="eastAsia"/>
                <w:b/>
                <w:bCs/>
              </w:rPr>
              <w:t>（2）危险废物暂存间建设及管理要求：</w:t>
            </w:r>
          </w:p>
          <w:p>
            <w:r>
              <w:rPr>
                <w:rFonts w:hint="eastAsia"/>
                <w:bCs/>
              </w:rPr>
              <w:t>本项目主要风险物质为</w:t>
            </w:r>
            <w:r>
              <w:rPr>
                <w:rFonts w:hint="eastAsia"/>
              </w:rPr>
              <w:t>废机油，废机油集中收集后委托有资质的处理单位进行处理。本项目危险废物临时贮存场所的建设必须满足《危险废物贮存污染控制标准》（GB18597-2023）的相关要求。</w:t>
            </w:r>
          </w:p>
          <w:p>
            <w:pPr>
              <w:adjustRightInd w:val="0"/>
              <w:snapToGrid w:val="0"/>
              <w:ind w:firstLine="482"/>
              <w:rPr>
                <w:rFonts w:ascii="宋体" w:hAnsi="宋体" w:cs="宋体"/>
                <w:b/>
                <w:bCs/>
              </w:rPr>
            </w:pPr>
            <w:r>
              <w:rPr>
                <w:rFonts w:hint="eastAsia" w:ascii="宋体" w:hAnsi="宋体" w:cs="宋体"/>
                <w:b/>
                <w:bCs/>
              </w:rPr>
              <w:t>1）危险废物的收集和临时贮存要求</w:t>
            </w:r>
          </w:p>
          <w:p>
            <w:pPr>
              <w:adjustRightInd w:val="0"/>
              <w:snapToGrid w:val="0"/>
            </w:pPr>
            <w:r>
              <w:rPr>
                <w:rFonts w:hint="eastAsia"/>
                <w:bCs/>
              </w:rPr>
              <w:t>本项目危险废物为</w:t>
            </w:r>
            <w:r>
              <w:rPr>
                <w:rFonts w:hint="eastAsia"/>
              </w:rPr>
              <w:t>废机油，废机油集中收集后委托有资质的处理单位进行处理</w:t>
            </w:r>
            <w:r>
              <w:t>。危险废物暂存间应按《危险废物贮存污染控制标准》</w:t>
            </w:r>
            <w:r>
              <w:rPr>
                <w:rFonts w:hint="eastAsia"/>
              </w:rPr>
              <w:t>（</w:t>
            </w:r>
            <w:r>
              <w:t>GB18597-2023</w:t>
            </w:r>
            <w:r>
              <w:rPr>
                <w:rFonts w:hint="eastAsia"/>
              </w:rPr>
              <w:t>）</w:t>
            </w:r>
            <w:r>
              <w:t>的要求设计建设，可以做到</w:t>
            </w:r>
            <w:r>
              <w:rPr>
                <w:rFonts w:hint="eastAsia"/>
              </w:rPr>
              <w:t>“</w:t>
            </w:r>
            <w:r>
              <w:t>四防</w:t>
            </w:r>
            <w:r>
              <w:rPr>
                <w:rFonts w:hint="eastAsia"/>
              </w:rPr>
              <w:t>”（</w:t>
            </w:r>
            <w:r>
              <w:t>防风、防雨、防晒、防渗漏</w:t>
            </w:r>
            <w:r>
              <w:rPr>
                <w:rFonts w:hint="eastAsia"/>
              </w:rPr>
              <w:t>）</w:t>
            </w:r>
            <w:r>
              <w:t>。同时还需委托有资质的单位处置。根据《中华人民共和国固体废物污染环境防治法》、《危险废物收集、贮存、运输技术规范》</w:t>
            </w:r>
            <w:r>
              <w:rPr>
                <w:rFonts w:hint="eastAsia"/>
              </w:rPr>
              <w:t>（</w:t>
            </w:r>
            <w:r>
              <w:t>HJ2025-2012</w:t>
            </w:r>
            <w:r>
              <w:rPr>
                <w:rFonts w:hint="eastAsia"/>
              </w:rPr>
              <w:t>）</w:t>
            </w:r>
            <w:r>
              <w:t>、《危险废物贮存污染控制标准》</w:t>
            </w:r>
            <w:r>
              <w:rPr>
                <w:rFonts w:hint="eastAsia"/>
              </w:rPr>
              <w:t>（</w:t>
            </w:r>
            <w:r>
              <w:t>18597-2023</w:t>
            </w:r>
            <w:r>
              <w:rPr>
                <w:rFonts w:hint="eastAsia"/>
              </w:rPr>
              <w:t>）</w:t>
            </w:r>
            <w:r>
              <w:t>，项目在运营过程中，按照以下要求管理危险废物：</w:t>
            </w:r>
          </w:p>
          <w:p>
            <w:pPr>
              <w:adjustRightInd w:val="0"/>
              <w:snapToGrid w:val="0"/>
            </w:pPr>
            <w:r>
              <w:t>a.应加强危险废物管理，制定危险废物管理计划，并报当地环保部门备案。对员工进行培训，提高全体人员对危险废物管理的认识。确保相关管理人员和从事危废收集、运送、暂存等工作的人员掌握国家相关法律法规、规章和有关规范性文件的规定，熟悉本单位制定的危险废物管理规章制度、工作流程等各项工作要求；掌握危险废物分类收集、运送、暂存的正确方法和操作程序，提高安全防护和应急处置能力。</w:t>
            </w:r>
          </w:p>
          <w:p>
            <w:pPr>
              <w:pStyle w:val="17"/>
              <w:adjustRightInd w:val="0"/>
              <w:snapToGrid w:val="0"/>
              <w:spacing w:after="0"/>
              <w:ind w:firstLine="480"/>
              <w:rPr>
                <w:sz w:val="24"/>
              </w:rPr>
            </w:pPr>
            <w:r>
              <w:rPr>
                <w:sz w:val="24"/>
              </w:rPr>
              <w:t>b.建设单位必须严格按照《危险废物收集贮存运输技术规范》的要求来进行危险废物的收集、贮存和运输。危险废物的收集、贮存，须按照其特性分类进行。禁止混合收集、贮存、运输、处置性质不相容而未经安全性处置的危废。装</w:t>
            </w:r>
            <w:r>
              <w:rPr>
                <w:rFonts w:hint="eastAsia"/>
                <w:sz w:val="24"/>
              </w:rPr>
              <w:t>危险废物</w:t>
            </w:r>
            <w:r>
              <w:rPr>
                <w:sz w:val="24"/>
              </w:rPr>
              <w:t>的容器和包装物，要确保无破损、泄漏和其他缺陷，并依据《危险废物贮存污染控制标准》</w:t>
            </w:r>
            <w:r>
              <w:rPr>
                <w:rFonts w:hint="eastAsia"/>
                <w:sz w:val="24"/>
              </w:rPr>
              <w:t>（</w:t>
            </w:r>
            <w:r>
              <w:rPr>
                <w:sz w:val="24"/>
              </w:rPr>
              <w:t>GB18597-2023</w:t>
            </w:r>
            <w:r>
              <w:rPr>
                <w:rFonts w:hint="eastAsia"/>
                <w:sz w:val="24"/>
              </w:rPr>
              <w:t>）</w:t>
            </w:r>
            <w:r>
              <w:rPr>
                <w:sz w:val="24"/>
              </w:rPr>
              <w:t>的规范建设</w:t>
            </w:r>
            <w:r>
              <w:rPr>
                <w:rFonts w:hint="eastAsia"/>
                <w:sz w:val="24"/>
              </w:rPr>
              <w:t>危险废物</w:t>
            </w:r>
            <w:r>
              <w:rPr>
                <w:sz w:val="24"/>
              </w:rPr>
              <w:t>贮存场所并设置</w:t>
            </w:r>
            <w:r>
              <w:rPr>
                <w:rFonts w:hint="eastAsia"/>
                <w:sz w:val="24"/>
              </w:rPr>
              <w:t>危险废物</w:t>
            </w:r>
            <w:r>
              <w:rPr>
                <w:sz w:val="24"/>
              </w:rPr>
              <w:t>标识。危险废物运输应由持有危险废物经营许可证的单位按照其许可证的经营范围组织实施，承担危险废物运输的单位应获得交通运输部门颁发的危险货物运输资质。</w:t>
            </w:r>
          </w:p>
          <w:p>
            <w:pPr>
              <w:pStyle w:val="17"/>
              <w:adjustRightInd w:val="0"/>
              <w:snapToGrid w:val="0"/>
              <w:spacing w:after="0"/>
              <w:ind w:firstLine="480"/>
              <w:rPr>
                <w:sz w:val="24"/>
              </w:rPr>
            </w:pPr>
            <w:r>
              <w:rPr>
                <w:sz w:val="24"/>
              </w:rPr>
              <w:t>c.建危险废物临时存放间。危险废物临时贮存区应设置明显标志，并对地面进行硬化，并具有防雨淋、防日晒、防渗漏、密闭等措施，并建立健全危险废物管理台账、专人管理。禁止将</w:t>
            </w:r>
            <w:r>
              <w:rPr>
                <w:rFonts w:hint="eastAsia"/>
                <w:sz w:val="24"/>
              </w:rPr>
              <w:t>危险废物</w:t>
            </w:r>
            <w:r>
              <w:rPr>
                <w:sz w:val="24"/>
              </w:rPr>
              <w:t>混入非危险废物中贮存。并且，贮存时间不得超过一年。</w:t>
            </w:r>
          </w:p>
          <w:p>
            <w:pPr>
              <w:widowControl/>
              <w:adjustRightInd w:val="0"/>
              <w:snapToGrid w:val="0"/>
              <w:rPr>
                <w:color w:val="000000"/>
                <w:kern w:val="0"/>
                <w:lang w:bidi="ar"/>
              </w:rPr>
            </w:pPr>
            <w:r>
              <w:t>d.严格执行危险废物转移管理制度，禁止将危险废物提供或委托给无危险废</w:t>
            </w:r>
            <w:r>
              <w:rPr>
                <w:color w:val="000000"/>
                <w:kern w:val="0"/>
                <w:lang w:bidi="ar"/>
              </w:rPr>
              <w:t>物经营许可证的单位从事收集、贮存、利用、处置等经营活动。</w:t>
            </w:r>
          </w:p>
          <w:p>
            <w:pPr>
              <w:widowControl/>
              <w:adjustRightInd w:val="0"/>
              <w:snapToGrid w:val="0"/>
              <w:rPr>
                <w:color w:val="000000"/>
                <w:kern w:val="0"/>
                <w:lang w:bidi="ar"/>
              </w:rPr>
            </w:pPr>
            <w:r>
              <w:rPr>
                <w:rFonts w:hint="eastAsia"/>
                <w:color w:val="000000"/>
                <w:kern w:val="0"/>
                <w:lang w:bidi="ar"/>
              </w:rPr>
              <w:t>2）危险废物暂存间标识要求</w:t>
            </w:r>
          </w:p>
          <w:p>
            <w:pPr>
              <w:widowControl/>
              <w:adjustRightInd w:val="0"/>
              <w:snapToGrid w:val="0"/>
              <w:rPr>
                <w:color w:val="000000"/>
                <w:kern w:val="0"/>
                <w:lang w:bidi="ar"/>
              </w:rPr>
            </w:pPr>
            <w:r>
              <w:rPr>
                <w:color w:val="000000"/>
                <w:kern w:val="0"/>
                <w:lang w:bidi="ar"/>
              </w:rPr>
              <w:t>根据《危险废物贮存污染控制标准》(GB18597-2023)、《危险废物识别标志设置技术规范》(HJ1276-2022)、《危险废物识别标志设置技术规范》（HJ1276—2022）、《排污单位污染物排放口二维码标识技术规范》（HJ1297—2023）</w:t>
            </w:r>
            <w:r>
              <w:rPr>
                <w:rFonts w:hint="eastAsia"/>
                <w:color w:val="000000"/>
                <w:kern w:val="0"/>
                <w:lang w:bidi="ar"/>
              </w:rPr>
              <w:t>、《环境保护图形标志—固体废物贮存（处置）场》（GB15562.2-1995）修改单</w:t>
            </w:r>
            <w:r>
              <w:rPr>
                <w:color w:val="000000"/>
                <w:kern w:val="0"/>
                <w:lang w:bidi="ar"/>
              </w:rPr>
              <w:t>等相关规定要求危险废物暂存间及危险废物贮存相关标志设置</w:t>
            </w:r>
            <w:r>
              <w:rPr>
                <w:rFonts w:hint="eastAsia"/>
                <w:color w:val="000000"/>
                <w:kern w:val="0"/>
                <w:lang w:bidi="ar"/>
              </w:rPr>
              <w:t>。</w:t>
            </w:r>
          </w:p>
          <w:p>
            <w:pPr>
              <w:pStyle w:val="14"/>
              <w:ind w:firstLine="482" w:firstLineChars="200"/>
            </w:pPr>
            <w:r>
              <w:rPr>
                <w:rFonts w:hint="eastAsia"/>
              </w:rPr>
              <w:t>5.施工期生态环境影响分析</w:t>
            </w:r>
          </w:p>
          <w:p>
            <w:pPr>
              <w:pStyle w:val="14"/>
              <w:ind w:firstLine="482" w:firstLineChars="200"/>
            </w:pPr>
            <w:r>
              <w:rPr>
                <w:rFonts w:hint="eastAsia"/>
              </w:rPr>
              <w:t>5.1</w:t>
            </w:r>
            <w:r>
              <w:t>对土壤及土地利用的影响</w:t>
            </w:r>
          </w:p>
          <w:p>
            <w:r>
              <w:rPr>
                <w:rFonts w:hint="eastAsia"/>
              </w:rPr>
              <w:t>本项目勘查面积为3.66k</w:t>
            </w:r>
            <w:r>
              <w:t>m</w:t>
            </w:r>
            <w:r>
              <w:rPr>
                <w:vertAlign w:val="superscript"/>
              </w:rPr>
              <w:t>2</w:t>
            </w:r>
            <w:r>
              <w:rPr>
                <w:rFonts w:hint="eastAsia"/>
              </w:rPr>
              <w:t>，根据《</w:t>
            </w:r>
            <w:r>
              <w:t>GBT21010-2017</w:t>
            </w:r>
            <w:r>
              <w:rPr>
                <w:rFonts w:hint="eastAsia"/>
              </w:rPr>
              <w:t>土地利用现状分类》，项目区占地类型主要为草地，建设期工程对土壤的影响主要表现为对土壤理化性质、土壤肥力的影响和土壤污染三个方面。</w:t>
            </w:r>
          </w:p>
          <w:p>
            <w:r>
              <w:rPr>
                <w:rFonts w:hint="eastAsia"/>
              </w:rPr>
              <w:t>①土壤理化性质影响</w:t>
            </w:r>
          </w:p>
          <w:p>
            <w:r>
              <w:rPr>
                <w:rFonts w:hint="eastAsia"/>
              </w:rPr>
              <w:t>施工过程中，土石方开挖、堆放、回填及材料堆放、人工践踏、机械设备碾压等活动对土壤理化性质影响较大。</w:t>
            </w:r>
          </w:p>
          <w:p>
            <w:r>
              <w:rPr>
                <w:rFonts w:hint="eastAsia"/>
              </w:rPr>
              <w:t>A、扰乱土壤表层，破坏土壤结构</w:t>
            </w:r>
          </w:p>
          <w:p>
            <w:r>
              <w:rPr>
                <w:rFonts w:hint="eastAsia"/>
              </w:rPr>
              <w:t>土壤表层肥力集中、腐殖质含量高、水分相对优越，土壤表层土层松软，团粒结构发达。地表开挖必定扰乱和破坏土壤表层，除开挖处受到直接的破坏外，挖出土方的堆放将直接占压开挖处附近的土地，破坏土壤表层及其结构。由于表层的团粒结构是经过较长的历史时期形成的，一旦遭到破坏，短期内难以恢复。因此，施工过程中，对土壤表层的影响最为严重。</w:t>
            </w:r>
          </w:p>
          <w:p>
            <w:r>
              <w:rPr>
                <w:rFonts w:hint="eastAsia"/>
              </w:rPr>
              <w:t>B、混合土壤层次，改变土体构型</w:t>
            </w:r>
          </w:p>
          <w:p>
            <w:r>
              <w:rPr>
                <w:rFonts w:hint="eastAsia"/>
              </w:rPr>
              <w:t>施工期的土石方开挖与回填，使原土壤层次混合，原土体构型破坏。土体构型的破坏，将改变土体中物质和能量的运动变化规律，使表层通气透水性变差，使亚表层保水、保肥性能降低。</w:t>
            </w:r>
          </w:p>
          <w:p>
            <w:r>
              <w:rPr>
                <w:rFonts w:hint="eastAsia"/>
              </w:rPr>
              <w:t>C、影响土壤紧实度</w:t>
            </w:r>
          </w:p>
          <w:p>
            <w:r>
              <w:rPr>
                <w:rFonts w:hint="eastAsia"/>
              </w:rPr>
              <w:t>施工机械碾压，尤其在坡度较大的地段，将大大改变土壤的紧实程度，与原有的上松下紧结构相比，极不利于土壤的通气、透水作用，甚至导致压实地段的地表寸草不生，形成局部人工荒漠化现象。</w:t>
            </w:r>
          </w:p>
          <w:p>
            <w:r>
              <w:rPr>
                <w:rFonts w:hint="eastAsia"/>
              </w:rPr>
              <w:t>②土壤肥力影响</w:t>
            </w:r>
          </w:p>
          <w:p>
            <w:r>
              <w:rPr>
                <w:rFonts w:hint="eastAsia"/>
              </w:rPr>
              <w:t>土壤中的有机质、氮、磷、钾等养分含量，均表现为表土层远高于心土层；施工期土石方的开挖与回填，将扰动甚至打乱原土体构型，使土壤肥力状况受到较大的影响。据资料统计，即使在实行分层堆放、分层回填措施下，土壤的有机质也将下降36.2～46.5%左右，氮下降27～50.6%，磷下降13.9～46.0%，钾下降9.1～32.5%。因此评价要求在土石方开挖、回填过程中，必须严格对表层土实行分层堆放和分层回填，最大限度的减小对土壤肥力的影响。</w:t>
            </w:r>
          </w:p>
          <w:p>
            <w:r>
              <w:rPr>
                <w:rFonts w:hint="eastAsia"/>
              </w:rPr>
              <w:t>③土壤污染影响</w:t>
            </w:r>
          </w:p>
          <w:p>
            <w:r>
              <w:rPr>
                <w:rFonts w:hint="eastAsia"/>
              </w:rPr>
              <w:t>施工过程中将产生建筑施工垃圾、生活垃圾和污水，若不集中收集妥善处置，难以生物降解的固体废物残留于土壤中，将污染土壤表层。评价要求施工时必须对固体废物实施管理措施，进行统一回收和处置。</w:t>
            </w:r>
          </w:p>
          <w:p>
            <w:r>
              <w:t>总体而言，本工程所在区域土地开发强度较</w:t>
            </w:r>
            <w:r>
              <w:rPr>
                <w:rFonts w:hint="eastAsia"/>
              </w:rPr>
              <w:t>小</w:t>
            </w:r>
            <w:r>
              <w:t>，项目占用土地量相对</w:t>
            </w:r>
            <w:r>
              <w:rPr>
                <w:rFonts w:hint="eastAsia"/>
              </w:rPr>
              <w:t>较小</w:t>
            </w:r>
            <w:r>
              <w:t>，对</w:t>
            </w:r>
            <w:r>
              <w:rPr>
                <w:rFonts w:hint="eastAsia"/>
              </w:rPr>
              <w:t>和静县</w:t>
            </w:r>
            <w:r>
              <w:t>土地利用的影响较小。</w:t>
            </w:r>
          </w:p>
          <w:p>
            <w:pPr>
              <w:pStyle w:val="14"/>
              <w:ind w:firstLine="482" w:firstLineChars="200"/>
            </w:pPr>
            <w:r>
              <w:rPr>
                <w:rFonts w:hint="eastAsia"/>
              </w:rPr>
              <w:t>5.2</w:t>
            </w:r>
            <w:r>
              <w:t>对植被与动物的影响</w:t>
            </w:r>
          </w:p>
          <w:p>
            <w:pPr>
              <w:rPr>
                <w:rFonts w:ascii="宋体" w:hAnsi="宋体" w:cs="宋体"/>
              </w:rPr>
            </w:pPr>
            <w:r>
              <w:rPr>
                <w:rFonts w:hint="eastAsia"/>
              </w:rPr>
              <w:t>①</w:t>
            </w:r>
            <w:r>
              <w:rPr>
                <w:rFonts w:ascii="宋体" w:hAnsi="宋体" w:cs="宋体"/>
              </w:rPr>
              <w:t>对地表植被的影响分析</w:t>
            </w:r>
          </w:p>
          <w:p>
            <w:pPr>
              <w:rPr>
                <w:color w:val="000000"/>
              </w:rPr>
            </w:pPr>
            <w:r>
              <w:rPr>
                <w:rFonts w:hint="eastAsia"/>
                <w:color w:val="000000"/>
              </w:rPr>
              <w:t>本项目建设过程中，进行钻孔以及填挖时将破坏原有的地形地貌，使地表裸 露，施工过程中弃土等均要破坏植被，从而使项目区的生物量有所减少。但随着施工期结束和人工恢复，本项目建设对其造成的影响将逐步减弱。本项目施工期间，由于开挖土石方及各种施工机械、运输车辆进入施工现场，以及在施工中产生的扬尘和运输车辆排放尾气对附近植被产生一定的影响，部分粉尘沉降在植物叶片表面，降低植物的光合与呼吸作用，进而对植物生长发育产 生一定的影响，特别是植物的美观。本项目用地面积相对较小，对本项目周围的植被破坏较小。随着施工期结束及人工恢复，本项目建设对其造成的影响将逐步减弱。</w:t>
            </w:r>
          </w:p>
          <w:p>
            <w:pPr>
              <w:rPr>
                <w:color w:val="000000"/>
              </w:rPr>
            </w:pPr>
            <w:r>
              <w:rPr>
                <w:rFonts w:hint="eastAsia" w:ascii="宋体" w:hAnsi="宋体" w:cs="宋体"/>
                <w:color w:val="000000"/>
              </w:rPr>
              <w:t>②</w:t>
            </w:r>
            <w:r>
              <w:rPr>
                <w:color w:val="000000"/>
              </w:rPr>
              <w:t>对野生动物影响分析</w:t>
            </w:r>
          </w:p>
          <w:p>
            <w:pPr>
              <w:rPr>
                <w:color w:val="000000"/>
              </w:rPr>
            </w:pPr>
            <w:r>
              <w:rPr>
                <w:rFonts w:hint="eastAsia"/>
                <w:color w:val="000000"/>
              </w:rPr>
              <w:t>本项目位于高寒山区，主要是适应这种环境的常见种类，未发现珍稀保护野40生动物。因此，工程建设对动物的影响较小</w:t>
            </w:r>
            <w:r>
              <w:rPr>
                <w:color w:val="000000"/>
              </w:rPr>
              <w:t>。</w:t>
            </w:r>
          </w:p>
          <w:p>
            <w:pPr>
              <w:pStyle w:val="14"/>
              <w:ind w:firstLine="482" w:firstLineChars="200"/>
            </w:pPr>
            <w:r>
              <w:rPr>
                <w:rFonts w:hint="eastAsia"/>
              </w:rPr>
              <w:t>5.3</w:t>
            </w:r>
            <w:r>
              <w:t>对景观环境的影响</w:t>
            </w:r>
          </w:p>
          <w:p>
            <w:r>
              <w:rPr>
                <w:rFonts w:hint="eastAsia"/>
              </w:rPr>
              <w:t>①</w:t>
            </w:r>
            <w:r>
              <w:t>主体工程施工对景观环境的影响</w:t>
            </w:r>
          </w:p>
          <w:p>
            <w:r>
              <w:t>由于工程施工对地表植被的破坏和工程区土壤的扰动，在雨季松散裸露的坡面易形成水土流失，导致区域土壤侵蚀模数增大，对区域景观环境质量产生影响。而在旱季，松散的地表在有风和车辆行驶时易形成扬尘，扬尘覆盖在施工场植被，使周围景观的美度降低。</w:t>
            </w:r>
          </w:p>
          <w:p>
            <w:r>
              <w:rPr>
                <w:rFonts w:hint="eastAsia"/>
              </w:rPr>
              <w:t>②</w:t>
            </w:r>
            <w:r>
              <w:t>临时工程设施对景观环境的影响</w:t>
            </w:r>
          </w:p>
          <w:p>
            <w:r>
              <w:t>施工期临时工程设施主要包括</w:t>
            </w:r>
            <w:r>
              <w:rPr>
                <w:rFonts w:hint="eastAsia"/>
              </w:rPr>
              <w:t>施工场地</w:t>
            </w:r>
            <w:r>
              <w:t>等。根据环境现状调查结果，施工人员在</w:t>
            </w:r>
            <w:r>
              <w:rPr>
                <w:rFonts w:hint="eastAsia"/>
              </w:rPr>
              <w:t>项目用地</w:t>
            </w:r>
            <w:r>
              <w:t>红线范围内设置施工</w:t>
            </w:r>
            <w:r>
              <w:rPr>
                <w:rFonts w:hint="eastAsia"/>
              </w:rPr>
              <w:t>场地</w:t>
            </w:r>
            <w:r>
              <w:t>，并及时清理</w:t>
            </w:r>
            <w:r>
              <w:rPr>
                <w:rFonts w:hint="eastAsia"/>
              </w:rPr>
              <w:t>施工场地</w:t>
            </w:r>
            <w:r>
              <w:t>的污染物后，其对景观环境的影响较小。</w:t>
            </w:r>
          </w:p>
          <w:p>
            <w:pPr>
              <w:pStyle w:val="14"/>
              <w:ind w:firstLine="482" w:firstLineChars="200"/>
            </w:pPr>
            <w:r>
              <w:rPr>
                <w:rFonts w:hint="eastAsia"/>
              </w:rPr>
              <w:t>5.</w:t>
            </w:r>
            <w:r>
              <w:t>4</w:t>
            </w:r>
            <w:r>
              <w:rPr>
                <w:rFonts w:hint="eastAsia"/>
              </w:rPr>
              <w:t>水土流失影响分析</w:t>
            </w:r>
          </w:p>
          <w:p>
            <w:r>
              <w:rPr>
                <w:rFonts w:ascii="宋体" w:hAnsi="宋体" w:cs="宋体"/>
              </w:rPr>
              <w:t>本项目建设将破坏地表原有稳定结构，如砾石层等，对地表造成扰动，增大风蚀量。施工作业范围内的土壤地表表层遭到破坏，下层的粉细物质暴露在地层表面，在风力的作用下，风蚀量会明显加大，这种影响在短时间内不会完全恢复。但随着时间的推移，风蚀量会随着地表新保护层的逐渐形成而减弱。项目在建设过程中，应避免在大风天气作业，土石方开挖时应分层开挖、分层堆放，堆放的土方应压实并采用苫布遮盖，避免风蚀从而造成水土流失</w:t>
            </w:r>
            <w:r>
              <w:rPr>
                <w:rFonts w:hint="eastAsia"/>
              </w:rPr>
              <w:t>。</w:t>
            </w:r>
          </w:p>
          <w:p>
            <w:pPr>
              <w:pStyle w:val="14"/>
              <w:ind w:firstLine="482" w:firstLineChars="200"/>
            </w:pPr>
            <w:r>
              <w:rPr>
                <w:rFonts w:hint="eastAsia"/>
              </w:rPr>
              <w:t>5.</w:t>
            </w:r>
            <w:r>
              <w:t>5</w:t>
            </w:r>
            <w:r>
              <w:rPr>
                <w:rFonts w:hint="eastAsia"/>
              </w:rPr>
              <w:t>生态环境影响分析</w:t>
            </w:r>
          </w:p>
          <w:p>
            <w:r>
              <w:rPr>
                <w:rFonts w:hint="eastAsia"/>
              </w:rPr>
              <w:t>项目在施工期间，严格控制施工范围，不得随意增加临时施工占地，地表表土应妥善保存在表土临时堆场，用于后期复垦覆土，施工弃方均运至废石临时堆场进行存放，不得随意丢弃，施工期生活垃圾集中收集后统一拉运到垃圾填埋场进行填埋，防治蚊虫、老鼠滋生。</w:t>
            </w:r>
          </w:p>
          <w:p>
            <w:r>
              <w:rPr>
                <w:rFonts w:hint="eastAsia"/>
              </w:rPr>
              <w:t>综上，本项目作为勘探工程，其施工量较小且工期较短，施工期对环境的污染影响主要是粉尘、噪声、施工废水、土石方弃渣以及对建设区的生态破坏等。施工过程中只要严格按照建筑施工规范要求，做到文明清洁施工，施工期产生的“三废”对环境污染影响不大。随着施工的结束，施工影响随着消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9" w:hRule="atLeast"/>
        </w:trPr>
        <w:tc>
          <w:tcPr>
            <w:tcW w:w="431" w:type="pct"/>
            <w:tcMar>
              <w:left w:w="28" w:type="dxa"/>
              <w:right w:w="28" w:type="dxa"/>
            </w:tcMar>
            <w:vAlign w:val="center"/>
          </w:tcPr>
          <w:p>
            <w:pPr>
              <w:pStyle w:val="25"/>
              <w:rPr>
                <w:rFonts w:ascii="宋体" w:hAnsi="宋体"/>
                <w:bCs/>
              </w:rPr>
            </w:pPr>
            <w:r>
              <w:rPr>
                <w:rFonts w:hint="eastAsia"/>
              </w:rPr>
              <w:t>运营期生态环境影响分析</w:t>
            </w:r>
          </w:p>
        </w:tc>
        <w:tc>
          <w:tcPr>
            <w:tcW w:w="4568" w:type="pct"/>
            <w:vAlign w:val="center"/>
          </w:tcPr>
          <w:p>
            <w:pPr>
              <w:jc w:val="center"/>
            </w:pPr>
            <w:r>
              <w:rPr>
                <w:rFonts w:hint="eastAsia"/>
              </w:rPr>
              <w:t>本项目仅涉及勘探，所以没有运营期。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1" w:hRule="atLeast"/>
        </w:trPr>
        <w:tc>
          <w:tcPr>
            <w:tcW w:w="431" w:type="pct"/>
            <w:tcMar>
              <w:left w:w="28" w:type="dxa"/>
              <w:right w:w="28" w:type="dxa"/>
            </w:tcMar>
            <w:vAlign w:val="center"/>
          </w:tcPr>
          <w:p>
            <w:pPr>
              <w:spacing w:line="240" w:lineRule="auto"/>
              <w:ind w:firstLine="0" w:firstLineChars="0"/>
              <w:jc w:val="center"/>
            </w:pPr>
            <w:r>
              <w:rPr>
                <w:rFonts w:hint="eastAsia"/>
                <w:sz w:val="21"/>
                <w:szCs w:val="22"/>
              </w:rPr>
              <w:t>选选址环境合理性分析</w:t>
            </w:r>
          </w:p>
        </w:tc>
        <w:tc>
          <w:tcPr>
            <w:tcW w:w="4568" w:type="pct"/>
            <w:vAlign w:val="center"/>
          </w:tcPr>
          <w:p>
            <w:pPr>
              <w:pStyle w:val="14"/>
              <w:ind w:firstLine="482" w:firstLineChars="200"/>
            </w:pPr>
            <w:r>
              <w:rPr>
                <w:rFonts w:hint="eastAsia"/>
              </w:rPr>
              <w:t>1、用地合理性</w:t>
            </w:r>
          </w:p>
          <w:p>
            <w:pPr>
              <w:rPr>
                <w:color w:val="000000"/>
              </w:rPr>
            </w:pPr>
            <w:r>
              <w:rPr>
                <w:rFonts w:hint="eastAsia"/>
              </w:rPr>
              <w:t>项目区位于</w:t>
            </w:r>
            <w:r>
              <w:t>新疆和</w:t>
            </w:r>
            <w:r>
              <w:rPr>
                <w:color w:val="000000" w:themeColor="text1"/>
                <w14:textFill>
                  <w14:solidFill>
                    <w14:schemeClr w14:val="tx1"/>
                  </w14:solidFill>
                </w14:textFill>
              </w:rPr>
              <w:t>静县克尔古提乡西</w:t>
            </w:r>
            <w:r>
              <w:rPr>
                <w:rFonts w:hint="eastAsia"/>
                <w:color w:val="000000" w:themeColor="text1"/>
                <w14:textFill>
                  <w14:solidFill>
                    <w14:schemeClr w14:val="tx1"/>
                  </w14:solidFill>
                </w14:textFill>
              </w:rPr>
              <w:t>北</w:t>
            </w:r>
            <w:r>
              <w:rPr>
                <w:color w:val="000000" w:themeColor="text1"/>
                <w14:textFill>
                  <w14:solidFill>
                    <w14:schemeClr w14:val="tx1"/>
                  </w14:solidFill>
                </w14:textFill>
              </w:rPr>
              <w:t>约27</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°方向直距约</w:t>
            </w:r>
            <w:r>
              <w:rPr>
                <w:rFonts w:hint="eastAsia"/>
                <w:color w:val="000000" w:themeColor="text1"/>
                <w14:textFill>
                  <w14:solidFill>
                    <w14:schemeClr w14:val="tx1"/>
                  </w14:solidFill>
                </w14:textFill>
              </w:rPr>
              <w:t>41</w:t>
            </w:r>
            <w:r>
              <w:rPr>
                <w:color w:val="000000" w:themeColor="text1"/>
                <w14:textFill>
                  <w14:solidFill>
                    <w14:schemeClr w14:val="tx1"/>
                  </w14:solidFill>
                </w14:textFill>
              </w:rPr>
              <w:t>千米处</w:t>
            </w:r>
            <w:r>
              <w:rPr>
                <w:rFonts w:hint="eastAsia"/>
              </w:rPr>
              <w:t>，行政区划隶属</w:t>
            </w:r>
            <w:r>
              <w:rPr>
                <w:rFonts w:hint="eastAsia"/>
                <w:lang w:val="zh-CN"/>
              </w:rPr>
              <w:t>巴音郭楞蒙古自治州和静县管辖</w:t>
            </w:r>
            <w:r>
              <w:rPr>
                <w:rFonts w:hint="eastAsia"/>
              </w:rPr>
              <w:t>。</w:t>
            </w:r>
            <w:r>
              <w:rPr>
                <w:rFonts w:hint="eastAsia"/>
                <w:color w:val="000000"/>
              </w:rPr>
              <w:t>项目不涉及饮用水水源保护区、自然保护区、风景名胜区、地质公园、森林公园及人文古迹等环境敏感点，矿区范围内无村民居住，不涉及拆迁，因此，本项目用地合理。</w:t>
            </w:r>
          </w:p>
          <w:p>
            <w:pPr>
              <w:pStyle w:val="14"/>
              <w:ind w:firstLine="482" w:firstLineChars="200"/>
            </w:pPr>
            <w:r>
              <w:rPr>
                <w:rFonts w:hint="eastAsia"/>
              </w:rPr>
              <w:t>2、临时道路选址合理性分析</w:t>
            </w:r>
          </w:p>
          <w:p>
            <w:pPr>
              <w:rPr>
                <w:color w:val="000000"/>
              </w:rPr>
            </w:pPr>
            <w:r>
              <w:t>在原有道路上扩宽和平整一条矿山道路，用地面积为</w:t>
            </w:r>
            <w:r>
              <w:rPr>
                <w:rFonts w:hint="eastAsia"/>
                <w:color w:val="000000" w:themeColor="text1"/>
                <w:shd w:val="clear" w:color="auto" w:fill="FFFFFF"/>
                <w14:textFill>
                  <w14:solidFill>
                    <w14:schemeClr w14:val="tx1"/>
                  </w14:solidFill>
                </w14:textFill>
              </w:rPr>
              <w:t>0.</w:t>
            </w:r>
            <w:r>
              <w:rPr>
                <w:color w:val="000000" w:themeColor="text1"/>
                <w:shd w:val="clear" w:color="auto" w:fill="FFFFFF"/>
                <w14:textFill>
                  <w14:solidFill>
                    <w14:schemeClr w14:val="tx1"/>
                  </w14:solidFill>
                </w14:textFill>
              </w:rPr>
              <w:t>142526</w:t>
            </w:r>
            <w:r>
              <w:t>公顷。经过平整路面和清理落石后，该道路可作为本项目的临时道路。道路沿线不涉及居民区、河流等环境敏感点，利用此道路车辆可到达本项目探矿点，大大节省了人力和物力。在道路使用过程中，将控制车速并及时洒水降尘，以减少对环境的影响。此外，临时道路不涉及自然保护区、生态红线、国家公园、世界自然遗产地、风景名胜区、森林公园、水资源保护区、地质公园、地质遗迹、国家重点保护历史文物、名胜古迹以及矿产资源规划禁止区等重要地区。因此，该临时道路的选址合理</w:t>
            </w:r>
            <w:r>
              <w:rPr>
                <w:rFonts w:hint="eastAsia"/>
              </w:rPr>
              <w:t>。</w:t>
            </w:r>
          </w:p>
          <w:p>
            <w:pPr>
              <w:pStyle w:val="14"/>
              <w:ind w:firstLine="482" w:firstLineChars="200"/>
            </w:pPr>
            <w:r>
              <w:rPr>
                <w:rFonts w:hint="eastAsia"/>
              </w:rPr>
              <w:t>3、与周边环境相容性分析</w:t>
            </w:r>
          </w:p>
          <w:p>
            <w:pPr>
              <w:keepNext/>
              <w:keepLines/>
              <w:textAlignment w:val="center"/>
              <w:outlineLvl w:val="1"/>
            </w:pPr>
            <w:r>
              <w:rPr>
                <w:rFonts w:hint="eastAsia"/>
              </w:rPr>
              <w:t>根据现场踏勘可知，区域内植被不发育，主要为裸岩和高山低覆盖度草地生态系统。裸岩呈大面积分布于采矿区各处，约占探矿区面积的90%，探矿区范围内无珍稀保护植物、未发现珍稀保护动物。区域周围5</w:t>
            </w:r>
            <w:r>
              <w:t>00m</w:t>
            </w:r>
            <w:r>
              <w:rPr>
                <w:rFonts w:hint="eastAsia"/>
              </w:rPr>
              <w:t>范围内无住户，项目周边不涉及重点生态功能区，生态敏感脆弱区，自然保护区，风景名胜区，国家级、省级禁止开发区域及其他应划入生态保护红线范围内的区域，外环境无重大环境制约因素。</w:t>
            </w:r>
            <w:r>
              <w:t>本项目的建设对外环境无特殊要求，</w:t>
            </w:r>
            <w:r>
              <w:rPr>
                <w:rFonts w:hint="eastAsia"/>
              </w:rPr>
              <w:t>本</w:t>
            </w:r>
            <w:r>
              <w:t>项目产生的废水、废气、噪声、</w:t>
            </w:r>
            <w:r>
              <w:rPr>
                <w:rFonts w:hint="eastAsia"/>
              </w:rPr>
              <w:t>固体废物</w:t>
            </w:r>
            <w:r>
              <w:t>等各项污染物通过采取相应措施后均可达标排放，通过项目的合理布局、严格管理、积极推进企业清洁生产及其它有针对性的污染防治措施，可有效避免和减轻项目建设过程对周围环境的影响。因此，本项目选址合理，与周边外环境相容。</w:t>
            </w:r>
          </w:p>
          <w:p>
            <w:pPr>
              <w:keepNext/>
              <w:keepLines/>
              <w:textAlignment w:val="center"/>
              <w:outlineLvl w:val="1"/>
            </w:pPr>
            <w:r>
              <w:rPr>
                <w:rFonts w:hint="eastAsia"/>
              </w:rPr>
              <w:t>综上所述，本项目选址合理。</w:t>
            </w:r>
          </w:p>
        </w:tc>
      </w:tr>
      <w:bookmarkEnd w:id="33"/>
    </w:tbl>
    <w:p>
      <w:pPr>
        <w:sectPr>
          <w:pgSz w:w="11906" w:h="16838"/>
          <w:pgMar w:top="1440" w:right="1800" w:bottom="1440" w:left="1800" w:header="851" w:footer="992" w:gutter="0"/>
          <w:cols w:space="425" w:num="1"/>
          <w:docGrid w:type="lines" w:linePitch="312" w:charSpace="0"/>
        </w:sectPr>
      </w:pPr>
    </w:p>
    <w:p>
      <w:pPr>
        <w:pStyle w:val="3"/>
      </w:pPr>
      <w:r>
        <w:rPr>
          <w:rFonts w:hint="eastAsia"/>
        </w:rPr>
        <w:t>五、主要生态环境保护措施</w:t>
      </w:r>
    </w:p>
    <w:tbl>
      <w:tblPr>
        <w:tblStyle w:val="18"/>
        <w:tblpPr w:leftFromText="180" w:rightFromText="180" w:vertAnchor="text" w:tblpXSpec="center" w:tblpY="1"/>
        <w:tblOverlap w:val="never"/>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80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 w:type="pct"/>
            <w:tcMar>
              <w:left w:w="28" w:type="dxa"/>
              <w:right w:w="28" w:type="dxa"/>
            </w:tcMar>
            <w:vAlign w:val="center"/>
          </w:tcPr>
          <w:p>
            <w:pPr>
              <w:pStyle w:val="25"/>
            </w:pPr>
            <w:r>
              <w:rPr>
                <w:rFonts w:hint="eastAsia"/>
              </w:rPr>
              <w:t>施工期生态环境保护措施</w:t>
            </w:r>
          </w:p>
        </w:tc>
        <w:tc>
          <w:tcPr>
            <w:tcW w:w="4741" w:type="pct"/>
            <w:vAlign w:val="center"/>
          </w:tcPr>
          <w:p>
            <w:r>
              <w:rPr>
                <w:rFonts w:hint="eastAsia"/>
              </w:rPr>
              <w:t>本项目施工期工程量较小，主要为开采前场地平整、建设加工设施等，施工期环境保护措施情况如下：</w:t>
            </w:r>
          </w:p>
          <w:p>
            <w:pPr>
              <w:rPr>
                <w:rFonts w:ascii="宋体" w:hAnsi="宋体" w:cs="宋体"/>
              </w:rPr>
            </w:pPr>
            <w:r>
              <w:rPr>
                <w:rFonts w:ascii="宋体" w:hAnsi="宋体" w:cs="宋体"/>
              </w:rPr>
              <w:t>在进行槽探、钻探以及营地建设等矿业活动时，采取有效的生态环境保护措施至关重要，以减少对自然环境的负面影响。以下是一些关键的环境保护措施：</w:t>
            </w:r>
          </w:p>
          <w:p>
            <w:pPr>
              <w:rPr>
                <w:rFonts w:ascii="宋体" w:hAnsi="宋体" w:cs="宋体"/>
              </w:rPr>
            </w:pPr>
            <w:r>
              <w:rPr>
                <w:rFonts w:ascii="宋体" w:hAnsi="宋体" w:cs="宋体"/>
              </w:rPr>
              <w:t>槽探的环境保护措施：</w:t>
            </w:r>
          </w:p>
          <w:p>
            <w:pPr>
              <w:rPr>
                <w:rFonts w:ascii="宋体" w:hAnsi="宋体" w:cs="宋体"/>
              </w:rPr>
            </w:pPr>
            <w:r>
              <w:rPr>
                <w:rFonts w:ascii="宋体" w:hAnsi="宋体" w:cs="宋体"/>
              </w:rPr>
              <w:t>规划与避让：在设计槽探布局时，应避开生态敏感区如自然保护区、水源地等，减少对生物多样性和水资源的潜在威胁。最小化地表扰动：尽量减小槽探的宽度和深度，仅在必要时进行开挖，并在工作完成后及时回填与恢复植被。废弃物管理：妥善收集和处置开挖产生的废弃物，避免污染物进入水体和土壤。样品采集规范：按照规范采集样品，减少对岩土结构的破坏，确保采集过程对环境的影响最小。</w:t>
            </w:r>
          </w:p>
          <w:p>
            <w:pPr>
              <w:rPr>
                <w:rFonts w:ascii="宋体" w:hAnsi="宋体" w:cs="宋体"/>
              </w:rPr>
            </w:pPr>
            <w:r>
              <w:rPr>
                <w:rFonts w:ascii="宋体" w:hAnsi="宋体" w:cs="宋体"/>
              </w:rPr>
              <w:t>钻探的环境保护措施：</w:t>
            </w:r>
          </w:p>
          <w:p>
            <w:pPr>
              <w:rPr>
                <w:rFonts w:ascii="宋体" w:hAnsi="宋体" w:cs="宋体"/>
              </w:rPr>
            </w:pPr>
            <w:r>
              <w:rPr>
                <w:rFonts w:ascii="宋体" w:hAnsi="宋体" w:cs="宋体"/>
              </w:rPr>
              <w:t>优选设备和技术：使用低噪音、低振动的钻探设备，减少对周围环境和野生动物的干扰。废水处理：钻探过程中产生的废水需经过处理达到排放标准后才能排放，防止地下水污染。钻屑管理：收集和处理钻探产生的固体废弃物，可考虑将其用于回填或其他再利用途径。严格管理使用的</w:t>
            </w:r>
            <w:r>
              <w:rPr>
                <w:rFonts w:hint="eastAsia" w:ascii="宋体" w:hAnsi="宋体" w:cs="宋体"/>
              </w:rPr>
              <w:t>柴油</w:t>
            </w:r>
            <w:r>
              <w:rPr>
                <w:rFonts w:ascii="宋体" w:hAnsi="宋体" w:cs="宋体"/>
              </w:rPr>
              <w:t>防止泄漏，确保安全储存和处置。生物多样性保护：在操作前进行生态调查，避开关键生态区域，保护野生动植物栖息地。</w:t>
            </w:r>
          </w:p>
          <w:p>
            <w:pPr>
              <w:rPr>
                <w:rFonts w:ascii="宋体" w:hAnsi="宋体" w:cs="宋体"/>
              </w:rPr>
            </w:pPr>
            <w:r>
              <w:rPr>
                <w:rFonts w:ascii="宋体" w:hAnsi="宋体" w:cs="宋体"/>
              </w:rPr>
              <w:t>营地建设的环境保护措施：</w:t>
            </w:r>
          </w:p>
          <w:p>
            <w:pPr>
              <w:rPr>
                <w:rFonts w:ascii="宋体" w:hAnsi="宋体" w:cs="宋体"/>
              </w:rPr>
            </w:pPr>
            <w:r>
              <w:rPr>
                <w:rFonts w:ascii="宋体" w:hAnsi="宋体" w:cs="宋体"/>
              </w:rPr>
              <w:t>选址谨慎：营地应选在对环境影响最小的地点，远离生态脆弱区，减少对自然景观的破坏。临时性设施建设：采用可移动或易拆卸的设施，减少对地表的永久性改变。资源节约：使用节水和节能设备，实施垃圾分类，促进资源循环利用。生态恢复计划：项目结束后，制定并执行生态恢复计划，包括植被恢复和土地整治。环保教育：对营地人员进行环保培训，提高他们的环保意识，确保每个人都遵守环保规定。</w:t>
            </w:r>
          </w:p>
          <w:p>
            <w:r>
              <w:rPr>
                <w:rFonts w:ascii="宋体" w:hAnsi="宋体" w:cs="宋体"/>
              </w:rPr>
              <w:t>综上所述，生态环境保护贯穿于矿业活动的全过程，需要综合考虑规划、施工、运营及后期恢复等各个阶段，通过科学管理和技术应用，实现与自然环境的和谐共存。</w:t>
            </w:r>
          </w:p>
          <w:p>
            <w:pPr>
              <w:pStyle w:val="14"/>
              <w:ind w:firstLine="482" w:firstLineChars="200"/>
            </w:pPr>
            <w:r>
              <w:rPr>
                <w:rFonts w:hint="eastAsia"/>
              </w:rPr>
              <w:t>1、废气防治措施分析</w:t>
            </w:r>
          </w:p>
          <w:p>
            <w:r>
              <w:rPr>
                <w:rFonts w:hint="eastAsia"/>
              </w:rPr>
              <w:t>本工程施工期对大气环境的影响主要表现为扬尘以及运输车辆、柴油发电机及施工机械等产生的燃油烟气。</w:t>
            </w:r>
          </w:p>
          <w:p>
            <w:pPr>
              <w:pStyle w:val="14"/>
              <w:ind w:firstLine="482" w:firstLineChars="200"/>
            </w:pPr>
            <w:r>
              <w:rPr>
                <w:rFonts w:hint="eastAsia"/>
              </w:rPr>
              <w:t>1.1扬尘</w:t>
            </w:r>
          </w:p>
          <w:p>
            <w:r>
              <w:rPr>
                <w:rFonts w:hint="eastAsia"/>
              </w:rPr>
              <w:t>针对本项目产生的扬尘，环评要求如下：</w:t>
            </w:r>
          </w:p>
          <w:p>
            <w:r>
              <w:rPr>
                <w:rFonts w:hint="eastAsia"/>
              </w:rPr>
              <w:t>①钻探、槽探作业面要求采用施工成型板材围挡进行三面围挡并在施工前对施工区域进行洒水降尘，设置环保专员落实各项环保措施；</w:t>
            </w:r>
          </w:p>
          <w:p>
            <w:r>
              <w:rPr>
                <w:rFonts w:hint="eastAsia"/>
              </w:rPr>
              <w:t>②原材料运输、堆放要求遮盖；</w:t>
            </w:r>
          </w:p>
          <w:p>
            <w:r>
              <w:rPr>
                <w:rFonts w:hint="eastAsia"/>
              </w:rPr>
              <w:t>③及时清理场地弃渣料，不能及时清运的要求采取覆盖，洒水抑尘等措施，在工作中建议施工人员</w:t>
            </w:r>
            <w:r>
              <w:t>戴口罩、防尘面罩等劳动防护装备</w:t>
            </w:r>
            <w:r>
              <w:rPr>
                <w:rFonts w:hint="eastAsia"/>
              </w:rPr>
              <w:t>，同时</w:t>
            </w:r>
            <w:r>
              <w:t>避开大风天气作业</w:t>
            </w:r>
            <w:r>
              <w:rPr>
                <w:rFonts w:hint="eastAsia"/>
              </w:rPr>
              <w:t>。</w:t>
            </w:r>
          </w:p>
          <w:p>
            <w:pPr>
              <w:pStyle w:val="14"/>
              <w:ind w:firstLine="482" w:firstLineChars="200"/>
            </w:pPr>
            <w:r>
              <w:rPr>
                <w:rFonts w:hint="eastAsia"/>
              </w:rPr>
              <w:t>1.2燃油废气</w:t>
            </w:r>
          </w:p>
          <w:p>
            <w:r>
              <w:rPr>
                <w:rFonts w:hint="eastAsia"/>
              </w:rPr>
              <w:t>对柴油发电机定期维护保养，提高其燃烧效率，减少尾气排放量，由于燃油废气排放总量较小，且排放点较为分散，属无组织排放。</w:t>
            </w:r>
          </w:p>
          <w:p>
            <w:r>
              <w:rPr>
                <w:rFonts w:hint="eastAsia"/>
              </w:rPr>
              <w:t>综上所述，通过加强施工期间扬尘治理，柴油发电机定期维护保养，施工作业对周边环境的影响范围有限，且施工大气污染是短期的、局部的，施工结束后即会消失，故项目施工期间对大气环境的影响较小。</w:t>
            </w:r>
          </w:p>
          <w:p>
            <w:r>
              <w:rPr>
                <w:rFonts w:hint="eastAsia"/>
              </w:rPr>
              <w:t>通过采取上述措施即可减小施工期对区域大气环境的影响，且防治措施经济可行。</w:t>
            </w:r>
          </w:p>
          <w:p>
            <w:pPr>
              <w:pStyle w:val="14"/>
              <w:ind w:firstLine="482" w:firstLineChars="200"/>
            </w:pPr>
            <w:r>
              <w:rPr>
                <w:rFonts w:hint="eastAsia"/>
              </w:rPr>
              <w:t>2、废水防治措施分析</w:t>
            </w:r>
          </w:p>
          <w:p>
            <w:r>
              <w:rPr>
                <w:rFonts w:hint="eastAsia"/>
              </w:rPr>
              <w:t>施工废水主要来自钻探废水和生活废水，钻探废水主要污染物为SS，经过钻孔附近的沉淀池收集沉淀后，大部分回用于钻探工序，部分用于施工场地洒水降尘，不外排。生活污水来源于施工人员及工地管理人员，其污染物较为简单，主要为SS、NH</w:t>
            </w:r>
            <w:r>
              <w:rPr>
                <w:rFonts w:hint="eastAsia"/>
                <w:vertAlign w:val="subscript"/>
              </w:rPr>
              <w:t>3</w:t>
            </w:r>
            <w:r>
              <w:rPr>
                <w:rFonts w:hint="eastAsia"/>
              </w:rPr>
              <w:t>-N、COD、BOD</w:t>
            </w:r>
            <w:r>
              <w:rPr>
                <w:rFonts w:hint="eastAsia"/>
                <w:vertAlign w:val="subscript"/>
              </w:rPr>
              <w:t>5</w:t>
            </w:r>
            <w:r>
              <w:rPr>
                <w:rFonts w:hint="eastAsia"/>
              </w:rPr>
              <w:t>等。</w:t>
            </w:r>
          </w:p>
          <w:p>
            <w:r>
              <w:rPr>
                <w:rFonts w:hint="eastAsia"/>
              </w:rPr>
              <w:t>生活污水进入防渗化粪池（10m</w:t>
            </w:r>
            <w:r>
              <w:rPr>
                <w:rFonts w:hint="eastAsia"/>
                <w:vertAlign w:val="superscript"/>
              </w:rPr>
              <w:t>3</w:t>
            </w:r>
            <w:r>
              <w:rPr>
                <w:rFonts w:hint="eastAsia"/>
              </w:rPr>
              <w:t>）处理后自然蒸发</w:t>
            </w:r>
            <w:r>
              <w:rPr>
                <w:rFonts w:hint="eastAsia" w:ascii="宋体" w:hAnsi="宋体" w:cs="宋体"/>
              </w:rPr>
              <w:t>。</w:t>
            </w:r>
            <w:r>
              <w:rPr>
                <w:rFonts w:hint="eastAsia"/>
              </w:rPr>
              <w:t>化粪池防渗要求：使用混凝土和防腐材料做防渗处理，外观色泽均匀，表面光滑，无裂纹、孔洞，表面加强筋完整，边缘整齐，使用前做荷载试验，检查密封性能和强度。通过上述措施即可减小施工期对水环境的影响，且防治措施经济可行。</w:t>
            </w:r>
          </w:p>
          <w:p>
            <w:pPr>
              <w:pStyle w:val="14"/>
              <w:ind w:firstLine="482" w:firstLineChars="200"/>
            </w:pPr>
            <w:r>
              <w:rPr>
                <w:rFonts w:hint="eastAsia"/>
              </w:rPr>
              <w:t>3、噪声控制措施分析</w:t>
            </w:r>
          </w:p>
          <w:p>
            <w:r>
              <w:rPr>
                <w:rFonts w:hint="eastAsia"/>
              </w:rPr>
              <w:t>根据工程特性及环境特征，环评要求采取的噪声治理措施如下：</w:t>
            </w:r>
          </w:p>
          <w:p>
            <w:r>
              <w:rPr>
                <w:rFonts w:hint="eastAsia"/>
              </w:rPr>
              <w:t>（1）尽量选用技术先进的低噪声设备，夜间、午间禁止施工。</w:t>
            </w:r>
          </w:p>
          <w:p>
            <w:r>
              <w:rPr>
                <w:rFonts w:hint="eastAsia"/>
              </w:rPr>
              <w:t>（2）运输车辆减速、禁止鸣笛等。</w:t>
            </w:r>
          </w:p>
          <w:p>
            <w:r>
              <w:rPr>
                <w:rFonts w:hint="eastAsia"/>
              </w:rPr>
              <w:t>同时建设单位在工程建设时，应和周围群众通过友好协商，取得谅解，一旦发生噪声扰民，应重视群众的反映意见，与受扰群众协商和解措施。除采取以上防治措施外，本项目还应充分重视操作人员的劳动保护，为其发放耳塞、耳罩，避免操作人员长期处于高噪声环境中。</w:t>
            </w:r>
          </w:p>
          <w:p>
            <w:r>
              <w:rPr>
                <w:rFonts w:hint="eastAsia"/>
              </w:rPr>
              <w:t>经以上措施处理后，施工噪声对周边声环境影响不大，措施可行。</w:t>
            </w:r>
          </w:p>
          <w:p>
            <w:pPr>
              <w:pStyle w:val="14"/>
              <w:ind w:firstLine="482" w:firstLineChars="200"/>
            </w:pPr>
            <w:r>
              <w:rPr>
                <w:rFonts w:hint="eastAsia"/>
              </w:rPr>
              <w:t>4、固体废物处置措施分析</w:t>
            </w:r>
          </w:p>
          <w:p>
            <w:r>
              <w:rPr>
                <w:rFonts w:hint="eastAsia"/>
              </w:rPr>
              <w:t>施工期固废主要为土石方、钻探泥浆、化粪池污泥、施工人员生活垃圾以及废机油。</w:t>
            </w:r>
          </w:p>
          <w:p>
            <w:r>
              <w:t>工程施工需进行土石方开挖，此过程会产生一定量的土石方及弃土弃渣，在设计过程中充分利用</w:t>
            </w:r>
            <w:r>
              <w:rPr>
                <w:rFonts w:hint="eastAsia"/>
              </w:rPr>
              <w:t>了</w:t>
            </w:r>
            <w:r>
              <w:t>矿区的地形地貌，其基础挖填量较小，基本能够做到土石方的挖填平衡，剥离的表土堆放在弃土场，待探矿完成后，剥离的表土全部用于矿区的复垦覆土，不外排；钻探泥浆填入沉淀池内，并固化填埋；生活垃圾</w:t>
            </w:r>
            <w:r>
              <w:rPr>
                <w:rFonts w:hint="eastAsia"/>
              </w:rPr>
              <w:t>集中收集后统一拉运到垃圾填埋场进行填埋</w:t>
            </w:r>
            <w:r>
              <w:t>。</w:t>
            </w:r>
            <w:r>
              <w:rPr>
                <w:rFonts w:hint="eastAsia" w:ascii="宋体" w:hAnsi="宋体" w:cs="宋体"/>
              </w:rPr>
              <w:t>化粪池污泥定期清掏后交由周边农户作为农肥消耗。</w:t>
            </w:r>
          </w:p>
          <w:p>
            <w:pPr>
              <w:rPr>
                <w:color w:val="FF0000"/>
              </w:rPr>
            </w:pPr>
            <w:r>
              <w:rPr>
                <w:rFonts w:hint="eastAsia"/>
                <w:color w:val="000000" w:themeColor="text1"/>
                <w14:textFill>
                  <w14:solidFill>
                    <w14:schemeClr w14:val="tx1"/>
                  </w14:solidFill>
                </w14:textFill>
              </w:rPr>
              <w:t>废机油：</w:t>
            </w:r>
            <w:r>
              <w:t>探矿区内设置废油桶集中收集，废油桶置于危废暂存间，并做“防风、防雨、防晒、防渗漏”等措施。危废暂存间为</w:t>
            </w:r>
            <w:r>
              <w:rPr>
                <w:rFonts w:hint="eastAsia"/>
              </w:rPr>
              <w:t>彩</w:t>
            </w:r>
            <w:r>
              <w:t>钢结构房屋，采用防腐、防渗钢材焊接而成，四角垫木质基础置于地面上，地板不与地面直接接触，门槛高0.3m，其有效收纳容积</w:t>
            </w:r>
            <w:r>
              <w:rPr>
                <w:rFonts w:hint="eastAsia"/>
              </w:rPr>
              <w:t>，</w:t>
            </w:r>
            <w:r>
              <w:t>满足本项目废油收集暂存最大容器废油桶25L的最大泄漏量；危废暂存间严格按照《危险废物贮存污染控制标准》（GB18597-2023）设置安全照明设施和观察窗口，钢结构房间地面无裂缝，废油用废油桶收集后放置于危废暂存间内，满足《危险废物贮存污染控制标准》（GB18597-2023）设计要求。</w:t>
            </w:r>
            <w:r>
              <w:rPr>
                <w:rFonts w:hint="eastAsia"/>
              </w:rPr>
              <w:t>废油及废油桶交由有资质单位处置。</w:t>
            </w:r>
          </w:p>
          <w:p>
            <w:pPr>
              <w:pStyle w:val="14"/>
              <w:ind w:firstLine="482" w:firstLineChars="200"/>
            </w:pPr>
            <w:r>
              <w:t>5、暂存及转运管理要求</w:t>
            </w:r>
          </w:p>
          <w:p>
            <w:r>
              <w:rPr>
                <w:rFonts w:hint="eastAsia" w:ascii="宋体" w:hAnsi="宋体" w:cs="宋体"/>
              </w:rPr>
              <w:t>①</w:t>
            </w:r>
            <w:r>
              <w:rPr>
                <w:rFonts w:hint="eastAsia"/>
              </w:rPr>
              <w:t>钻探使用的泥浆采用水基非磺化泥浆，从钻孔孔口返回后引至沉淀池，通过沉淀处理后，上清液循环使用，不外排；钻探完工后，将钻探泥浆填入沉淀池内</w:t>
            </w:r>
            <w:r>
              <w:t>并</w:t>
            </w:r>
            <w:r>
              <w:rPr>
                <w:rFonts w:hint="eastAsia"/>
              </w:rPr>
              <w:t>采用水泥</w:t>
            </w:r>
            <w:r>
              <w:t>固化填埋。</w:t>
            </w:r>
          </w:p>
          <w:p>
            <w:r>
              <w:rPr>
                <w:rFonts w:hint="eastAsia" w:ascii="宋体" w:hAnsi="宋体" w:cs="宋体"/>
              </w:rPr>
              <w:t>②</w:t>
            </w:r>
            <w:r>
              <w:t>钻井过程产生的固体废物要进行分类收集，确保固体废物的收集率为100%；严禁将固体废物乱倒乱放。</w:t>
            </w:r>
          </w:p>
          <w:p>
            <w:r>
              <w:rPr>
                <w:rFonts w:hint="eastAsia" w:ascii="宋体" w:hAnsi="宋体" w:cs="宋体"/>
              </w:rPr>
              <w:t>③</w:t>
            </w:r>
            <w:r>
              <w:t>废</w:t>
            </w:r>
            <w:r>
              <w:rPr>
                <w:rFonts w:hint="eastAsia"/>
              </w:rPr>
              <w:t>机</w:t>
            </w:r>
            <w:r>
              <w:t>油属于危险废物，其储存、运输应严格遵守《废矿物油回收利用污染控制技术规范》（HJ607-2011）和《危险废物收集、贮存、运输技术规范》（HJ2025-2012）中的相关规定，建立相应的规章制度和污染防治措施；所有的废油均按规定进行收集，收集容器应完好无损，没有腐蚀、污染、损毁或其他能导致其使用效能减弱的缺陷；废油存放区域设置作业界标志和警示牌；废油运输按照《危险化学品安全管理条例》中有关运输规定进行；</w:t>
            </w:r>
          </w:p>
          <w:p>
            <w:r>
              <w:rPr>
                <w:rFonts w:hint="eastAsia" w:ascii="宋体" w:hAnsi="宋体" w:cs="宋体"/>
              </w:rPr>
              <w:t>④</w:t>
            </w:r>
            <w:r>
              <w:t>废油收集过程产生的废旧容器应按照危险废物进行处置，仍可转作他用的，应经过消除污染的处理。</w:t>
            </w:r>
          </w:p>
          <w:p>
            <w:r>
              <w:rPr>
                <w:rFonts w:hint="eastAsia" w:ascii="宋体" w:hAnsi="宋体" w:cs="宋体"/>
              </w:rPr>
              <w:t>⑤</w:t>
            </w:r>
            <w:r>
              <w:t>废油应在产生源收集，不宜在产生源收集的应设置专用设施集中收集。</w:t>
            </w:r>
          </w:p>
          <w:p>
            <w:r>
              <w:rPr>
                <w:rFonts w:hint="eastAsia" w:ascii="宋体" w:hAnsi="宋体" w:cs="宋体"/>
              </w:rPr>
              <w:t>⑥</w:t>
            </w:r>
            <w:r>
              <w:t>现场</w:t>
            </w:r>
            <w:r>
              <w:rPr>
                <w:rFonts w:hint="eastAsia"/>
              </w:rPr>
              <w:t>沾染</w:t>
            </w:r>
            <w:r>
              <w:t>废矿物油的泥、沙、水全部收集。</w:t>
            </w:r>
          </w:p>
          <w:p>
            <w:r>
              <w:rPr>
                <w:rFonts w:hint="eastAsia" w:ascii="宋体" w:hAnsi="宋体" w:cs="宋体"/>
              </w:rPr>
              <w:t>⑦</w:t>
            </w:r>
            <w:r>
              <w:t>废油的转运要用密闭容器盛装，避免运输过程中造成废油的外溢，污染环境。</w:t>
            </w:r>
          </w:p>
          <w:p>
            <w:pPr>
              <w:pStyle w:val="14"/>
              <w:ind w:firstLine="482" w:firstLineChars="200"/>
            </w:pPr>
            <w:r>
              <w:t>6</w:t>
            </w:r>
            <w:r>
              <w:rPr>
                <w:rFonts w:hint="eastAsia"/>
              </w:rPr>
              <w:t>、生态环境保护与植被恢复措施分析</w:t>
            </w:r>
          </w:p>
          <w:p>
            <w:r>
              <w:rPr>
                <w:rFonts w:hint="eastAsia"/>
              </w:rPr>
              <w:t>本环评要求施工期生态保护与植被恢复措施如下：</w:t>
            </w:r>
          </w:p>
          <w:p>
            <w:pPr>
              <w:pStyle w:val="14"/>
              <w:ind w:firstLine="482" w:firstLineChars="200"/>
            </w:pPr>
            <w:r>
              <w:t>6</w:t>
            </w:r>
            <w:r>
              <w:rPr>
                <w:rFonts w:hint="eastAsia"/>
              </w:rPr>
              <w:t>.1土壤与植被的保护措施</w:t>
            </w:r>
          </w:p>
          <w:p>
            <w:r>
              <w:rPr>
                <w:rFonts w:hint="eastAsia"/>
              </w:rPr>
              <w:t>本项目为地质勘探工程，项目工程建设的生态环境影响主要为勘探过程对生态的影响，在对生态环境各具体要素（如土壤、植被、野生动物等）产生影响的同时，也对工程占地范围内原有的地表景观格局和生态体系完整性产生一定影响。</w:t>
            </w:r>
          </w:p>
          <w:p>
            <w:r>
              <w:rPr>
                <w:rFonts w:hint="eastAsia"/>
              </w:rPr>
              <w:t>本项目区域内植被不发育，植被类型单一，工程建设对区域内植被影响较低。对区域内生态体系稳定性影响的主要途径是地表扰动。对区域景观的影响随着探矿施工，挖毁原地貌等，这种景观格局的变化，使固有的自然生态功能完全丧失。同时，产生了水土流失、植被破坏等问题。</w:t>
            </w:r>
          </w:p>
          <w:p>
            <w:r>
              <w:rPr>
                <w:rFonts w:hint="eastAsia"/>
              </w:rPr>
              <w:t>提出以下土壤及植被污染防治措施：</w:t>
            </w:r>
          </w:p>
          <w:p>
            <w:r>
              <w:rPr>
                <w:rFonts w:hint="eastAsia"/>
              </w:rPr>
              <w:t>（1）探矿施工期间，将探矿活动控制在施工区域内，严禁越界勘探。</w:t>
            </w:r>
          </w:p>
          <w:p>
            <w:r>
              <w:rPr>
                <w:rFonts w:hint="eastAsia"/>
              </w:rPr>
              <w:t>（2）减少探矿施工期间在风力、装卸扰动作用下产生的二次扬尘污染，保护矿区周边生态环境和矿山工作员工的身体健康。</w:t>
            </w:r>
          </w:p>
          <w:p>
            <w:r>
              <w:rPr>
                <w:rFonts w:hint="eastAsia"/>
              </w:rPr>
              <w:t>（3）表层土壤的保护和利用。保护利用好表层的熟化土壤(主要为0～30cm的土层)，在挖掘施工前，首先要把表层的熟化土壤尽可能地集中堆放，施工结束后再进行熟土回填，保护土壤肥力，以利后期植被恢复。</w:t>
            </w:r>
          </w:p>
          <w:p>
            <w:r>
              <w:rPr>
                <w:rFonts w:hint="eastAsia"/>
              </w:rPr>
              <w:t>（4）钻探、槽探挖掘过程产生的土石方应合理组织调配、及时填平压实。工程施工期应首先计划安排好挖方量和填方量，及时进行回填，铺平压实，并喷播草籽、长草护坡，以免发生风蚀、水蚀。</w:t>
            </w:r>
          </w:p>
          <w:p>
            <w:r>
              <w:rPr>
                <w:rFonts w:hint="eastAsia"/>
              </w:rPr>
              <w:t>（5）充分利用原有道路，减少土石方工程量并缩小生态影响范围，减少了对周边土壤和植被的破坏。</w:t>
            </w:r>
          </w:p>
          <w:p>
            <w:r>
              <w:rPr>
                <w:rFonts w:hint="eastAsia"/>
              </w:rPr>
              <w:t>（6）生活营地及其他临时占地施工结束后，应按相关规定恢复植被。</w:t>
            </w:r>
          </w:p>
          <w:p>
            <w:r>
              <w:rPr>
                <w:rFonts w:hint="eastAsia"/>
              </w:rPr>
              <w:t>（7）避开雨季施工，钻探、槽探采取分段施工，提高工程施工效率，缩短施工工期。</w:t>
            </w:r>
          </w:p>
          <w:p>
            <w:r>
              <w:rPr>
                <w:rFonts w:hint="eastAsia"/>
              </w:rPr>
              <w:t>（8）</w:t>
            </w:r>
            <w:r>
              <w:t>在施工前划定保护区，避免对重要植被区域的破坏。尽量减少施工过程中对地表的扰动，采用低影响施工技术。制定详细的植被恢复计划，选择适应当地环境的植物种类进行种植。定期监测植被恢复情况，及时调整恢复措施。</w:t>
            </w:r>
          </w:p>
          <w:p>
            <w:r>
              <w:rPr>
                <w:rFonts w:hint="eastAsia"/>
              </w:rPr>
              <w:t>（9）施工中应严格执行HSE（健康、安全、环境）管理，加强动土作业管理及巡查，防止环境风险事故影响当地生态环境在项目启动阶段，应进行全面的环境基线研究，识别项目区域内的生态环境特征，包括植被类型、野生动植物种群、水文条件等。同时，开展环境和社会影响评估（ESIA），预测探矿活动可能带来的各种环境风险和影响，并制定相应的缓解与补偿措施。优先选用对环境破坏小的技术和方法进行勘探，比如非破坏性地球物理勘探技术，减少对地表的破坏和生态干扰。制定严格的水资源保护计划，确保钻探等活动不会污染地下水或地表水。同时，建立废物分类收集、运输和处置机制，特别是对于可能含有有害物质的废弃物，必须按照环保标准安全处置。定期对员工进行HSE培训，提升其环境保护意识和操作技能。同时，与当地社区建立沟通机制，听取他们的意见和关切，共同制定保护措施，确保项目的社会接受度。</w:t>
            </w:r>
          </w:p>
          <w:p>
            <w:pPr>
              <w:ind w:firstLine="482"/>
            </w:pPr>
            <w:r>
              <w:rPr>
                <w:rStyle w:val="32"/>
              </w:rPr>
              <w:t>6.2</w:t>
            </w:r>
            <w:r>
              <w:rPr>
                <w:rFonts w:hint="eastAsia"/>
                <w:b/>
                <w:bCs/>
              </w:rPr>
              <w:t>水土流失防治措施</w:t>
            </w:r>
          </w:p>
          <w:p>
            <w:r>
              <w:rPr>
                <w:rFonts w:hint="eastAsia"/>
              </w:rPr>
              <w:t>本项目探矿施工过程中土方量为</w:t>
            </w:r>
            <w:r>
              <w:t>2066.15</w:t>
            </w:r>
            <w:r>
              <w:rPr>
                <w:rFonts w:hint="eastAsia"/>
              </w:rPr>
              <w:t>m</w:t>
            </w:r>
            <w:r>
              <w:rPr>
                <w:rFonts w:hint="eastAsia"/>
                <w:vertAlign w:val="superscript"/>
              </w:rPr>
              <w:t>3</w:t>
            </w:r>
            <w:r>
              <w:rPr>
                <w:rFonts w:hint="eastAsia"/>
              </w:rPr>
              <w:t>，在探矿施工过程中，应控制地表破坏程度，尽量保护原有地表植被，要严格按照施工规划尽可能少占地。工程施工时注意合理分配施工时段，避开大风天气，严禁在大风和降雨天气下进行开采，合理布设开探矿施工场地，及时处理开挖弃土，对施工中所产生的弃土应尽可能地加以利用回填；对开挖的土石方、开挖裸露面做好防风措施，尽量缩短暴露时间，本着谁开发，谁保护，谁造成水土流失谁负责治理的原则，在防治责任范围内，水土流失防治责任由企业单位负责承担。</w:t>
            </w:r>
          </w:p>
          <w:p>
            <w:r>
              <w:rPr>
                <w:rFonts w:hint="eastAsia"/>
              </w:rPr>
              <w:t>（1）对探矿施工过程中，必须做好水土流失的预防工作，认真贯彻“谁造成水土流失，谁投资治理，谁造成新的危害，谁负责赔偿”和“治理与生产建设相结合”的原则。</w:t>
            </w:r>
          </w:p>
          <w:p>
            <w:r>
              <w:rPr>
                <w:rFonts w:hint="eastAsia"/>
              </w:rPr>
              <w:t>（2）加强水土保护法的宣传，有关部门应积极主动，加强水土保持执法管理，将其纳入依法办事的轨道上来，对施工人员进行培训和教育，自觉保持水土，宣传保护生态环境的重要性。</w:t>
            </w:r>
          </w:p>
          <w:p>
            <w:r>
              <w:rPr>
                <w:rFonts w:hint="eastAsia"/>
              </w:rPr>
              <w:t>（3）探矿施工时应充分考虑施工计划的合理性，合理安排工期和工程顺序，减少土壤损失和地表破坏面积。</w:t>
            </w:r>
          </w:p>
          <w:p>
            <w:r>
              <w:rPr>
                <w:rFonts w:hint="eastAsia"/>
              </w:rPr>
              <w:t>（4）探矿施工期间应划定施工活动范围，开展钻探、槽探营地建设过程中严格控制和管理施工活动范围，不得离开施工区域，由专人负责，以防破坏土壤和植被，引发土壤流失。</w:t>
            </w:r>
          </w:p>
          <w:p>
            <w:r>
              <w:rPr>
                <w:rFonts w:hint="eastAsia"/>
              </w:rPr>
              <w:t>（5）严禁在大风天气施工，并对相关工作人员进行宣传教育。</w:t>
            </w:r>
          </w:p>
          <w:p>
            <w:r>
              <w:rPr>
                <w:rFonts w:hint="eastAsia"/>
              </w:rPr>
              <w:t>（6）减少非生产生活车辆、机械进入开采区，施工中严格按照规划、设计施工占地要求，尽量减少地表形态破坏。</w:t>
            </w:r>
          </w:p>
          <w:p>
            <w:r>
              <w:rPr>
                <w:rFonts w:hint="eastAsia"/>
              </w:rPr>
              <w:t>（7）减少非生产生活车辆、机械进入开采区，施工中严格按照规划、设计施工占地要求，尽量减少地表形态破坏。</w:t>
            </w:r>
          </w:p>
          <w:p>
            <w:r>
              <w:rPr>
                <w:rFonts w:hint="eastAsia"/>
              </w:rPr>
              <w:t>建设单位在探矿期间应按照工程需要，分清轻重缓急，合理安排生态保护工程的建设时间，探矿工程结束后逐步落实生态恢复和补偿的工作，边探矿施工边恢复，通过采取废土回填等措施，可加快生态系统恢复和正向演替的过程，对探矿施工造成的生态破坏进行有效的补偿。</w:t>
            </w:r>
          </w:p>
          <w:p>
            <w:pPr>
              <w:ind w:firstLine="482"/>
              <w:rPr>
                <w:b/>
                <w:bCs/>
              </w:rPr>
            </w:pPr>
            <w:r>
              <w:rPr>
                <w:b/>
                <w:bCs/>
              </w:rPr>
              <w:t>6</w:t>
            </w:r>
            <w:r>
              <w:rPr>
                <w:rFonts w:hint="eastAsia"/>
                <w:b/>
                <w:bCs/>
              </w:rPr>
              <w:t>.</w:t>
            </w:r>
            <w:r>
              <w:rPr>
                <w:b/>
                <w:bCs/>
              </w:rPr>
              <w:t>3</w:t>
            </w:r>
            <w:r>
              <w:rPr>
                <w:rFonts w:hint="eastAsia"/>
                <w:b/>
                <w:bCs/>
              </w:rPr>
              <w:t>野生动物保护措施</w:t>
            </w:r>
          </w:p>
          <w:p>
            <w:r>
              <w:t>为了有效保护矿区域内的野生动物资源，可以采取以下措施：</w:t>
            </w:r>
          </w:p>
          <w:p>
            <w:r>
              <w:rPr>
                <w:rFonts w:hint="eastAsia"/>
              </w:rPr>
              <w:t>（</w:t>
            </w:r>
            <w:r>
              <w:t>1</w:t>
            </w:r>
            <w:r>
              <w:rPr>
                <w:rFonts w:hint="eastAsia"/>
              </w:rPr>
              <w:t>）加强野生动物栖息地维护。</w:t>
            </w:r>
          </w:p>
          <w:p>
            <w:r>
              <w:rPr>
                <w:rFonts w:hint="eastAsia"/>
              </w:rPr>
              <w:t>（</w:t>
            </w:r>
            <w:r>
              <w:t>2</w:t>
            </w:r>
            <w:r>
              <w:rPr>
                <w:rFonts w:hint="eastAsia"/>
              </w:rPr>
              <w:t>）明确禁止食用地方重点保护野生动物，以及以食用为目的进行猎捕、交易、运输和非法购买等行为。在野生动物栖息地内从事开挖取土、阻断水源等破坏野生动物栖息地行为的，由野生动物保护主管部门责令限期改正或责令采取其他补救措施。</w:t>
            </w:r>
          </w:p>
          <w:p>
            <w:r>
              <w:rPr>
                <w:rFonts w:hint="eastAsia"/>
              </w:rPr>
              <w:t>（</w:t>
            </w:r>
            <w:r>
              <w:t>3</w:t>
            </w:r>
            <w:r>
              <w:rPr>
                <w:rFonts w:hint="eastAsia"/>
              </w:rPr>
              <w:t>）对于建设项目可能影响栖息地的，要求予以避让或采取措施消除、减少不利影响，并明确禁止破坏栖息地环境以及毁损设施设备的有关行为。</w:t>
            </w:r>
          </w:p>
          <w:p>
            <w:pPr>
              <w:ind w:firstLine="482"/>
              <w:rPr>
                <w:bCs/>
              </w:rPr>
            </w:pPr>
            <w:r>
              <w:rPr>
                <w:b/>
              </w:rPr>
              <w:t>6</w:t>
            </w:r>
            <w:r>
              <w:rPr>
                <w:rFonts w:hint="eastAsia"/>
                <w:b/>
              </w:rPr>
              <w:t>.4勘探结束后的生态恢复措施</w:t>
            </w:r>
          </w:p>
          <w:p>
            <w:r>
              <w:rPr>
                <w:rFonts w:hint="eastAsia"/>
              </w:rPr>
              <w:t>探矿结束后的环境恢复和治理措施如下：</w:t>
            </w:r>
          </w:p>
          <w:p>
            <w:r>
              <w:rPr>
                <w:rFonts w:hint="eastAsia"/>
              </w:rPr>
              <w:t>（1）</w:t>
            </w:r>
            <w:r>
              <w:rPr>
                <w:rFonts w:ascii="宋体" w:hAnsi="宋体" w:cs="宋体"/>
              </w:rPr>
              <w:t>完井后须对临时占地范围进行平整，工程量即为项目所有临时占地，完井后施工设备及时撤离，固体废物全部妥善处置，现场禁止遗留，占地应清理平整，尽量利用临时道路施工时产生的表层弃土对临时占地进行覆盖，然后开展植被恢复工作。恢复植被物种选择以工程占地周边植物物种为主，不得随意引入外来植物物种</w:t>
            </w:r>
            <w:r>
              <w:rPr>
                <w:rFonts w:hint="eastAsia"/>
              </w:rPr>
              <w:t>。</w:t>
            </w:r>
          </w:p>
          <w:p>
            <w:r>
              <w:rPr>
                <w:rFonts w:hint="eastAsia"/>
              </w:rPr>
              <w:t>（2）对区内各勘查施工器材统一收集、处理、不得遗留在区内。</w:t>
            </w:r>
          </w:p>
          <w:p>
            <w:r>
              <w:rPr>
                <w:rFonts w:hint="eastAsia"/>
              </w:rPr>
              <w:t>（3）巡视调查整个探矿区域，查看区域内施工迹地的生态恢复情况，发现问题及时采取相应的环境保护措施进行处理，不遗留问题。</w:t>
            </w:r>
          </w:p>
          <w:p>
            <w:r>
              <w:rPr>
                <w:rFonts w:hint="eastAsia"/>
              </w:rPr>
              <w:t>（4）据环评要求，将人为活动限制在最小范围内，不因地质工作深化而显著增加对区域生态环境的影响范围和程度。</w:t>
            </w:r>
          </w:p>
          <w:p>
            <w:r>
              <w:rPr>
                <w:rFonts w:hint="eastAsia"/>
              </w:rPr>
              <w:t>（5）</w:t>
            </w:r>
            <w:r>
              <w:rPr>
                <w:rFonts w:ascii="宋体" w:hAnsi="宋体" w:cs="宋体"/>
              </w:rPr>
              <w:t>勘探期结束后，应立即停止探矿采样活动，严禁“以探代采”</w:t>
            </w:r>
            <w:r>
              <w:rPr>
                <w:rFonts w:hint="eastAsia" w:ascii="宋体" w:hAnsi="宋体" w:cs="宋体"/>
              </w:rPr>
              <w:t>。</w:t>
            </w:r>
          </w:p>
          <w:p>
            <w:pPr>
              <w:rPr>
                <w:color w:val="000000"/>
              </w:rPr>
            </w:pPr>
            <w:r>
              <w:rPr>
                <w:rFonts w:hint="eastAsia"/>
              </w:rPr>
              <w:t>（</w:t>
            </w:r>
            <w:r>
              <w:t>6</w:t>
            </w:r>
            <w:r>
              <w:rPr>
                <w:rFonts w:hint="eastAsia"/>
              </w:rPr>
              <w:t>）</w:t>
            </w:r>
            <w:r>
              <w:rPr>
                <w:rFonts w:hint="eastAsia"/>
                <w:color w:val="000000"/>
              </w:rPr>
              <w:t>勘探结束后，清理生活营地所有建筑设施，清除生活区所有垃圾，建筑设施可重复利用的重复利用，不可重复利用的与建筑垃圾、生活垃圾一起通过封闭篷车运至垃圾转运站，交由环卫部门统一处置。</w:t>
            </w:r>
          </w:p>
          <w:p>
            <w:r>
              <w:rPr>
                <w:rFonts w:hint="eastAsia" w:ascii="TimesNewRomanPSMT" w:hAnsi="TimesNewRomanPSMT"/>
                <w:color w:val="000000"/>
              </w:rPr>
              <w:t>（</w:t>
            </w:r>
            <w:r>
              <w:rPr>
                <w:rFonts w:ascii="TimesNewRomanPSMT" w:hAnsi="TimesNewRomanPSMT"/>
                <w:color w:val="000000"/>
              </w:rPr>
              <w:t>7</w:t>
            </w:r>
            <w:r>
              <w:rPr>
                <w:rFonts w:hint="eastAsia" w:ascii="TimesNewRomanPSMT" w:hAnsi="TimesNewRomanPSMT"/>
                <w:color w:val="000000"/>
              </w:rPr>
              <w:t>）</w:t>
            </w:r>
            <w:r>
              <w:rPr>
                <w:rFonts w:hint="eastAsia"/>
                <w:color w:val="000000"/>
              </w:rPr>
              <w:t>对原工作区内的生活营地、临时道路、探井、槽探作业区进行生态恢复，主要包括土地平整、</w:t>
            </w:r>
            <w:r>
              <w:t>选择适应当地气候和土壤条件的本土植物，如耐旱、耐贫瘠的草本植物和灌木。</w:t>
            </w:r>
          </w:p>
          <w:p>
            <w:r>
              <w:rPr>
                <w:rFonts w:hint="eastAsia"/>
              </w:rPr>
              <w:t>（</w:t>
            </w:r>
            <w:r>
              <w:t>8</w:t>
            </w:r>
            <w:r>
              <w:rPr>
                <w:rFonts w:hint="eastAsia"/>
              </w:rPr>
              <w:t>）项目勘查工作结束或阶段工作结束，应针对勘查活动造成的环境影响，根据国家法律法规、强制性标准和恢复治理设计要求，结合地方社会经济发展需求，及时开展环境恢复治理，消除勘查活动对生态环境造成的负面影响。</w:t>
            </w:r>
          </w:p>
          <w:p>
            <w:pPr>
              <w:ind w:firstLine="482"/>
              <w:rPr>
                <w:b/>
              </w:rPr>
            </w:pPr>
            <w:r>
              <w:rPr>
                <w:rFonts w:hint="eastAsia"/>
                <w:b/>
              </w:rPr>
              <w:t>6</w:t>
            </w:r>
            <w:r>
              <w:rPr>
                <w:b/>
              </w:rPr>
              <w:t>.5</w:t>
            </w:r>
            <w:r>
              <w:rPr>
                <w:rFonts w:hint="eastAsia"/>
                <w:b/>
              </w:rPr>
              <w:t>建设单位和第三方的环境保护责任</w:t>
            </w:r>
          </w:p>
          <w:p>
            <w:pPr>
              <w:pStyle w:val="7"/>
              <w:ind w:firstLine="480"/>
              <w:jc w:val="both"/>
            </w:pPr>
            <w:r>
              <w:rPr>
                <w:rFonts w:hint="eastAsia"/>
              </w:rPr>
              <w:t>在探矿项目中，当施工具体由委托的第三方进行时，建设单位和第三方的环境保护责任需要明确划分，以确保项目在符合环保要求的前提下进行。以下是对双方环境保护责任的详细阐述：</w:t>
            </w:r>
          </w:p>
          <w:p>
            <w:pPr>
              <w:pStyle w:val="7"/>
              <w:ind w:left="240" w:leftChars="100" w:firstLine="240" w:firstLineChars="100"/>
            </w:pPr>
            <w:r>
              <w:rPr>
                <w:rFonts w:hint="eastAsia"/>
              </w:rPr>
              <w:t>建设单位的环境保护责任</w:t>
            </w:r>
          </w:p>
          <w:p>
            <w:pPr>
              <w:pStyle w:val="7"/>
              <w:ind w:left="240" w:leftChars="100" w:firstLine="240" w:firstLineChars="100"/>
            </w:pPr>
            <w:r>
              <w:rPr>
                <w:rFonts w:hint="eastAsia"/>
              </w:rPr>
              <w:t>1、项目策划与可行性研究</w:t>
            </w:r>
          </w:p>
          <w:p>
            <w:pPr>
              <w:pStyle w:val="7"/>
              <w:ind w:firstLineChars="0"/>
              <w:jc w:val="both"/>
            </w:pPr>
            <w:r>
              <w:rPr>
                <w:rFonts w:hint="eastAsia"/>
              </w:rPr>
              <w:t>建设单位在项目初期应充分考虑环境保护因素，进行详尽的项目策划和可行性研究，确保项目符合国家和地方的环境保护法律法规，评估项目可能对环境造成的影响，并制定相应的预防和减轻措施。</w:t>
            </w:r>
          </w:p>
          <w:p>
            <w:pPr>
              <w:pStyle w:val="7"/>
              <w:ind w:left="240" w:leftChars="100" w:firstLine="240" w:firstLineChars="100"/>
            </w:pPr>
            <w:r>
              <w:rPr>
                <w:rFonts w:hint="eastAsia"/>
              </w:rPr>
              <w:t>2、选择合格的第三方</w:t>
            </w:r>
          </w:p>
          <w:p>
            <w:pPr>
              <w:pStyle w:val="7"/>
              <w:ind w:firstLineChars="0"/>
              <w:jc w:val="both"/>
            </w:pPr>
            <w:r>
              <w:rPr>
                <w:rFonts w:hint="eastAsia"/>
              </w:rPr>
              <w:t>建设单位应选择具备相应资质、技术实力强、环保意识高的第三方进行施工，在合同中明确第三方的环境保护责任，包括施工过程中的环保要求、污染防治措施等。建设单位应对第三方的施工活动进行定期或不定期的监督与检杏确保其按昭合同和环保要求进行施工。</w:t>
            </w:r>
          </w:p>
          <w:p>
            <w:pPr>
              <w:pStyle w:val="7"/>
              <w:ind w:firstLine="480"/>
            </w:pPr>
            <w:r>
              <w:rPr>
                <w:rFonts w:hint="eastAsia"/>
              </w:rPr>
              <w:t>第三方的环境保护责任</w:t>
            </w:r>
          </w:p>
          <w:p>
            <w:pPr>
              <w:pStyle w:val="7"/>
              <w:ind w:firstLine="480"/>
            </w:pPr>
            <w:r>
              <w:rPr>
                <w:rFonts w:hint="eastAsia"/>
              </w:rPr>
              <w:t>1、遵守法律法规</w:t>
            </w:r>
          </w:p>
          <w:p>
            <w:pPr>
              <w:pStyle w:val="7"/>
              <w:ind w:firstLine="480"/>
              <w:jc w:val="both"/>
            </w:pPr>
            <w:r>
              <w:rPr>
                <w:rFonts w:hint="eastAsia"/>
              </w:rPr>
              <w:t>第三方应严格遵守国家和地方的环境保护法律法规，以及建设单位在合同中提出的具体环保要求。</w:t>
            </w:r>
          </w:p>
          <w:p>
            <w:pPr>
              <w:pStyle w:val="7"/>
              <w:ind w:firstLine="480"/>
            </w:pPr>
            <w:r>
              <w:rPr>
                <w:rFonts w:hint="eastAsia"/>
              </w:rPr>
              <w:t>2、施工过程中的环保措施</w:t>
            </w:r>
          </w:p>
          <w:p>
            <w:pPr>
              <w:pStyle w:val="7"/>
              <w:ind w:firstLine="480"/>
              <w:jc w:val="both"/>
            </w:pPr>
            <w:r>
              <w:rPr>
                <w:rFonts w:hint="eastAsia"/>
              </w:rPr>
              <w:t>制定详细的施工环保方案，明确施工过程中的污染防治措施和生态保护措施。采取有效措施减少施工噪声、粉尘、废水、废气等污染物的排放，确保施工活动不对周边环境造成不良影响。</w:t>
            </w:r>
          </w:p>
          <w:p>
            <w:pPr>
              <w:pStyle w:val="7"/>
              <w:numPr>
                <w:ilvl w:val="0"/>
                <w:numId w:val="3"/>
              </w:numPr>
              <w:spacing w:line="240" w:lineRule="auto"/>
              <w:ind w:firstLine="480"/>
              <w:jc w:val="both"/>
            </w:pPr>
            <w:r>
              <w:rPr>
                <w:rFonts w:hint="eastAsia"/>
              </w:rPr>
              <w:t>废弃物处理</w:t>
            </w:r>
          </w:p>
          <w:p>
            <w:r>
              <w:rPr>
                <w:rFonts w:hint="eastAsia"/>
              </w:rPr>
              <w:t>对施工过程中产生的废弃物进行分类收集、储存和处置，确保废弃物得到妥善处理不造成环境污染，对施工活动造成的生态破坏进行及时修复，恢复生态环境原貌或达到生态功能等效替代。</w:t>
            </w:r>
          </w:p>
          <w:p>
            <w:pPr>
              <w:rPr>
                <w:sz w:val="21"/>
              </w:rPr>
            </w:pPr>
            <w:r>
              <w:rPr>
                <w:rFonts w:hint="eastAsia"/>
              </w:rPr>
              <w:t>经采取以上措施，项目施工期对生态环境的影响可以降至最低。</w:t>
            </w:r>
          </w:p>
          <w:p>
            <w:pPr>
              <w:pStyle w:val="14"/>
              <w:ind w:firstLine="482" w:firstLineChars="200"/>
            </w:pPr>
            <w:r>
              <w:t>7</w:t>
            </w:r>
            <w:r>
              <w:rPr>
                <w:rFonts w:hint="eastAsia"/>
              </w:rPr>
              <w:t>、环境风险评价</w:t>
            </w:r>
          </w:p>
          <w:p>
            <w:r>
              <w:rPr>
                <w:rFonts w:hint="eastAsia"/>
              </w:rPr>
              <w:t>环境风险评价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r>
              <w:rPr>
                <w:rFonts w:hint="eastAsia"/>
              </w:rPr>
              <w:t>通过对项目在生产过程中使用的物质、各工艺系统的危险性进行识别，分析周边环境的敏感性，对项目的风险潜势进行初判，确定评价等级。</w:t>
            </w:r>
          </w:p>
          <w:p>
            <w:pPr>
              <w:pStyle w:val="14"/>
              <w:ind w:firstLine="482" w:firstLineChars="200"/>
            </w:pPr>
            <w:r>
              <w:t>7</w:t>
            </w:r>
            <w:r>
              <w:rPr>
                <w:rFonts w:hint="eastAsia"/>
              </w:rPr>
              <w:t>.1</w:t>
            </w:r>
            <w:r>
              <w:t>评价依据</w:t>
            </w:r>
          </w:p>
          <w:p>
            <w:r>
              <w:t>（1）风险调查</w:t>
            </w:r>
          </w:p>
          <w:p>
            <w:r>
              <w:rPr>
                <w:rFonts w:hint="eastAsia"/>
                <w:color w:val="000000"/>
              </w:rPr>
              <w:t>本项目不设置柴油储存场所，所有机械用柴油均随买随用，因此柴油不在厂区内长期储存。然而，在机械设备加油时会有短暂的存储和使用过程，存在一定的泄漏和火灾风险。日常维修产生的废机油暂存于危险废物暂存间，并最终交由有危废处置资质的单位处理。因此，本项目的主要风险物质为柴油和废机油</w:t>
            </w:r>
            <w:r>
              <w:rPr>
                <w:rFonts w:hint="eastAsia"/>
              </w:rPr>
              <w:t>。</w:t>
            </w:r>
          </w:p>
          <w:p>
            <w:r>
              <w:rPr>
                <w:rFonts w:hint="eastAsia"/>
              </w:rPr>
              <w:t>（2）风险潜势初判</w:t>
            </w:r>
          </w:p>
          <w:p>
            <w:r>
              <w:t>根据《建设项目环境风险评价技术导则》（HJ169-2018），当存在多中危险物质时，按下式计算物质总量与临界量比值。</w:t>
            </w:r>
          </w:p>
          <w:p>
            <w:pPr>
              <w:ind w:firstLine="0" w:firstLineChars="0"/>
              <w:jc w:val="center"/>
            </w:pPr>
            <w:r>
              <w:drawing>
                <wp:inline distT="0" distB="0" distL="114300" distR="114300">
                  <wp:extent cx="1785620" cy="539115"/>
                  <wp:effectExtent l="0" t="0" r="5080" b="13335"/>
                  <wp:docPr id="1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
                          <pic:cNvPicPr>
                            <a:picLocks noChangeAspect="1"/>
                          </pic:cNvPicPr>
                        </pic:nvPicPr>
                        <pic:blipFill>
                          <a:blip r:embed="rId16"/>
                          <a:stretch>
                            <a:fillRect/>
                          </a:stretch>
                        </pic:blipFill>
                        <pic:spPr>
                          <a:xfrm>
                            <a:off x="0" y="0"/>
                            <a:ext cx="1785620" cy="539115"/>
                          </a:xfrm>
                          <a:prstGeom prst="rect">
                            <a:avLst/>
                          </a:prstGeom>
                          <a:noFill/>
                          <a:ln>
                            <a:noFill/>
                          </a:ln>
                        </pic:spPr>
                      </pic:pic>
                    </a:graphicData>
                  </a:graphic>
                </wp:inline>
              </w:drawing>
            </w:r>
          </w:p>
          <w:p>
            <w:r>
              <w:t>式中：q</w:t>
            </w:r>
            <w:r>
              <w:rPr>
                <w:vertAlign w:val="subscript"/>
              </w:rPr>
              <w:t>1</w:t>
            </w:r>
            <w:r>
              <w:t>，q</w:t>
            </w:r>
            <w:r>
              <w:rPr>
                <w:vertAlign w:val="subscript"/>
              </w:rPr>
              <w:t>2</w:t>
            </w:r>
            <w:r>
              <w:t>…..q</w:t>
            </w:r>
            <w:r>
              <w:rPr>
                <w:vertAlign w:val="subscript"/>
              </w:rPr>
              <w:t>n</w:t>
            </w:r>
            <w:r>
              <w:t>——每种危险物质的最大存在总量，t；</w:t>
            </w:r>
          </w:p>
          <w:p>
            <w:r>
              <w:t>Q</w:t>
            </w:r>
            <w:r>
              <w:rPr>
                <w:vertAlign w:val="subscript"/>
              </w:rPr>
              <w:t>1</w:t>
            </w:r>
            <w:r>
              <w:t>，Q</w:t>
            </w:r>
            <w:r>
              <w:rPr>
                <w:vertAlign w:val="subscript"/>
              </w:rPr>
              <w:t>2</w:t>
            </w:r>
            <w:r>
              <w:t>，…..Q</w:t>
            </w:r>
            <w:r>
              <w:rPr>
                <w:vertAlign w:val="subscript"/>
              </w:rPr>
              <w:t>n</w:t>
            </w:r>
            <w:r>
              <w:t>——每种危险物质的临界量，t；</w:t>
            </w:r>
          </w:p>
          <w:p>
            <w:r>
              <w:t>当Q&lt;1时，该项目环境风险潜势为</w:t>
            </w:r>
            <w:r>
              <w:fldChar w:fldCharType="begin"/>
            </w:r>
            <w:r>
              <w:instrText xml:space="preserve">= 1 \* ROMAN</w:instrText>
            </w:r>
            <w:r>
              <w:fldChar w:fldCharType="separate"/>
            </w:r>
            <w:r>
              <w:t>I</w:t>
            </w:r>
            <w:r>
              <w:fldChar w:fldCharType="end"/>
            </w:r>
            <w:r>
              <w:t>。</w:t>
            </w:r>
          </w:p>
          <w:p>
            <w:r>
              <w:t>当Q≥1时，将Q值划分为：（1）1≤Q＜10；（2）10≤Q＜100；（3）Q≥100。</w:t>
            </w:r>
          </w:p>
          <w:p>
            <w:r>
              <w:t>通过计算，本项目Q&lt;1，所以本项目环境风险潜势为</w:t>
            </w:r>
            <w:r>
              <w:fldChar w:fldCharType="begin"/>
            </w:r>
            <w:r>
              <w:instrText xml:space="preserve">= 1 \* ROMAN</w:instrText>
            </w:r>
            <w:r>
              <w:fldChar w:fldCharType="separate"/>
            </w:r>
            <w:r>
              <w:t>I</w:t>
            </w:r>
            <w:r>
              <w:fldChar w:fldCharType="end"/>
            </w:r>
            <w:r>
              <w:t>。</w:t>
            </w:r>
          </w:p>
          <w:p>
            <w:r>
              <w:t>（3）评价等级</w:t>
            </w:r>
          </w:p>
          <w:p>
            <w:r>
              <w:t>环境风险是指突发性事故对环境（或健康）的危害程度。建设项目环境风险评价，主要是对建设项目建设和运行期间发生的可预测突发性事件或事故（一般不包括人为破坏及自然灾害）引起有毒有害、易燃易爆等物质泄漏，或突发事件产生的新的有毒有害物质，所造成的对人身安全与环境的影响和损害，进行评估，提出防范、应急与减缓措施，以使建设项目事故率、损失和环境影响达到可接受水平。</w:t>
            </w:r>
          </w:p>
          <w:p>
            <w:r>
              <w:t>本项目为矿产资源勘探，根据《建设项目环境风险评价技术导则》（HJ169-2018）附录B中推荐物质危险性识别可知，项目风险物质为废机油</w:t>
            </w:r>
            <w:r>
              <w:rPr>
                <w:rFonts w:hint="eastAsia"/>
              </w:rPr>
              <w:t>和柴油</w:t>
            </w:r>
            <w:r>
              <w:t>。</w:t>
            </w:r>
            <w:r>
              <w:rPr>
                <w:rFonts w:hint="eastAsia"/>
              </w:rPr>
              <w:t>风险源情况详见下表5-1。</w:t>
            </w:r>
          </w:p>
          <w:p>
            <w:pPr>
              <w:pStyle w:val="27"/>
              <w:spacing w:before="156"/>
            </w:pPr>
            <w:r>
              <w:t>表</w:t>
            </w:r>
            <w:r>
              <w:rPr>
                <w:rFonts w:hint="eastAsia"/>
              </w:rPr>
              <w:t>5-1</w:t>
            </w:r>
            <w:r>
              <w:t xml:space="preserve">  </w:t>
            </w:r>
            <w:r>
              <w:rPr>
                <w:rFonts w:hint="eastAsia"/>
              </w:rPr>
              <w:t>环境风险物质数量、临界量及其比值（Q）</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55"/>
              <w:gridCol w:w="1832"/>
              <w:gridCol w:w="1328"/>
              <w:gridCol w:w="1464"/>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5" w:hRule="atLeast"/>
                <w:jc w:val="center"/>
              </w:trPr>
              <w:tc>
                <w:tcPr>
                  <w:tcW w:w="1133" w:type="dxa"/>
                  <w:shd w:val="clear" w:color="auto" w:fill="auto"/>
                  <w:vAlign w:val="center"/>
                </w:tcPr>
                <w:p>
                  <w:pPr>
                    <w:pStyle w:val="25"/>
                  </w:pPr>
                  <w:r>
                    <w:rPr>
                      <w:rFonts w:hint="eastAsia"/>
                    </w:rPr>
                    <w:t>序号</w:t>
                  </w:r>
                </w:p>
              </w:tc>
              <w:tc>
                <w:tcPr>
                  <w:tcW w:w="1797" w:type="dxa"/>
                  <w:shd w:val="clear" w:color="auto" w:fill="auto"/>
                  <w:vAlign w:val="center"/>
                </w:tcPr>
                <w:p>
                  <w:pPr>
                    <w:pStyle w:val="25"/>
                    <w:rPr>
                      <w:vertAlign w:val="superscript"/>
                    </w:rPr>
                  </w:pPr>
                  <w:r>
                    <w:t>环境风险物质</w:t>
                  </w:r>
                </w:p>
              </w:tc>
              <w:tc>
                <w:tcPr>
                  <w:tcW w:w="1303" w:type="dxa"/>
                  <w:shd w:val="clear" w:color="auto" w:fill="auto"/>
                  <w:vAlign w:val="center"/>
                </w:tcPr>
                <w:p>
                  <w:pPr>
                    <w:pStyle w:val="25"/>
                  </w:pPr>
                  <w:r>
                    <w:t>储存量（q）</w:t>
                  </w:r>
                </w:p>
              </w:tc>
              <w:tc>
                <w:tcPr>
                  <w:tcW w:w="1436" w:type="dxa"/>
                  <w:shd w:val="clear" w:color="auto" w:fill="auto"/>
                  <w:vAlign w:val="center"/>
                </w:tcPr>
                <w:p>
                  <w:pPr>
                    <w:pStyle w:val="25"/>
                  </w:pPr>
                  <w:r>
                    <w:t>临界量（Q）</w:t>
                  </w:r>
                </w:p>
              </w:tc>
              <w:tc>
                <w:tcPr>
                  <w:tcW w:w="1942" w:type="dxa"/>
                  <w:shd w:val="clear" w:color="auto" w:fill="auto"/>
                  <w:vAlign w:val="center"/>
                </w:tcPr>
                <w:p>
                  <w:pPr>
                    <w:pStyle w:val="25"/>
                  </w:pPr>
                  <w:r>
                    <w:t>q比值（Q）</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133" w:type="dxa"/>
                  <w:shd w:val="clear" w:color="auto" w:fill="auto"/>
                  <w:vAlign w:val="center"/>
                </w:tcPr>
                <w:p>
                  <w:pPr>
                    <w:pStyle w:val="25"/>
                  </w:pPr>
                  <w:r>
                    <w:rPr>
                      <w:rFonts w:hint="eastAsia"/>
                    </w:rPr>
                    <w:t>1</w:t>
                  </w:r>
                </w:p>
              </w:tc>
              <w:tc>
                <w:tcPr>
                  <w:tcW w:w="1797" w:type="dxa"/>
                  <w:shd w:val="clear" w:color="auto" w:fill="auto"/>
                  <w:vAlign w:val="center"/>
                </w:tcPr>
                <w:p>
                  <w:pPr>
                    <w:pStyle w:val="25"/>
                  </w:pPr>
                  <w:r>
                    <w:t>废机油</w:t>
                  </w:r>
                </w:p>
              </w:tc>
              <w:tc>
                <w:tcPr>
                  <w:tcW w:w="1303" w:type="dxa"/>
                  <w:shd w:val="clear" w:color="auto" w:fill="auto"/>
                  <w:vAlign w:val="center"/>
                </w:tcPr>
                <w:p>
                  <w:pPr>
                    <w:pStyle w:val="25"/>
                  </w:pPr>
                  <w:r>
                    <w:t>0.01t</w:t>
                  </w:r>
                </w:p>
              </w:tc>
              <w:tc>
                <w:tcPr>
                  <w:tcW w:w="1436" w:type="dxa"/>
                  <w:shd w:val="clear" w:color="auto" w:fill="auto"/>
                  <w:vAlign w:val="center"/>
                </w:tcPr>
                <w:p>
                  <w:pPr>
                    <w:pStyle w:val="25"/>
                  </w:pPr>
                  <w:r>
                    <w:t>2500t</w:t>
                  </w:r>
                </w:p>
              </w:tc>
              <w:tc>
                <w:tcPr>
                  <w:tcW w:w="1942" w:type="dxa"/>
                  <w:shd w:val="clear" w:color="auto" w:fill="auto"/>
                  <w:vAlign w:val="center"/>
                </w:tcPr>
                <w:p>
                  <w:pPr>
                    <w:pStyle w:val="25"/>
                    <w:rPr>
                      <w:vertAlign w:val="superscript"/>
                    </w:rPr>
                  </w:pPr>
                  <w:r>
                    <w:t>0.000004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133" w:type="dxa"/>
                  <w:shd w:val="clear" w:color="auto" w:fill="auto"/>
                  <w:vAlign w:val="center"/>
                </w:tcPr>
                <w:p>
                  <w:pPr>
                    <w:pStyle w:val="25"/>
                  </w:pPr>
                  <w:r>
                    <w:rPr>
                      <w:rFonts w:hint="eastAsia"/>
                    </w:rPr>
                    <w:t>2</w:t>
                  </w:r>
                </w:p>
              </w:tc>
              <w:tc>
                <w:tcPr>
                  <w:tcW w:w="1797" w:type="dxa"/>
                  <w:shd w:val="clear" w:color="auto" w:fill="auto"/>
                  <w:vAlign w:val="center"/>
                </w:tcPr>
                <w:p>
                  <w:pPr>
                    <w:pStyle w:val="25"/>
                  </w:pPr>
                  <w:r>
                    <w:rPr>
                      <w:rFonts w:hint="eastAsia"/>
                    </w:rPr>
                    <w:t>柴油</w:t>
                  </w:r>
                </w:p>
              </w:tc>
              <w:tc>
                <w:tcPr>
                  <w:tcW w:w="1303" w:type="dxa"/>
                  <w:shd w:val="clear" w:color="auto" w:fill="auto"/>
                  <w:vAlign w:val="center"/>
                </w:tcPr>
                <w:p>
                  <w:pPr>
                    <w:pStyle w:val="25"/>
                  </w:pPr>
                  <w:r>
                    <w:rPr>
                      <w:rFonts w:hint="eastAsia"/>
                    </w:rPr>
                    <w:t>/</w:t>
                  </w:r>
                </w:p>
              </w:tc>
              <w:tc>
                <w:tcPr>
                  <w:tcW w:w="1436" w:type="dxa"/>
                  <w:shd w:val="clear" w:color="auto" w:fill="auto"/>
                  <w:vAlign w:val="center"/>
                </w:tcPr>
                <w:p>
                  <w:pPr>
                    <w:pStyle w:val="25"/>
                  </w:pPr>
                  <w:r>
                    <w:rPr>
                      <w:rFonts w:hint="eastAsia"/>
                    </w:rPr>
                    <w:t>2</w:t>
                  </w:r>
                  <w:r>
                    <w:t>500t</w:t>
                  </w:r>
                </w:p>
              </w:tc>
              <w:tc>
                <w:tcPr>
                  <w:tcW w:w="1942" w:type="dxa"/>
                  <w:shd w:val="clear" w:color="auto" w:fill="auto"/>
                  <w:vAlign w:val="center"/>
                </w:tcPr>
                <w:p>
                  <w:pPr>
                    <w:pStyle w:val="25"/>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5669" w:type="dxa"/>
                  <w:gridSpan w:val="4"/>
                  <w:shd w:val="clear" w:color="auto" w:fill="auto"/>
                  <w:vAlign w:val="center"/>
                </w:tcPr>
                <w:p>
                  <w:pPr>
                    <w:pStyle w:val="25"/>
                  </w:pPr>
                  <w:r>
                    <w:t>合计</w:t>
                  </w:r>
                </w:p>
              </w:tc>
              <w:tc>
                <w:tcPr>
                  <w:tcW w:w="1942" w:type="dxa"/>
                  <w:shd w:val="clear" w:color="auto" w:fill="auto"/>
                  <w:vAlign w:val="center"/>
                </w:tcPr>
                <w:p>
                  <w:pPr>
                    <w:pStyle w:val="25"/>
                  </w:pPr>
                  <w:r>
                    <w:t>0.000004</w:t>
                  </w:r>
                </w:p>
              </w:tc>
            </w:tr>
          </w:tbl>
          <w:p>
            <w:r>
              <w:t>根据危险物质数量与临界量比值，确定Q=0.000004&lt;1。当Q&lt;1时，该项目风险期潜势为I，风险期潜势为I时，环境风险评价工作等级为简单分析。</w:t>
            </w:r>
          </w:p>
          <w:p>
            <w:r>
              <w:t>综上，本项目风险判定为简单评价。分析内容表见下表5-2。</w:t>
            </w:r>
          </w:p>
          <w:p>
            <w:pPr>
              <w:pStyle w:val="27"/>
              <w:spacing w:before="156"/>
            </w:pPr>
            <w:r>
              <w:t>表</w:t>
            </w:r>
            <w:r>
              <w:rPr>
                <w:rFonts w:hint="eastAsia"/>
              </w:rPr>
              <w:t>5-2</w:t>
            </w:r>
            <w:r>
              <w:t xml:space="preserve">  </w:t>
            </w:r>
            <w:r>
              <w:rPr>
                <w:rFonts w:hint="eastAsia"/>
              </w:rPr>
              <w:t xml:space="preserve"> 建设项目环境风险简单分析内容表</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18"/>
              <w:gridCol w:w="5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5"/>
                    <w:rPr>
                      <w:szCs w:val="21"/>
                      <w:vertAlign w:val="superscript"/>
                    </w:rPr>
                  </w:pPr>
                  <w:r>
                    <w:rPr>
                      <w:szCs w:val="21"/>
                    </w:rPr>
                    <w:t>建设项目名称</w:t>
                  </w:r>
                </w:p>
              </w:tc>
              <w:tc>
                <w:tcPr>
                  <w:tcW w:w="3505" w:type="pct"/>
                  <w:shd w:val="clear" w:color="auto" w:fill="auto"/>
                  <w:vAlign w:val="center"/>
                </w:tcPr>
                <w:p>
                  <w:pPr>
                    <w:pStyle w:val="25"/>
                    <w:rPr>
                      <w:szCs w:val="21"/>
                    </w:rPr>
                  </w:pPr>
                  <w:r>
                    <w:rPr>
                      <w:rFonts w:hint="eastAsia"/>
                    </w:rPr>
                    <w:t>新疆和静县帕勒特瓦日克沟铜矿勘探项目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5"/>
                    <w:rPr>
                      <w:szCs w:val="21"/>
                    </w:rPr>
                  </w:pPr>
                  <w:r>
                    <w:rPr>
                      <w:szCs w:val="21"/>
                    </w:rPr>
                    <w:t>建设地点</w:t>
                  </w:r>
                </w:p>
              </w:tc>
              <w:tc>
                <w:tcPr>
                  <w:tcW w:w="3505" w:type="pct"/>
                  <w:shd w:val="clear" w:color="auto" w:fill="auto"/>
                  <w:vAlign w:val="center"/>
                </w:tcPr>
                <w:p>
                  <w:pPr>
                    <w:pStyle w:val="25"/>
                    <w:rPr>
                      <w:szCs w:val="21"/>
                      <w:vertAlign w:val="superscript"/>
                    </w:rPr>
                  </w:pPr>
                  <w:r>
                    <w:t>新疆和</w:t>
                  </w:r>
                  <w:r>
                    <w:rPr>
                      <w:color w:val="000000" w:themeColor="text1"/>
                      <w14:textFill>
                        <w14:solidFill>
                          <w14:schemeClr w14:val="tx1"/>
                        </w14:solidFill>
                      </w14:textFill>
                    </w:rPr>
                    <w:t>静县克尔古提乡西</w:t>
                  </w:r>
                  <w:r>
                    <w:rPr>
                      <w:rFonts w:hint="eastAsia"/>
                      <w:color w:val="000000" w:themeColor="text1"/>
                      <w14:textFill>
                        <w14:solidFill>
                          <w14:schemeClr w14:val="tx1"/>
                        </w14:solidFill>
                      </w14:textFill>
                    </w:rPr>
                    <w:t>北</w:t>
                  </w:r>
                  <w:r>
                    <w:rPr>
                      <w:color w:val="000000" w:themeColor="text1"/>
                      <w14:textFill>
                        <w14:solidFill>
                          <w14:schemeClr w14:val="tx1"/>
                        </w14:solidFill>
                      </w14:textFill>
                    </w:rPr>
                    <w:t>约27</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°方向直距约</w:t>
                  </w:r>
                  <w:r>
                    <w:rPr>
                      <w:rFonts w:hint="eastAsia"/>
                      <w:color w:val="000000" w:themeColor="text1"/>
                      <w14:textFill>
                        <w14:solidFill>
                          <w14:schemeClr w14:val="tx1"/>
                        </w14:solidFill>
                      </w14:textFill>
                    </w:rPr>
                    <w:t>41</w:t>
                  </w:r>
                  <w:r>
                    <w:rPr>
                      <w:color w:val="000000" w:themeColor="text1"/>
                      <w14:textFill>
                        <w14:solidFill>
                          <w14:schemeClr w14:val="tx1"/>
                        </w14:solidFill>
                      </w14:textFill>
                    </w:rPr>
                    <w:t>千米处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5"/>
                    <w:rPr>
                      <w:szCs w:val="21"/>
                    </w:rPr>
                  </w:pPr>
                  <w:r>
                    <w:rPr>
                      <w:szCs w:val="21"/>
                    </w:rPr>
                    <w:t>地理坐标</w:t>
                  </w:r>
                </w:p>
              </w:tc>
              <w:tc>
                <w:tcPr>
                  <w:tcW w:w="3505" w:type="pct"/>
                  <w:shd w:val="clear" w:color="auto" w:fill="auto"/>
                  <w:vAlign w:val="center"/>
                </w:tcPr>
                <w:p>
                  <w:pPr>
                    <w:pStyle w:val="25"/>
                    <w:jc w:val="both"/>
                    <w:rPr>
                      <w:szCs w:val="21"/>
                    </w:rPr>
                  </w:pPr>
                  <w:r>
                    <w:t>勘查范围中心点坐标：86°24'34.241"E，42°30'22.410"N；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5"/>
                    <w:rPr>
                      <w:szCs w:val="21"/>
                    </w:rPr>
                  </w:pPr>
                  <w:r>
                    <w:rPr>
                      <w:szCs w:val="21"/>
                    </w:rPr>
                    <w:t>主要危险物质及分布</w:t>
                  </w:r>
                </w:p>
              </w:tc>
              <w:tc>
                <w:tcPr>
                  <w:tcW w:w="3505" w:type="pct"/>
                  <w:shd w:val="clear" w:color="auto" w:fill="auto"/>
                  <w:vAlign w:val="center"/>
                </w:tcPr>
                <w:p>
                  <w:pPr>
                    <w:pStyle w:val="25"/>
                    <w:rPr>
                      <w:szCs w:val="21"/>
                    </w:rPr>
                  </w:pPr>
                  <w:r>
                    <w:rPr>
                      <w:rFonts w:hint="eastAsia"/>
                      <w:color w:val="000000"/>
                      <w:szCs w:val="21"/>
                    </w:rPr>
                    <w:t>本项目主要危险物质为废矿物油储存在危险废物暂存间内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5"/>
                    <w:rPr>
                      <w:szCs w:val="21"/>
                    </w:rPr>
                  </w:pPr>
                  <w:r>
                    <w:rPr>
                      <w:szCs w:val="21"/>
                    </w:rPr>
                    <w:t>环境影响途径及危害后果（大气、地表水、地下水）</w:t>
                  </w:r>
                </w:p>
              </w:tc>
              <w:tc>
                <w:tcPr>
                  <w:tcW w:w="3505" w:type="pct"/>
                  <w:shd w:val="clear" w:color="auto" w:fill="auto"/>
                  <w:vAlign w:val="center"/>
                </w:tcPr>
                <w:p>
                  <w:pPr>
                    <w:pStyle w:val="25"/>
                    <w:rPr>
                      <w:szCs w:val="21"/>
                    </w:rPr>
                  </w:pPr>
                  <w:r>
                    <w:rPr>
                      <w:szCs w:val="21"/>
                    </w:rPr>
                    <w:t>柴油存在泄漏风险污染区域地下水；柴油存在火灾爆炸风险可能产生次生/伴生污染物污染大气环境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5"/>
                    <w:rPr>
                      <w:szCs w:val="21"/>
                    </w:rPr>
                  </w:pPr>
                  <w:r>
                    <w:rPr>
                      <w:szCs w:val="21"/>
                    </w:rPr>
                    <w:t>风险防范措施要求</w:t>
                  </w:r>
                </w:p>
              </w:tc>
              <w:tc>
                <w:tcPr>
                  <w:tcW w:w="3505" w:type="pct"/>
                  <w:shd w:val="clear" w:color="auto" w:fill="auto"/>
                  <w:vAlign w:val="center"/>
                </w:tcPr>
                <w:p>
                  <w:pPr>
                    <w:pStyle w:val="25"/>
                    <w:rPr>
                      <w:szCs w:val="21"/>
                    </w:rPr>
                  </w:pPr>
                  <w:r>
                    <w:rPr>
                      <w:szCs w:val="21"/>
                    </w:rPr>
                    <w:t>加强柴油机械设备的管理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5"/>
                    <w:rPr>
                      <w:szCs w:val="21"/>
                    </w:rPr>
                  </w:pPr>
                  <w:r>
                    <w:rPr>
                      <w:szCs w:val="21"/>
                    </w:rPr>
                    <w:t>填表说明（列出项目相关信息及评价说明）：</w:t>
                  </w:r>
                </w:p>
              </w:tc>
              <w:tc>
                <w:tcPr>
                  <w:tcW w:w="3505" w:type="pct"/>
                  <w:shd w:val="clear" w:color="auto" w:fill="auto"/>
                  <w:vAlign w:val="center"/>
                </w:tcPr>
                <w:p>
                  <w:pPr>
                    <w:pStyle w:val="25"/>
                    <w:rPr>
                      <w:szCs w:val="21"/>
                    </w:rPr>
                  </w:pPr>
                  <w:r>
                    <w:rPr>
                      <w:szCs w:val="21"/>
                    </w:rPr>
                    <w:t>不存在重大危险源，项目环境风险可以接受</w:t>
                  </w:r>
                </w:p>
              </w:tc>
            </w:tr>
          </w:tbl>
          <w:p>
            <w:pPr>
              <w:pStyle w:val="14"/>
              <w:ind w:firstLine="482" w:firstLineChars="200"/>
            </w:pPr>
            <w:bookmarkStart w:id="34" w:name="_Toc30952"/>
            <w:bookmarkStart w:id="35" w:name="_Toc2247557"/>
            <w:r>
              <w:t>7</w:t>
            </w:r>
            <w:r>
              <w:rPr>
                <w:rFonts w:hint="eastAsia"/>
              </w:rPr>
              <w:t>.2环境敏感目标概况</w:t>
            </w:r>
            <w:bookmarkEnd w:id="34"/>
            <w:bookmarkEnd w:id="35"/>
          </w:p>
          <w:p>
            <w:bookmarkStart w:id="36" w:name="_Toc420"/>
            <w:bookmarkStart w:id="37" w:name="_Toc2247558"/>
            <w:r>
              <w:rPr>
                <w:rFonts w:hint="eastAsia"/>
              </w:rPr>
              <w:t>（</w:t>
            </w:r>
            <w:r>
              <w:t>1</w:t>
            </w:r>
            <w:r>
              <w:rPr>
                <w:rFonts w:hint="eastAsia"/>
              </w:rPr>
              <w:t>）大气环境敏感目标调查</w:t>
            </w:r>
            <w:bookmarkEnd w:id="36"/>
            <w:bookmarkEnd w:id="37"/>
          </w:p>
          <w:p>
            <w:bookmarkStart w:id="38" w:name="_Toc2247559"/>
            <w:bookmarkStart w:id="39" w:name="_Toc24251"/>
            <w:r>
              <w:rPr>
                <w:rFonts w:hint="eastAsia"/>
              </w:rPr>
              <w:t>本项目柴油分期从和静县城购买，本项目不设置柴油储存区，柴油通过汽运至探矿区内。</w:t>
            </w:r>
          </w:p>
          <w:p>
            <w:r>
              <w:rPr>
                <w:rFonts w:hint="eastAsia"/>
              </w:rPr>
              <w:t>（2）地表水环境敏感目标调查</w:t>
            </w:r>
            <w:bookmarkEnd w:id="38"/>
            <w:bookmarkEnd w:id="39"/>
          </w:p>
          <w:p>
            <w:r>
              <w:rPr>
                <w:rFonts w:hint="eastAsia"/>
              </w:rPr>
              <w:t>项目产生的生产废水沉淀后循环使用，</w:t>
            </w:r>
            <w:r>
              <w:t>用于</w:t>
            </w:r>
            <w:r>
              <w:rPr>
                <w:rFonts w:hint="eastAsia"/>
              </w:rPr>
              <w:t>洒水抑尘和绿化</w:t>
            </w:r>
            <w:r>
              <w:t>，不外排。</w:t>
            </w:r>
            <w:r>
              <w:rPr>
                <w:rFonts w:hint="eastAsia"/>
              </w:rPr>
              <w:t>生活污水进入防渗化粪池（10m</w:t>
            </w:r>
            <w:r>
              <w:rPr>
                <w:rFonts w:hint="eastAsia"/>
                <w:vertAlign w:val="superscript"/>
              </w:rPr>
              <w:t>3</w:t>
            </w:r>
            <w:r>
              <w:rPr>
                <w:rFonts w:hint="eastAsia"/>
              </w:rPr>
              <w:t>）处理后自然蒸发。项目废水不会对地表水体产生影响。因此，项目不设地表水环境敏感目标。</w:t>
            </w:r>
          </w:p>
          <w:p>
            <w:bookmarkStart w:id="40" w:name="_Toc2247560"/>
            <w:bookmarkStart w:id="41" w:name="_Toc25863"/>
            <w:r>
              <w:rPr>
                <w:rFonts w:hint="eastAsia"/>
              </w:rPr>
              <w:t>（3）地下水环境敏感目标调查</w:t>
            </w:r>
            <w:bookmarkEnd w:id="40"/>
            <w:bookmarkEnd w:id="41"/>
          </w:p>
          <w:p>
            <w:r>
              <w:rPr>
                <w:rFonts w:hint="eastAsia"/>
              </w:rPr>
              <w:t>根据现场调查，项目周边均为山体，地势较高，且周边无居民饮用水水源，因此</w:t>
            </w:r>
            <w:r>
              <w:t>项目</w:t>
            </w:r>
            <w:r>
              <w:rPr>
                <w:rFonts w:hint="eastAsia"/>
              </w:rPr>
              <w:t>无</w:t>
            </w:r>
            <w:r>
              <w:t>地下水</w:t>
            </w:r>
            <w:r>
              <w:rPr>
                <w:rFonts w:hint="eastAsia"/>
              </w:rPr>
              <w:t>环境敏感目标</w:t>
            </w:r>
            <w:r>
              <w:t>。</w:t>
            </w:r>
          </w:p>
          <w:p>
            <w:pPr>
              <w:pStyle w:val="14"/>
              <w:ind w:firstLine="482" w:firstLineChars="200"/>
            </w:pPr>
            <w:bookmarkStart w:id="42" w:name="_Toc12060"/>
            <w:bookmarkStart w:id="43" w:name="_Toc2247561"/>
            <w:r>
              <w:t>7</w:t>
            </w:r>
            <w:r>
              <w:rPr>
                <w:rFonts w:hint="eastAsia"/>
              </w:rPr>
              <w:t>.3环境风险识别</w:t>
            </w:r>
            <w:bookmarkEnd w:id="42"/>
            <w:bookmarkEnd w:id="43"/>
          </w:p>
          <w:p>
            <w:r>
              <w:t>项目的风险识别主要从生产设施风险识别和生产过程所涉及的物质风险识别两方面着手。其中生产设施风险识别包括主要生产装置、贮运系统、公用工程系统、工程环保设施及辅助生产设施等；物质风险性识别包括生产中涉及的原辅材料、中间产品以及生产过程中排放的</w:t>
            </w:r>
            <w:r>
              <w:rPr>
                <w:rFonts w:hint="eastAsia"/>
              </w:rPr>
              <w:t>“</w:t>
            </w:r>
            <w:r>
              <w:t>三废</w:t>
            </w:r>
            <w:r>
              <w:rPr>
                <w:rFonts w:hint="eastAsia"/>
              </w:rPr>
              <w:t>”</w:t>
            </w:r>
            <w:r>
              <w:t>污染物等。</w:t>
            </w:r>
          </w:p>
          <w:p>
            <w:bookmarkStart w:id="44" w:name="_Toc2247562"/>
            <w:r>
              <w:rPr>
                <w:rFonts w:hint="eastAsia"/>
              </w:rPr>
              <w:t>（1）风险物质识别</w:t>
            </w:r>
            <w:bookmarkEnd w:id="44"/>
          </w:p>
          <w:p>
            <w:r>
              <w:rPr>
                <w:rFonts w:hint="eastAsia"/>
              </w:rPr>
              <w:t>根据对项目的原辅材料、中间产物和产品等进行分析，项目涉及的风险物质主要为柴油。</w:t>
            </w:r>
          </w:p>
          <w:p>
            <w:r>
              <w:t>柴油的物化特性见表</w:t>
            </w:r>
            <w:r>
              <w:rPr>
                <w:rFonts w:hint="eastAsia"/>
              </w:rPr>
              <w:t>5-</w:t>
            </w:r>
            <w:r>
              <w:t>3所示。</w:t>
            </w:r>
          </w:p>
          <w:p>
            <w:pPr>
              <w:pStyle w:val="27"/>
              <w:spacing w:before="156"/>
            </w:pPr>
            <w:r>
              <w:t>表</w:t>
            </w:r>
            <w:r>
              <w:rPr>
                <w:rFonts w:hint="eastAsia"/>
              </w:rPr>
              <w:t>5-</w:t>
            </w:r>
            <w:r>
              <w:t xml:space="preserve">3  </w:t>
            </w:r>
            <w:r>
              <w:rPr>
                <w:rFonts w:hint="eastAsia"/>
              </w:rPr>
              <w:t>废机油</w:t>
            </w:r>
            <w:r>
              <w:t>物理化学特性表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897"/>
              <w:gridCol w:w="975"/>
              <w:gridCol w:w="1128"/>
              <w:gridCol w:w="155"/>
              <w:gridCol w:w="579"/>
              <w:gridCol w:w="1719"/>
              <w:gridCol w:w="53"/>
              <w:gridCol w:w="82"/>
              <w:gridCol w:w="16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4" w:hRule="atLeast"/>
                <w:jc w:val="center"/>
              </w:trPr>
              <w:tc>
                <w:tcPr>
                  <w:tcW w:w="333" w:type="pct"/>
                  <w:vMerge w:val="restart"/>
                  <w:vAlign w:val="center"/>
                </w:tcPr>
                <w:p>
                  <w:pPr>
                    <w:pStyle w:val="17"/>
                    <w:spacing w:after="0" w:line="240" w:lineRule="auto"/>
                    <w:ind w:firstLine="0" w:firstLineChars="0"/>
                    <w:jc w:val="center"/>
                    <w:rPr>
                      <w:szCs w:val="21"/>
                    </w:rPr>
                  </w:pPr>
                  <w:r>
                    <w:rPr>
                      <w:szCs w:val="21"/>
                    </w:rPr>
                    <w:t>标识</w:t>
                  </w:r>
                </w:p>
              </w:tc>
              <w:tc>
                <w:tcPr>
                  <w:tcW w:w="578" w:type="pct"/>
                  <w:vAlign w:val="center"/>
                </w:tcPr>
                <w:p>
                  <w:pPr>
                    <w:pStyle w:val="17"/>
                    <w:spacing w:after="0" w:line="240" w:lineRule="auto"/>
                    <w:ind w:firstLine="0" w:firstLineChars="0"/>
                    <w:jc w:val="left"/>
                    <w:rPr>
                      <w:szCs w:val="21"/>
                    </w:rPr>
                  </w:pPr>
                  <w:r>
                    <w:rPr>
                      <w:szCs w:val="21"/>
                    </w:rPr>
                    <w:t>中文名</w:t>
                  </w:r>
                </w:p>
              </w:tc>
              <w:tc>
                <w:tcPr>
                  <w:tcW w:w="1455" w:type="pct"/>
                  <w:gridSpan w:val="3"/>
                  <w:vAlign w:val="center"/>
                </w:tcPr>
                <w:p>
                  <w:pPr>
                    <w:pStyle w:val="17"/>
                    <w:spacing w:after="0" w:line="240" w:lineRule="auto"/>
                    <w:ind w:firstLine="0" w:firstLineChars="0"/>
                    <w:jc w:val="center"/>
                    <w:rPr>
                      <w:szCs w:val="21"/>
                    </w:rPr>
                  </w:pPr>
                  <w:r>
                    <w:rPr>
                      <w:szCs w:val="21"/>
                    </w:rPr>
                    <w:t>废机油</w:t>
                  </w:r>
                </w:p>
              </w:tc>
              <w:tc>
                <w:tcPr>
                  <w:tcW w:w="1568" w:type="pct"/>
                  <w:gridSpan w:val="4"/>
                  <w:vAlign w:val="center"/>
                </w:tcPr>
                <w:p>
                  <w:pPr>
                    <w:pStyle w:val="17"/>
                    <w:spacing w:after="0" w:line="240" w:lineRule="auto"/>
                    <w:ind w:firstLine="0" w:firstLineChars="0"/>
                    <w:jc w:val="center"/>
                    <w:rPr>
                      <w:szCs w:val="21"/>
                    </w:rPr>
                  </w:pPr>
                  <w:r>
                    <w:rPr>
                      <w:szCs w:val="21"/>
                    </w:rPr>
                    <w:t>危险货物编号</w:t>
                  </w:r>
                </w:p>
              </w:tc>
              <w:tc>
                <w:tcPr>
                  <w:tcW w:w="1067" w:type="pct"/>
                  <w:vAlign w:val="center"/>
                </w:tcPr>
                <w:p>
                  <w:pPr>
                    <w:pStyle w:val="17"/>
                    <w:spacing w:after="0" w:line="240" w:lineRule="auto"/>
                    <w:ind w:firstLine="0" w:firstLineChars="0"/>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continue"/>
                  <w:vAlign w:val="center"/>
                </w:tcPr>
                <w:p>
                  <w:pPr>
                    <w:pStyle w:val="17"/>
                    <w:spacing w:after="0" w:line="240" w:lineRule="auto"/>
                    <w:ind w:firstLine="0" w:firstLineChars="0"/>
                    <w:jc w:val="center"/>
                    <w:rPr>
                      <w:szCs w:val="21"/>
                    </w:rPr>
                  </w:pPr>
                </w:p>
              </w:tc>
              <w:tc>
                <w:tcPr>
                  <w:tcW w:w="578" w:type="pct"/>
                  <w:vAlign w:val="center"/>
                </w:tcPr>
                <w:p>
                  <w:pPr>
                    <w:pStyle w:val="17"/>
                    <w:spacing w:after="0" w:line="240" w:lineRule="auto"/>
                    <w:ind w:firstLine="0" w:firstLineChars="0"/>
                    <w:jc w:val="left"/>
                    <w:rPr>
                      <w:szCs w:val="21"/>
                    </w:rPr>
                  </w:pPr>
                  <w:r>
                    <w:rPr>
                      <w:szCs w:val="21"/>
                    </w:rPr>
                    <w:t>英文名</w:t>
                  </w:r>
                </w:p>
              </w:tc>
              <w:tc>
                <w:tcPr>
                  <w:tcW w:w="1455" w:type="pct"/>
                  <w:gridSpan w:val="3"/>
                  <w:vAlign w:val="center"/>
                </w:tcPr>
                <w:p>
                  <w:pPr>
                    <w:pStyle w:val="17"/>
                    <w:spacing w:after="0" w:line="240" w:lineRule="auto"/>
                    <w:ind w:firstLine="0" w:firstLineChars="0"/>
                    <w:jc w:val="center"/>
                    <w:rPr>
                      <w:szCs w:val="21"/>
                    </w:rPr>
                  </w:pPr>
                  <w:r>
                    <w:rPr>
                      <w:szCs w:val="21"/>
                    </w:rPr>
                    <w:t>Lubricatingoil；Lubeoil</w:t>
                  </w:r>
                </w:p>
              </w:tc>
              <w:tc>
                <w:tcPr>
                  <w:tcW w:w="1568" w:type="pct"/>
                  <w:gridSpan w:val="4"/>
                  <w:vAlign w:val="center"/>
                </w:tcPr>
                <w:p>
                  <w:pPr>
                    <w:pStyle w:val="17"/>
                    <w:spacing w:after="0" w:line="240" w:lineRule="auto"/>
                    <w:ind w:firstLine="0" w:firstLineChars="0"/>
                    <w:jc w:val="center"/>
                    <w:rPr>
                      <w:szCs w:val="21"/>
                    </w:rPr>
                  </w:pPr>
                  <w:r>
                    <w:rPr>
                      <w:szCs w:val="21"/>
                    </w:rPr>
                    <w:t>CAS编号</w:t>
                  </w:r>
                </w:p>
              </w:tc>
              <w:tc>
                <w:tcPr>
                  <w:tcW w:w="1067" w:type="pct"/>
                  <w:vAlign w:val="center"/>
                </w:tcPr>
                <w:p>
                  <w:pPr>
                    <w:pStyle w:val="17"/>
                    <w:spacing w:after="0" w:line="240" w:lineRule="auto"/>
                    <w:ind w:firstLine="0" w:firstLineChars="0"/>
                    <w:jc w:val="center"/>
                    <w:rPr>
                      <w:szCs w:val="21"/>
                    </w:rPr>
                  </w:pPr>
                  <w:r>
                    <w:rPr>
                      <w:szCs w:val="21"/>
                    </w:rPr>
                    <w:t>106-50-3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4" w:hRule="atLeast"/>
                <w:jc w:val="center"/>
              </w:trPr>
              <w:tc>
                <w:tcPr>
                  <w:tcW w:w="333" w:type="pct"/>
                  <w:vMerge w:val="restart"/>
                  <w:vAlign w:val="center"/>
                </w:tcPr>
                <w:p>
                  <w:pPr>
                    <w:pStyle w:val="17"/>
                    <w:spacing w:after="0" w:line="240" w:lineRule="auto"/>
                    <w:ind w:firstLine="0" w:firstLineChars="0"/>
                    <w:jc w:val="center"/>
                    <w:rPr>
                      <w:szCs w:val="21"/>
                    </w:rPr>
                  </w:pPr>
                  <w:r>
                    <w:rPr>
                      <w:szCs w:val="21"/>
                    </w:rPr>
                    <w:t>理化性质</w:t>
                  </w:r>
                </w:p>
              </w:tc>
              <w:tc>
                <w:tcPr>
                  <w:tcW w:w="578" w:type="pct"/>
                  <w:vAlign w:val="center"/>
                </w:tcPr>
                <w:p>
                  <w:pPr>
                    <w:pStyle w:val="17"/>
                    <w:spacing w:after="0" w:line="240" w:lineRule="auto"/>
                    <w:ind w:firstLine="0" w:firstLineChars="0"/>
                    <w:jc w:val="left"/>
                    <w:rPr>
                      <w:szCs w:val="21"/>
                    </w:rPr>
                  </w:pPr>
                  <w:r>
                    <w:rPr>
                      <w:szCs w:val="21"/>
                    </w:rPr>
                    <w:t>性状</w:t>
                  </w:r>
                </w:p>
              </w:tc>
              <w:tc>
                <w:tcPr>
                  <w:tcW w:w="4090" w:type="pct"/>
                  <w:gridSpan w:val="8"/>
                  <w:vAlign w:val="center"/>
                </w:tcPr>
                <w:p>
                  <w:pPr>
                    <w:pStyle w:val="17"/>
                    <w:spacing w:after="0" w:line="240" w:lineRule="auto"/>
                    <w:ind w:firstLine="0" w:firstLineChars="0"/>
                    <w:jc w:val="center"/>
                    <w:rPr>
                      <w:szCs w:val="21"/>
                    </w:rPr>
                  </w:pPr>
                  <w:r>
                    <w:rPr>
                      <w:szCs w:val="21"/>
                    </w:rPr>
                    <w:t>有机酸、胶质和沥青状等物质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continue"/>
                  <w:vAlign w:val="center"/>
                </w:tcPr>
                <w:p>
                  <w:pPr>
                    <w:pStyle w:val="17"/>
                    <w:spacing w:after="0" w:line="240" w:lineRule="auto"/>
                    <w:ind w:firstLine="0" w:firstLineChars="0"/>
                    <w:jc w:val="center"/>
                    <w:rPr>
                      <w:szCs w:val="21"/>
                    </w:rPr>
                  </w:pPr>
                </w:p>
              </w:tc>
              <w:tc>
                <w:tcPr>
                  <w:tcW w:w="578" w:type="pct"/>
                  <w:vAlign w:val="center"/>
                </w:tcPr>
                <w:p>
                  <w:pPr>
                    <w:pStyle w:val="17"/>
                    <w:spacing w:after="0" w:line="240" w:lineRule="auto"/>
                    <w:ind w:firstLine="0" w:firstLineChars="0"/>
                    <w:jc w:val="left"/>
                    <w:rPr>
                      <w:szCs w:val="21"/>
                    </w:rPr>
                  </w:pPr>
                  <w:r>
                    <w:rPr>
                      <w:szCs w:val="21"/>
                    </w:rPr>
                    <w:t>溶解性</w:t>
                  </w:r>
                </w:p>
              </w:tc>
              <w:tc>
                <w:tcPr>
                  <w:tcW w:w="1355" w:type="pct"/>
                  <w:gridSpan w:val="2"/>
                  <w:vAlign w:val="center"/>
                </w:tcPr>
                <w:p>
                  <w:pPr>
                    <w:pStyle w:val="17"/>
                    <w:spacing w:after="0" w:line="240" w:lineRule="auto"/>
                    <w:ind w:firstLine="0" w:firstLineChars="0"/>
                    <w:jc w:val="center"/>
                    <w:rPr>
                      <w:szCs w:val="21"/>
                    </w:rPr>
                  </w:pPr>
                  <w:r>
                    <w:rPr>
                      <w:szCs w:val="21"/>
                    </w:rPr>
                    <w:t>不溶于水</w:t>
                  </w:r>
                </w:p>
              </w:tc>
              <w:tc>
                <w:tcPr>
                  <w:tcW w:w="1581" w:type="pct"/>
                  <w:gridSpan w:val="3"/>
                  <w:vAlign w:val="center"/>
                </w:tcPr>
                <w:p>
                  <w:pPr>
                    <w:pStyle w:val="17"/>
                    <w:spacing w:after="0" w:line="240" w:lineRule="auto"/>
                    <w:ind w:firstLine="0" w:firstLineChars="0"/>
                    <w:jc w:val="center"/>
                    <w:rPr>
                      <w:szCs w:val="21"/>
                    </w:rPr>
                  </w:pPr>
                  <w:r>
                    <w:rPr>
                      <w:szCs w:val="21"/>
                    </w:rPr>
                    <w:t>相对密度（水=1）</w:t>
                  </w:r>
                </w:p>
              </w:tc>
              <w:tc>
                <w:tcPr>
                  <w:tcW w:w="1154" w:type="pct"/>
                  <w:gridSpan w:val="3"/>
                  <w:vAlign w:val="center"/>
                </w:tcPr>
                <w:p>
                  <w:pPr>
                    <w:pStyle w:val="17"/>
                    <w:tabs>
                      <w:tab w:val="left" w:pos="0"/>
                    </w:tabs>
                    <w:spacing w:after="0" w:line="240" w:lineRule="auto"/>
                    <w:ind w:firstLine="0" w:firstLineChars="0"/>
                    <w:jc w:val="center"/>
                    <w:rPr>
                      <w:szCs w:val="21"/>
                    </w:rPr>
                  </w:pPr>
                  <w:r>
                    <w:rPr>
                      <w:szCs w:val="21"/>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38" w:hRule="atLeast"/>
                <w:jc w:val="center"/>
              </w:trPr>
              <w:tc>
                <w:tcPr>
                  <w:tcW w:w="333" w:type="pct"/>
                  <w:vMerge w:val="continue"/>
                  <w:vAlign w:val="center"/>
                </w:tcPr>
                <w:p>
                  <w:pPr>
                    <w:pStyle w:val="17"/>
                    <w:spacing w:after="0" w:line="240" w:lineRule="auto"/>
                    <w:ind w:firstLine="0" w:firstLineChars="0"/>
                    <w:jc w:val="center"/>
                    <w:rPr>
                      <w:szCs w:val="21"/>
                    </w:rPr>
                  </w:pPr>
                </w:p>
              </w:tc>
              <w:tc>
                <w:tcPr>
                  <w:tcW w:w="4667" w:type="pct"/>
                  <w:gridSpan w:val="9"/>
                  <w:vAlign w:val="center"/>
                </w:tcPr>
                <w:p>
                  <w:pPr>
                    <w:pStyle w:val="17"/>
                    <w:spacing w:after="0" w:line="240" w:lineRule="auto"/>
                    <w:ind w:firstLine="0" w:firstLineChars="0"/>
                    <w:jc w:val="left"/>
                    <w:rPr>
                      <w:szCs w:val="21"/>
                    </w:rPr>
                  </w:pPr>
                  <w:r>
                    <w:rPr>
                      <w:szCs w:val="21"/>
                    </w:rPr>
                    <w:t>主要是含碳原子数比较少的烃类物质，多数是不饱和烃。其主要成分是链长不等的碳氢化合物，性能稳定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restart"/>
                  <w:vAlign w:val="center"/>
                </w:tcPr>
                <w:p>
                  <w:pPr>
                    <w:pStyle w:val="17"/>
                    <w:spacing w:after="0" w:line="240" w:lineRule="auto"/>
                    <w:ind w:firstLine="0" w:firstLineChars="0"/>
                    <w:jc w:val="center"/>
                    <w:rPr>
                      <w:szCs w:val="21"/>
                    </w:rPr>
                  </w:pPr>
                  <w:r>
                    <w:rPr>
                      <w:szCs w:val="21"/>
                    </w:rPr>
                    <w:t>燃烧爆炸危险性</w:t>
                  </w:r>
                </w:p>
              </w:tc>
              <w:tc>
                <w:tcPr>
                  <w:tcW w:w="1206" w:type="pct"/>
                  <w:gridSpan w:val="2"/>
                  <w:vAlign w:val="center"/>
                </w:tcPr>
                <w:p>
                  <w:pPr>
                    <w:pStyle w:val="17"/>
                    <w:spacing w:after="0" w:line="240" w:lineRule="auto"/>
                    <w:ind w:firstLine="0" w:firstLineChars="0"/>
                    <w:jc w:val="left"/>
                    <w:rPr>
                      <w:szCs w:val="21"/>
                    </w:rPr>
                  </w:pPr>
                  <w:r>
                    <w:rPr>
                      <w:szCs w:val="21"/>
                    </w:rPr>
                    <w:t>燃烧性</w:t>
                  </w:r>
                </w:p>
              </w:tc>
              <w:tc>
                <w:tcPr>
                  <w:tcW w:w="1200" w:type="pct"/>
                  <w:gridSpan w:val="3"/>
                  <w:vAlign w:val="center"/>
                </w:tcPr>
                <w:p>
                  <w:pPr>
                    <w:pStyle w:val="17"/>
                    <w:spacing w:after="0" w:line="240" w:lineRule="auto"/>
                    <w:ind w:firstLine="0" w:firstLineChars="0"/>
                    <w:jc w:val="center"/>
                    <w:rPr>
                      <w:szCs w:val="21"/>
                    </w:rPr>
                  </w:pPr>
                  <w:r>
                    <w:rPr>
                      <w:szCs w:val="21"/>
                    </w:rPr>
                    <w:t>可燃</w:t>
                  </w:r>
                </w:p>
              </w:tc>
              <w:tc>
                <w:tcPr>
                  <w:tcW w:w="1142" w:type="pct"/>
                  <w:gridSpan w:val="2"/>
                  <w:vAlign w:val="center"/>
                </w:tcPr>
                <w:p>
                  <w:pPr>
                    <w:pStyle w:val="17"/>
                    <w:spacing w:after="0" w:line="240" w:lineRule="auto"/>
                    <w:ind w:firstLine="0" w:firstLineChars="0"/>
                    <w:jc w:val="center"/>
                    <w:rPr>
                      <w:szCs w:val="21"/>
                    </w:rPr>
                  </w:pPr>
                  <w:r>
                    <w:rPr>
                      <w:szCs w:val="21"/>
                    </w:rPr>
                    <w:t>闲点（℃）</w:t>
                  </w:r>
                </w:p>
              </w:tc>
              <w:tc>
                <w:tcPr>
                  <w:tcW w:w="1120" w:type="pct"/>
                  <w:gridSpan w:val="2"/>
                  <w:vAlign w:val="center"/>
                </w:tcPr>
                <w:p>
                  <w:pPr>
                    <w:pStyle w:val="17"/>
                    <w:spacing w:after="0" w:line="240" w:lineRule="auto"/>
                    <w:ind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4" w:hRule="atLeast"/>
                <w:jc w:val="center"/>
              </w:trPr>
              <w:tc>
                <w:tcPr>
                  <w:tcW w:w="333" w:type="pct"/>
                  <w:vMerge w:val="continue"/>
                  <w:vAlign w:val="center"/>
                </w:tcPr>
                <w:p>
                  <w:pPr>
                    <w:pStyle w:val="17"/>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1206" w:type="pct"/>
                  <w:gridSpan w:val="2"/>
                  <w:vAlign w:val="center"/>
                </w:tcPr>
                <w:p>
                  <w:pPr>
                    <w:pStyle w:val="17"/>
                    <w:spacing w:after="0" w:line="240" w:lineRule="auto"/>
                    <w:ind w:firstLine="0" w:firstLineChars="0"/>
                    <w:jc w:val="left"/>
                    <w:rPr>
                      <w:szCs w:val="21"/>
                    </w:rPr>
                  </w:pPr>
                  <w:r>
                    <w:rPr>
                      <w:szCs w:val="21"/>
                    </w:rPr>
                    <w:t>爆炸极限（%）</w:t>
                  </w:r>
                </w:p>
              </w:tc>
              <w:tc>
                <w:tcPr>
                  <w:tcW w:w="1200" w:type="pct"/>
                  <w:gridSpan w:val="3"/>
                  <w:vAlign w:val="center"/>
                </w:tcPr>
                <w:p>
                  <w:pPr>
                    <w:pStyle w:val="17"/>
                    <w:spacing w:after="0" w:line="240" w:lineRule="auto"/>
                    <w:ind w:firstLine="0" w:firstLineChars="0"/>
                    <w:jc w:val="center"/>
                    <w:rPr>
                      <w:szCs w:val="21"/>
                    </w:rPr>
                  </w:pPr>
                  <w:r>
                    <w:rPr>
                      <w:szCs w:val="21"/>
                    </w:rPr>
                    <w:t>无资料</w:t>
                  </w:r>
                </w:p>
              </w:tc>
              <w:tc>
                <w:tcPr>
                  <w:tcW w:w="1142" w:type="pct"/>
                  <w:gridSpan w:val="2"/>
                  <w:vAlign w:val="center"/>
                </w:tcPr>
                <w:p>
                  <w:pPr>
                    <w:pStyle w:val="17"/>
                    <w:spacing w:after="0" w:line="240" w:lineRule="auto"/>
                    <w:ind w:firstLine="0" w:firstLineChars="0"/>
                    <w:jc w:val="center"/>
                    <w:rPr>
                      <w:szCs w:val="21"/>
                    </w:rPr>
                  </w:pPr>
                  <w:r>
                    <w:rPr>
                      <w:szCs w:val="21"/>
                    </w:rPr>
                    <w:t>最小点火能（MJ）</w:t>
                  </w:r>
                </w:p>
              </w:tc>
              <w:tc>
                <w:tcPr>
                  <w:tcW w:w="1120" w:type="pct"/>
                  <w:gridSpan w:val="2"/>
                  <w:vAlign w:val="center"/>
                </w:tcPr>
                <w:p>
                  <w:pPr>
                    <w:pStyle w:val="17"/>
                    <w:spacing w:after="0" w:line="240" w:lineRule="auto"/>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continue"/>
                  <w:vAlign w:val="center"/>
                </w:tcPr>
                <w:p>
                  <w:pPr>
                    <w:pStyle w:val="17"/>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1206" w:type="pct"/>
                  <w:gridSpan w:val="2"/>
                  <w:vAlign w:val="center"/>
                </w:tcPr>
                <w:p>
                  <w:pPr>
                    <w:pStyle w:val="17"/>
                    <w:spacing w:after="0" w:line="240" w:lineRule="auto"/>
                    <w:ind w:firstLine="0" w:firstLineChars="0"/>
                    <w:jc w:val="left"/>
                    <w:rPr>
                      <w:szCs w:val="21"/>
                    </w:rPr>
                  </w:pPr>
                  <w:r>
                    <w:rPr>
                      <w:szCs w:val="21"/>
                    </w:rPr>
                    <w:t>危险特性</w:t>
                  </w:r>
                </w:p>
              </w:tc>
              <w:tc>
                <w:tcPr>
                  <w:tcW w:w="3462" w:type="pct"/>
                  <w:gridSpan w:val="7"/>
                  <w:vAlign w:val="center"/>
                </w:tcPr>
                <w:p>
                  <w:pPr>
                    <w:pStyle w:val="17"/>
                    <w:spacing w:after="0" w:line="240" w:lineRule="auto"/>
                    <w:ind w:firstLine="0" w:firstLineChars="0"/>
                    <w:jc w:val="center"/>
                    <w:rPr>
                      <w:szCs w:val="21"/>
                    </w:rPr>
                  </w:pPr>
                  <w:r>
                    <w:rPr>
                      <w:szCs w:val="21"/>
                    </w:rPr>
                    <w:t>遇明火、高热可燃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333" w:type="pct"/>
                  <w:vMerge w:val="continue"/>
                  <w:vAlign w:val="center"/>
                </w:tcPr>
                <w:p>
                  <w:pPr>
                    <w:pStyle w:val="17"/>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578" w:type="pct"/>
                  <w:vAlign w:val="center"/>
                </w:tcPr>
                <w:p>
                  <w:pPr>
                    <w:pStyle w:val="17"/>
                    <w:spacing w:after="0" w:line="240" w:lineRule="auto"/>
                    <w:ind w:firstLine="0" w:firstLineChars="0"/>
                    <w:jc w:val="center"/>
                    <w:rPr>
                      <w:szCs w:val="21"/>
                    </w:rPr>
                  </w:pPr>
                  <w:r>
                    <w:rPr>
                      <w:szCs w:val="21"/>
                    </w:rPr>
                    <w:t>灭火方法</w:t>
                  </w:r>
                </w:p>
              </w:tc>
              <w:tc>
                <w:tcPr>
                  <w:tcW w:w="4090" w:type="pct"/>
                  <w:gridSpan w:val="8"/>
                  <w:vAlign w:val="center"/>
                </w:tcPr>
                <w:p>
                  <w:pPr>
                    <w:pStyle w:val="17"/>
                    <w:spacing w:after="0" w:line="240" w:lineRule="auto"/>
                    <w:ind w:firstLine="0" w:firstLineChars="0"/>
                    <w:jc w:val="left"/>
                    <w:rPr>
                      <w:szCs w:val="21"/>
                    </w:rPr>
                  </w:pPr>
                  <w:r>
                    <w:rPr>
                      <w:szCs w:val="21"/>
                    </w:rPr>
                    <w:t>消防人员须佩戴防毒面具、穿全身消防服，在上风向灭火。尽可能将容器从火场移至空旷处。喷水保持火场容器冷却，直至灭火结束。处在火场中的容器若已变色或从安全泄压装置中产生声音，必须马上撤离。</w:t>
                  </w:r>
                </w:p>
                <w:p>
                  <w:pPr>
                    <w:pStyle w:val="17"/>
                    <w:spacing w:after="0" w:line="240" w:lineRule="auto"/>
                    <w:ind w:firstLine="0" w:firstLineChars="0"/>
                    <w:jc w:val="left"/>
                    <w:rPr>
                      <w:szCs w:val="21"/>
                    </w:rPr>
                  </w:pPr>
                  <w:r>
                    <w:rPr>
                      <w:szCs w:val="21"/>
                    </w:rPr>
                    <w:t>灭火剂</w:t>
                  </w:r>
                  <w:r>
                    <w:rPr>
                      <w:rFonts w:hint="eastAsia"/>
                      <w:szCs w:val="21"/>
                    </w:rPr>
                    <w:t>：</w:t>
                  </w:r>
                  <w:r>
                    <w:rPr>
                      <w:szCs w:val="21"/>
                    </w:rPr>
                    <w:t>雾状水、泡沫、干粉、二氧化碳、砂土。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continue"/>
                  <w:vAlign w:val="center"/>
                </w:tcPr>
                <w:p>
                  <w:pPr>
                    <w:pStyle w:val="17"/>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578" w:type="pct"/>
                  <w:vAlign w:val="center"/>
                </w:tcPr>
                <w:p>
                  <w:pPr>
                    <w:pStyle w:val="17"/>
                    <w:spacing w:after="0" w:line="240" w:lineRule="auto"/>
                    <w:ind w:firstLine="0" w:firstLineChars="0"/>
                    <w:jc w:val="center"/>
                    <w:rPr>
                      <w:szCs w:val="21"/>
                    </w:rPr>
                  </w:pPr>
                  <w:r>
                    <w:rPr>
                      <w:szCs w:val="21"/>
                    </w:rPr>
                    <w:t>燃烧产物</w:t>
                  </w:r>
                </w:p>
              </w:tc>
              <w:tc>
                <w:tcPr>
                  <w:tcW w:w="1828" w:type="pct"/>
                  <w:gridSpan w:val="4"/>
                  <w:vAlign w:val="center"/>
                </w:tcPr>
                <w:p>
                  <w:pPr>
                    <w:pStyle w:val="17"/>
                    <w:spacing w:after="0" w:line="240" w:lineRule="auto"/>
                    <w:ind w:firstLine="0" w:firstLineChars="0"/>
                    <w:rPr>
                      <w:szCs w:val="21"/>
                    </w:rPr>
                  </w:pPr>
                  <w:r>
                    <w:rPr>
                      <w:szCs w:val="21"/>
                    </w:rPr>
                    <w:t>一氧化碳、二氧化碳</w:t>
                  </w:r>
                </w:p>
              </w:tc>
              <w:tc>
                <w:tcPr>
                  <w:tcW w:w="1108" w:type="pct"/>
                  <w:vAlign w:val="center"/>
                </w:tcPr>
                <w:p>
                  <w:pPr>
                    <w:pStyle w:val="17"/>
                    <w:spacing w:after="0" w:line="240" w:lineRule="auto"/>
                    <w:ind w:firstLine="0" w:firstLineChars="0"/>
                    <w:rPr>
                      <w:szCs w:val="21"/>
                    </w:rPr>
                  </w:pPr>
                  <w:r>
                    <w:rPr>
                      <w:szCs w:val="21"/>
                    </w:rPr>
                    <w:t>聚合危害</w:t>
                  </w:r>
                </w:p>
              </w:tc>
              <w:tc>
                <w:tcPr>
                  <w:tcW w:w="1154" w:type="pct"/>
                  <w:gridSpan w:val="3"/>
                  <w:vAlign w:val="center"/>
                </w:tcPr>
                <w:p>
                  <w:pPr>
                    <w:pStyle w:val="17"/>
                    <w:spacing w:after="0" w:line="240" w:lineRule="auto"/>
                    <w:ind w:firstLine="0" w:firstLineChars="0"/>
                    <w:rPr>
                      <w:szCs w:val="21"/>
                    </w:rPr>
                  </w:pPr>
                  <w:r>
                    <w:rPr>
                      <w:szCs w:val="21"/>
                    </w:rPr>
                    <w:t>不聚合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33" w:type="pct"/>
                  <w:vMerge w:val="restart"/>
                  <w:vAlign w:val="center"/>
                </w:tcPr>
                <w:p>
                  <w:pPr>
                    <w:pStyle w:val="17"/>
                    <w:spacing w:after="0" w:line="240" w:lineRule="auto"/>
                    <w:ind w:firstLine="0" w:firstLineChars="0"/>
                    <w:jc w:val="center"/>
                    <w:rPr>
                      <w:szCs w:val="21"/>
                    </w:rPr>
                  </w:pPr>
                  <w:r>
                    <w:rPr>
                      <w:szCs w:val="21"/>
                    </w:rPr>
                    <w:t>健康危害</w:t>
                  </w:r>
                </w:p>
              </w:tc>
              <w:tc>
                <w:tcPr>
                  <w:tcW w:w="578" w:type="pct"/>
                  <w:vAlign w:val="center"/>
                </w:tcPr>
                <w:p>
                  <w:pPr>
                    <w:pStyle w:val="17"/>
                    <w:spacing w:after="0" w:line="240" w:lineRule="auto"/>
                    <w:ind w:firstLine="0" w:firstLineChars="0"/>
                    <w:jc w:val="center"/>
                    <w:rPr>
                      <w:szCs w:val="21"/>
                    </w:rPr>
                  </w:pPr>
                  <w:r>
                    <w:rPr>
                      <w:szCs w:val="21"/>
                    </w:rPr>
                    <w:t>危险特性</w:t>
                  </w:r>
                </w:p>
              </w:tc>
              <w:tc>
                <w:tcPr>
                  <w:tcW w:w="4090" w:type="pct"/>
                  <w:gridSpan w:val="8"/>
                  <w:vAlign w:val="center"/>
                </w:tcPr>
                <w:p>
                  <w:pPr>
                    <w:pStyle w:val="17"/>
                    <w:spacing w:after="0" w:line="240" w:lineRule="auto"/>
                    <w:ind w:firstLine="0" w:firstLineChars="0"/>
                    <w:rPr>
                      <w:szCs w:val="21"/>
                    </w:rPr>
                  </w:pPr>
                  <w:r>
                    <w:rPr>
                      <w:rFonts w:hint="eastAsia" w:ascii="宋体" w:hAnsi="宋体" w:cs="宋体"/>
                      <w:szCs w:val="21"/>
                    </w:rPr>
                    <w:t>①</w:t>
                  </w:r>
                  <w:r>
                    <w:rPr>
                      <w:szCs w:val="21"/>
                    </w:rPr>
                    <w:t>可通过呼吸道和皮肤进入肌体，导致中毒及其他并发症</w:t>
                  </w:r>
                  <w:r>
                    <w:rPr>
                      <w:rFonts w:hint="eastAsia" w:ascii="宋体" w:hAnsi="宋体" w:cs="宋体"/>
                      <w:szCs w:val="21"/>
                    </w:rPr>
                    <w:t>②</w:t>
                  </w:r>
                  <w:r>
                    <w:rPr>
                      <w:szCs w:val="21"/>
                    </w:rPr>
                    <w:t>易燃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33" w:type="pct"/>
                  <w:vMerge w:val="continue"/>
                  <w:vAlign w:val="center"/>
                </w:tcPr>
                <w:p>
                  <w:pPr>
                    <w:pStyle w:val="17"/>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578" w:type="pct"/>
                  <w:vAlign w:val="center"/>
                </w:tcPr>
                <w:p>
                  <w:pPr>
                    <w:pStyle w:val="17"/>
                    <w:spacing w:after="0" w:line="240" w:lineRule="auto"/>
                    <w:ind w:firstLine="0" w:firstLineChars="0"/>
                    <w:jc w:val="center"/>
                    <w:rPr>
                      <w:szCs w:val="21"/>
                    </w:rPr>
                  </w:pPr>
                  <w:r>
                    <w:rPr>
                      <w:szCs w:val="21"/>
                    </w:rPr>
                    <w:t>健康危害</w:t>
                  </w:r>
                </w:p>
              </w:tc>
              <w:tc>
                <w:tcPr>
                  <w:tcW w:w="4090" w:type="pct"/>
                  <w:gridSpan w:val="8"/>
                  <w:vAlign w:val="center"/>
                </w:tcPr>
                <w:p>
                  <w:pPr>
                    <w:pStyle w:val="17"/>
                    <w:spacing w:after="0" w:line="240" w:lineRule="auto"/>
                    <w:ind w:firstLine="0" w:firstLineChars="0"/>
                    <w:rPr>
                      <w:szCs w:val="21"/>
                    </w:rPr>
                  </w:pPr>
                  <w:r>
                    <w:rPr>
                      <w:rFonts w:hint="eastAsia" w:ascii="宋体" w:hAnsi="宋体" w:cs="宋体"/>
                      <w:szCs w:val="21"/>
                    </w:rPr>
                    <w:t>①</w:t>
                  </w:r>
                  <w:r>
                    <w:rPr>
                      <w:szCs w:val="21"/>
                    </w:rPr>
                    <w:t>高浓度吸入废矿物油蒸气引起急性中毒，表现为中毒性脑病，出现精神症状、意识障碍。极高浓度吸入引起意识突然丧失、反射性呼吸停止。误将废矿物油吸入呼吸道可引起吸入性肺炎。</w:t>
                  </w:r>
                  <w:r>
                    <w:rPr>
                      <w:rFonts w:hint="eastAsia" w:ascii="宋体" w:hAnsi="宋体" w:cs="宋体"/>
                      <w:szCs w:val="21"/>
                    </w:rPr>
                    <w:t>②</w:t>
                  </w:r>
                  <w:r>
                    <w:rPr>
                      <w:szCs w:val="21"/>
                    </w:rPr>
                    <w:t>皮肤较长时间接触引起灼伤，个别发生急性皮炎。</w:t>
                  </w:r>
                  <w:r>
                    <w:rPr>
                      <w:rFonts w:hint="eastAsia" w:ascii="宋体" w:hAnsi="宋体" w:cs="宋体"/>
                      <w:szCs w:val="21"/>
                    </w:rPr>
                    <w:t>③</w:t>
                  </w:r>
                  <w:r>
                    <w:rPr>
                      <w:szCs w:val="21"/>
                    </w:rPr>
                    <w:t>慢性中毒可引起周围神经病、中毒性脑病、肾脏损害。可致皮肤损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333" w:type="pct"/>
                  <w:vAlign w:val="center"/>
                </w:tcPr>
                <w:p>
                  <w:pPr>
                    <w:pStyle w:val="17"/>
                    <w:spacing w:after="0" w:line="240" w:lineRule="auto"/>
                    <w:ind w:firstLine="0" w:firstLineChars="0"/>
                    <w:jc w:val="center"/>
                    <w:rPr>
                      <w:szCs w:val="21"/>
                    </w:rPr>
                  </w:pPr>
                  <w:r>
                    <w:rPr>
                      <w:szCs w:val="21"/>
                    </w:rPr>
                    <w:t>对周围环境影响</w:t>
                  </w:r>
                </w:p>
              </w:tc>
              <w:tc>
                <w:tcPr>
                  <w:tcW w:w="4667" w:type="pct"/>
                  <w:gridSpan w:val="9"/>
                  <w:vAlign w:val="center"/>
                </w:tcPr>
                <w:p>
                  <w:pPr>
                    <w:pStyle w:val="17"/>
                    <w:spacing w:after="0" w:line="240" w:lineRule="auto"/>
                    <w:ind w:firstLine="0" w:firstLineChars="0"/>
                    <w:rPr>
                      <w:szCs w:val="21"/>
                    </w:rPr>
                  </w:pPr>
                  <w:r>
                    <w:rPr>
                      <w:szCs w:val="21"/>
                    </w:rPr>
                    <w:t>在很低的浓度下就能对水生生物造成危害；在土壤中具有极强的迁移性；具确一定的生物富集性；在低浓度时能生物降解；在高浓度时，可使微生物中毒，不易生物降解。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333" w:type="pct"/>
                  <w:vAlign w:val="center"/>
                </w:tcPr>
                <w:p>
                  <w:pPr>
                    <w:pStyle w:val="17"/>
                    <w:spacing w:after="0" w:line="240" w:lineRule="auto"/>
                    <w:ind w:firstLine="0" w:firstLineChars="0"/>
                    <w:jc w:val="center"/>
                    <w:rPr>
                      <w:szCs w:val="21"/>
                    </w:rPr>
                  </w:pPr>
                  <w:r>
                    <w:rPr>
                      <w:szCs w:val="21"/>
                    </w:rPr>
                    <w:t>急救</w:t>
                  </w:r>
                </w:p>
              </w:tc>
              <w:tc>
                <w:tcPr>
                  <w:tcW w:w="4667" w:type="pct"/>
                  <w:gridSpan w:val="9"/>
                  <w:vAlign w:val="center"/>
                </w:tcPr>
                <w:p>
                  <w:pPr>
                    <w:pStyle w:val="17"/>
                    <w:spacing w:after="0" w:line="240" w:lineRule="auto"/>
                    <w:ind w:firstLine="0" w:firstLineChars="0"/>
                    <w:rPr>
                      <w:szCs w:val="21"/>
                    </w:rPr>
                  </w:pPr>
                  <w:r>
                    <w:rPr>
                      <w:szCs w:val="21"/>
                    </w:rPr>
                    <w:t>皮肤接触：立即脱去被污染的衣着，用大量清水冲洗；眼睛接触</w:t>
                  </w:r>
                  <w:r>
                    <w:rPr>
                      <w:rFonts w:hint="eastAsia"/>
                      <w:szCs w:val="21"/>
                    </w:rPr>
                    <w:t>：</w:t>
                  </w:r>
                  <w:r>
                    <w:rPr>
                      <w:szCs w:val="21"/>
                    </w:rPr>
                    <w:t>立即提起眼睑，用大量流动清水或生理盐水冲洗，就医：吸入；迅速脱离现场至空气新鲜处，保持呼吸道通畅，如呼吸困难，给输氧</w:t>
                  </w:r>
                  <w:r>
                    <w:rPr>
                      <w:rFonts w:hint="eastAsia"/>
                      <w:szCs w:val="21"/>
                    </w:rPr>
                    <w:t>；</w:t>
                  </w:r>
                  <w:r>
                    <w:rPr>
                      <w:szCs w:val="21"/>
                    </w:rPr>
                    <w:t>如呼吸停止，立即进行人工呼吸，就医；食入</w:t>
                  </w:r>
                  <w:r>
                    <w:rPr>
                      <w:rFonts w:hint="eastAsia"/>
                      <w:szCs w:val="21"/>
                    </w:rPr>
                    <w:t>：</w:t>
                  </w:r>
                  <w:r>
                    <w:rPr>
                      <w:szCs w:val="21"/>
                    </w:rPr>
                    <w:t>饮足量温水，催吐，就医。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333" w:type="pct"/>
                  <w:vAlign w:val="center"/>
                </w:tcPr>
                <w:p>
                  <w:pPr>
                    <w:pStyle w:val="17"/>
                    <w:spacing w:after="0" w:line="240" w:lineRule="auto"/>
                    <w:ind w:firstLine="0" w:firstLineChars="0"/>
                    <w:jc w:val="center"/>
                    <w:rPr>
                      <w:szCs w:val="21"/>
                    </w:rPr>
                  </w:pPr>
                  <w:r>
                    <w:rPr>
                      <w:szCs w:val="21"/>
                    </w:rPr>
                    <w:t>防护</w:t>
                  </w:r>
                </w:p>
              </w:tc>
              <w:tc>
                <w:tcPr>
                  <w:tcW w:w="4667" w:type="pct"/>
                  <w:gridSpan w:val="9"/>
                  <w:vAlign w:val="center"/>
                </w:tcPr>
                <w:p>
                  <w:pPr>
                    <w:pStyle w:val="17"/>
                    <w:spacing w:after="0" w:line="240" w:lineRule="auto"/>
                    <w:ind w:firstLine="0" w:firstLineChars="0"/>
                    <w:rPr>
                      <w:szCs w:val="21"/>
                    </w:rPr>
                  </w:pPr>
                  <w:r>
                    <w:rPr>
                      <w:szCs w:val="21"/>
                    </w:rPr>
                    <w:t>工程控制：密闭操作，注意通风；呼吸系统防护：空气中浓度超标时，建议佩戴自吸过滤式防毒面具(半面罩)。紧急事态抢救或撤离时，应该佩戴空气呼吸器。眼睛防护:戴化学安全防护眼镜。身体防护</w:t>
                  </w:r>
                  <w:r>
                    <w:rPr>
                      <w:rFonts w:hint="eastAsia"/>
                      <w:szCs w:val="21"/>
                    </w:rPr>
                    <w:t>：</w:t>
                  </w:r>
                  <w:r>
                    <w:rPr>
                      <w:szCs w:val="21"/>
                    </w:rPr>
                    <w:t>穿防毒物渗透工作服；手防护：戴橡胶耐油手套；其他：工作现场严禁吸烟。避免长期反复接触。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333" w:type="pct"/>
                  <w:vAlign w:val="center"/>
                </w:tcPr>
                <w:p>
                  <w:pPr>
                    <w:pStyle w:val="17"/>
                    <w:spacing w:after="0" w:line="240" w:lineRule="auto"/>
                    <w:ind w:firstLine="0" w:firstLineChars="0"/>
                    <w:jc w:val="center"/>
                    <w:rPr>
                      <w:szCs w:val="21"/>
                    </w:rPr>
                  </w:pPr>
                  <w:r>
                    <w:rPr>
                      <w:szCs w:val="21"/>
                    </w:rPr>
                    <w:t>泄漏处理</w:t>
                  </w:r>
                </w:p>
              </w:tc>
              <w:tc>
                <w:tcPr>
                  <w:tcW w:w="4667" w:type="pct"/>
                  <w:gridSpan w:val="9"/>
                  <w:vAlign w:val="center"/>
                </w:tcPr>
                <w:p>
                  <w:pPr>
                    <w:pStyle w:val="17"/>
                    <w:spacing w:after="0" w:line="240" w:lineRule="auto"/>
                    <w:ind w:firstLine="0" w:firstLineChars="0"/>
                    <w:rPr>
                      <w:szCs w:val="21"/>
                    </w:rPr>
                  </w:pPr>
                  <w:r>
                    <w:rPr>
                      <w:szCs w:val="21"/>
                    </w:rPr>
                    <w:t>迅速撤离泄漏污染区人员至安全区，并进行隔离，严格限制出入。切断火源。建议应急处理人员戴自给正压式呼吸器，穿防毒服。尽可能切断泄漏源。防止流入下水道、排洪沟等限制性空间。小量泄漏：用砂土或其它不燃材料吸附或吸收。大量泄漏:构筑围堤或挖坑收容。用泵转移至槽车或专用收集器内，回收或运至废物处理场所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333" w:type="pct"/>
                  <w:vAlign w:val="center"/>
                </w:tcPr>
                <w:p>
                  <w:pPr>
                    <w:pStyle w:val="17"/>
                    <w:spacing w:after="0" w:line="240" w:lineRule="auto"/>
                    <w:ind w:firstLine="0" w:firstLineChars="0"/>
                    <w:jc w:val="center"/>
                    <w:rPr>
                      <w:szCs w:val="21"/>
                    </w:rPr>
                  </w:pPr>
                  <w:r>
                    <w:rPr>
                      <w:szCs w:val="21"/>
                    </w:rPr>
                    <w:t>储运</w:t>
                  </w:r>
                </w:p>
              </w:tc>
              <w:tc>
                <w:tcPr>
                  <w:tcW w:w="4667" w:type="pct"/>
                  <w:gridSpan w:val="9"/>
                  <w:vAlign w:val="center"/>
                </w:tcPr>
                <w:p>
                  <w:pPr>
                    <w:pStyle w:val="17"/>
                    <w:spacing w:after="0" w:line="240" w:lineRule="auto"/>
                    <w:ind w:firstLine="0" w:firstLineChars="0"/>
                    <w:rPr>
                      <w:szCs w:val="21"/>
                    </w:rPr>
                  </w:pPr>
                  <w:r>
                    <w:rPr>
                      <w:szCs w:val="21"/>
                    </w:rPr>
                    <w:t>储存于阴凉、通风的库房。远离火种、热源。应与氧化剂分开存放，切忌混储。配备相应品种和数量的消防器材。储区应备有泄漏应急处理设备和合适的收容材料。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bl>
          <w:p>
            <w:bookmarkStart w:id="45" w:name="_Toc2247563"/>
            <w:r>
              <w:rPr>
                <w:rFonts w:hint="eastAsia"/>
              </w:rPr>
              <w:t>（2）</w:t>
            </w:r>
            <w:r>
              <w:t>生产</w:t>
            </w:r>
            <w:r>
              <w:rPr>
                <w:rFonts w:hint="eastAsia"/>
              </w:rPr>
              <w:t>系统危险性识别</w:t>
            </w:r>
            <w:bookmarkEnd w:id="45"/>
          </w:p>
          <w:p>
            <w:r>
              <w:rPr>
                <w:rFonts w:hint="eastAsia"/>
              </w:rPr>
              <w:t>项目生产系统危险因素见表5-</w:t>
            </w:r>
            <w:r>
              <w:t>4</w:t>
            </w:r>
            <w:r>
              <w:rPr>
                <w:rFonts w:hint="eastAsia"/>
              </w:rPr>
              <w:t>。</w:t>
            </w:r>
          </w:p>
          <w:p>
            <w:pPr>
              <w:pStyle w:val="27"/>
              <w:spacing w:before="156"/>
            </w:pPr>
            <w:r>
              <w:t>表</w:t>
            </w:r>
            <w:r>
              <w:rPr>
                <w:rFonts w:hint="eastAsia"/>
              </w:rPr>
              <w:t>5-</w:t>
            </w:r>
            <w:r>
              <w:t>4  项目生产过程危害因素分析汇总一览表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9"/>
              <w:gridCol w:w="1165"/>
              <w:gridCol w:w="1164"/>
              <w:gridCol w:w="1606"/>
              <w:gridCol w:w="3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1" w:hRule="atLeast"/>
              </w:trPr>
              <w:tc>
                <w:tcPr>
                  <w:tcW w:w="489" w:type="pct"/>
                  <w:vAlign w:val="center"/>
                </w:tcPr>
                <w:p>
                  <w:pPr>
                    <w:pStyle w:val="28"/>
                  </w:pPr>
                  <w:r>
                    <w:t>序号</w:t>
                  </w:r>
                </w:p>
              </w:tc>
              <w:tc>
                <w:tcPr>
                  <w:tcW w:w="751" w:type="pct"/>
                  <w:vAlign w:val="center"/>
                </w:tcPr>
                <w:p>
                  <w:pPr>
                    <w:pStyle w:val="28"/>
                  </w:pPr>
                  <w:r>
                    <w:t>作业特点</w:t>
                  </w:r>
                </w:p>
              </w:tc>
              <w:tc>
                <w:tcPr>
                  <w:tcW w:w="750" w:type="pct"/>
                  <w:vAlign w:val="center"/>
                </w:tcPr>
                <w:p>
                  <w:pPr>
                    <w:pStyle w:val="28"/>
                  </w:pPr>
                  <w:r>
                    <w:t>物料名称</w:t>
                  </w:r>
                </w:p>
              </w:tc>
              <w:tc>
                <w:tcPr>
                  <w:tcW w:w="1035" w:type="pct"/>
                  <w:vAlign w:val="center"/>
                </w:tcPr>
                <w:p>
                  <w:pPr>
                    <w:pStyle w:val="28"/>
                  </w:pPr>
                  <w:r>
                    <w:t>危险因素</w:t>
                  </w:r>
                </w:p>
              </w:tc>
              <w:tc>
                <w:tcPr>
                  <w:tcW w:w="1976" w:type="pct"/>
                  <w:vAlign w:val="center"/>
                </w:tcPr>
                <w:p>
                  <w:pPr>
                    <w:pStyle w:val="28"/>
                  </w:pPr>
                  <w:r>
                    <w:t>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89" w:type="pct"/>
                  <w:vAlign w:val="center"/>
                </w:tcPr>
                <w:p>
                  <w:pPr>
                    <w:pStyle w:val="28"/>
                  </w:pPr>
                  <w:r>
                    <w:t>1</w:t>
                  </w:r>
                </w:p>
              </w:tc>
              <w:tc>
                <w:tcPr>
                  <w:tcW w:w="751" w:type="pct"/>
                  <w:vAlign w:val="center"/>
                </w:tcPr>
                <w:p>
                  <w:pPr>
                    <w:pStyle w:val="28"/>
                  </w:pPr>
                  <w:r>
                    <w:t>泄漏</w:t>
                  </w:r>
                </w:p>
              </w:tc>
              <w:tc>
                <w:tcPr>
                  <w:tcW w:w="750" w:type="pct"/>
                  <w:vAlign w:val="center"/>
                </w:tcPr>
                <w:p>
                  <w:pPr>
                    <w:pStyle w:val="28"/>
                  </w:pPr>
                  <w:r>
                    <w:rPr>
                      <w:rFonts w:hint="eastAsia"/>
                    </w:rPr>
                    <w:t>废机油</w:t>
                  </w:r>
                </w:p>
              </w:tc>
              <w:tc>
                <w:tcPr>
                  <w:tcW w:w="1035" w:type="pct"/>
                  <w:vAlign w:val="center"/>
                </w:tcPr>
                <w:p>
                  <w:pPr>
                    <w:pStyle w:val="28"/>
                  </w:pPr>
                  <w:r>
                    <w:t>火灾、爆炸、泄漏</w:t>
                  </w:r>
                </w:p>
              </w:tc>
              <w:tc>
                <w:tcPr>
                  <w:tcW w:w="1976" w:type="pct"/>
                  <w:vAlign w:val="center"/>
                </w:tcPr>
                <w:p>
                  <w:pPr>
                    <w:pStyle w:val="28"/>
                  </w:pPr>
                  <w:r>
                    <w:t>泄漏、火灾、污染土壤</w:t>
                  </w:r>
                  <w:r>
                    <w:rPr>
                      <w:rFonts w:hint="eastAsia"/>
                    </w:rPr>
                    <w:t>、地下水</w:t>
                  </w:r>
                  <w:r>
                    <w:t>或大气</w:t>
                  </w:r>
                </w:p>
              </w:tc>
            </w:tr>
          </w:tbl>
          <w:p>
            <w:bookmarkStart w:id="46" w:name="_Toc2247564"/>
            <w:bookmarkStart w:id="47" w:name="_Toc22748"/>
            <w:r>
              <w:rPr>
                <w:rFonts w:hint="eastAsia"/>
              </w:rPr>
              <w:t>（3）环境风险类型及危害分析</w:t>
            </w:r>
            <w:bookmarkEnd w:id="46"/>
            <w:bookmarkEnd w:id="47"/>
          </w:p>
          <w:p>
            <w:r>
              <w:rPr>
                <w:rFonts w:hint="eastAsia"/>
              </w:rPr>
              <w:t>根据对项目的物质和生产系统危险性的识别，项目可能发生的突发环境风险事件类型及危害分析见表5-</w:t>
            </w:r>
            <w:r>
              <w:t>5</w:t>
            </w:r>
            <w:r>
              <w:rPr>
                <w:rFonts w:hint="eastAsia"/>
              </w:rPr>
              <w:t>：</w:t>
            </w:r>
          </w:p>
          <w:p>
            <w:pPr>
              <w:pStyle w:val="27"/>
              <w:spacing w:before="156"/>
            </w:pPr>
            <w:r>
              <w:t>表</w:t>
            </w:r>
            <w:r>
              <w:rPr>
                <w:rFonts w:hint="eastAsia"/>
              </w:rPr>
              <w:t>5-</w:t>
            </w:r>
            <w:r>
              <w:t>5  项目</w:t>
            </w:r>
            <w:r>
              <w:rPr>
                <w:rFonts w:hint="eastAsia"/>
              </w:rPr>
              <w:t>环境风险类型及危害分析</w:t>
            </w:r>
            <w:r>
              <w:t>一览表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2"/>
              <w:gridCol w:w="1122"/>
              <w:gridCol w:w="1122"/>
              <w:gridCol w:w="1122"/>
              <w:gridCol w:w="3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Align w:val="center"/>
                </w:tcPr>
                <w:p>
                  <w:pPr>
                    <w:pStyle w:val="28"/>
                  </w:pPr>
                  <w:r>
                    <w:t>风险单元</w:t>
                  </w:r>
                </w:p>
              </w:tc>
              <w:tc>
                <w:tcPr>
                  <w:tcW w:w="723" w:type="pct"/>
                  <w:vAlign w:val="center"/>
                </w:tcPr>
                <w:p>
                  <w:pPr>
                    <w:pStyle w:val="28"/>
                  </w:pPr>
                  <w:r>
                    <w:t>危险设备</w:t>
                  </w:r>
                </w:p>
              </w:tc>
              <w:tc>
                <w:tcPr>
                  <w:tcW w:w="723" w:type="pct"/>
                  <w:vAlign w:val="center"/>
                </w:tcPr>
                <w:p>
                  <w:pPr>
                    <w:pStyle w:val="28"/>
                  </w:pPr>
                  <w:r>
                    <w:t>事故种类</w:t>
                  </w:r>
                </w:p>
              </w:tc>
              <w:tc>
                <w:tcPr>
                  <w:tcW w:w="723" w:type="pct"/>
                  <w:vAlign w:val="center"/>
                </w:tcPr>
                <w:p>
                  <w:pPr>
                    <w:pStyle w:val="28"/>
                  </w:pPr>
                  <w:r>
                    <w:t>产生原因</w:t>
                  </w:r>
                </w:p>
              </w:tc>
              <w:tc>
                <w:tcPr>
                  <w:tcW w:w="2107" w:type="pct"/>
                  <w:vAlign w:val="center"/>
                </w:tcPr>
                <w:p>
                  <w:pPr>
                    <w:pStyle w:val="28"/>
                  </w:pPr>
                  <w:r>
                    <w:rPr>
                      <w:rFonts w:hint="eastAsia"/>
                    </w:rPr>
                    <w:t>危害后果分析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Align w:val="center"/>
                </w:tcPr>
                <w:p>
                  <w:pPr>
                    <w:pStyle w:val="28"/>
                  </w:pPr>
                  <w:r>
                    <w:rPr>
                      <w:rFonts w:hint="eastAsia"/>
                    </w:rPr>
                    <w:t>危险废物暂存间</w:t>
                  </w:r>
                </w:p>
              </w:tc>
              <w:tc>
                <w:tcPr>
                  <w:tcW w:w="723" w:type="pct"/>
                  <w:vAlign w:val="center"/>
                </w:tcPr>
                <w:p>
                  <w:pPr>
                    <w:pStyle w:val="28"/>
                  </w:pPr>
                  <w:r>
                    <w:rPr>
                      <w:rFonts w:hint="eastAsia"/>
                    </w:rPr>
                    <w:t>废机油</w:t>
                  </w:r>
                </w:p>
              </w:tc>
              <w:tc>
                <w:tcPr>
                  <w:tcW w:w="723" w:type="pct"/>
                  <w:vAlign w:val="center"/>
                </w:tcPr>
                <w:p>
                  <w:pPr>
                    <w:pStyle w:val="28"/>
                  </w:pPr>
                  <w:r>
                    <w:rPr>
                      <w:rFonts w:hint="eastAsia"/>
                    </w:rPr>
                    <w:t>泄露</w:t>
                  </w:r>
                </w:p>
              </w:tc>
              <w:tc>
                <w:tcPr>
                  <w:tcW w:w="723" w:type="pct"/>
                  <w:vAlign w:val="center"/>
                </w:tcPr>
                <w:p>
                  <w:pPr>
                    <w:pStyle w:val="28"/>
                  </w:pPr>
                  <w:r>
                    <w:rPr>
                      <w:rFonts w:hint="eastAsia"/>
                    </w:rPr>
                    <w:t>容器破损</w:t>
                  </w:r>
                </w:p>
              </w:tc>
              <w:tc>
                <w:tcPr>
                  <w:tcW w:w="2107" w:type="pct"/>
                  <w:vAlign w:val="center"/>
                </w:tcPr>
                <w:p>
                  <w:pPr>
                    <w:pStyle w:val="28"/>
                  </w:pPr>
                  <w:r>
                    <w:rPr>
                      <w:rFonts w:hint="eastAsia"/>
                    </w:rPr>
                    <w:t>泄漏的废油渗入地下，对土壤、地下水环境产生影响</w:t>
                  </w:r>
                </w:p>
              </w:tc>
            </w:tr>
          </w:tbl>
          <w:p>
            <w:pPr>
              <w:pStyle w:val="14"/>
              <w:ind w:firstLine="482" w:firstLineChars="200"/>
            </w:pPr>
            <w:bookmarkStart w:id="48" w:name="_Toc2247565"/>
            <w:bookmarkStart w:id="49" w:name="_Toc9935"/>
            <w:r>
              <w:t>7</w:t>
            </w:r>
            <w:r>
              <w:rPr>
                <w:rFonts w:hint="eastAsia"/>
              </w:rPr>
              <w:t>.4环境风险分析</w:t>
            </w:r>
            <w:bookmarkEnd w:id="48"/>
            <w:bookmarkEnd w:id="49"/>
          </w:p>
          <w:p>
            <w:r>
              <w:rPr>
                <w:rFonts w:hint="eastAsia"/>
              </w:rPr>
              <w:t>（1）</w:t>
            </w:r>
            <w:r>
              <w:rPr>
                <w:rFonts w:ascii="Helvetica" w:hAnsi="Helvetica"/>
                <w:color w:val="111111"/>
                <w:shd w:val="clear" w:color="auto" w:fill="FFFFFF"/>
              </w:rPr>
              <w:t>泄漏事故</w:t>
            </w:r>
            <w:r>
              <w:rPr>
                <w:rFonts w:hint="eastAsia"/>
              </w:rPr>
              <w:t>对外环境的影响分析</w:t>
            </w:r>
          </w:p>
          <w:p>
            <w:r>
              <w:rPr>
                <w:rFonts w:hint="eastAsia"/>
              </w:rPr>
              <w:t>A、环境空气</w:t>
            </w:r>
          </w:p>
          <w:p>
            <w:r>
              <w:rPr>
                <w:rFonts w:hint="eastAsia"/>
              </w:rPr>
              <w:t>项目危险废物暂存间废机油泄漏后，会挥发油气，污染空气；遇到明火可能引起火灾，燃烧产物主要为CO</w:t>
            </w:r>
            <w:r>
              <w:rPr>
                <w:rFonts w:hint="eastAsia"/>
                <w:vertAlign w:val="subscript"/>
              </w:rPr>
              <w:t>2</w:t>
            </w:r>
            <w:r>
              <w:rPr>
                <w:rFonts w:hint="eastAsia"/>
              </w:rPr>
              <w:t>和</w:t>
            </w:r>
            <w:r>
              <w:rPr>
                <w:rFonts w:ascii="Helvetica" w:hAnsi="Helvetica"/>
                <w:color w:val="111111"/>
                <w:shd w:val="clear" w:color="auto" w:fill="FFFFFF"/>
              </w:rPr>
              <w:t>水蒸气</w:t>
            </w:r>
            <w:r>
              <w:rPr>
                <w:rFonts w:hint="eastAsia"/>
              </w:rPr>
              <w:t>，但不完全燃烧的产物中会含有一氧化碳等气体，同时伴随浓烟，挥发至空气中，会造成大气污染，会对人的健康造成危害；局部的燃烧还会进一步引发爆炸，进而扩大事故的危害。由于CO有毒性，当达到一定的浓度时，会影响人的造血功能及神经系统功能。所以发生火灾时，要注意防范对人群的危害。</w:t>
            </w:r>
          </w:p>
          <w:p>
            <w:r>
              <w:rPr>
                <w:rFonts w:hint="eastAsia"/>
              </w:rPr>
              <w:t>危险废物及时收集，危险废物暂存间做好防渗措施，由专人负责管理日常检查管理，危险物质发生泄露的可能性较小。</w:t>
            </w:r>
          </w:p>
          <w:p>
            <w:r>
              <w:rPr>
                <w:rFonts w:hint="eastAsia"/>
              </w:rPr>
              <w:t>B、地表水</w:t>
            </w:r>
          </w:p>
          <w:p>
            <w:r>
              <w:rPr>
                <w:rFonts w:hint="eastAsia"/>
              </w:rPr>
              <w:t>泄漏的废机油一旦进入地表河流，将造成地表河流的污染，影响范围小到几公里大到几十公里。污染首先将造成地表河流的景观破坏，产生严重的刺鼻气味；其次，由于有机烃类物质难溶于水，大部分上浮在水层表面，形成一层油膜使空气与水隔离，造成水中溶解氧浓度降低，逐渐形成死水，致使水中生物死亡；再次，成品油的主要成分是C</w:t>
            </w:r>
            <w:r>
              <w:rPr>
                <w:rFonts w:hint="eastAsia"/>
                <w:vertAlign w:val="subscript"/>
              </w:rPr>
              <w:t>4</w:t>
            </w:r>
            <w:r>
              <w:rPr>
                <w:rFonts w:hint="eastAsia"/>
              </w:rPr>
              <w:t>～C</w:t>
            </w:r>
            <w:r>
              <w:rPr>
                <w:rFonts w:hint="eastAsia"/>
                <w:vertAlign w:val="subscript"/>
              </w:rPr>
              <w:t>9</w:t>
            </w:r>
            <w:r>
              <w:rPr>
                <w:rFonts w:hint="eastAsia"/>
              </w:rPr>
              <w:t>的烃类、芳烃类、醇酮类以及卤代烃类有机物，一旦进入水环境，由于可生化性较差，造成被污染水体长时间得不到净化，完全恢复则需十几年</w:t>
            </w:r>
            <w:r>
              <w:rPr>
                <w:rFonts w:ascii="Helvetica" w:hAnsi="Helvetica"/>
                <w:color w:val="111111"/>
                <w:shd w:val="clear" w:color="auto" w:fill="FFFFFF"/>
              </w:rPr>
              <w:t>，甚至</w:t>
            </w:r>
            <w:r>
              <w:rPr>
                <w:rFonts w:hint="eastAsia"/>
              </w:rPr>
              <w:t>几十年的时间。</w:t>
            </w:r>
          </w:p>
          <w:p>
            <w:r>
              <w:rPr>
                <w:rFonts w:ascii="宋体" w:hAnsi="宋体" w:cs="宋体"/>
              </w:rPr>
              <w:t>设备发电所需柴油，现买现用，不存储柴油</w:t>
            </w:r>
            <w:r>
              <w:rPr>
                <w:rFonts w:hint="eastAsia"/>
              </w:rPr>
              <w:t>，区域内无地表水系，油品泄露不会对河流水质产生影响。因此，项目柴油油箱的运输不会对地表水环境产生影响。</w:t>
            </w:r>
          </w:p>
          <w:p>
            <w:r>
              <w:rPr>
                <w:rFonts w:hint="eastAsia"/>
              </w:rPr>
              <w:t>C、地下水和土壤</w:t>
            </w:r>
          </w:p>
          <w:p>
            <w:r>
              <w:rPr>
                <w:rFonts w:hint="eastAsia"/>
              </w:rPr>
              <w:t>废机油流入土壤孔隙，可降低土壤的通透性，抑制土壤中酶活性，使土壤生物减少。油品洒落地区形成土壤的局部污染，一般而言，油品集中于土壤表层0~20cm范围内，这便使得根系分布于此深度的植物不能生长。因此需要加强生产管理和监督，采取有效的防范措施，防止和减轻废机油泄漏造成的污染。</w:t>
            </w:r>
          </w:p>
          <w:p>
            <w:r>
              <w:rPr>
                <w:rFonts w:hint="eastAsia"/>
              </w:rPr>
              <w:t>综上所述，</w:t>
            </w:r>
            <w:r>
              <w:rPr>
                <w:rFonts w:ascii="宋体" w:hAnsi="宋体" w:cs="宋体"/>
              </w:rPr>
              <w:t>设备发电所需柴油，现买现用，不存储柴油</w:t>
            </w:r>
            <w:r>
              <w:rPr>
                <w:rFonts w:hint="eastAsia"/>
              </w:rPr>
              <w:t>，废机油产生量较少，因此对大气、地表水、地下水环境影响较小。</w:t>
            </w:r>
          </w:p>
          <w:p>
            <w:r>
              <w:rPr>
                <w:rFonts w:hint="eastAsia"/>
              </w:rPr>
              <w:t>（2）火灾爆炸对环境危害性分析</w:t>
            </w:r>
          </w:p>
          <w:p>
            <w:r>
              <w:rPr>
                <w:rFonts w:hint="eastAsia"/>
              </w:rPr>
              <w:t>危废暂存间若要发生火灾及爆炸，必须具备下列条件：</w:t>
            </w:r>
          </w:p>
          <w:p>
            <w:r>
              <w:rPr>
                <w:rFonts w:hint="eastAsia"/>
              </w:rPr>
              <w:t>a、油类泄漏或油气蒸发；</w:t>
            </w:r>
          </w:p>
          <w:p>
            <w:r>
              <w:rPr>
                <w:rFonts w:hint="eastAsia"/>
              </w:rPr>
              <w:t>b、有足够的空气助燃；</w:t>
            </w:r>
          </w:p>
          <w:p>
            <w:r>
              <w:rPr>
                <w:rFonts w:hint="eastAsia"/>
              </w:rPr>
              <w:t>c、油气必须与空气混合，并达到一定的浓度；</w:t>
            </w:r>
          </w:p>
          <w:p>
            <w:r>
              <w:rPr>
                <w:rFonts w:hint="eastAsia"/>
              </w:rPr>
              <w:t>d、现场有明火。</w:t>
            </w:r>
          </w:p>
          <w:p>
            <w:r>
              <w:rPr>
                <w:rFonts w:hint="eastAsia"/>
              </w:rPr>
              <w:t>只有以上四个条件同时具备时，才可能发生火灾和爆炸。会造成人员伤亡和财产损失，并且还会造成生态环境的破坏。</w:t>
            </w:r>
          </w:p>
          <w:p>
            <w:r>
              <w:rPr>
                <w:rFonts w:hint="eastAsia"/>
              </w:rPr>
              <w:t>经现场踏勘，</w:t>
            </w:r>
            <w:r>
              <w:rPr>
                <w:rFonts w:ascii="宋体" w:hAnsi="宋体" w:cs="宋体"/>
              </w:rPr>
              <w:t>设备发电所需柴油，现买现用，不存储柴油</w:t>
            </w:r>
            <w:r>
              <w:rPr>
                <w:rFonts w:hint="eastAsia"/>
              </w:rPr>
              <w:t>，危险废物贮存量较小，因此对其产生影响较小。</w:t>
            </w:r>
          </w:p>
          <w:p>
            <w:pPr>
              <w:pStyle w:val="14"/>
              <w:ind w:firstLine="482" w:firstLineChars="200"/>
            </w:pPr>
            <w:r>
              <w:t>7</w:t>
            </w:r>
            <w:r>
              <w:rPr>
                <w:rFonts w:hint="eastAsia"/>
              </w:rPr>
              <w:t>.5风险防范措施</w:t>
            </w:r>
          </w:p>
          <w:p>
            <w:r>
              <w:rPr>
                <w:rFonts w:hint="eastAsia"/>
              </w:rPr>
              <w:t>（1）临时堆存弃土溃坝风险防范措施</w:t>
            </w:r>
          </w:p>
          <w:p>
            <w:r>
              <w:rPr>
                <w:rFonts w:hint="eastAsia"/>
              </w:rPr>
              <w:t>1）建设单位应减少表土和废石临时堆存时间，及时进行复垦；</w:t>
            </w:r>
          </w:p>
          <w:p>
            <w:r>
              <w:rPr>
                <w:rFonts w:hint="eastAsia"/>
              </w:rPr>
              <w:t>2）建设单位在临时弃土堆存时应采用彩条布进行覆盖，避免强暴雨季节雨水冲刷。</w:t>
            </w:r>
          </w:p>
          <w:p>
            <w:r>
              <w:rPr>
                <w:rFonts w:hint="eastAsia"/>
              </w:rPr>
              <w:t>（2）防火灾措施</w:t>
            </w:r>
          </w:p>
          <w:p>
            <w:r>
              <w:t>1</w:t>
            </w:r>
            <w:r>
              <w:rPr>
                <w:rFonts w:hint="eastAsia"/>
              </w:rPr>
              <w:t>）健全安全生产和管理检查制度，配备专职人员定期检查，确保易燃物质储存和使用的安全性，避免因管理和使用不当导致的火灾事故发生。</w:t>
            </w:r>
          </w:p>
          <w:p>
            <w:r>
              <w:t>2</w:t>
            </w:r>
            <w:r>
              <w:rPr>
                <w:rFonts w:hint="eastAsia"/>
              </w:rPr>
              <w:t>）设立专门的安全和环境管理机构，制定日常管理措施。</w:t>
            </w:r>
          </w:p>
          <w:p>
            <w:r>
              <w:t>3</w:t>
            </w:r>
            <w:r>
              <w:rPr>
                <w:rFonts w:hint="eastAsia"/>
              </w:rPr>
              <w:t>）对工作人员进行火灾事态时的报警和消防培训，平时加强消防知识的宣传和教育。</w:t>
            </w:r>
          </w:p>
          <w:p>
            <w:r>
              <w:rPr>
                <w:rFonts w:hint="eastAsia"/>
              </w:rPr>
              <w:t>4）危废暂存间应配置足够量的泡沫、干粉灭火器等消防器材。灭火器应本着分散与集中相结合的原则进行布点。管理人员应懂得防火常识、灭火知识，并能够熟练掌握灭火器。灭火器要经常检查。</w:t>
            </w:r>
          </w:p>
          <w:p>
            <w:r>
              <w:rPr>
                <w:rFonts w:hint="eastAsia"/>
              </w:rPr>
              <w:t>（</w:t>
            </w:r>
            <w:r>
              <w:t>3</w:t>
            </w:r>
            <w:r>
              <w:rPr>
                <w:rFonts w:hint="eastAsia"/>
              </w:rPr>
              <w:t>）防泄漏措施</w:t>
            </w:r>
          </w:p>
          <w:p>
            <w:r>
              <w:rPr>
                <w:rFonts w:hint="eastAsia"/>
              </w:rPr>
              <w:t>1）危废暂存间应严格落实本次评价提出的防渗措施，加强重点防渗措施。</w:t>
            </w:r>
          </w:p>
          <w:p>
            <w:r>
              <w:rPr>
                <w:rFonts w:hint="eastAsia"/>
              </w:rPr>
              <w:t>2）废机油存储容器密封性应良好，放置时须防破碎，在不影响生产的情况下，尽可能减少机油润滑油的储存量；机油润滑油入库后应采取适当的养护措施，在储存期内应定期检查，发现其品质变化、包装破碎、泄漏等情况，应及时清理处置。</w:t>
            </w:r>
          </w:p>
          <w:p>
            <w:r>
              <w:rPr>
                <w:rFonts w:hint="eastAsia"/>
              </w:rPr>
              <w:t>3）搬运、装卸废机油时应按照有关规定进行，做到轻装、轻卸。严禁摔、碰、撞、击、拖拉、倾斜和滚动。</w:t>
            </w:r>
          </w:p>
          <w:p>
            <w:r>
              <w:rPr>
                <w:rFonts w:hint="eastAsia"/>
              </w:rPr>
              <w:t>4）在柴油发电机停放位置及维修区域下方放置防漏托盘或油盘。这些托盘应该有足够的容积来收集可能泄漏的油液；将停放和维修区域的地表进行硬化处理，如铺设混凝土或者沥青，并在下面设置防水层以防止油液渗透到土壤中，在停放和维修区域周围设置围堰或挡油坝，用于拦截任何溢出的油液，避免其扩散到更广阔的环境中。</w:t>
            </w:r>
          </w:p>
          <w:p>
            <w:r>
              <w:rPr>
                <w:rFonts w:hint="eastAsia"/>
              </w:rPr>
              <w:t>5）定期对设备进行检查，确保没有泄漏迹象。同时也要经常检查防漏设施的有效性，并及时更换磨损的部件。对员工进行环境保护意识的培训，教育他们如何正确操作设备，以及在发生泄漏时应采取的紧急措施。</w:t>
            </w:r>
          </w:p>
          <w:p>
            <w:r>
              <w:rPr>
                <w:rFonts w:hint="eastAsia"/>
              </w:rPr>
              <w:t>（4）柴油质量控制要求</w:t>
            </w:r>
          </w:p>
          <w:p>
            <w:r>
              <w:t>1</w:t>
            </w:r>
            <w:r>
              <w:rPr>
                <w:rFonts w:hint="eastAsia"/>
              </w:rPr>
              <w:t>）</w:t>
            </w:r>
            <w:r>
              <w:t>确保柴油符合国家相关标准，如GB19147《车用柴油》标准。定期检测柴油的各项指标，如硫含量、密度、闪点、黏度、冷滤点等。</w:t>
            </w:r>
          </w:p>
          <w:p>
            <w:r>
              <w:t>2</w:t>
            </w:r>
            <w:r>
              <w:rPr>
                <w:rFonts w:hint="eastAsia"/>
              </w:rPr>
              <w:t>）</w:t>
            </w:r>
            <w:r>
              <w:t>选择有资质的供应商，确保其提供的柴油质量可靠。定期对供应商进行评估，确保其持续符合质量要求。</w:t>
            </w:r>
          </w:p>
          <w:p>
            <w:r>
              <w:t>3</w:t>
            </w:r>
            <w:r>
              <w:rPr>
                <w:rFonts w:hint="eastAsia"/>
              </w:rPr>
              <w:t>）</w:t>
            </w:r>
            <w:r>
              <w:t>在运输过程中，确保柴油不受污染，使用专用油罐车运输。虽然项目不设置专门的柴油储存场所，但在加油过程中应确保油箱清洁，避免杂质进入</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7" w:hRule="atLeast"/>
          <w:jc w:val="center"/>
        </w:trPr>
        <w:tc>
          <w:tcPr>
            <w:tcW w:w="258" w:type="pct"/>
            <w:tcMar>
              <w:left w:w="28" w:type="dxa"/>
              <w:right w:w="28" w:type="dxa"/>
            </w:tcMar>
            <w:vAlign w:val="center"/>
          </w:tcPr>
          <w:p>
            <w:pPr>
              <w:ind w:firstLine="0" w:firstLineChars="0"/>
              <w:jc w:val="center"/>
              <w:rPr>
                <w:rFonts w:ascii="宋体" w:hAnsi="宋体"/>
                <w:bCs/>
              </w:rPr>
            </w:pPr>
            <w:r>
              <w:rPr>
                <w:rFonts w:hint="eastAsia"/>
              </w:rPr>
              <w:t>运营期生态环境保护措施</w:t>
            </w:r>
          </w:p>
        </w:tc>
        <w:tc>
          <w:tcPr>
            <w:tcW w:w="4741" w:type="pct"/>
            <w:vAlign w:val="center"/>
          </w:tcPr>
          <w:p>
            <w:pPr>
              <w:ind w:firstLine="0" w:firstLineChars="0"/>
              <w:jc w:val="center"/>
            </w:pPr>
            <w:r>
              <w:rPr>
                <w:rFonts w:hint="eastAsia"/>
              </w:rPr>
              <w:t>本项目仅涉及勘探施工，不涉及采矿，所以没有运营期。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258" w:type="pct"/>
            <w:tcMar>
              <w:left w:w="28" w:type="dxa"/>
              <w:right w:w="28" w:type="dxa"/>
            </w:tcMar>
            <w:vAlign w:val="center"/>
          </w:tcPr>
          <w:p>
            <w:pPr>
              <w:pStyle w:val="25"/>
            </w:pPr>
            <w:r>
              <w:rPr>
                <w:rFonts w:hint="eastAsia"/>
              </w:rPr>
              <w:t>其他</w:t>
            </w:r>
          </w:p>
        </w:tc>
        <w:tc>
          <w:tcPr>
            <w:tcW w:w="4741" w:type="pct"/>
            <w:vAlign w:val="center"/>
          </w:tcPr>
          <w:p>
            <w:pPr>
              <w:pStyle w:val="14"/>
              <w:ind w:firstLine="482" w:firstLineChars="200"/>
            </w:pPr>
            <w:r>
              <w:rPr>
                <w:rFonts w:hint="eastAsia"/>
              </w:rPr>
              <w:t>7</w:t>
            </w:r>
            <w:r>
              <w:t>.</w:t>
            </w:r>
            <w:r>
              <w:rPr>
                <w:rFonts w:hint="eastAsia"/>
              </w:rPr>
              <w:t>7</w:t>
            </w:r>
            <w:r>
              <w:t>环境管理建议</w:t>
            </w:r>
          </w:p>
          <w:p>
            <w:r>
              <w:rPr>
                <w:rFonts w:hint="eastAsia"/>
              </w:rPr>
              <w:t>（1）施工期环境保护管理计划</w:t>
            </w:r>
          </w:p>
          <w:p>
            <w:r>
              <w:t>施工期环保管理的中心工作是：在抓好工程施工建设的同时，防止和控制施工活动对环境可能造成的污染或破坏，具体内容是：</w:t>
            </w:r>
          </w:p>
          <w:p>
            <w:r>
              <w:rPr>
                <w:rFonts w:hint="eastAsia"/>
              </w:rPr>
              <w:t>1）严格落实施工期生态保护措施，制定切实可行的恢复植被计划，控制施工占地面积、规定行车路线、限制人为活动范围。</w:t>
            </w:r>
          </w:p>
          <w:p>
            <w:r>
              <w:rPr>
                <w:rFonts w:hint="eastAsia"/>
              </w:rPr>
              <w:t>2）</w:t>
            </w:r>
            <w:r>
              <w:t>制定工程建设过程中的污染防治措施、环保管理措施和实施办法，负责施工过程中的环保工作，督促和检查施工过程中环保措施的执行情况，发现问题，及时解决。</w:t>
            </w:r>
          </w:p>
          <w:p>
            <w:r>
              <w:rPr>
                <w:rFonts w:hint="eastAsia"/>
              </w:rPr>
              <w:t>3）</w:t>
            </w:r>
            <w:r>
              <w:t>负责对施工过程中的污染源管理，合理安排施工机械的运行及施工作业时间，最大限度地减少施工作业产生的噪声、扬尘对环境的影响。</w:t>
            </w:r>
          </w:p>
          <w:p>
            <w:r>
              <w:rPr>
                <w:rFonts w:hint="eastAsia"/>
              </w:rPr>
              <w:t>4）</w:t>
            </w:r>
            <w:r>
              <w:t>对施工过程中产生的废料、生活垃圾及生活污水等进行集中统一处置，防止对环境造成不利影响。</w:t>
            </w:r>
          </w:p>
          <w:p>
            <w:r>
              <w:rPr>
                <w:rFonts w:hint="eastAsia"/>
              </w:rPr>
              <w:t>5）</w:t>
            </w:r>
            <w:r>
              <w:t>参与施工作业管理及计划安排，防止施工造成长时间的交通中断、交通堵塞，以及公共服务设施如水、电、气、通讯等的中断。</w:t>
            </w:r>
          </w:p>
          <w:p>
            <w:r>
              <w:rPr>
                <w:rFonts w:hint="eastAsia"/>
              </w:rPr>
              <w:t>6）</w:t>
            </w:r>
            <w:r>
              <w:t>参与施工运输作业的管理，防止运输过程中弃土沿途洒落，影响城市环境卫生及产生二次扬尘。</w:t>
            </w:r>
          </w:p>
          <w:p>
            <w:r>
              <w:rPr>
                <w:rFonts w:hint="eastAsia"/>
              </w:rPr>
              <w:t>7）施工过程产生的危险废物集中收集后暂存于危险废物暂存间，由专人负责管理。</w:t>
            </w:r>
          </w:p>
          <w:p>
            <w:r>
              <w:rPr>
                <w:rFonts w:hint="eastAsia"/>
              </w:rPr>
              <w:t>（2）环境管理任务</w:t>
            </w:r>
          </w:p>
          <w:p>
            <w:r>
              <w:rPr>
                <w:rFonts w:hint="eastAsia"/>
              </w:rPr>
              <w:t>1）</w:t>
            </w:r>
            <w:r>
              <w:t>施工筹建期</w:t>
            </w:r>
          </w:p>
          <w:p>
            <w:r>
              <w:rPr>
                <w:rFonts w:hint="eastAsia" w:ascii="宋体" w:hAnsi="宋体" w:cs="宋体"/>
              </w:rPr>
              <w:t>①</w:t>
            </w:r>
            <w:r>
              <w:t>审核工程环境影响评价成果，保证环境影响报告中有关环境保护的措施列入工程最终设计文件。</w:t>
            </w:r>
          </w:p>
          <w:p>
            <w:r>
              <w:rPr>
                <w:rFonts w:hint="eastAsia" w:ascii="宋体" w:hAnsi="宋体" w:cs="宋体"/>
              </w:rPr>
              <w:t>②</w:t>
            </w:r>
            <w:r>
              <w:t>根据环境影响报告和环境保护设计报告，负责工程招投标文件及合同文件中相关环境保护条款的编制。</w:t>
            </w:r>
          </w:p>
          <w:p>
            <w:r>
              <w:fldChar w:fldCharType="begin"/>
            </w:r>
            <w:r>
              <w:instrText xml:space="preserve"> = 3 \* GB3 \* MERGEFORMAT </w:instrText>
            </w:r>
            <w:r>
              <w:fldChar w:fldCharType="separate"/>
            </w:r>
            <w:r>
              <w:rPr>
                <w:rFonts w:hint="eastAsia" w:ascii="宋体" w:hAnsi="宋体" w:cs="宋体"/>
              </w:rPr>
              <w:t>③</w:t>
            </w:r>
            <w:r>
              <w:fldChar w:fldCharType="end"/>
            </w:r>
            <w:r>
              <w:t>筹建环境管理机构，进行环境管理人员培训。</w:t>
            </w:r>
          </w:p>
          <w:p>
            <w:r>
              <w:rPr>
                <w:rFonts w:hint="eastAsia"/>
              </w:rPr>
              <w:t>2）施工工区环境管理</w:t>
            </w:r>
          </w:p>
          <w:p>
            <w:r>
              <w:rPr>
                <w:rFonts w:hint="eastAsia" w:ascii="宋体" w:hAnsi="宋体" w:cs="宋体"/>
              </w:rPr>
              <w:t>①</w:t>
            </w:r>
            <w:r>
              <w:t>贯彻执行国家有关环境保护方针、政策及法规条例，制订工程环境保护管理具体规定与管理办法。</w:t>
            </w:r>
          </w:p>
          <w:p>
            <w:r>
              <w:rPr>
                <w:rFonts w:hint="eastAsia" w:ascii="宋体" w:hAnsi="宋体" w:cs="宋体"/>
              </w:rPr>
              <w:t>②</w:t>
            </w:r>
            <w:r>
              <w:t>按照国家有关环境保护法规和工程的环境保护规定，统一管理施工工区环境保护工作。</w:t>
            </w:r>
          </w:p>
          <w:p>
            <w:r>
              <w:fldChar w:fldCharType="begin"/>
            </w:r>
            <w:r>
              <w:instrText xml:space="preserve"> = 3 \* GB3 \* MERGEFORMAT </w:instrText>
            </w:r>
            <w:r>
              <w:fldChar w:fldCharType="separate"/>
            </w:r>
            <w:r>
              <w:rPr>
                <w:rFonts w:hint="eastAsia" w:ascii="宋体" w:hAnsi="宋体" w:cs="宋体"/>
              </w:rPr>
              <w:t>③</w:t>
            </w:r>
            <w:r>
              <w:fldChar w:fldCharType="end"/>
            </w:r>
            <w:r>
              <w:t>编制环境管理工作计划，整编监测资料，建立工程的生态与环境信息库，编制工程年度环境质量报告，并报上级主管部门和地方环保部门。</w:t>
            </w:r>
          </w:p>
          <w:p>
            <w:r>
              <w:fldChar w:fldCharType="begin"/>
            </w:r>
            <w:r>
              <w:instrText xml:space="preserve"> = 4 \* GB3 \* MERGEFORMAT </w:instrText>
            </w:r>
            <w:r>
              <w:fldChar w:fldCharType="separate"/>
            </w:r>
            <w:r>
              <w:rPr>
                <w:rFonts w:hint="eastAsia" w:ascii="宋体" w:hAnsi="宋体" w:cs="宋体"/>
              </w:rPr>
              <w:t>④</w:t>
            </w:r>
            <w:r>
              <w:fldChar w:fldCharType="end"/>
            </w:r>
            <w:r>
              <w:t>加强环境监测管理，制订环境监测计划，委托有相应资质等级的环境、卫生监测等专业部门开展环境监测工作。</w:t>
            </w:r>
          </w:p>
          <w:p>
            <w:r>
              <w:fldChar w:fldCharType="begin"/>
            </w:r>
            <w:r>
              <w:instrText xml:space="preserve"> = 5 \* GB3 \* MERGEFORMAT </w:instrText>
            </w:r>
            <w:r>
              <w:fldChar w:fldCharType="separate"/>
            </w:r>
            <w:r>
              <w:rPr>
                <w:rFonts w:hint="eastAsia" w:ascii="宋体" w:hAnsi="宋体" w:cs="宋体"/>
              </w:rPr>
              <w:t>⑤</w:t>
            </w:r>
            <w:r>
              <w:fldChar w:fldCharType="end"/>
            </w:r>
            <w:r>
              <w:t>会同地方环保检查、监督工程承包商执行环境保护条款的情况。</w:t>
            </w:r>
          </w:p>
          <w:p>
            <w:r>
              <w:fldChar w:fldCharType="begin"/>
            </w:r>
            <w:r>
              <w:instrText xml:space="preserve"> = 6 \* GB3 \* MERGEFORMAT </w:instrText>
            </w:r>
            <w:r>
              <w:fldChar w:fldCharType="separate"/>
            </w:r>
            <w:r>
              <w:rPr>
                <w:rFonts w:hint="eastAsia" w:ascii="宋体" w:hAnsi="宋体" w:cs="宋体"/>
              </w:rPr>
              <w:t>⑥</w:t>
            </w:r>
            <w:r>
              <w:fldChar w:fldCharType="end"/>
            </w:r>
            <w:r>
              <w:t>负责协调处理工程引起的环境纠纷和环境污染事故。</w:t>
            </w:r>
          </w:p>
          <w:p>
            <w:r>
              <w:fldChar w:fldCharType="begin"/>
            </w:r>
            <w:r>
              <w:instrText xml:space="preserve"> = 7 \* GB3 \* MERGEFORMAT </w:instrText>
            </w:r>
            <w:r>
              <w:fldChar w:fldCharType="separate"/>
            </w:r>
            <w:r>
              <w:rPr>
                <w:rFonts w:hint="eastAsia" w:ascii="宋体" w:hAnsi="宋体" w:cs="宋体"/>
              </w:rPr>
              <w:t>⑦</w:t>
            </w:r>
            <w:r>
              <w:fldChar w:fldCharType="end"/>
            </w:r>
            <w:r>
              <w:t>加强环境保护的宣传教育，负责组织实施环境管理培训工作，提高工程环境管理人员的技术水平。</w:t>
            </w:r>
          </w:p>
          <w:p>
            <w:pPr>
              <w:pStyle w:val="7"/>
              <w:ind w:firstLine="480"/>
            </w:pPr>
            <w:r>
              <w:rPr>
                <w:rFonts w:hint="eastAsia"/>
              </w:rPr>
              <w:t>（3）</w:t>
            </w:r>
            <w:r>
              <w:t>加强生态保护红线管理与环境监管的综合措施</w:t>
            </w:r>
          </w:p>
          <w:p>
            <w:pPr>
              <w:pStyle w:val="7"/>
              <w:ind w:firstLine="480"/>
              <w:rPr>
                <w:sz w:val="21"/>
              </w:rPr>
            </w:pPr>
            <w:r>
              <w:rPr>
                <w:rFonts w:hint="eastAsia"/>
              </w:rPr>
              <w:t>针对周边为生态保护红线且无明显肉眼可见边界的情况，为避免误入其中并加强环境管理，提出以下环境管理要求：</w:t>
            </w:r>
          </w:p>
          <w:p>
            <w:pPr>
              <w:pStyle w:val="7"/>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明确标识与警示</w:t>
            </w:r>
          </w:p>
          <w:p>
            <w:pPr>
              <w:pStyle w:val="7"/>
              <w:ind w:firstLine="480"/>
            </w:pPr>
            <w:r>
              <w:rPr>
                <w:rFonts w:hint="eastAsia"/>
              </w:rPr>
              <w:t>在生态保护红线的边界区域设置明显的标识牌和警示标志，如界桩、警示牌、围栏等以提醒公众注意并避免进入。利用现代科技手段，如</w:t>
            </w:r>
            <w:r>
              <w:t>GPS</w:t>
            </w:r>
            <w:r>
              <w:rPr>
                <w:rFonts w:hint="eastAsia"/>
              </w:rPr>
              <w:t>定位、无人机巡查等，对生态保护红线进行精确划定和实时监控，确保边界的准确性和清晰度。</w:t>
            </w:r>
          </w:p>
          <w:p>
            <w:pPr>
              <w:pStyle w:val="7"/>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完善法律法规与监管机制</w:t>
            </w:r>
          </w:p>
          <w:p>
            <w:pPr>
              <w:pStyle w:val="7"/>
              <w:ind w:firstLine="480"/>
            </w:pPr>
            <w:r>
              <w:rPr>
                <w:rFonts w:hint="eastAsia"/>
              </w:rPr>
              <w:t>建立健全生态保护红线的法律法规体系明确生态保护红线的划定标准、管理要求和法律责任，加强执法力度，对违法进入生态保护红线的行为进行严厉查处，确保法律法规的严肃性和权威性。</w:t>
            </w:r>
          </w:p>
          <w:p>
            <w:pPr>
              <w:pStyle w:val="7"/>
              <w:ind w:firstLine="48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促进生态修复与保护</w:t>
            </w:r>
          </w:p>
          <w:p>
            <w:pPr>
              <w:rPr>
                <w:rFonts w:ascii="宋体" w:hAnsi="宋体" w:cs="宋体"/>
                <w:spacing w:val="-12"/>
              </w:rPr>
            </w:pPr>
            <w:r>
              <w:rPr>
                <w:rFonts w:hint="eastAsia"/>
              </w:rPr>
              <w:t>对已经受损的生态环境进行修复和治理，恢复其生态功能，加强生态保护红线内的生物多样性保护维护生态系统的稳定性和完整性</w:t>
            </w:r>
            <w:r>
              <w:t>。</w:t>
            </w:r>
          </w:p>
          <w:p>
            <w:r>
              <w:rPr>
                <w:rFonts w:hint="eastAsia"/>
              </w:rPr>
              <w:t>（4）勘探期结束后环境管理</w:t>
            </w:r>
          </w:p>
          <w:p>
            <w:r>
              <w:rPr>
                <w:rFonts w:hint="eastAsia"/>
              </w:rPr>
              <w:t>勘探期结束后，各产污设备将停止运行，“三废”等排放也将停止，基本不存在“三废”等污染问题。主要环境问题为探矿造成的生态环境影响。</w:t>
            </w:r>
            <w:r>
              <w:t>服务期满后环境管理具体要求见表</w:t>
            </w:r>
            <w:r>
              <w:rPr>
                <w:rFonts w:hint="eastAsia"/>
              </w:rPr>
              <w:t>5-</w:t>
            </w:r>
            <w:r>
              <w:t>6</w:t>
            </w:r>
            <w:r>
              <w:rPr>
                <w:rFonts w:hint="eastAsia"/>
              </w:rPr>
              <w:t>。</w:t>
            </w:r>
          </w:p>
          <w:p>
            <w:pPr>
              <w:pStyle w:val="27"/>
              <w:spacing w:before="156"/>
            </w:pPr>
            <w:r>
              <w:rPr>
                <w:rFonts w:hint="eastAsia"/>
              </w:rPr>
              <w:t>表5-</w:t>
            </w:r>
            <w:r>
              <w:t xml:space="preserve">6  </w:t>
            </w:r>
            <w:r>
              <w:rPr>
                <w:rFonts w:hint="eastAsia"/>
              </w:rPr>
              <w:t>勘探期结束后环境管理要求</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52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pct"/>
                  <w:tcBorders>
                    <w:tl2br w:val="nil"/>
                    <w:tr2bl w:val="nil"/>
                  </w:tcBorders>
                  <w:shd w:val="clear" w:color="auto" w:fill="auto"/>
                  <w:vAlign w:val="center"/>
                </w:tcPr>
                <w:p>
                  <w:pPr>
                    <w:pStyle w:val="28"/>
                  </w:pPr>
                  <w:r>
                    <w:t>环境影响</w:t>
                  </w:r>
                </w:p>
              </w:tc>
              <w:tc>
                <w:tcPr>
                  <w:tcW w:w="3367" w:type="pct"/>
                  <w:tcBorders>
                    <w:tl2br w:val="nil"/>
                    <w:tr2bl w:val="nil"/>
                  </w:tcBorders>
                  <w:shd w:val="clear" w:color="auto" w:fill="auto"/>
                  <w:vAlign w:val="center"/>
                </w:tcPr>
                <w:p>
                  <w:pPr>
                    <w:pStyle w:val="28"/>
                  </w:pPr>
                  <w:r>
                    <w:t>环境管理具体要求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pct"/>
                  <w:tcBorders>
                    <w:tl2br w:val="nil"/>
                    <w:tr2bl w:val="nil"/>
                  </w:tcBorders>
                  <w:shd w:val="clear" w:color="auto" w:fill="auto"/>
                  <w:vAlign w:val="center"/>
                </w:tcPr>
                <w:p>
                  <w:pPr>
                    <w:pStyle w:val="28"/>
                  </w:pPr>
                  <w:r>
                    <w:rPr>
                      <w:rFonts w:hint="eastAsia"/>
                    </w:rPr>
                    <w:t>废水、废气、噪声、固废</w:t>
                  </w:r>
                </w:p>
              </w:tc>
              <w:tc>
                <w:tcPr>
                  <w:tcW w:w="3367" w:type="pct"/>
                  <w:tcBorders>
                    <w:tl2br w:val="nil"/>
                    <w:tr2bl w:val="nil"/>
                  </w:tcBorders>
                  <w:shd w:val="clear" w:color="auto" w:fill="auto"/>
                  <w:vAlign w:val="center"/>
                </w:tcPr>
                <w:p>
                  <w:pPr>
                    <w:pStyle w:val="28"/>
                    <w:jc w:val="both"/>
                  </w:pPr>
                  <w:r>
                    <w:rPr>
                      <w:rFonts w:hint="eastAsia"/>
                    </w:rPr>
                    <w:t>1</w:t>
                  </w:r>
                  <w:r>
                    <w:t>）</w:t>
                  </w:r>
                  <w:r>
                    <w:rPr>
                      <w:rFonts w:hint="eastAsia"/>
                    </w:rPr>
                    <w:t>对钻孔的封堵情况进行监督管理；</w:t>
                  </w:r>
                </w:p>
                <w:p>
                  <w:pPr>
                    <w:pStyle w:val="28"/>
                    <w:jc w:val="both"/>
                  </w:pPr>
                  <w:r>
                    <w:rPr>
                      <w:rFonts w:hint="eastAsia"/>
                    </w:rPr>
                    <w:t>2</w:t>
                  </w:r>
                  <w:r>
                    <w:t>）</w:t>
                  </w:r>
                  <w:r>
                    <w:rPr>
                      <w:rFonts w:hint="eastAsia"/>
                    </w:rPr>
                    <w:t>对场内临时工程的拆除及清理情况进行监督管理；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pct"/>
                  <w:tcBorders>
                    <w:tl2br w:val="nil"/>
                    <w:tr2bl w:val="nil"/>
                  </w:tcBorders>
                  <w:shd w:val="clear" w:color="auto" w:fill="auto"/>
                  <w:vAlign w:val="center"/>
                </w:tcPr>
                <w:p>
                  <w:pPr>
                    <w:pStyle w:val="28"/>
                  </w:pPr>
                  <w:r>
                    <w:rPr>
                      <w:rFonts w:hint="eastAsia"/>
                    </w:rPr>
                    <w:t>生态环境影响</w:t>
                  </w:r>
                </w:p>
              </w:tc>
              <w:tc>
                <w:tcPr>
                  <w:tcW w:w="3367" w:type="pct"/>
                  <w:tcBorders>
                    <w:tl2br w:val="nil"/>
                    <w:tr2bl w:val="nil"/>
                  </w:tcBorders>
                  <w:shd w:val="clear" w:color="auto" w:fill="auto"/>
                  <w:vAlign w:val="center"/>
                </w:tcPr>
                <w:p>
                  <w:pPr>
                    <w:pStyle w:val="28"/>
                    <w:jc w:val="both"/>
                  </w:pPr>
                  <w:r>
                    <w:rPr>
                      <w:rFonts w:hint="eastAsia"/>
                    </w:rPr>
                    <w:t>1）对场地生态恢复措施落实情况进行监督管理；</w:t>
                  </w:r>
                </w:p>
                <w:p>
                  <w:pPr>
                    <w:pStyle w:val="28"/>
                    <w:jc w:val="both"/>
                  </w:pPr>
                  <w:r>
                    <w:rPr>
                      <w:rFonts w:hint="eastAsia"/>
                    </w:rPr>
                    <w:t>2</w:t>
                  </w:r>
                  <w:r>
                    <w:t>）</w:t>
                  </w:r>
                  <w:r>
                    <w:rPr>
                      <w:rFonts w:hint="eastAsia"/>
                    </w:rPr>
                    <w:t>在勘探期满前的1~2年内落实建闭坑计划的编制情况；</w:t>
                  </w:r>
                </w:p>
                <w:p>
                  <w:pPr>
                    <w:pStyle w:val="28"/>
                    <w:jc w:val="both"/>
                  </w:pPr>
                  <w:r>
                    <w:rPr>
                      <w:rFonts w:hint="eastAsia"/>
                    </w:rPr>
                    <w:t>3）严格按照土地复垦要求，对探矿区复垦情况进行监督管理；</w:t>
                  </w:r>
                </w:p>
              </w:tc>
            </w:tr>
          </w:tb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6" w:hRule="atLeast"/>
          <w:jc w:val="center"/>
        </w:trPr>
        <w:tc>
          <w:tcPr>
            <w:tcW w:w="258" w:type="pct"/>
            <w:tcMar>
              <w:left w:w="28" w:type="dxa"/>
              <w:right w:w="28" w:type="dxa"/>
            </w:tcMar>
            <w:vAlign w:val="center"/>
          </w:tcPr>
          <w:p>
            <w:pPr>
              <w:pStyle w:val="25"/>
            </w:pPr>
            <w:r>
              <w:rPr>
                <w:rFonts w:hint="eastAsia"/>
              </w:rPr>
              <w:t>环保</w:t>
            </w:r>
          </w:p>
          <w:p>
            <w:pPr>
              <w:pStyle w:val="25"/>
            </w:pPr>
            <w:r>
              <w:rPr>
                <w:rFonts w:hint="eastAsia"/>
              </w:rPr>
              <w:t>投资</w:t>
            </w:r>
          </w:p>
        </w:tc>
        <w:tc>
          <w:tcPr>
            <w:tcW w:w="4741" w:type="pct"/>
            <w:vAlign w:val="center"/>
          </w:tcPr>
          <w:p>
            <w:pPr>
              <w:rPr>
                <w:b/>
                <w:bCs/>
                <w:szCs w:val="32"/>
              </w:rPr>
            </w:pPr>
            <w:r>
              <w:t>项目环境保护投资总计53万元，占总投资658.92万元的8.04%，项目环保措施及投资见</w:t>
            </w:r>
            <w:r>
              <w:rPr>
                <w:rFonts w:hint="eastAsia"/>
              </w:rPr>
              <w:t>下表。</w:t>
            </w:r>
          </w:p>
          <w:p>
            <w:pPr>
              <w:pStyle w:val="27"/>
              <w:spacing w:before="156"/>
            </w:pPr>
            <w:r>
              <w:t>表</w:t>
            </w:r>
            <w:r>
              <w:rPr>
                <w:rFonts w:hint="eastAsia"/>
              </w:rPr>
              <w:t>5-</w:t>
            </w:r>
            <w:r>
              <w:t>7  环保</w:t>
            </w:r>
            <w:r>
              <w:rPr>
                <w:rFonts w:hint="eastAsia"/>
              </w:rPr>
              <w:t>措施及</w:t>
            </w:r>
            <w:r>
              <w:t>投资估算一览表</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28" w:type="dxa"/>
                <w:bottom w:w="57" w:type="dxa"/>
                <w:right w:w="28" w:type="dxa"/>
              </w:tblCellMar>
            </w:tblPr>
            <w:tblGrid>
              <w:gridCol w:w="498"/>
              <w:gridCol w:w="895"/>
              <w:gridCol w:w="5210"/>
              <w:gridCol w:w="1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3" w:hRule="atLeast"/>
                <w:tblHeader/>
                <w:jc w:val="center"/>
              </w:trPr>
              <w:tc>
                <w:tcPr>
                  <w:tcW w:w="898" w:type="pct"/>
                  <w:gridSpan w:val="2"/>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项目</w:t>
                  </w:r>
                </w:p>
              </w:tc>
              <w:tc>
                <w:tcPr>
                  <w:tcW w:w="3359"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环保措施</w:t>
                  </w:r>
                </w:p>
              </w:tc>
              <w:tc>
                <w:tcPr>
                  <w:tcW w:w="743"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环保费用</w:t>
                  </w:r>
                  <w:r>
                    <w:rPr>
                      <w:rFonts w:hint="eastAsia"/>
                      <w:color w:val="000000" w:themeColor="text1"/>
                      <w14:textFill>
                        <w14:solidFill>
                          <w14:schemeClr w14:val="tx1"/>
                        </w14:solidFill>
                      </w14:textFill>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321" w:type="pct"/>
                  <w:vMerge w:val="restar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废气</w:t>
                  </w:r>
                </w:p>
              </w:tc>
              <w:tc>
                <w:tcPr>
                  <w:tcW w:w="577" w:type="pct"/>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扬尘</w:t>
                  </w:r>
                </w:p>
              </w:tc>
              <w:tc>
                <w:tcPr>
                  <w:tcW w:w="3359"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对</w:t>
                  </w:r>
                  <w:r>
                    <w:rPr>
                      <w:rFonts w:hint="eastAsia"/>
                      <w:color w:val="000000" w:themeColor="text1"/>
                      <w14:textFill>
                        <w14:solidFill>
                          <w14:schemeClr w14:val="tx1"/>
                        </w14:solidFill>
                      </w14:textFill>
                    </w:rPr>
                    <w:t>弃渣堆</w:t>
                  </w:r>
                  <w:r>
                    <w:rPr>
                      <w:color w:val="000000" w:themeColor="text1"/>
                      <w14:textFill>
                        <w14:solidFill>
                          <w14:schemeClr w14:val="tx1"/>
                        </w14:solidFill>
                      </w14:textFill>
                    </w:rPr>
                    <w:t>表面</w:t>
                  </w:r>
                  <w:r>
                    <w:rPr>
                      <w:rFonts w:hint="eastAsia"/>
                      <w:color w:val="000000" w:themeColor="text1"/>
                      <w14:textFill>
                        <w14:solidFill>
                          <w14:schemeClr w14:val="tx1"/>
                        </w14:solidFill>
                      </w14:textFill>
                    </w:rPr>
                    <w:t>压实</w:t>
                  </w:r>
                  <w:r>
                    <w:rPr>
                      <w:color w:val="000000" w:themeColor="text1"/>
                      <w14:textFill>
                        <w14:solidFill>
                          <w14:schemeClr w14:val="tx1"/>
                        </w14:solidFill>
                      </w14:textFill>
                    </w:rPr>
                    <w:t>、覆盖</w:t>
                  </w:r>
                  <w:r>
                    <w:rPr>
                      <w:rFonts w:hint="eastAsia"/>
                      <w:color w:val="000000" w:themeColor="text1"/>
                      <w14:textFill>
                        <w14:solidFill>
                          <w14:schemeClr w14:val="tx1"/>
                        </w14:solidFill>
                      </w14:textFill>
                    </w:rPr>
                    <w:t>、洒水降尘；矿区道路洒水降尘；钻探、槽探作业区设置围挡，洒水降尘</w:t>
                  </w:r>
                </w:p>
              </w:tc>
              <w:tc>
                <w:tcPr>
                  <w:tcW w:w="743"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183" w:hRule="atLeast"/>
                <w:jc w:val="center"/>
              </w:trPr>
              <w:tc>
                <w:tcPr>
                  <w:tcW w:w="321" w:type="pct"/>
                  <w:vMerge w:val="continue"/>
                  <w:tcMar>
                    <w:top w:w="57" w:type="dxa"/>
                    <w:bottom w:w="57" w:type="dxa"/>
                  </w:tcMar>
                  <w:vAlign w:val="center"/>
                </w:tcPr>
                <w:p>
                  <w:pPr>
                    <w:pStyle w:val="25"/>
                    <w:rPr>
                      <w:color w:val="000000" w:themeColor="text1"/>
                      <w14:textFill>
                        <w14:solidFill>
                          <w14:schemeClr w14:val="tx1"/>
                        </w14:solidFill>
                      </w14:textFill>
                    </w:rPr>
                  </w:pPr>
                </w:p>
              </w:tc>
              <w:tc>
                <w:tcPr>
                  <w:tcW w:w="577" w:type="pct"/>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燃油废气</w:t>
                  </w:r>
                </w:p>
              </w:tc>
              <w:tc>
                <w:tcPr>
                  <w:tcW w:w="3359"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对柴油发电机定期维护保养，提高其燃烧效率，减少尾气排放量</w:t>
                  </w:r>
                </w:p>
              </w:tc>
              <w:tc>
                <w:tcPr>
                  <w:tcW w:w="743"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321" w:type="pct"/>
                  <w:vMerge w:val="restar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废水</w:t>
                  </w:r>
                </w:p>
              </w:tc>
              <w:tc>
                <w:tcPr>
                  <w:tcW w:w="577" w:type="pct"/>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钻探废水</w:t>
                  </w:r>
                </w:p>
              </w:tc>
              <w:tc>
                <w:tcPr>
                  <w:tcW w:w="3359"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每个钻孔设置一座循环沉淀池（5m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），采用防渗膜塑料布及支架组装，大部分循环使用，少量用于洒水降尘</w:t>
                  </w:r>
                </w:p>
              </w:tc>
              <w:tc>
                <w:tcPr>
                  <w:tcW w:w="743"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21" w:type="pct"/>
                  <w:vMerge w:val="continue"/>
                  <w:tcMar>
                    <w:top w:w="57" w:type="dxa"/>
                    <w:bottom w:w="57" w:type="dxa"/>
                  </w:tcMar>
                  <w:vAlign w:val="center"/>
                </w:tcPr>
                <w:p>
                  <w:pPr>
                    <w:pStyle w:val="25"/>
                    <w:rPr>
                      <w:color w:val="000000" w:themeColor="text1"/>
                      <w14:textFill>
                        <w14:solidFill>
                          <w14:schemeClr w14:val="tx1"/>
                        </w14:solidFill>
                      </w14:textFill>
                    </w:rPr>
                  </w:pPr>
                </w:p>
              </w:tc>
              <w:tc>
                <w:tcPr>
                  <w:tcW w:w="577" w:type="pct"/>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生活废水</w:t>
                  </w:r>
                </w:p>
              </w:tc>
              <w:tc>
                <w:tcPr>
                  <w:tcW w:w="3359"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生活污水进入防渗化粪池（10m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）处理后自然蒸发</w:t>
                  </w:r>
                </w:p>
              </w:tc>
              <w:tc>
                <w:tcPr>
                  <w:tcW w:w="743"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321"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577" w:type="pct"/>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机械噪声</w:t>
                  </w:r>
                </w:p>
              </w:tc>
              <w:tc>
                <w:tcPr>
                  <w:tcW w:w="3359"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对连续接触高噪声源的操作人员，采取相应防护措施</w:t>
                  </w:r>
                </w:p>
              </w:tc>
              <w:tc>
                <w:tcPr>
                  <w:tcW w:w="743"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21" w:type="pct"/>
                  <w:vMerge w:val="restar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固体</w:t>
                  </w:r>
                </w:p>
                <w:p>
                  <w:pPr>
                    <w:pStyle w:val="25"/>
                    <w:rPr>
                      <w:color w:val="000000" w:themeColor="text1"/>
                      <w14:textFill>
                        <w14:solidFill>
                          <w14:schemeClr w14:val="tx1"/>
                        </w14:solidFill>
                      </w14:textFill>
                    </w:rPr>
                  </w:pPr>
                  <w:r>
                    <w:rPr>
                      <w:color w:val="000000" w:themeColor="text1"/>
                      <w14:textFill>
                        <w14:solidFill>
                          <w14:schemeClr w14:val="tx1"/>
                        </w14:solidFill>
                      </w14:textFill>
                    </w:rPr>
                    <w:t>废物</w:t>
                  </w:r>
                </w:p>
              </w:tc>
              <w:tc>
                <w:tcPr>
                  <w:tcW w:w="577" w:type="pct"/>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临时弃土</w:t>
                  </w:r>
                </w:p>
              </w:tc>
              <w:tc>
                <w:tcPr>
                  <w:tcW w:w="3359"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钻探产生的临时弃土，采用篷布覆盖暂存，然后用于植被恢复</w:t>
                  </w:r>
                </w:p>
              </w:tc>
              <w:tc>
                <w:tcPr>
                  <w:tcW w:w="743"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21" w:type="pct"/>
                  <w:vMerge w:val="continue"/>
                  <w:tcMar>
                    <w:top w:w="57" w:type="dxa"/>
                    <w:bottom w:w="57" w:type="dxa"/>
                  </w:tcMar>
                  <w:vAlign w:val="center"/>
                </w:tcPr>
                <w:p>
                  <w:pPr>
                    <w:pStyle w:val="25"/>
                    <w:rPr>
                      <w:color w:val="000000" w:themeColor="text1"/>
                      <w14:textFill>
                        <w14:solidFill>
                          <w14:schemeClr w14:val="tx1"/>
                        </w14:solidFill>
                      </w14:textFill>
                    </w:rPr>
                  </w:pPr>
                </w:p>
              </w:tc>
              <w:tc>
                <w:tcPr>
                  <w:tcW w:w="577" w:type="pct"/>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钻探泥浆</w:t>
                  </w:r>
                </w:p>
              </w:tc>
              <w:tc>
                <w:tcPr>
                  <w:tcW w:w="3359"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产生的钻探泥浆待完工后，沉淀池固化填埋</w:t>
                  </w:r>
                </w:p>
              </w:tc>
              <w:tc>
                <w:tcPr>
                  <w:tcW w:w="743"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321" w:type="pct"/>
                  <w:vMerge w:val="continue"/>
                  <w:tcMar>
                    <w:top w:w="57" w:type="dxa"/>
                    <w:bottom w:w="57" w:type="dxa"/>
                  </w:tcMar>
                  <w:vAlign w:val="center"/>
                </w:tcPr>
                <w:p>
                  <w:pPr>
                    <w:pStyle w:val="25"/>
                    <w:rPr>
                      <w:color w:val="000000" w:themeColor="text1"/>
                      <w14:textFill>
                        <w14:solidFill>
                          <w14:schemeClr w14:val="tx1"/>
                        </w14:solidFill>
                      </w14:textFill>
                    </w:rPr>
                  </w:pPr>
                </w:p>
              </w:tc>
              <w:tc>
                <w:tcPr>
                  <w:tcW w:w="577" w:type="pct"/>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w:t>
                  </w:r>
                </w:p>
              </w:tc>
              <w:tc>
                <w:tcPr>
                  <w:tcW w:w="3359"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生活垃圾采用垃圾袋集中收集后运出矿区由环卫部门统一清运</w:t>
                  </w:r>
                </w:p>
              </w:tc>
              <w:tc>
                <w:tcPr>
                  <w:tcW w:w="743"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321" w:type="pct"/>
                  <w:vMerge w:val="continue"/>
                  <w:tcMar>
                    <w:top w:w="57" w:type="dxa"/>
                    <w:bottom w:w="57" w:type="dxa"/>
                  </w:tcMar>
                  <w:vAlign w:val="center"/>
                </w:tcPr>
                <w:p>
                  <w:pPr>
                    <w:pStyle w:val="25"/>
                    <w:rPr>
                      <w:color w:val="000000" w:themeColor="text1"/>
                      <w14:textFill>
                        <w14:solidFill>
                          <w14:schemeClr w14:val="tx1"/>
                        </w14:solidFill>
                      </w14:textFill>
                    </w:rPr>
                  </w:pPr>
                </w:p>
              </w:tc>
              <w:tc>
                <w:tcPr>
                  <w:tcW w:w="577" w:type="pct"/>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废机油</w:t>
                  </w:r>
                </w:p>
              </w:tc>
              <w:tc>
                <w:tcPr>
                  <w:tcW w:w="3359"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日常维修产生的废机油暂存于</w:t>
                  </w:r>
                  <w:r>
                    <w:rPr>
                      <w:color w:val="000000" w:themeColor="text1"/>
                      <w14:textFill>
                        <w14:solidFill>
                          <w14:schemeClr w14:val="tx1"/>
                        </w14:solidFill>
                      </w14:textFill>
                    </w:rPr>
                    <w:t>危废暂存间，</w:t>
                  </w:r>
                  <w:r>
                    <w:rPr>
                      <w:rFonts w:hint="eastAsia"/>
                      <w:color w:val="000000" w:themeColor="text1"/>
                      <w14:textFill>
                        <w14:solidFill>
                          <w14:schemeClr w14:val="tx1"/>
                        </w14:solidFill>
                      </w14:textFill>
                    </w:rPr>
                    <w:t>最终</w:t>
                  </w:r>
                  <w:r>
                    <w:rPr>
                      <w:color w:val="000000" w:themeColor="text1"/>
                      <w14:textFill>
                        <w14:solidFill>
                          <w14:schemeClr w14:val="tx1"/>
                        </w14:solidFill>
                      </w14:textFill>
                    </w:rPr>
                    <w:t>交由有危废处置资质单位处理</w:t>
                  </w:r>
                </w:p>
              </w:tc>
              <w:tc>
                <w:tcPr>
                  <w:tcW w:w="743"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321" w:type="pct"/>
                  <w:vMerge w:val="continue"/>
                  <w:tcMar>
                    <w:top w:w="57" w:type="dxa"/>
                    <w:bottom w:w="57" w:type="dxa"/>
                  </w:tcMar>
                  <w:vAlign w:val="center"/>
                </w:tcPr>
                <w:p>
                  <w:pPr>
                    <w:pStyle w:val="25"/>
                    <w:rPr>
                      <w:color w:val="000000" w:themeColor="text1"/>
                      <w14:textFill>
                        <w14:solidFill>
                          <w14:schemeClr w14:val="tx1"/>
                        </w14:solidFill>
                      </w14:textFill>
                    </w:rPr>
                  </w:pPr>
                </w:p>
              </w:tc>
              <w:tc>
                <w:tcPr>
                  <w:tcW w:w="577" w:type="pct"/>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化粪池污泥</w:t>
                  </w:r>
                </w:p>
              </w:tc>
              <w:tc>
                <w:tcPr>
                  <w:tcW w:w="3359"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化粪池污泥定期清掏后交由周边农户作为农肥消耗</w:t>
                  </w:r>
                </w:p>
              </w:tc>
              <w:tc>
                <w:tcPr>
                  <w:tcW w:w="743"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321" w:type="pct"/>
                  <w:vMerge w:val="continue"/>
                  <w:tcMar>
                    <w:top w:w="57" w:type="dxa"/>
                    <w:bottom w:w="57" w:type="dxa"/>
                  </w:tcMar>
                  <w:vAlign w:val="center"/>
                </w:tcPr>
                <w:p>
                  <w:pPr>
                    <w:pStyle w:val="25"/>
                    <w:rPr>
                      <w:color w:val="000000" w:themeColor="text1"/>
                      <w14:textFill>
                        <w14:solidFill>
                          <w14:schemeClr w14:val="tx1"/>
                        </w14:solidFill>
                      </w14:textFill>
                    </w:rPr>
                  </w:pPr>
                </w:p>
              </w:tc>
              <w:tc>
                <w:tcPr>
                  <w:tcW w:w="577" w:type="pct"/>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钻探岩心</w:t>
                  </w:r>
                </w:p>
              </w:tc>
              <w:tc>
                <w:tcPr>
                  <w:tcW w:w="3359"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岩心委托第三方进行分析，分析完成后由第三方妥善保存在专门的岩心库中</w:t>
                  </w:r>
                </w:p>
              </w:tc>
              <w:tc>
                <w:tcPr>
                  <w:tcW w:w="743"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3" w:hRule="atLeast"/>
                <w:jc w:val="center"/>
              </w:trPr>
              <w:tc>
                <w:tcPr>
                  <w:tcW w:w="898" w:type="pct"/>
                  <w:gridSpan w:val="2"/>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地下水</w:t>
                  </w:r>
                </w:p>
              </w:tc>
              <w:tc>
                <w:tcPr>
                  <w:tcW w:w="3359" w:type="pct"/>
                  <w:tcMar>
                    <w:top w:w="57" w:type="dxa"/>
                    <w:bottom w:w="57" w:type="dxa"/>
                  </w:tcMar>
                  <w:vAlign w:val="center"/>
                </w:tcPr>
                <w:p>
                  <w:pPr>
                    <w:pStyle w:val="25"/>
                    <w:rPr>
                      <w:color w:val="000000" w:themeColor="text1"/>
                      <w14:textFill>
                        <w14:solidFill>
                          <w14:schemeClr w14:val="tx1"/>
                        </w14:solidFill>
                      </w14:textFill>
                    </w:rPr>
                  </w:pPr>
                  <w:r>
                    <w:t>沉淀池采用防渗膜塑料布及支架组装成，满足《一般工业固体废物贮存和填埋污染控制标准》（GB18599-2020）中Ⅱ类一般工业固废场防渗要求</w:t>
                  </w:r>
                </w:p>
              </w:tc>
              <w:tc>
                <w:tcPr>
                  <w:tcW w:w="743"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63" w:hRule="atLeast"/>
                <w:jc w:val="center"/>
              </w:trPr>
              <w:tc>
                <w:tcPr>
                  <w:tcW w:w="898" w:type="pct"/>
                  <w:gridSpan w:val="2"/>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其它</w:t>
                  </w:r>
                </w:p>
              </w:tc>
              <w:tc>
                <w:tcPr>
                  <w:tcW w:w="3359"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加强环境管理，对作业人员开展生态环境保护宣传教育</w:t>
                  </w:r>
                </w:p>
              </w:tc>
              <w:tc>
                <w:tcPr>
                  <w:tcW w:w="743"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63" w:hRule="atLeast"/>
                <w:jc w:val="center"/>
              </w:trPr>
              <w:tc>
                <w:tcPr>
                  <w:tcW w:w="898" w:type="pct"/>
                  <w:gridSpan w:val="2"/>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生态</w:t>
                  </w:r>
                </w:p>
              </w:tc>
              <w:tc>
                <w:tcPr>
                  <w:tcW w:w="3359"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加强环境管理，设置警示牌等设施，对作业人员开展生态环境保护宣传教育，</w:t>
                  </w:r>
                  <w:r>
                    <w:rPr>
                      <w:rFonts w:ascii="宋体" w:hAnsi="宋体" w:cs="宋体"/>
                      <w:color w:val="000000" w:themeColor="text1"/>
                      <w14:textFill>
                        <w14:solidFill>
                          <w14:schemeClr w14:val="tx1"/>
                        </w14:solidFill>
                      </w14:textFill>
                    </w:rPr>
                    <w:t>完井后须对临时占地范围进行平整</w:t>
                  </w:r>
                </w:p>
              </w:tc>
              <w:tc>
                <w:tcPr>
                  <w:tcW w:w="743" w:type="pct"/>
                  <w:tcMar>
                    <w:top w:w="57" w:type="dxa"/>
                    <w:bottom w:w="57" w:type="dxa"/>
                  </w:tcMar>
                  <w:vAlign w:val="center"/>
                </w:tcPr>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271" w:hRule="atLeast"/>
                <w:jc w:val="center"/>
              </w:trPr>
              <w:tc>
                <w:tcPr>
                  <w:tcW w:w="4257" w:type="pct"/>
                  <w:gridSpan w:val="3"/>
                </w:tcPr>
                <w:p>
                  <w:pPr>
                    <w:pStyle w:val="25"/>
                    <w:rPr>
                      <w:color w:val="000000" w:themeColor="text1"/>
                      <w14:textFill>
                        <w14:solidFill>
                          <w14:schemeClr w14:val="tx1"/>
                        </w14:solidFill>
                      </w14:textFill>
                    </w:rPr>
                  </w:pPr>
                  <w:r>
                    <w:rPr>
                      <w:color w:val="000000" w:themeColor="text1"/>
                      <w14:textFill>
                        <w14:solidFill>
                          <w14:schemeClr w14:val="tx1"/>
                        </w14:solidFill>
                      </w14:textFill>
                    </w:rPr>
                    <w:t>合计</w:t>
                  </w:r>
                </w:p>
              </w:tc>
              <w:tc>
                <w:tcPr>
                  <w:tcW w:w="743" w:type="pct"/>
                  <w:tcMar>
                    <w:top w:w="57" w:type="dxa"/>
                    <w:bottom w:w="57" w:type="dxa"/>
                  </w:tcMar>
                  <w:vAlign w:val="center"/>
                </w:tcPr>
                <w:p>
                  <w:pPr>
                    <w:pStyle w:val="25"/>
                    <w:rPr>
                      <w:color w:val="000000" w:themeColor="text1"/>
                      <w14:textFill>
                        <w14:solidFill>
                          <w14:schemeClr w14:val="tx1"/>
                        </w14:solidFill>
                      </w14:textFill>
                    </w:rPr>
                  </w:pPr>
                  <w:r>
                    <w:rPr>
                      <w:color w:val="000000" w:themeColor="text1"/>
                      <w14:textFill>
                        <w14:solidFill>
                          <w14:schemeClr w14:val="tx1"/>
                        </w14:solidFill>
                      </w14:textFill>
                    </w:rPr>
                    <w:t>53</w:t>
                  </w:r>
                </w:p>
              </w:tc>
            </w:tr>
          </w:tbl>
          <w:p/>
        </w:tc>
      </w:tr>
    </w:tbl>
    <w:p/>
    <w:p>
      <w:pPr>
        <w:pStyle w:val="3"/>
      </w:pPr>
      <w:r>
        <w:rPr>
          <w:rFonts w:hint="eastAsia"/>
        </w:rPr>
        <w:t>六、生态环境保护措施监督检查清单</w:t>
      </w:r>
    </w:p>
    <w:tbl>
      <w:tblPr>
        <w:tblStyle w:val="18"/>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173"/>
        <w:gridCol w:w="2455"/>
        <w:gridCol w:w="1472"/>
        <w:gridCol w:w="10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79" w:type="pct"/>
            <w:vMerge w:val="restart"/>
            <w:tcBorders>
              <w:top w:val="single" w:color="auto" w:sz="12" w:space="0"/>
              <w:left w:val="single" w:color="auto" w:sz="12" w:space="0"/>
              <w:bottom w:val="single" w:color="auto" w:sz="4" w:space="0"/>
              <w:tl2br w:val="single" w:color="auto" w:sz="4" w:space="0"/>
            </w:tcBorders>
          </w:tcPr>
          <w:p>
            <w:pPr>
              <w:pStyle w:val="25"/>
            </w:pPr>
            <w:r>
              <w:rPr>
                <w:rFonts w:hint="eastAsia"/>
              </w:rPr>
              <w:t>内容</w:t>
            </w:r>
          </w:p>
          <w:p>
            <w:pPr>
              <w:pStyle w:val="25"/>
            </w:pPr>
          </w:p>
          <w:p>
            <w:pPr>
              <w:pStyle w:val="25"/>
            </w:pPr>
            <w:r>
              <w:rPr>
                <w:rFonts w:hint="eastAsia"/>
              </w:rPr>
              <w:t>要素</w:t>
            </w:r>
          </w:p>
        </w:tc>
        <w:tc>
          <w:tcPr>
            <w:tcW w:w="2715" w:type="pct"/>
            <w:gridSpan w:val="2"/>
            <w:tcBorders>
              <w:top w:val="single" w:color="auto" w:sz="12" w:space="0"/>
              <w:bottom w:val="single" w:color="auto" w:sz="4" w:space="0"/>
            </w:tcBorders>
            <w:vAlign w:val="center"/>
          </w:tcPr>
          <w:p>
            <w:pPr>
              <w:pStyle w:val="25"/>
            </w:pPr>
            <w:r>
              <w:rPr>
                <w:rFonts w:hint="eastAsia"/>
              </w:rPr>
              <w:t>施工期</w:t>
            </w:r>
          </w:p>
        </w:tc>
        <w:tc>
          <w:tcPr>
            <w:tcW w:w="1506" w:type="pct"/>
            <w:gridSpan w:val="2"/>
            <w:tcBorders>
              <w:top w:val="single" w:color="auto" w:sz="12" w:space="0"/>
              <w:bottom w:val="single" w:color="auto" w:sz="4" w:space="0"/>
              <w:right w:val="single" w:color="auto" w:sz="12" w:space="0"/>
            </w:tcBorders>
            <w:vAlign w:val="center"/>
          </w:tcPr>
          <w:p>
            <w:pPr>
              <w:pStyle w:val="25"/>
            </w:pPr>
            <w:r>
              <w:rPr>
                <w:rFonts w:hint="eastAsia"/>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9" w:type="pct"/>
            <w:vMerge w:val="continue"/>
            <w:tcBorders>
              <w:top w:val="single" w:color="auto" w:sz="4" w:space="0"/>
              <w:left w:val="single" w:color="auto" w:sz="12" w:space="0"/>
              <w:bottom w:val="single" w:color="auto" w:sz="4" w:space="0"/>
              <w:tl2br w:val="single" w:color="auto" w:sz="4" w:space="0"/>
            </w:tcBorders>
          </w:tcPr>
          <w:p>
            <w:pPr>
              <w:pStyle w:val="25"/>
            </w:pPr>
          </w:p>
        </w:tc>
        <w:tc>
          <w:tcPr>
            <w:tcW w:w="1275" w:type="pct"/>
            <w:tcBorders>
              <w:top w:val="single" w:color="auto" w:sz="4" w:space="0"/>
              <w:bottom w:val="single" w:color="auto" w:sz="4" w:space="0"/>
            </w:tcBorders>
            <w:vAlign w:val="center"/>
          </w:tcPr>
          <w:p>
            <w:pPr>
              <w:pStyle w:val="25"/>
            </w:pPr>
            <w:r>
              <w:rPr>
                <w:rFonts w:hint="eastAsia"/>
              </w:rPr>
              <w:t>环境保护措施</w:t>
            </w:r>
          </w:p>
        </w:tc>
        <w:tc>
          <w:tcPr>
            <w:tcW w:w="1441" w:type="pct"/>
            <w:tcBorders>
              <w:top w:val="single" w:color="auto" w:sz="4" w:space="0"/>
              <w:bottom w:val="single" w:color="auto" w:sz="4" w:space="0"/>
            </w:tcBorders>
            <w:vAlign w:val="center"/>
          </w:tcPr>
          <w:p>
            <w:pPr>
              <w:pStyle w:val="25"/>
            </w:pPr>
            <w:r>
              <w:rPr>
                <w:rFonts w:hint="eastAsia"/>
              </w:rPr>
              <w:t>验收要求</w:t>
            </w:r>
          </w:p>
        </w:tc>
        <w:tc>
          <w:tcPr>
            <w:tcW w:w="864" w:type="pct"/>
            <w:tcBorders>
              <w:top w:val="single" w:color="auto" w:sz="4" w:space="0"/>
              <w:bottom w:val="single" w:color="auto" w:sz="4" w:space="0"/>
            </w:tcBorders>
            <w:vAlign w:val="center"/>
          </w:tcPr>
          <w:p>
            <w:pPr>
              <w:pStyle w:val="25"/>
            </w:pPr>
            <w:r>
              <w:rPr>
                <w:rFonts w:hint="eastAsia"/>
              </w:rPr>
              <w:t>环境保护措施</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tcBorders>
              <w:top w:val="single" w:color="auto" w:sz="4" w:space="0"/>
              <w:left w:val="single" w:color="auto" w:sz="12" w:space="0"/>
              <w:bottom w:val="single" w:color="auto" w:sz="4" w:space="0"/>
            </w:tcBorders>
            <w:vAlign w:val="center"/>
          </w:tcPr>
          <w:p>
            <w:pPr>
              <w:pStyle w:val="25"/>
            </w:pPr>
            <w:r>
              <w:rPr>
                <w:rFonts w:hint="eastAsia"/>
              </w:rPr>
              <w:t>陆生生态</w:t>
            </w:r>
          </w:p>
        </w:tc>
        <w:tc>
          <w:tcPr>
            <w:tcW w:w="1275" w:type="pct"/>
            <w:tcBorders>
              <w:top w:val="single" w:color="auto" w:sz="4" w:space="0"/>
              <w:bottom w:val="single" w:color="auto" w:sz="4" w:space="0"/>
            </w:tcBorders>
            <w:vAlign w:val="center"/>
          </w:tcPr>
          <w:p>
            <w:pPr>
              <w:pStyle w:val="25"/>
            </w:pPr>
            <w:r>
              <w:t>施工期间在项目用地范围内施工，严禁超范围施工，注意对</w:t>
            </w:r>
            <w:r>
              <w:rPr>
                <w:rFonts w:hint="eastAsia"/>
              </w:rPr>
              <w:t>项目周围</w:t>
            </w:r>
            <w:r>
              <w:t>植被的保护，施工结束后及时采取工程和植物措施对临时用地进行迹地恢复</w:t>
            </w:r>
          </w:p>
        </w:tc>
        <w:tc>
          <w:tcPr>
            <w:tcW w:w="1441" w:type="pct"/>
            <w:tcBorders>
              <w:top w:val="single" w:color="auto" w:sz="4" w:space="0"/>
              <w:bottom w:val="single" w:color="auto" w:sz="4" w:space="0"/>
            </w:tcBorders>
            <w:vAlign w:val="center"/>
          </w:tcPr>
          <w:p>
            <w:pPr>
              <w:pStyle w:val="25"/>
              <w:rPr>
                <w:rFonts w:cs="宋体"/>
              </w:rPr>
            </w:pPr>
            <w:r>
              <w:t>严格限制施工作业范围，禁止破坏施工作业外的地表植被，临时占地复垦到原状态</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tcBorders>
              <w:top w:val="single" w:color="auto" w:sz="4" w:space="0"/>
              <w:left w:val="single" w:color="auto" w:sz="12" w:space="0"/>
              <w:bottom w:val="single" w:color="auto" w:sz="4" w:space="0"/>
            </w:tcBorders>
            <w:vAlign w:val="center"/>
          </w:tcPr>
          <w:p>
            <w:pPr>
              <w:pStyle w:val="25"/>
            </w:pPr>
            <w:r>
              <w:rPr>
                <w:rFonts w:hint="eastAsia"/>
              </w:rPr>
              <w:t>水生生态</w:t>
            </w:r>
          </w:p>
        </w:tc>
        <w:tc>
          <w:tcPr>
            <w:tcW w:w="1275" w:type="pct"/>
            <w:tcBorders>
              <w:top w:val="single" w:color="auto" w:sz="4" w:space="0"/>
              <w:bottom w:val="single" w:color="auto" w:sz="4" w:space="0"/>
            </w:tcBorders>
            <w:vAlign w:val="center"/>
          </w:tcPr>
          <w:p>
            <w:pPr>
              <w:pStyle w:val="25"/>
            </w:pPr>
            <w:r>
              <w:rPr>
                <w:rFonts w:hint="eastAsia"/>
              </w:rPr>
              <w:t>/</w:t>
            </w:r>
          </w:p>
        </w:tc>
        <w:tc>
          <w:tcPr>
            <w:tcW w:w="1441" w:type="pct"/>
            <w:tcBorders>
              <w:top w:val="single" w:color="auto" w:sz="4" w:space="0"/>
              <w:bottom w:val="single" w:color="auto" w:sz="4" w:space="0"/>
            </w:tcBorders>
            <w:vAlign w:val="center"/>
          </w:tcPr>
          <w:p>
            <w:pPr>
              <w:pStyle w:val="25"/>
            </w:pPr>
            <w:r>
              <w:rPr>
                <w:rFonts w:hint="eastAsia"/>
              </w:rPr>
              <w:t>/</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vMerge w:val="restart"/>
            <w:tcBorders>
              <w:top w:val="single" w:color="auto" w:sz="4" w:space="0"/>
              <w:left w:val="single" w:color="auto" w:sz="12" w:space="0"/>
              <w:bottom w:val="single" w:color="auto" w:sz="4" w:space="0"/>
            </w:tcBorders>
            <w:vAlign w:val="center"/>
          </w:tcPr>
          <w:p>
            <w:pPr>
              <w:pStyle w:val="25"/>
            </w:pPr>
            <w:r>
              <w:rPr>
                <w:rFonts w:hint="eastAsia"/>
              </w:rPr>
              <w:t>地表水环境</w:t>
            </w:r>
          </w:p>
        </w:tc>
        <w:tc>
          <w:tcPr>
            <w:tcW w:w="1275" w:type="pct"/>
            <w:tcBorders>
              <w:top w:val="single" w:color="auto" w:sz="4" w:space="0"/>
              <w:bottom w:val="single" w:color="auto" w:sz="4" w:space="0"/>
            </w:tcBorders>
            <w:vAlign w:val="center"/>
          </w:tcPr>
          <w:p>
            <w:pPr>
              <w:pStyle w:val="25"/>
              <w:rPr>
                <w:rFonts w:ascii="宋体" w:hAnsi="宋体" w:cs="宋体"/>
              </w:rPr>
            </w:pPr>
            <w:r>
              <w:t>施工</w:t>
            </w:r>
            <w:r>
              <w:rPr>
                <w:rFonts w:hint="eastAsia"/>
              </w:rPr>
              <w:t>生产</w:t>
            </w:r>
            <w:r>
              <w:t>废水沉淀池</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1441" w:type="pct"/>
            <w:tcBorders>
              <w:top w:val="single" w:color="auto" w:sz="4" w:space="0"/>
              <w:bottom w:val="single" w:color="auto" w:sz="4" w:space="0"/>
            </w:tcBorders>
            <w:vAlign w:val="center"/>
          </w:tcPr>
          <w:p>
            <w:pPr>
              <w:pStyle w:val="25"/>
              <w:rPr>
                <w:rFonts w:ascii="宋体" w:hAnsi="宋体" w:cs="宋体"/>
              </w:rPr>
            </w:pPr>
            <w:r>
              <w:rPr>
                <w:rFonts w:hint="eastAsia"/>
              </w:rPr>
              <w:t>循环利用，不外排</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vMerge w:val="continue"/>
            <w:tcBorders>
              <w:top w:val="single" w:color="auto" w:sz="4" w:space="0"/>
              <w:left w:val="single" w:color="auto" w:sz="12" w:space="0"/>
              <w:bottom w:val="single" w:color="auto" w:sz="4" w:space="0"/>
            </w:tcBorders>
            <w:vAlign w:val="center"/>
          </w:tcPr>
          <w:p>
            <w:pPr>
              <w:pStyle w:val="25"/>
            </w:pPr>
          </w:p>
        </w:tc>
        <w:tc>
          <w:tcPr>
            <w:tcW w:w="1275" w:type="pct"/>
            <w:tcBorders>
              <w:top w:val="single" w:color="auto" w:sz="4" w:space="0"/>
              <w:bottom w:val="single" w:color="auto" w:sz="4" w:space="0"/>
            </w:tcBorders>
            <w:vAlign w:val="center"/>
          </w:tcPr>
          <w:p>
            <w:pPr>
              <w:pStyle w:val="25"/>
              <w:jc w:val="both"/>
            </w:pPr>
            <w:r>
              <w:rPr>
                <w:rFonts w:hint="eastAsia"/>
              </w:rPr>
              <w:t>生活污水进入防渗化粪池（10m</w:t>
            </w:r>
            <w:r>
              <w:rPr>
                <w:rFonts w:hint="eastAsia"/>
                <w:vertAlign w:val="superscript"/>
              </w:rPr>
              <w:t>3</w:t>
            </w:r>
            <w:r>
              <w:rPr>
                <w:rFonts w:hint="eastAsia"/>
              </w:rPr>
              <w:t>）处理后自然蒸发</w:t>
            </w:r>
          </w:p>
        </w:tc>
        <w:tc>
          <w:tcPr>
            <w:tcW w:w="1441" w:type="pct"/>
            <w:tcBorders>
              <w:top w:val="single" w:color="auto" w:sz="4" w:space="0"/>
              <w:bottom w:val="single" w:color="auto" w:sz="4" w:space="0"/>
            </w:tcBorders>
            <w:vAlign w:val="center"/>
          </w:tcPr>
          <w:p>
            <w:pPr>
              <w:pStyle w:val="25"/>
            </w:pPr>
            <w:r>
              <w:rPr>
                <w:rFonts w:hint="eastAsia"/>
              </w:rPr>
              <w:t>生活污水进入防渗化粪池（10m</w:t>
            </w:r>
            <w:r>
              <w:rPr>
                <w:rFonts w:hint="eastAsia"/>
                <w:vertAlign w:val="superscript"/>
              </w:rPr>
              <w:t>3</w:t>
            </w:r>
            <w:r>
              <w:rPr>
                <w:rFonts w:hint="eastAsia"/>
              </w:rPr>
              <w:t>）处理后自然蒸发</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tcBorders>
              <w:top w:val="single" w:color="auto" w:sz="4" w:space="0"/>
              <w:left w:val="single" w:color="auto" w:sz="12" w:space="0"/>
              <w:bottom w:val="single" w:color="auto" w:sz="4" w:space="0"/>
            </w:tcBorders>
            <w:vAlign w:val="center"/>
          </w:tcPr>
          <w:p>
            <w:pPr>
              <w:pStyle w:val="25"/>
            </w:pPr>
            <w:r>
              <w:rPr>
                <w:rFonts w:hint="eastAsia"/>
              </w:rPr>
              <w:t>地下水及土壤环境</w:t>
            </w:r>
          </w:p>
        </w:tc>
        <w:tc>
          <w:tcPr>
            <w:tcW w:w="1275" w:type="pct"/>
            <w:tcBorders>
              <w:top w:val="single" w:color="auto" w:sz="4" w:space="0"/>
              <w:bottom w:val="single" w:color="auto" w:sz="4" w:space="0"/>
            </w:tcBorders>
            <w:vAlign w:val="center"/>
          </w:tcPr>
          <w:p>
            <w:pPr>
              <w:pStyle w:val="25"/>
            </w:pPr>
            <w:r>
              <w:rPr>
                <w:rFonts w:hint="eastAsia"/>
              </w:rPr>
              <w:t>/</w:t>
            </w:r>
          </w:p>
        </w:tc>
        <w:tc>
          <w:tcPr>
            <w:tcW w:w="1441" w:type="pct"/>
            <w:tcBorders>
              <w:top w:val="single" w:color="auto" w:sz="4" w:space="0"/>
              <w:bottom w:val="single" w:color="auto" w:sz="4" w:space="0"/>
            </w:tcBorders>
            <w:vAlign w:val="center"/>
          </w:tcPr>
          <w:p>
            <w:pPr>
              <w:pStyle w:val="25"/>
            </w:pPr>
            <w:r>
              <w:rPr>
                <w:rFonts w:hint="eastAsia"/>
              </w:rPr>
              <w:t>/</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tcBorders>
              <w:top w:val="single" w:color="auto" w:sz="4" w:space="0"/>
              <w:left w:val="single" w:color="auto" w:sz="12" w:space="0"/>
              <w:bottom w:val="single" w:color="auto" w:sz="4" w:space="0"/>
            </w:tcBorders>
            <w:vAlign w:val="center"/>
          </w:tcPr>
          <w:p>
            <w:pPr>
              <w:pStyle w:val="25"/>
            </w:pPr>
            <w:r>
              <w:rPr>
                <w:rFonts w:hint="eastAsia"/>
              </w:rPr>
              <w:t>声环境</w:t>
            </w:r>
          </w:p>
        </w:tc>
        <w:tc>
          <w:tcPr>
            <w:tcW w:w="1275" w:type="pct"/>
            <w:tcBorders>
              <w:top w:val="single" w:color="auto" w:sz="4" w:space="0"/>
              <w:bottom w:val="single" w:color="auto" w:sz="4" w:space="0"/>
            </w:tcBorders>
            <w:vAlign w:val="center"/>
          </w:tcPr>
          <w:p>
            <w:pPr>
              <w:pStyle w:val="25"/>
              <w:rPr>
                <w:rFonts w:ascii="宋体" w:hAnsi="宋体" w:cs="宋体"/>
              </w:rPr>
            </w:pPr>
            <w:r>
              <w:rPr>
                <w:rFonts w:hint="eastAsia"/>
              </w:rPr>
              <w:t>夜间应禁止施工作业；合理进行施工总平布置；采用低噪声设备并做好施工机械的保养和维护；对高噪声设备采取隔声措施</w:t>
            </w:r>
          </w:p>
        </w:tc>
        <w:tc>
          <w:tcPr>
            <w:tcW w:w="1441" w:type="pct"/>
            <w:tcBorders>
              <w:top w:val="single" w:color="auto" w:sz="4" w:space="0"/>
              <w:bottom w:val="single" w:color="auto" w:sz="4" w:space="0"/>
            </w:tcBorders>
            <w:vAlign w:val="center"/>
          </w:tcPr>
          <w:p>
            <w:pPr>
              <w:pStyle w:val="25"/>
              <w:rPr>
                <w:rFonts w:ascii="宋体" w:hAnsi="宋体" w:cs="宋体"/>
              </w:rPr>
            </w:pPr>
            <w:r>
              <w:rPr>
                <w:rFonts w:hint="eastAsia"/>
              </w:rPr>
              <w:t>《工业企业厂界环境噪声排放标准》（GB12348-2008）中的2类标准</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tcBorders>
              <w:top w:val="single" w:color="auto" w:sz="4" w:space="0"/>
              <w:left w:val="single" w:color="auto" w:sz="12" w:space="0"/>
              <w:bottom w:val="single" w:color="auto" w:sz="4" w:space="0"/>
            </w:tcBorders>
            <w:vAlign w:val="center"/>
          </w:tcPr>
          <w:p>
            <w:pPr>
              <w:pStyle w:val="25"/>
            </w:pPr>
            <w:r>
              <w:rPr>
                <w:rFonts w:hint="eastAsia"/>
              </w:rPr>
              <w:t>振动</w:t>
            </w:r>
          </w:p>
        </w:tc>
        <w:tc>
          <w:tcPr>
            <w:tcW w:w="1275" w:type="pct"/>
            <w:tcBorders>
              <w:top w:val="single" w:color="auto" w:sz="4" w:space="0"/>
              <w:bottom w:val="single" w:color="auto" w:sz="4" w:space="0"/>
            </w:tcBorders>
            <w:vAlign w:val="center"/>
          </w:tcPr>
          <w:p>
            <w:pPr>
              <w:pStyle w:val="25"/>
            </w:pPr>
            <w:r>
              <w:rPr>
                <w:rFonts w:hint="eastAsia"/>
              </w:rPr>
              <w:t>/</w:t>
            </w:r>
          </w:p>
        </w:tc>
        <w:tc>
          <w:tcPr>
            <w:tcW w:w="1441" w:type="pct"/>
            <w:tcBorders>
              <w:top w:val="single" w:color="auto" w:sz="4" w:space="0"/>
              <w:bottom w:val="single" w:color="auto" w:sz="4" w:space="0"/>
            </w:tcBorders>
            <w:vAlign w:val="center"/>
          </w:tcPr>
          <w:p>
            <w:pPr>
              <w:pStyle w:val="25"/>
            </w:pPr>
            <w:r>
              <w:rPr>
                <w:rFonts w:hint="eastAsia"/>
              </w:rPr>
              <w:t>/</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vMerge w:val="restart"/>
            <w:tcBorders>
              <w:top w:val="single" w:color="auto" w:sz="4" w:space="0"/>
              <w:left w:val="single" w:color="auto" w:sz="12" w:space="0"/>
              <w:bottom w:val="single" w:color="auto" w:sz="4" w:space="0"/>
            </w:tcBorders>
            <w:vAlign w:val="center"/>
          </w:tcPr>
          <w:p>
            <w:pPr>
              <w:pStyle w:val="25"/>
            </w:pPr>
            <w:r>
              <w:rPr>
                <w:rFonts w:hint="eastAsia"/>
              </w:rPr>
              <w:t>大气环境</w:t>
            </w:r>
          </w:p>
        </w:tc>
        <w:tc>
          <w:tcPr>
            <w:tcW w:w="1275" w:type="pct"/>
            <w:tcBorders>
              <w:top w:val="single" w:color="auto" w:sz="4" w:space="0"/>
              <w:bottom w:val="single" w:color="auto" w:sz="4" w:space="0"/>
            </w:tcBorders>
            <w:vAlign w:val="center"/>
          </w:tcPr>
          <w:p>
            <w:pPr>
              <w:pStyle w:val="25"/>
            </w:pPr>
            <w:r>
              <w:rPr>
                <w:rFonts w:hint="eastAsia"/>
              </w:rPr>
              <w:t>施工扬尘设置围挡、洒水降尘</w:t>
            </w:r>
          </w:p>
        </w:tc>
        <w:tc>
          <w:tcPr>
            <w:tcW w:w="1441" w:type="pct"/>
            <w:tcBorders>
              <w:top w:val="single" w:color="auto" w:sz="4" w:space="0"/>
              <w:bottom w:val="single" w:color="auto" w:sz="4" w:space="0"/>
            </w:tcBorders>
            <w:vAlign w:val="center"/>
          </w:tcPr>
          <w:p>
            <w:pPr>
              <w:pStyle w:val="25"/>
            </w:pPr>
            <w:r>
              <w:t>《大气污染物</w:t>
            </w:r>
            <w:r>
              <w:rPr>
                <w:rFonts w:hint="eastAsia"/>
              </w:rPr>
              <w:t>综合</w:t>
            </w:r>
            <w:r>
              <w:t>排放标准》（GB16297-1996）二级标准</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vMerge w:val="continue"/>
            <w:tcBorders>
              <w:top w:val="single" w:color="auto" w:sz="4" w:space="0"/>
              <w:left w:val="single" w:color="auto" w:sz="12" w:space="0"/>
              <w:bottom w:val="single" w:color="auto" w:sz="4" w:space="0"/>
            </w:tcBorders>
            <w:vAlign w:val="center"/>
          </w:tcPr>
          <w:p>
            <w:pPr>
              <w:pStyle w:val="25"/>
            </w:pPr>
          </w:p>
        </w:tc>
        <w:tc>
          <w:tcPr>
            <w:tcW w:w="1275" w:type="pct"/>
            <w:tcBorders>
              <w:top w:val="single" w:color="auto" w:sz="4" w:space="0"/>
              <w:bottom w:val="single" w:color="auto" w:sz="4" w:space="0"/>
            </w:tcBorders>
            <w:vAlign w:val="center"/>
          </w:tcPr>
          <w:p>
            <w:pPr>
              <w:pStyle w:val="25"/>
            </w:pPr>
            <w:r>
              <w:rPr>
                <w:rFonts w:hint="eastAsia"/>
              </w:rPr>
              <w:t>施工机械尾气自然扩散</w:t>
            </w:r>
          </w:p>
        </w:tc>
        <w:tc>
          <w:tcPr>
            <w:tcW w:w="1441" w:type="pct"/>
            <w:tcBorders>
              <w:top w:val="single" w:color="auto" w:sz="4" w:space="0"/>
              <w:bottom w:val="single" w:color="auto" w:sz="4" w:space="0"/>
            </w:tcBorders>
            <w:vAlign w:val="center"/>
          </w:tcPr>
          <w:p>
            <w:pPr>
              <w:pStyle w:val="25"/>
              <w:rPr>
                <w:rFonts w:ascii="宋体" w:hAnsi="宋体" w:cs="宋体"/>
                <w:szCs w:val="21"/>
              </w:rPr>
            </w:pPr>
            <w:r>
              <w:t>《非道路移动机械用柴油机排气污染物排放限值及测量方法（中国第三、四阶段）》（GB20891-2014）</w:t>
            </w:r>
            <w:r>
              <w:rPr>
                <w:rFonts w:hint="eastAsia"/>
              </w:rPr>
              <w:t>表2</w:t>
            </w:r>
          </w:p>
        </w:tc>
        <w:tc>
          <w:tcPr>
            <w:tcW w:w="864" w:type="pct"/>
            <w:tcBorders>
              <w:top w:val="single" w:color="auto" w:sz="4" w:space="0"/>
              <w:bottom w:val="single" w:color="auto" w:sz="4" w:space="0"/>
            </w:tcBorders>
            <w:vAlign w:val="center"/>
          </w:tcPr>
          <w:p>
            <w:pPr>
              <w:pStyle w:val="25"/>
            </w:pPr>
          </w:p>
        </w:tc>
        <w:tc>
          <w:tcPr>
            <w:tcW w:w="642" w:type="pct"/>
            <w:tcBorders>
              <w:top w:val="single" w:color="auto" w:sz="4" w:space="0"/>
              <w:bottom w:val="single" w:color="auto" w:sz="4" w:space="0"/>
              <w:right w:val="single" w:color="auto" w:sz="12" w:space="0"/>
            </w:tcBorders>
            <w:vAlign w:val="center"/>
          </w:tcPr>
          <w:p>
            <w:pPr>
              <w:pStyle w:val="25"/>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tcBorders>
              <w:top w:val="single" w:color="auto" w:sz="4" w:space="0"/>
              <w:left w:val="single" w:color="auto" w:sz="12" w:space="0"/>
              <w:bottom w:val="single" w:color="auto" w:sz="4" w:space="0"/>
            </w:tcBorders>
            <w:vAlign w:val="center"/>
          </w:tcPr>
          <w:p>
            <w:pPr>
              <w:pStyle w:val="25"/>
            </w:pPr>
            <w:r>
              <w:rPr>
                <w:rFonts w:hint="eastAsia"/>
              </w:rPr>
              <w:t>固体废物</w:t>
            </w:r>
          </w:p>
        </w:tc>
        <w:tc>
          <w:tcPr>
            <w:tcW w:w="1275" w:type="pct"/>
            <w:tcBorders>
              <w:top w:val="single" w:color="auto" w:sz="4" w:space="0"/>
              <w:bottom w:val="single" w:color="auto" w:sz="4" w:space="0"/>
            </w:tcBorders>
            <w:vAlign w:val="center"/>
          </w:tcPr>
          <w:p>
            <w:pPr>
              <w:pStyle w:val="25"/>
              <w:rPr>
                <w:rFonts w:ascii="宋体" w:hAnsi="宋体" w:cs="宋体"/>
              </w:rPr>
            </w:pPr>
            <w:r>
              <w:t>临时弃土单独存放，最终回填；钻探泥浆带施工结束后统一固化填埋；日常维修产生的废机油暂存于危废暂存间</w:t>
            </w:r>
            <w:r>
              <w:rPr>
                <w:rFonts w:hint="eastAsia"/>
              </w:rPr>
              <w:t>（约</w:t>
            </w:r>
            <w:r>
              <w:t>5</w:t>
            </w:r>
            <w:r>
              <w:rPr>
                <w:rFonts w:hint="eastAsia"/>
              </w:rPr>
              <w:t>m</w:t>
            </w:r>
            <w:r>
              <w:rPr>
                <w:rFonts w:hint="eastAsia"/>
                <w:vertAlign w:val="superscript"/>
              </w:rPr>
              <w:t>2</w:t>
            </w:r>
            <w:r>
              <w:rPr>
                <w:rFonts w:hint="eastAsia"/>
              </w:rPr>
              <w:t>）</w:t>
            </w:r>
            <w:r>
              <w:t>，交由有危废处置资质单位处理；生活垃圾集中收集后统一拉运到垃圾填埋场进行填埋；化粪池污泥定期清掏，交由周边农户作为农肥消耗</w:t>
            </w:r>
            <w:r>
              <w:rPr>
                <w:rFonts w:hint="eastAsia"/>
              </w:rPr>
              <w:t>；钻孔岩屑用于封孔，对钻孔进行密封；岩心委托第三方进行分析，分析完成后由第三方妥善保存在专门的岩心库中</w:t>
            </w:r>
          </w:p>
        </w:tc>
        <w:tc>
          <w:tcPr>
            <w:tcW w:w="1441" w:type="pct"/>
            <w:tcBorders>
              <w:top w:val="single" w:color="auto" w:sz="4" w:space="0"/>
              <w:bottom w:val="single" w:color="auto" w:sz="4" w:space="0"/>
            </w:tcBorders>
            <w:vAlign w:val="center"/>
          </w:tcPr>
          <w:p>
            <w:pPr>
              <w:pStyle w:val="25"/>
              <w:rPr>
                <w:rFonts w:ascii="宋体" w:hAnsi="宋体" w:cs="宋体"/>
              </w:rPr>
            </w:pPr>
            <w:r>
              <w:t>施工期的固废妥善的处理</w:t>
            </w:r>
            <w:r>
              <w:rPr>
                <w:rFonts w:hint="eastAsia"/>
              </w:rPr>
              <w:t>，不随意堆弃</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tcBorders>
              <w:top w:val="single" w:color="auto" w:sz="4" w:space="0"/>
              <w:left w:val="single" w:color="auto" w:sz="12" w:space="0"/>
              <w:bottom w:val="single" w:color="auto" w:sz="4" w:space="0"/>
            </w:tcBorders>
            <w:vAlign w:val="center"/>
          </w:tcPr>
          <w:p>
            <w:pPr>
              <w:pStyle w:val="25"/>
            </w:pPr>
            <w:r>
              <w:rPr>
                <w:rFonts w:hint="eastAsia"/>
              </w:rPr>
              <w:t>电磁环境</w:t>
            </w:r>
          </w:p>
        </w:tc>
        <w:tc>
          <w:tcPr>
            <w:tcW w:w="1275" w:type="pct"/>
            <w:tcBorders>
              <w:top w:val="single" w:color="auto" w:sz="4" w:space="0"/>
              <w:bottom w:val="single" w:color="auto" w:sz="4" w:space="0"/>
            </w:tcBorders>
            <w:vAlign w:val="center"/>
          </w:tcPr>
          <w:p>
            <w:pPr>
              <w:pStyle w:val="25"/>
            </w:pPr>
            <w:r>
              <w:rPr>
                <w:rFonts w:hint="eastAsia"/>
              </w:rPr>
              <w:t>/</w:t>
            </w:r>
          </w:p>
        </w:tc>
        <w:tc>
          <w:tcPr>
            <w:tcW w:w="1441" w:type="pct"/>
            <w:tcBorders>
              <w:top w:val="single" w:color="auto" w:sz="4" w:space="0"/>
              <w:bottom w:val="single" w:color="auto" w:sz="4" w:space="0"/>
            </w:tcBorders>
            <w:vAlign w:val="center"/>
          </w:tcPr>
          <w:p>
            <w:pPr>
              <w:pStyle w:val="25"/>
            </w:pPr>
            <w:r>
              <w:rPr>
                <w:rFonts w:hint="eastAsia"/>
              </w:rPr>
              <w:t>/</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tcBorders>
              <w:top w:val="single" w:color="auto" w:sz="4" w:space="0"/>
              <w:left w:val="single" w:color="auto" w:sz="12" w:space="0"/>
              <w:bottom w:val="single" w:color="auto" w:sz="4" w:space="0"/>
            </w:tcBorders>
            <w:vAlign w:val="center"/>
          </w:tcPr>
          <w:p>
            <w:pPr>
              <w:pStyle w:val="25"/>
            </w:pPr>
            <w:r>
              <w:rPr>
                <w:rFonts w:hint="eastAsia"/>
              </w:rPr>
              <w:t>环境风险</w:t>
            </w:r>
          </w:p>
        </w:tc>
        <w:tc>
          <w:tcPr>
            <w:tcW w:w="1275" w:type="pct"/>
            <w:tcBorders>
              <w:top w:val="single" w:color="auto" w:sz="4" w:space="0"/>
              <w:bottom w:val="single" w:color="auto" w:sz="4" w:space="0"/>
            </w:tcBorders>
            <w:vAlign w:val="center"/>
          </w:tcPr>
          <w:p>
            <w:pPr>
              <w:pStyle w:val="25"/>
            </w:pPr>
            <w:r>
              <w:rPr>
                <w:rFonts w:hint="eastAsia"/>
                <w:color w:val="000000"/>
              </w:rPr>
              <w:t>加强柴油、废机油风险管理</w:t>
            </w:r>
          </w:p>
        </w:tc>
        <w:tc>
          <w:tcPr>
            <w:tcW w:w="1441" w:type="pct"/>
            <w:tcBorders>
              <w:top w:val="single" w:color="auto" w:sz="4" w:space="0"/>
              <w:bottom w:val="single" w:color="auto" w:sz="4" w:space="0"/>
            </w:tcBorders>
            <w:vAlign w:val="center"/>
          </w:tcPr>
          <w:p>
            <w:pPr>
              <w:pStyle w:val="25"/>
            </w:pPr>
            <w:r>
              <w:rPr>
                <w:rFonts w:hint="eastAsia"/>
                <w:color w:val="000000"/>
              </w:rPr>
              <w:t>勘探期间不得发生重大环境事故</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tcBorders>
              <w:top w:val="single" w:color="auto" w:sz="4" w:space="0"/>
              <w:left w:val="single" w:color="auto" w:sz="12" w:space="0"/>
              <w:bottom w:val="single" w:color="auto" w:sz="4" w:space="0"/>
            </w:tcBorders>
            <w:vAlign w:val="center"/>
          </w:tcPr>
          <w:p>
            <w:pPr>
              <w:pStyle w:val="25"/>
            </w:pPr>
            <w:r>
              <w:rPr>
                <w:rFonts w:hint="eastAsia"/>
              </w:rPr>
              <w:t>环境监测</w:t>
            </w:r>
          </w:p>
        </w:tc>
        <w:tc>
          <w:tcPr>
            <w:tcW w:w="1275" w:type="pct"/>
            <w:tcBorders>
              <w:top w:val="single" w:color="auto" w:sz="4" w:space="0"/>
              <w:bottom w:val="single" w:color="auto" w:sz="4" w:space="0"/>
            </w:tcBorders>
            <w:vAlign w:val="center"/>
          </w:tcPr>
          <w:p>
            <w:pPr>
              <w:pStyle w:val="25"/>
            </w:pPr>
            <w:r>
              <w:rPr>
                <w:rFonts w:hint="eastAsia"/>
              </w:rPr>
              <w:t>/</w:t>
            </w:r>
          </w:p>
        </w:tc>
        <w:tc>
          <w:tcPr>
            <w:tcW w:w="1441" w:type="pct"/>
            <w:tcBorders>
              <w:top w:val="single" w:color="auto" w:sz="4" w:space="0"/>
              <w:bottom w:val="single" w:color="auto" w:sz="4" w:space="0"/>
            </w:tcBorders>
            <w:vAlign w:val="center"/>
          </w:tcPr>
          <w:p>
            <w:pPr>
              <w:pStyle w:val="25"/>
            </w:pPr>
            <w:r>
              <w:rPr>
                <w:rFonts w:hint="eastAsia"/>
              </w:rPr>
              <w:t>/</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pct"/>
            <w:tcBorders>
              <w:top w:val="single" w:color="auto" w:sz="4" w:space="0"/>
              <w:left w:val="single" w:color="auto" w:sz="12" w:space="0"/>
              <w:bottom w:val="single" w:color="auto" w:sz="12" w:space="0"/>
            </w:tcBorders>
            <w:vAlign w:val="center"/>
          </w:tcPr>
          <w:p>
            <w:pPr>
              <w:pStyle w:val="25"/>
            </w:pPr>
            <w:r>
              <w:rPr>
                <w:rFonts w:hint="eastAsia"/>
              </w:rPr>
              <w:t>其他</w:t>
            </w:r>
          </w:p>
        </w:tc>
        <w:tc>
          <w:tcPr>
            <w:tcW w:w="1275" w:type="pct"/>
            <w:tcBorders>
              <w:top w:val="single" w:color="auto" w:sz="4" w:space="0"/>
              <w:bottom w:val="single" w:color="auto" w:sz="12" w:space="0"/>
            </w:tcBorders>
            <w:vAlign w:val="center"/>
          </w:tcPr>
          <w:p>
            <w:pPr>
              <w:pStyle w:val="25"/>
            </w:pPr>
            <w:r>
              <w:rPr>
                <w:rFonts w:hint="eastAsia"/>
              </w:rPr>
              <w:t>/</w:t>
            </w:r>
          </w:p>
        </w:tc>
        <w:tc>
          <w:tcPr>
            <w:tcW w:w="1441" w:type="pct"/>
            <w:tcBorders>
              <w:top w:val="single" w:color="auto" w:sz="4" w:space="0"/>
              <w:bottom w:val="single" w:color="auto" w:sz="12" w:space="0"/>
            </w:tcBorders>
            <w:vAlign w:val="center"/>
          </w:tcPr>
          <w:p>
            <w:pPr>
              <w:pStyle w:val="25"/>
            </w:pPr>
            <w:r>
              <w:rPr>
                <w:rFonts w:hint="eastAsia"/>
              </w:rPr>
              <w:t>/</w:t>
            </w:r>
          </w:p>
        </w:tc>
        <w:tc>
          <w:tcPr>
            <w:tcW w:w="864" w:type="pct"/>
            <w:tcBorders>
              <w:top w:val="single" w:color="auto" w:sz="4" w:space="0"/>
              <w:bottom w:val="single" w:color="auto" w:sz="12" w:space="0"/>
            </w:tcBorders>
            <w:vAlign w:val="center"/>
          </w:tcPr>
          <w:p>
            <w:pPr>
              <w:pStyle w:val="25"/>
            </w:pPr>
            <w:r>
              <w:rPr>
                <w:rFonts w:hint="eastAsia"/>
              </w:rPr>
              <w:t>/</w:t>
            </w:r>
          </w:p>
        </w:tc>
        <w:tc>
          <w:tcPr>
            <w:tcW w:w="642" w:type="pct"/>
            <w:tcBorders>
              <w:top w:val="single" w:color="auto" w:sz="4" w:space="0"/>
              <w:bottom w:val="single" w:color="auto" w:sz="12" w:space="0"/>
              <w:right w:val="single" w:color="auto" w:sz="12" w:space="0"/>
            </w:tcBorders>
            <w:vAlign w:val="center"/>
          </w:tcPr>
          <w:p>
            <w:pPr>
              <w:pStyle w:val="25"/>
            </w:pPr>
            <w:r>
              <w:rPr>
                <w:rFonts w:hint="eastAsia"/>
              </w:rPr>
              <w:t>/</w:t>
            </w:r>
          </w:p>
        </w:tc>
      </w:tr>
    </w:tbl>
    <w:p>
      <w:pPr>
        <w:pStyle w:val="3"/>
      </w:pPr>
      <w:r>
        <w:rPr>
          <w:rFonts w:hint="eastAsia"/>
        </w:rPr>
        <w:t>七、结论</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08" w:hRule="atLeast"/>
          <w:jc w:val="center"/>
        </w:trPr>
        <w:tc>
          <w:tcPr>
            <w:tcW w:w="5000" w:type="pct"/>
          </w:tcPr>
          <w:p>
            <w:pPr>
              <w:ind w:firstLine="482"/>
              <w:rPr>
                <w:b/>
                <w:bCs/>
              </w:rPr>
            </w:pPr>
            <w:r>
              <w:rPr>
                <w:rFonts w:hint="eastAsia"/>
                <w:b/>
                <w:bCs/>
                <w:szCs w:val="32"/>
              </w:rPr>
              <w:t>1、建设项目环境可行性结论</w:t>
            </w:r>
          </w:p>
          <w:p>
            <w:r>
              <w:rPr>
                <w:rFonts w:hint="eastAsia"/>
              </w:rPr>
              <w:t>本项目符合国家产业政策。该项目工程区内不涉及集中式饮用水源保护区、不涉及保护文物、不涉及风景名胜区及生态敏感区，不会对当地城镇发展规划造成影响。项目拟采取的三废治理措施有效可行。该项工程采取的环境风险措施切实可行。在落实风险防范措施后，环境风险达到可以接受水平。</w:t>
            </w:r>
          </w:p>
          <w:p>
            <w:r>
              <w:rPr>
                <w:rFonts w:hint="eastAsia"/>
              </w:rPr>
              <w:t>综上所述，在施工过程中强化环保管理，落实各项环保措施，保证各项设施正常运行，从环境保护角度分析，本项目建设是可行的。</w:t>
            </w:r>
          </w:p>
          <w:p>
            <w:pPr>
              <w:pStyle w:val="14"/>
              <w:ind w:firstLine="482" w:firstLineChars="200"/>
              <w:jc w:val="both"/>
            </w:pPr>
            <w:r>
              <w:t>2</w:t>
            </w:r>
            <w:r>
              <w:rPr>
                <w:rFonts w:hint="eastAsia"/>
              </w:rPr>
              <w:t>、建议</w:t>
            </w:r>
          </w:p>
          <w:p>
            <w:r>
              <w:rPr>
                <w:rFonts w:hint="eastAsia"/>
              </w:rPr>
              <w:t>（</w:t>
            </w:r>
            <w:r>
              <w:t>1</w:t>
            </w:r>
            <w:r>
              <w:rPr>
                <w:rFonts w:hint="eastAsia"/>
              </w:rPr>
              <w:t>）认真落实“三废”及噪声等环保措施，确保钻井废水处理达标后排放，固体废物得到有效处置，设备噪声得到有效控制，以保护环境不受影响。</w:t>
            </w:r>
          </w:p>
          <w:p>
            <w:r>
              <w:rPr>
                <w:rFonts w:hint="eastAsia"/>
              </w:rPr>
              <w:t>（</w:t>
            </w:r>
            <w:r>
              <w:t>2</w:t>
            </w:r>
            <w:r>
              <w:rPr>
                <w:rFonts w:hint="eastAsia"/>
              </w:rPr>
              <w:t>）加强废水、固体废物储运过程管理，建立相应的管理制度。</w:t>
            </w:r>
          </w:p>
          <w:p/>
          <w:p/>
          <w:p/>
          <w:p/>
          <w:p/>
          <w:p/>
          <w:p/>
          <w:p/>
          <w:p/>
          <w:p/>
          <w:p>
            <w:pPr>
              <w:ind w:firstLine="0" w:firstLineChars="0"/>
            </w:pPr>
          </w:p>
        </w:tc>
      </w:tr>
    </w:tbl>
    <w:p>
      <w:pPr>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6435440"/>
    </w:sdtPr>
    <w:sdtContent>
      <w:p>
        <w:pPr>
          <w:pStyle w:val="11"/>
          <w:ind w:firstLine="360"/>
          <w:jc w:val="center"/>
        </w:pPr>
        <w:r>
          <w:fldChar w:fldCharType="begin"/>
        </w:r>
        <w:r>
          <w:instrText xml:space="preserve">PAGE   \* MERGEFORMAT</w:instrText>
        </w:r>
        <w:r>
          <w:fldChar w:fldCharType="separate"/>
        </w:r>
        <w:r>
          <w:rPr>
            <w:lang w:val="zh-CN"/>
          </w:rPr>
          <w:t>2</w:t>
        </w:r>
        <w:r>
          <w:fldChar w:fldCharType="end"/>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FEB84"/>
    <w:multiLevelType w:val="singleLevel"/>
    <w:tmpl w:val="070FEB84"/>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1">
    <w:nsid w:val="0882F582"/>
    <w:multiLevelType w:val="singleLevel"/>
    <w:tmpl w:val="0882F582"/>
    <w:lvl w:ilvl="0" w:tentative="0">
      <w:start w:val="4"/>
      <w:numFmt w:val="decimal"/>
      <w:suff w:val="nothing"/>
      <w:lvlText w:val="（%1）"/>
      <w:lvlJc w:val="left"/>
    </w:lvl>
  </w:abstractNum>
  <w:abstractNum w:abstractNumId="2">
    <w:nsid w:val="50DDF1D6"/>
    <w:multiLevelType w:val="singleLevel"/>
    <w:tmpl w:val="50DDF1D6"/>
    <w:lvl w:ilvl="0" w:tentative="0">
      <w:start w:val="3"/>
      <w:numFmt w:val="decimal"/>
      <w:suff w:val="nothing"/>
      <w:lvlText w:val="%1、"/>
      <w:lvlJc w:val="left"/>
    </w:lvl>
  </w:abstractNum>
  <w:abstractNum w:abstractNumId="3">
    <w:nsid w:val="561E173D"/>
    <w:multiLevelType w:val="multilevel"/>
    <w:tmpl w:val="561E173D"/>
    <w:lvl w:ilvl="0" w:tentative="0">
      <w:start w:val="1"/>
      <w:numFmt w:val="decimal"/>
      <w:suff w:val="space"/>
      <w:lvlText w:val="%1"/>
      <w:lvlJc w:val="left"/>
      <w:pPr>
        <w:tabs>
          <w:tab w:val="left" w:pos="0"/>
        </w:tabs>
        <w:ind w:left="0" w:firstLine="0"/>
      </w:pPr>
      <w:rPr>
        <w:rFonts w:hint="default" w:ascii="Times New Roman" w:hAnsi="Times New Roman" w:eastAsia="宋体" w:cs="宋体"/>
      </w:rPr>
    </w:lvl>
    <w:lvl w:ilvl="1" w:tentative="0">
      <w:start w:val="1"/>
      <w:numFmt w:val="decimal"/>
      <w:suff w:val="space"/>
      <w:lvlText w:val="%1.%2"/>
      <w:lvlJc w:val="left"/>
      <w:pPr>
        <w:tabs>
          <w:tab w:val="left" w:pos="0"/>
        </w:tabs>
        <w:ind w:left="0" w:firstLine="0"/>
      </w:pPr>
      <w:rPr>
        <w:rFonts w:hint="default" w:ascii="Times New Roman" w:hAnsi="Times New Roman" w:eastAsia="宋体" w:cs="宋体"/>
      </w:rPr>
    </w:lvl>
    <w:lvl w:ilvl="2" w:tentative="0">
      <w:start w:val="1"/>
      <w:numFmt w:val="decimal"/>
      <w:suff w:val="space"/>
      <w:lvlText w:val="%1.%2.%3"/>
      <w:lvlJc w:val="left"/>
      <w:pPr>
        <w:tabs>
          <w:tab w:val="left" w:pos="0"/>
        </w:tabs>
        <w:ind w:left="0" w:firstLine="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mZGQ1YjY3YWE4ZjQxNzM3Mjc0MGM1ZTljYWMwNWUifQ=="/>
    <w:docVar w:name="KSO_WPS_MARK_KEY" w:val="aea58b2c-c1a0-4abd-abd3-756cc749d8cb"/>
  </w:docVars>
  <w:rsids>
    <w:rsidRoot w:val="005735F7"/>
    <w:rsid w:val="00001074"/>
    <w:rsid w:val="000061C2"/>
    <w:rsid w:val="00020DC6"/>
    <w:rsid w:val="00022438"/>
    <w:rsid w:val="00042D20"/>
    <w:rsid w:val="0004628B"/>
    <w:rsid w:val="00071D33"/>
    <w:rsid w:val="0007550F"/>
    <w:rsid w:val="000765EF"/>
    <w:rsid w:val="000A051B"/>
    <w:rsid w:val="000A242F"/>
    <w:rsid w:val="000A63AB"/>
    <w:rsid w:val="000B2D47"/>
    <w:rsid w:val="000C0820"/>
    <w:rsid w:val="000D03B9"/>
    <w:rsid w:val="000E1410"/>
    <w:rsid w:val="000F7164"/>
    <w:rsid w:val="001057F1"/>
    <w:rsid w:val="00115E95"/>
    <w:rsid w:val="001216A3"/>
    <w:rsid w:val="00134D95"/>
    <w:rsid w:val="00155D66"/>
    <w:rsid w:val="001737E2"/>
    <w:rsid w:val="00174D8D"/>
    <w:rsid w:val="00182689"/>
    <w:rsid w:val="00193579"/>
    <w:rsid w:val="00194B31"/>
    <w:rsid w:val="001961DE"/>
    <w:rsid w:val="001A147C"/>
    <w:rsid w:val="001A33AE"/>
    <w:rsid w:val="001B331D"/>
    <w:rsid w:val="001B45EB"/>
    <w:rsid w:val="001B4DB0"/>
    <w:rsid w:val="001C47BE"/>
    <w:rsid w:val="001E2A56"/>
    <w:rsid w:val="001E3A4E"/>
    <w:rsid w:val="001E6250"/>
    <w:rsid w:val="001E7632"/>
    <w:rsid w:val="001E7CEA"/>
    <w:rsid w:val="001F107C"/>
    <w:rsid w:val="001F6DA3"/>
    <w:rsid w:val="001F7323"/>
    <w:rsid w:val="002013DD"/>
    <w:rsid w:val="002031F1"/>
    <w:rsid w:val="00205D74"/>
    <w:rsid w:val="002112BF"/>
    <w:rsid w:val="002140CA"/>
    <w:rsid w:val="00220C5C"/>
    <w:rsid w:val="0022257E"/>
    <w:rsid w:val="00233C47"/>
    <w:rsid w:val="00235DBF"/>
    <w:rsid w:val="002439BC"/>
    <w:rsid w:val="00245F8C"/>
    <w:rsid w:val="00257A93"/>
    <w:rsid w:val="00273FDA"/>
    <w:rsid w:val="00292842"/>
    <w:rsid w:val="00292C13"/>
    <w:rsid w:val="002958B3"/>
    <w:rsid w:val="002A0B13"/>
    <w:rsid w:val="002A359F"/>
    <w:rsid w:val="002E28F2"/>
    <w:rsid w:val="002F0D6F"/>
    <w:rsid w:val="002F2293"/>
    <w:rsid w:val="002F4C4E"/>
    <w:rsid w:val="002F7DCD"/>
    <w:rsid w:val="00321B84"/>
    <w:rsid w:val="003477A6"/>
    <w:rsid w:val="00361B4D"/>
    <w:rsid w:val="00364E70"/>
    <w:rsid w:val="003661BA"/>
    <w:rsid w:val="00381A0E"/>
    <w:rsid w:val="00383204"/>
    <w:rsid w:val="00384D70"/>
    <w:rsid w:val="00393E1A"/>
    <w:rsid w:val="003951E4"/>
    <w:rsid w:val="003A2968"/>
    <w:rsid w:val="003A33DA"/>
    <w:rsid w:val="003A4B3A"/>
    <w:rsid w:val="003D65B5"/>
    <w:rsid w:val="003F2ADB"/>
    <w:rsid w:val="003F6466"/>
    <w:rsid w:val="004028FF"/>
    <w:rsid w:val="00412D5B"/>
    <w:rsid w:val="0043063F"/>
    <w:rsid w:val="004375F5"/>
    <w:rsid w:val="00441FA0"/>
    <w:rsid w:val="0044399D"/>
    <w:rsid w:val="00443A55"/>
    <w:rsid w:val="0046647C"/>
    <w:rsid w:val="004677C4"/>
    <w:rsid w:val="00477C08"/>
    <w:rsid w:val="00487704"/>
    <w:rsid w:val="00496E49"/>
    <w:rsid w:val="004A5FEB"/>
    <w:rsid w:val="004C1338"/>
    <w:rsid w:val="004C388D"/>
    <w:rsid w:val="004E0C99"/>
    <w:rsid w:val="004E6612"/>
    <w:rsid w:val="0050292F"/>
    <w:rsid w:val="00515FF0"/>
    <w:rsid w:val="00523FB2"/>
    <w:rsid w:val="00533006"/>
    <w:rsid w:val="005368A9"/>
    <w:rsid w:val="0054081B"/>
    <w:rsid w:val="00542139"/>
    <w:rsid w:val="00543850"/>
    <w:rsid w:val="005472B2"/>
    <w:rsid w:val="0055434E"/>
    <w:rsid w:val="00561875"/>
    <w:rsid w:val="005642F8"/>
    <w:rsid w:val="005712CE"/>
    <w:rsid w:val="005735F7"/>
    <w:rsid w:val="00575AB2"/>
    <w:rsid w:val="005835C4"/>
    <w:rsid w:val="0059525D"/>
    <w:rsid w:val="005B5A18"/>
    <w:rsid w:val="005B5FE6"/>
    <w:rsid w:val="005B7E92"/>
    <w:rsid w:val="005C01DA"/>
    <w:rsid w:val="005C5488"/>
    <w:rsid w:val="005D1299"/>
    <w:rsid w:val="005F7DE9"/>
    <w:rsid w:val="00617F5D"/>
    <w:rsid w:val="00627DA5"/>
    <w:rsid w:val="006432E5"/>
    <w:rsid w:val="00651AC6"/>
    <w:rsid w:val="00653C61"/>
    <w:rsid w:val="00655024"/>
    <w:rsid w:val="00664EC9"/>
    <w:rsid w:val="00667388"/>
    <w:rsid w:val="006811BA"/>
    <w:rsid w:val="006B365A"/>
    <w:rsid w:val="006D0911"/>
    <w:rsid w:val="006D127D"/>
    <w:rsid w:val="006D1611"/>
    <w:rsid w:val="006D32CF"/>
    <w:rsid w:val="006F0CD6"/>
    <w:rsid w:val="006F13A4"/>
    <w:rsid w:val="006F5157"/>
    <w:rsid w:val="006F584B"/>
    <w:rsid w:val="006F61E1"/>
    <w:rsid w:val="006F73C3"/>
    <w:rsid w:val="00706F85"/>
    <w:rsid w:val="00716280"/>
    <w:rsid w:val="00716C20"/>
    <w:rsid w:val="00716D9E"/>
    <w:rsid w:val="0072299D"/>
    <w:rsid w:val="00740177"/>
    <w:rsid w:val="00751C55"/>
    <w:rsid w:val="00753E4F"/>
    <w:rsid w:val="00757141"/>
    <w:rsid w:val="00764AE6"/>
    <w:rsid w:val="0077546D"/>
    <w:rsid w:val="00791131"/>
    <w:rsid w:val="007A1D5A"/>
    <w:rsid w:val="007A3435"/>
    <w:rsid w:val="007A3BE4"/>
    <w:rsid w:val="007A4BBF"/>
    <w:rsid w:val="007B0519"/>
    <w:rsid w:val="007B47E3"/>
    <w:rsid w:val="007C5910"/>
    <w:rsid w:val="007F5D45"/>
    <w:rsid w:val="00803473"/>
    <w:rsid w:val="00804E76"/>
    <w:rsid w:val="00807BE0"/>
    <w:rsid w:val="00810D92"/>
    <w:rsid w:val="008235D3"/>
    <w:rsid w:val="008248F5"/>
    <w:rsid w:val="0083505D"/>
    <w:rsid w:val="008420AF"/>
    <w:rsid w:val="00842BFD"/>
    <w:rsid w:val="0084438E"/>
    <w:rsid w:val="00850A92"/>
    <w:rsid w:val="0087605B"/>
    <w:rsid w:val="00895FB8"/>
    <w:rsid w:val="008B3DAD"/>
    <w:rsid w:val="008B502F"/>
    <w:rsid w:val="008D516B"/>
    <w:rsid w:val="008E5A92"/>
    <w:rsid w:val="008F236C"/>
    <w:rsid w:val="008F55D7"/>
    <w:rsid w:val="008F653D"/>
    <w:rsid w:val="008F70E7"/>
    <w:rsid w:val="00903B6F"/>
    <w:rsid w:val="0091264A"/>
    <w:rsid w:val="0092279A"/>
    <w:rsid w:val="0092724D"/>
    <w:rsid w:val="00935502"/>
    <w:rsid w:val="00935E1D"/>
    <w:rsid w:val="00951AC1"/>
    <w:rsid w:val="00953682"/>
    <w:rsid w:val="00961648"/>
    <w:rsid w:val="009647D9"/>
    <w:rsid w:val="00982B76"/>
    <w:rsid w:val="00986932"/>
    <w:rsid w:val="0099240A"/>
    <w:rsid w:val="009A4BE3"/>
    <w:rsid w:val="009A4D52"/>
    <w:rsid w:val="009A549B"/>
    <w:rsid w:val="009B14BA"/>
    <w:rsid w:val="009B3CA9"/>
    <w:rsid w:val="009C6A4A"/>
    <w:rsid w:val="009D37E4"/>
    <w:rsid w:val="009D6960"/>
    <w:rsid w:val="009F0548"/>
    <w:rsid w:val="00A0283C"/>
    <w:rsid w:val="00A036B2"/>
    <w:rsid w:val="00A12E4A"/>
    <w:rsid w:val="00A139E9"/>
    <w:rsid w:val="00A30E10"/>
    <w:rsid w:val="00A33C96"/>
    <w:rsid w:val="00A4688F"/>
    <w:rsid w:val="00A47C42"/>
    <w:rsid w:val="00A6383B"/>
    <w:rsid w:val="00A67B5E"/>
    <w:rsid w:val="00A70FC1"/>
    <w:rsid w:val="00A807A2"/>
    <w:rsid w:val="00A939DC"/>
    <w:rsid w:val="00A95643"/>
    <w:rsid w:val="00AA58EF"/>
    <w:rsid w:val="00AD7D03"/>
    <w:rsid w:val="00AE0EE8"/>
    <w:rsid w:val="00AE24EF"/>
    <w:rsid w:val="00AE534C"/>
    <w:rsid w:val="00AF3301"/>
    <w:rsid w:val="00AF61F3"/>
    <w:rsid w:val="00B04333"/>
    <w:rsid w:val="00B11139"/>
    <w:rsid w:val="00B117DE"/>
    <w:rsid w:val="00B167EF"/>
    <w:rsid w:val="00B20DB1"/>
    <w:rsid w:val="00B2789C"/>
    <w:rsid w:val="00B320D2"/>
    <w:rsid w:val="00B3569E"/>
    <w:rsid w:val="00B36E90"/>
    <w:rsid w:val="00B37DDD"/>
    <w:rsid w:val="00B4658D"/>
    <w:rsid w:val="00B6498D"/>
    <w:rsid w:val="00B768BC"/>
    <w:rsid w:val="00B81F1A"/>
    <w:rsid w:val="00B870AC"/>
    <w:rsid w:val="00B92986"/>
    <w:rsid w:val="00BC23D0"/>
    <w:rsid w:val="00BC3D80"/>
    <w:rsid w:val="00BE1F13"/>
    <w:rsid w:val="00BE715E"/>
    <w:rsid w:val="00BF5403"/>
    <w:rsid w:val="00C0528C"/>
    <w:rsid w:val="00C0655C"/>
    <w:rsid w:val="00C11C02"/>
    <w:rsid w:val="00C207D0"/>
    <w:rsid w:val="00C33BE5"/>
    <w:rsid w:val="00C44039"/>
    <w:rsid w:val="00C57BD1"/>
    <w:rsid w:val="00C62896"/>
    <w:rsid w:val="00C64F24"/>
    <w:rsid w:val="00C76600"/>
    <w:rsid w:val="00C80022"/>
    <w:rsid w:val="00C91D6A"/>
    <w:rsid w:val="00C92967"/>
    <w:rsid w:val="00C9745C"/>
    <w:rsid w:val="00CA4025"/>
    <w:rsid w:val="00CB25D2"/>
    <w:rsid w:val="00CC066C"/>
    <w:rsid w:val="00CC35BD"/>
    <w:rsid w:val="00CD0C57"/>
    <w:rsid w:val="00CD55D6"/>
    <w:rsid w:val="00D15E71"/>
    <w:rsid w:val="00D36F98"/>
    <w:rsid w:val="00D54165"/>
    <w:rsid w:val="00D54FAA"/>
    <w:rsid w:val="00D80D0E"/>
    <w:rsid w:val="00D918D2"/>
    <w:rsid w:val="00D939D9"/>
    <w:rsid w:val="00DA3348"/>
    <w:rsid w:val="00DA3C85"/>
    <w:rsid w:val="00DB00A2"/>
    <w:rsid w:val="00DB35CF"/>
    <w:rsid w:val="00DB7DAD"/>
    <w:rsid w:val="00DC7775"/>
    <w:rsid w:val="00DE65F1"/>
    <w:rsid w:val="00E03D6C"/>
    <w:rsid w:val="00E13321"/>
    <w:rsid w:val="00E25435"/>
    <w:rsid w:val="00E33DC0"/>
    <w:rsid w:val="00E571B0"/>
    <w:rsid w:val="00E633F1"/>
    <w:rsid w:val="00E65881"/>
    <w:rsid w:val="00E66126"/>
    <w:rsid w:val="00E7603B"/>
    <w:rsid w:val="00E76A94"/>
    <w:rsid w:val="00E81838"/>
    <w:rsid w:val="00E9183C"/>
    <w:rsid w:val="00EA1479"/>
    <w:rsid w:val="00EA3469"/>
    <w:rsid w:val="00ED2328"/>
    <w:rsid w:val="00ED7CA3"/>
    <w:rsid w:val="00EE0154"/>
    <w:rsid w:val="00EE6B3C"/>
    <w:rsid w:val="00F033EB"/>
    <w:rsid w:val="00F06D23"/>
    <w:rsid w:val="00F14A15"/>
    <w:rsid w:val="00F159A4"/>
    <w:rsid w:val="00F222DA"/>
    <w:rsid w:val="00F43CA0"/>
    <w:rsid w:val="00F53E52"/>
    <w:rsid w:val="00F620FC"/>
    <w:rsid w:val="00F6265A"/>
    <w:rsid w:val="00F63047"/>
    <w:rsid w:val="00F67976"/>
    <w:rsid w:val="00F839A3"/>
    <w:rsid w:val="00F86A91"/>
    <w:rsid w:val="00F8744A"/>
    <w:rsid w:val="00F935CF"/>
    <w:rsid w:val="00FA36D6"/>
    <w:rsid w:val="00FB026C"/>
    <w:rsid w:val="00FB484D"/>
    <w:rsid w:val="00FC0A18"/>
    <w:rsid w:val="00FC0CD9"/>
    <w:rsid w:val="00FC2C0A"/>
    <w:rsid w:val="00FC5C3A"/>
    <w:rsid w:val="00FF7123"/>
    <w:rsid w:val="00FF7277"/>
    <w:rsid w:val="01EC3E90"/>
    <w:rsid w:val="04180F6C"/>
    <w:rsid w:val="046823FD"/>
    <w:rsid w:val="04765A11"/>
    <w:rsid w:val="05640CAD"/>
    <w:rsid w:val="06F84D7D"/>
    <w:rsid w:val="088926C9"/>
    <w:rsid w:val="08E350E3"/>
    <w:rsid w:val="09521A1D"/>
    <w:rsid w:val="0CFB142B"/>
    <w:rsid w:val="0DAF3C6D"/>
    <w:rsid w:val="0F184516"/>
    <w:rsid w:val="0F396F30"/>
    <w:rsid w:val="0F6B1D96"/>
    <w:rsid w:val="12045226"/>
    <w:rsid w:val="14A46B46"/>
    <w:rsid w:val="164817EB"/>
    <w:rsid w:val="1751474F"/>
    <w:rsid w:val="17F07564"/>
    <w:rsid w:val="18CF3324"/>
    <w:rsid w:val="18F422C9"/>
    <w:rsid w:val="1A143B2C"/>
    <w:rsid w:val="1AE43477"/>
    <w:rsid w:val="1BCC4B3F"/>
    <w:rsid w:val="1C7D0FBA"/>
    <w:rsid w:val="1D300C7D"/>
    <w:rsid w:val="207C324D"/>
    <w:rsid w:val="22CC475F"/>
    <w:rsid w:val="265B67D9"/>
    <w:rsid w:val="28243AD4"/>
    <w:rsid w:val="28A31078"/>
    <w:rsid w:val="29DC6CCA"/>
    <w:rsid w:val="2F3F1E09"/>
    <w:rsid w:val="317815BA"/>
    <w:rsid w:val="326424EE"/>
    <w:rsid w:val="337E4093"/>
    <w:rsid w:val="38083D4D"/>
    <w:rsid w:val="386771E8"/>
    <w:rsid w:val="39760960"/>
    <w:rsid w:val="39B0258C"/>
    <w:rsid w:val="3B62421A"/>
    <w:rsid w:val="3BAD3AAC"/>
    <w:rsid w:val="3BE63123"/>
    <w:rsid w:val="3CE235D8"/>
    <w:rsid w:val="3CEC1573"/>
    <w:rsid w:val="3E04515C"/>
    <w:rsid w:val="3E382DAB"/>
    <w:rsid w:val="4105168F"/>
    <w:rsid w:val="42505981"/>
    <w:rsid w:val="428A0D8A"/>
    <w:rsid w:val="42A71725"/>
    <w:rsid w:val="440C1E39"/>
    <w:rsid w:val="450E5003"/>
    <w:rsid w:val="45442C68"/>
    <w:rsid w:val="4824570C"/>
    <w:rsid w:val="48881584"/>
    <w:rsid w:val="48F514CA"/>
    <w:rsid w:val="497D7419"/>
    <w:rsid w:val="4A7E6C1C"/>
    <w:rsid w:val="4ACC26B7"/>
    <w:rsid w:val="4B2D3B8F"/>
    <w:rsid w:val="4BB323CE"/>
    <w:rsid w:val="4BCB0E1A"/>
    <w:rsid w:val="4D020758"/>
    <w:rsid w:val="4E2E3340"/>
    <w:rsid w:val="4FD6242D"/>
    <w:rsid w:val="51350F36"/>
    <w:rsid w:val="53736631"/>
    <w:rsid w:val="55D20329"/>
    <w:rsid w:val="56804167"/>
    <w:rsid w:val="57BC67DC"/>
    <w:rsid w:val="58D40E8A"/>
    <w:rsid w:val="59CD1026"/>
    <w:rsid w:val="5B031B5B"/>
    <w:rsid w:val="5B0C73AD"/>
    <w:rsid w:val="5B483314"/>
    <w:rsid w:val="5CD821BC"/>
    <w:rsid w:val="5D1F7DEB"/>
    <w:rsid w:val="5E315CFA"/>
    <w:rsid w:val="5E9C42C6"/>
    <w:rsid w:val="5EDF4223"/>
    <w:rsid w:val="6004641A"/>
    <w:rsid w:val="6202108D"/>
    <w:rsid w:val="622B1A37"/>
    <w:rsid w:val="644F5459"/>
    <w:rsid w:val="65073B5D"/>
    <w:rsid w:val="66993C37"/>
    <w:rsid w:val="67101E1A"/>
    <w:rsid w:val="675346C6"/>
    <w:rsid w:val="69874162"/>
    <w:rsid w:val="6A220D5D"/>
    <w:rsid w:val="6A7C70E7"/>
    <w:rsid w:val="6B4C645A"/>
    <w:rsid w:val="6BDC7BEE"/>
    <w:rsid w:val="6C2C6882"/>
    <w:rsid w:val="6EA03307"/>
    <w:rsid w:val="6EB505AF"/>
    <w:rsid w:val="6EDA2DAE"/>
    <w:rsid w:val="6F360455"/>
    <w:rsid w:val="701D640C"/>
    <w:rsid w:val="70A97237"/>
    <w:rsid w:val="71D47B1E"/>
    <w:rsid w:val="727732B0"/>
    <w:rsid w:val="7447614D"/>
    <w:rsid w:val="74B310ED"/>
    <w:rsid w:val="74B324EB"/>
    <w:rsid w:val="74CB08D5"/>
    <w:rsid w:val="774825DE"/>
    <w:rsid w:val="777C7EBC"/>
    <w:rsid w:val="79473E41"/>
    <w:rsid w:val="7E882C95"/>
    <w:rsid w:val="7F1F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ocked="1"/>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ocked="1"/>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0"/>
    <w:qFormat/>
    <w:uiPriority w:val="0"/>
    <w:pPr>
      <w:keepNext/>
      <w:keepLines/>
      <w:spacing w:line="240" w:lineRule="auto"/>
      <w:ind w:firstLine="562"/>
      <w:jc w:val="center"/>
      <w:outlineLvl w:val="0"/>
    </w:pPr>
    <w:rPr>
      <w:b/>
      <w:kern w:val="44"/>
      <w:sz w:val="28"/>
    </w:rPr>
  </w:style>
  <w:style w:type="paragraph" w:styleId="4">
    <w:name w:val="heading 2"/>
    <w:basedOn w:val="3"/>
    <w:next w:val="1"/>
    <w:unhideWhenUsed/>
    <w:qFormat/>
    <w:uiPriority w:val="0"/>
    <w:pPr>
      <w:spacing w:line="520" w:lineRule="exact"/>
      <w:ind w:firstLine="0" w:firstLineChars="0"/>
      <w:jc w:val="left"/>
      <w:outlineLvl w:val="1"/>
    </w:pPr>
  </w:style>
  <w:style w:type="paragraph" w:styleId="5">
    <w:name w:val="heading 3"/>
    <w:basedOn w:val="1"/>
    <w:next w:val="1"/>
    <w:link w:val="4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text"/>
    <w:basedOn w:val="1"/>
    <w:link w:val="35"/>
    <w:qFormat/>
    <w:uiPriority w:val="0"/>
    <w:pPr>
      <w:ind w:firstLine="420"/>
      <w:jc w:val="left"/>
    </w:pPr>
  </w:style>
  <w:style w:type="paragraph" w:styleId="8">
    <w:name w:val="Body Text"/>
    <w:basedOn w:val="1"/>
    <w:next w:val="9"/>
    <w:qFormat/>
    <w:uiPriority w:val="0"/>
    <w:pPr>
      <w:spacing w:after="120" w:line="240" w:lineRule="auto"/>
      <w:ind w:firstLine="0" w:firstLineChars="0"/>
    </w:pPr>
    <w:rPr>
      <w:sz w:val="21"/>
    </w:rPr>
  </w:style>
  <w:style w:type="paragraph" w:styleId="9">
    <w:name w:val="List Bullet 5"/>
    <w:basedOn w:val="1"/>
    <w:qFormat/>
    <w:uiPriority w:val="0"/>
    <w:pPr>
      <w:numPr>
        <w:ilvl w:val="0"/>
        <w:numId w:val="1"/>
      </w:numPr>
    </w:pPr>
  </w:style>
  <w:style w:type="paragraph" w:styleId="10">
    <w:name w:val="Body Text Indent"/>
    <w:basedOn w:val="1"/>
    <w:link w:val="24"/>
    <w:qFormat/>
    <w:uiPriority w:val="0"/>
    <w:pPr>
      <w:spacing w:after="120"/>
      <w:ind w:left="420" w:leftChars="200"/>
    </w:pPr>
    <w:rPr>
      <w:kern w:val="0"/>
      <w:szCs w:val="20"/>
    </w:rPr>
  </w:style>
  <w:style w:type="paragraph" w:styleId="11">
    <w:name w:val="footer"/>
    <w:basedOn w:val="1"/>
    <w:link w:val="34"/>
    <w:qFormat/>
    <w:uiPriority w:val="99"/>
    <w:pPr>
      <w:tabs>
        <w:tab w:val="center" w:pos="4153"/>
        <w:tab w:val="right" w:pos="8306"/>
      </w:tabs>
      <w:snapToGrid w:val="0"/>
      <w:spacing w:line="240" w:lineRule="auto"/>
      <w:jc w:val="left"/>
    </w:pPr>
    <w:rPr>
      <w:sz w:val="18"/>
      <w:szCs w:val="18"/>
    </w:rPr>
  </w:style>
  <w:style w:type="paragraph" w:styleId="12">
    <w:name w:val="List"/>
    <w:basedOn w:val="1"/>
    <w:next w:val="1"/>
    <w:qFormat/>
    <w:uiPriority w:val="0"/>
    <w:pPr>
      <w:ind w:left="200" w:hanging="200" w:hangingChars="200"/>
      <w:contextualSpacing/>
    </w:pPr>
  </w:style>
  <w:style w:type="paragraph" w:styleId="13">
    <w:name w:val="Body Text Indent 3"/>
    <w:basedOn w:val="1"/>
    <w:qFormat/>
    <w:uiPriority w:val="0"/>
    <w:pPr>
      <w:spacing w:line="480" w:lineRule="exact"/>
      <w:ind w:firstLine="588" w:firstLineChars="210"/>
    </w:pPr>
    <w:rPr>
      <w:rFonts w:ascii="仿宋_GB2312" w:hAnsi="宋体" w:eastAsia="仿宋_GB2312"/>
      <w:sz w:val="28"/>
    </w:rPr>
  </w:style>
  <w:style w:type="paragraph" w:styleId="14">
    <w:name w:val="Title"/>
    <w:basedOn w:val="1"/>
    <w:next w:val="1"/>
    <w:link w:val="32"/>
    <w:qFormat/>
    <w:uiPriority w:val="0"/>
    <w:pPr>
      <w:spacing w:before="120" w:after="120" w:line="240" w:lineRule="auto"/>
      <w:ind w:firstLine="0" w:firstLineChars="0"/>
      <w:jc w:val="left"/>
      <w:outlineLvl w:val="1"/>
    </w:pPr>
    <w:rPr>
      <w:b/>
      <w:bCs/>
      <w:szCs w:val="32"/>
    </w:rPr>
  </w:style>
  <w:style w:type="paragraph" w:styleId="15">
    <w:name w:val="annotation subject"/>
    <w:basedOn w:val="7"/>
    <w:next w:val="7"/>
    <w:link w:val="36"/>
    <w:qFormat/>
    <w:uiPriority w:val="0"/>
    <w:rPr>
      <w:b/>
      <w:bCs/>
    </w:rPr>
  </w:style>
  <w:style w:type="paragraph" w:styleId="16">
    <w:name w:val="Body Text First Indent"/>
    <w:basedOn w:val="8"/>
    <w:next w:val="1"/>
    <w:qFormat/>
    <w:uiPriority w:val="0"/>
    <w:pPr>
      <w:ind w:firstLine="420" w:firstLineChars="100"/>
    </w:pPr>
  </w:style>
  <w:style w:type="paragraph" w:styleId="17">
    <w:name w:val="Body Text First Indent 2"/>
    <w:basedOn w:val="10"/>
    <w:next w:val="1"/>
    <w:link w:val="23"/>
    <w:qFormat/>
    <w:locked/>
    <w:uiPriority w:val="0"/>
    <w:pPr>
      <w:ind w:left="0" w:leftChars="0" w:firstLine="420"/>
    </w:pPr>
    <w:rPr>
      <w:kern w:val="2"/>
      <w:sz w:val="21"/>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3">
    <w:name w:val="正文文本首行缩进 2 字符"/>
    <w:basedOn w:val="24"/>
    <w:link w:val="17"/>
    <w:qFormat/>
    <w:uiPriority w:val="0"/>
    <w:rPr>
      <w:rFonts w:ascii="Times New Roman" w:hAnsi="Times New Roman" w:eastAsia="宋体" w:cs="Times New Roman"/>
      <w:kern w:val="2"/>
      <w:sz w:val="21"/>
      <w:szCs w:val="24"/>
    </w:rPr>
  </w:style>
  <w:style w:type="character" w:customStyle="1" w:styleId="24">
    <w:name w:val="正文文本缩进 字符"/>
    <w:link w:val="10"/>
    <w:semiHidden/>
    <w:qFormat/>
    <w:locked/>
    <w:uiPriority w:val="0"/>
    <w:rPr>
      <w:rFonts w:ascii="Times New Roman" w:hAnsi="Times New Roman" w:eastAsia="宋体"/>
      <w:sz w:val="24"/>
    </w:rPr>
  </w:style>
  <w:style w:type="paragraph" w:styleId="25">
    <w:name w:val="No Spacing"/>
    <w:basedOn w:val="12"/>
    <w:next w:val="1"/>
    <w:qFormat/>
    <w:uiPriority w:val="1"/>
    <w:pPr>
      <w:spacing w:line="240" w:lineRule="auto"/>
      <w:ind w:left="0" w:firstLine="0" w:firstLineChars="0"/>
      <w:jc w:val="center"/>
      <w:textAlignment w:val="center"/>
    </w:pPr>
    <w:rPr>
      <w:sz w:val="21"/>
      <w:szCs w:val="22"/>
    </w:rPr>
  </w:style>
  <w:style w:type="paragraph" w:customStyle="1" w:styleId="26">
    <w:name w:val="p0"/>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27">
    <w:name w:val="表头"/>
    <w:basedOn w:val="1"/>
    <w:next w:val="1"/>
    <w:qFormat/>
    <w:uiPriority w:val="0"/>
    <w:pPr>
      <w:adjustRightInd w:val="0"/>
      <w:spacing w:before="50" w:beforeLines="50" w:line="240" w:lineRule="auto"/>
      <w:ind w:firstLine="0" w:firstLineChars="0"/>
      <w:jc w:val="center"/>
      <w:textAlignment w:val="baseline"/>
    </w:pPr>
    <w:rPr>
      <w:b/>
      <w:kern w:val="0"/>
      <w:sz w:val="21"/>
      <w:szCs w:val="20"/>
    </w:rPr>
  </w:style>
  <w:style w:type="paragraph" w:customStyle="1" w:styleId="28">
    <w:name w:val="表格5号居中"/>
    <w:basedOn w:val="1"/>
    <w:qFormat/>
    <w:uiPriority w:val="0"/>
    <w:pPr>
      <w:tabs>
        <w:tab w:val="left" w:pos="5400"/>
      </w:tabs>
      <w:adjustRightInd w:val="0"/>
      <w:spacing w:line="240" w:lineRule="auto"/>
      <w:ind w:firstLine="0" w:firstLineChars="0"/>
      <w:jc w:val="center"/>
      <w:textAlignment w:val="baseline"/>
    </w:pPr>
    <w:rPr>
      <w:iCs/>
      <w:spacing w:val="-6"/>
      <w:kern w:val="0"/>
      <w:sz w:val="21"/>
      <w:szCs w:val="21"/>
    </w:rPr>
  </w:style>
  <w:style w:type="paragraph" w:customStyle="1" w:styleId="29">
    <w:name w:val="正文格式"/>
    <w:basedOn w:val="16"/>
    <w:next w:val="30"/>
    <w:qFormat/>
    <w:uiPriority w:val="0"/>
    <w:pPr>
      <w:adjustRightInd w:val="0"/>
      <w:spacing w:line="360" w:lineRule="auto"/>
      <w:ind w:firstLine="560"/>
    </w:pPr>
    <w:rPr>
      <w:color w:val="000000"/>
      <w:lang w:val="zh-CN"/>
    </w:rPr>
  </w:style>
  <w:style w:type="paragraph" w:customStyle="1" w:styleId="30">
    <w:name w:val="_Style 5"/>
    <w:basedOn w:val="1"/>
    <w:qFormat/>
    <w:uiPriority w:val="0"/>
    <w:pPr>
      <w:ind w:firstLine="420"/>
    </w:pPr>
    <w:rPr>
      <w:rFonts w:ascii="Calibri" w:hAnsi="Calibri"/>
      <w:szCs w:val="22"/>
    </w:rPr>
  </w:style>
  <w:style w:type="paragraph" w:customStyle="1" w:styleId="31">
    <w:name w:val="表格"/>
    <w:basedOn w:val="1"/>
    <w:next w:val="1"/>
    <w:qFormat/>
    <w:uiPriority w:val="0"/>
    <w:pPr>
      <w:adjustRightInd w:val="0"/>
      <w:snapToGrid w:val="0"/>
      <w:spacing w:line="240" w:lineRule="auto"/>
      <w:ind w:firstLine="0" w:firstLineChars="0"/>
      <w:jc w:val="center"/>
    </w:pPr>
    <w:rPr>
      <w:kern w:val="0"/>
      <w:sz w:val="21"/>
      <w:szCs w:val="20"/>
    </w:rPr>
  </w:style>
  <w:style w:type="character" w:customStyle="1" w:styleId="32">
    <w:name w:val="标题 字符"/>
    <w:link w:val="14"/>
    <w:qFormat/>
    <w:uiPriority w:val="0"/>
    <w:rPr>
      <w:rFonts w:ascii="Times New Roman" w:hAnsi="Times New Roman" w:eastAsia="宋体" w:cs="Times New Roman"/>
      <w:b/>
      <w:bCs/>
      <w:szCs w:val="32"/>
    </w:rPr>
  </w:style>
  <w:style w:type="character" w:customStyle="1" w:styleId="33">
    <w:name w:val="页眉 字符"/>
    <w:basedOn w:val="20"/>
    <w:link w:val="2"/>
    <w:qFormat/>
    <w:uiPriority w:val="0"/>
    <w:rPr>
      <w:rFonts w:ascii="Times New Roman" w:hAnsi="Times New Roman" w:eastAsia="宋体" w:cs="Times New Roman"/>
      <w:kern w:val="2"/>
      <w:sz w:val="18"/>
      <w:szCs w:val="18"/>
    </w:rPr>
  </w:style>
  <w:style w:type="character" w:customStyle="1" w:styleId="34">
    <w:name w:val="页脚 字符"/>
    <w:basedOn w:val="20"/>
    <w:link w:val="11"/>
    <w:qFormat/>
    <w:uiPriority w:val="99"/>
    <w:rPr>
      <w:rFonts w:ascii="Times New Roman" w:hAnsi="Times New Roman" w:eastAsia="宋体" w:cs="Times New Roman"/>
      <w:kern w:val="2"/>
      <w:sz w:val="18"/>
      <w:szCs w:val="18"/>
    </w:rPr>
  </w:style>
  <w:style w:type="character" w:customStyle="1" w:styleId="35">
    <w:name w:val="批注文字 字符"/>
    <w:basedOn w:val="20"/>
    <w:link w:val="7"/>
    <w:qFormat/>
    <w:uiPriority w:val="0"/>
    <w:rPr>
      <w:kern w:val="2"/>
      <w:sz w:val="24"/>
      <w:szCs w:val="24"/>
    </w:rPr>
  </w:style>
  <w:style w:type="character" w:customStyle="1" w:styleId="36">
    <w:name w:val="批注主题 字符"/>
    <w:basedOn w:val="35"/>
    <w:link w:val="15"/>
    <w:qFormat/>
    <w:uiPriority w:val="0"/>
    <w:rPr>
      <w:rFonts w:ascii="Times New Roman" w:hAnsi="Times New Roman" w:eastAsia="宋体" w:cs="Times New Roman"/>
      <w:b/>
      <w:bCs/>
      <w:kern w:val="2"/>
      <w:sz w:val="24"/>
      <w:szCs w:val="24"/>
    </w:rPr>
  </w:style>
  <w:style w:type="paragraph" w:customStyle="1" w:styleId="37">
    <w:name w:val="修订1"/>
    <w:hidden/>
    <w:semiHidden/>
    <w:qFormat/>
    <w:uiPriority w:val="99"/>
    <w:rPr>
      <w:rFonts w:ascii="Times New Roman" w:hAnsi="Times New Roman" w:eastAsia="宋体" w:cs="Times New Roman"/>
      <w:kern w:val="2"/>
      <w:sz w:val="24"/>
      <w:szCs w:val="24"/>
      <w:lang w:val="en-US" w:eastAsia="zh-CN" w:bidi="ar-SA"/>
    </w:rPr>
  </w:style>
  <w:style w:type="paragraph" w:styleId="38">
    <w:name w:val="List Paragraph"/>
    <w:basedOn w:val="1"/>
    <w:qFormat/>
    <w:uiPriority w:val="99"/>
    <w:pPr>
      <w:ind w:firstLine="420"/>
    </w:pPr>
  </w:style>
  <w:style w:type="paragraph" w:customStyle="1" w:styleId="39">
    <w:name w:val="表中"/>
    <w:basedOn w:val="1"/>
    <w:qFormat/>
    <w:uiPriority w:val="0"/>
    <w:pPr>
      <w:widowControl/>
      <w:spacing w:line="240" w:lineRule="auto"/>
      <w:ind w:firstLine="0" w:firstLineChars="0"/>
      <w:jc w:val="center"/>
      <w:textAlignment w:val="center"/>
    </w:pPr>
    <w:rPr>
      <w:rFonts w:hint="eastAsia"/>
      <w:bCs/>
      <w:color w:val="000000"/>
      <w:kern w:val="0"/>
      <w:sz w:val="18"/>
      <w:szCs w:val="22"/>
    </w:rPr>
  </w:style>
  <w:style w:type="character" w:customStyle="1" w:styleId="40">
    <w:name w:val="标题 1 字符"/>
    <w:link w:val="3"/>
    <w:qFormat/>
    <w:uiPriority w:val="0"/>
    <w:rPr>
      <w:b/>
      <w:kern w:val="44"/>
      <w:sz w:val="28"/>
      <w:szCs w:val="24"/>
    </w:rPr>
  </w:style>
  <w:style w:type="paragraph" w:customStyle="1" w:styleId="41">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42">
    <w:name w:val="修订3"/>
    <w:hidden/>
    <w:unhideWhenUsed/>
    <w:qFormat/>
    <w:uiPriority w:val="99"/>
    <w:rPr>
      <w:rFonts w:ascii="Times New Roman" w:hAnsi="Times New Roman" w:eastAsia="宋体" w:cs="Times New Roman"/>
      <w:kern w:val="2"/>
      <w:sz w:val="24"/>
      <w:szCs w:val="24"/>
      <w:lang w:val="en-US" w:eastAsia="zh-CN" w:bidi="ar-SA"/>
    </w:rPr>
  </w:style>
  <w:style w:type="paragraph" w:customStyle="1" w:styleId="43">
    <w:name w:val="表内两端"/>
    <w:qFormat/>
    <w:uiPriority w:val="0"/>
    <w:pPr>
      <w:adjustRightInd w:val="0"/>
      <w:snapToGrid w:val="0"/>
      <w:jc w:val="both"/>
    </w:pPr>
    <w:rPr>
      <w:rFonts w:ascii="宋体" w:hAnsi="Times New Roman" w:eastAsia="宋体" w:cs="Times New Roman"/>
      <w:sz w:val="21"/>
      <w:lang w:val="en-US" w:eastAsia="zh-CN" w:bidi="ar-SA"/>
    </w:rPr>
  </w:style>
  <w:style w:type="character" w:customStyle="1" w:styleId="44">
    <w:name w:val="标题 3 字符"/>
    <w:basedOn w:val="20"/>
    <w:link w:val="5"/>
    <w:semiHidden/>
    <w:qFormat/>
    <w:uiPriority w:val="0"/>
    <w:rPr>
      <w:b/>
      <w:bCs/>
      <w:kern w:val="2"/>
      <w:sz w:val="32"/>
      <w:szCs w:val="32"/>
    </w:rPr>
  </w:style>
  <w:style w:type="paragraph" w:customStyle="1" w:styleId="45">
    <w:name w:val="Table Text"/>
    <w:basedOn w:val="1"/>
    <w:semiHidden/>
    <w:qFormat/>
    <w:uiPriority w:val="0"/>
    <w:pPr>
      <w:widowControl/>
      <w:kinsoku w:val="0"/>
      <w:autoSpaceDE w:val="0"/>
      <w:autoSpaceDN w:val="0"/>
      <w:adjustRightInd w:val="0"/>
      <w:snapToGrid w:val="0"/>
      <w:spacing w:line="240" w:lineRule="auto"/>
      <w:ind w:firstLine="0" w:firstLineChars="0"/>
      <w:jc w:val="left"/>
      <w:textAlignment w:val="baseline"/>
    </w:pPr>
    <w:rPr>
      <w:rFonts w:ascii="宋体" w:hAnsi="宋体" w:cs="宋体"/>
      <w:snapToGrid w:val="0"/>
      <w:color w:val="000000"/>
      <w:kern w:val="0"/>
      <w:sz w:val="27"/>
      <w:szCs w:val="27"/>
      <w:lang w:eastAsia="en-US"/>
    </w:rPr>
  </w:style>
  <w:style w:type="paragraph" w:customStyle="1" w:styleId="46">
    <w:name w:val="表题"/>
    <w:basedOn w:val="1"/>
    <w:next w:val="1"/>
    <w:qFormat/>
    <w:uiPriority w:val="0"/>
    <w:pPr>
      <w:spacing w:before="50" w:beforeLines="50" w:line="240" w:lineRule="auto"/>
      <w:ind w:firstLine="0" w:firstLineChars="0"/>
      <w:jc w:val="center"/>
      <w:textAlignment w:val="center"/>
    </w:pPr>
    <w:rPr>
      <w:rFonts w:cstheme="minorBidi"/>
      <w:b/>
      <w:sz w:val="21"/>
      <w:szCs w:val="22"/>
    </w:rPr>
  </w:style>
  <w:style w:type="paragraph" w:customStyle="1" w:styleId="47">
    <w:name w:val="表格字体"/>
    <w:basedOn w:val="1"/>
    <w:qFormat/>
    <w:uiPriority w:val="99"/>
    <w:pPr>
      <w:adjustRightInd w:val="0"/>
      <w:spacing w:line="240" w:lineRule="auto"/>
      <w:ind w:firstLine="0" w:firstLineChars="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8056</Words>
  <Characters>45921</Characters>
  <Lines>382</Lines>
  <Paragraphs>107</Paragraphs>
  <TotalTime>82</TotalTime>
  <ScaleCrop>false</ScaleCrop>
  <LinksUpToDate>false</LinksUpToDate>
  <CharactersWithSpaces>53870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2024-04-01T03:47:00Z</dcterms:created>
  <dc:creator>MyPC</dc:creator>
  <cp:lastModifiedBy>Administrator</cp:lastModifiedBy>
  <cp:lastPrinted>2025-07-29T01:47:00Z</cp:lastPrinted>
  <dcterms:modified xsi:type="dcterms:W3CDTF">2025-07-30T10:01:24Z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9B840414BC5849E2884BE3AAAC5986D0_13</vt:lpwstr>
  </property>
  <property fmtid="{D5CDD505-2E9C-101B-9397-08002B2CF9AE}" pid="4" name="KSOTemplateDocerSaveRecord">
    <vt:lpwstr>eyJoZGlkIjoiMTZmZGQ1YjY3YWE4ZjQxNzM3Mjc0MGM1ZTljYWMwNWUiLCJ1c2VySWQiOiI3MzIyMzUwMjAifQ==</vt:lpwstr>
  </property>
</Properties>
</file>